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0.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1.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6.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7.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8.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9.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0.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D79B02" w14:textId="77777777" w:rsidR="00A354F8" w:rsidRDefault="00A354F8" w:rsidP="00A354F8">
      <w:pPr>
        <w:autoSpaceDE w:val="0"/>
        <w:autoSpaceDN w:val="0"/>
        <w:adjustRightInd w:val="0"/>
        <w:spacing w:after="0"/>
        <w:jc w:val="center"/>
        <w:rPr>
          <w:rFonts w:cs="Arial"/>
          <w:color w:val="0029E1"/>
          <w:sz w:val="72"/>
          <w:szCs w:val="72"/>
        </w:rPr>
      </w:pPr>
    </w:p>
    <w:p w14:paraId="1BE96882" w14:textId="77777777" w:rsidR="00A354F8" w:rsidRDefault="00A354F8" w:rsidP="00A354F8">
      <w:pPr>
        <w:autoSpaceDE w:val="0"/>
        <w:autoSpaceDN w:val="0"/>
        <w:adjustRightInd w:val="0"/>
        <w:spacing w:after="0"/>
        <w:jc w:val="center"/>
        <w:rPr>
          <w:rFonts w:cs="Arial"/>
          <w:color w:val="0029E1"/>
          <w:sz w:val="72"/>
          <w:szCs w:val="72"/>
        </w:rPr>
      </w:pPr>
    </w:p>
    <w:p w14:paraId="13DC04DB" w14:textId="77777777" w:rsidR="00A354F8" w:rsidRDefault="00A354F8" w:rsidP="00A354F8">
      <w:pPr>
        <w:autoSpaceDE w:val="0"/>
        <w:autoSpaceDN w:val="0"/>
        <w:adjustRightInd w:val="0"/>
        <w:spacing w:after="0"/>
        <w:jc w:val="center"/>
        <w:rPr>
          <w:rFonts w:cs="Arial"/>
          <w:color w:val="0029E1"/>
          <w:sz w:val="72"/>
          <w:szCs w:val="72"/>
        </w:rPr>
      </w:pPr>
    </w:p>
    <w:p w14:paraId="3E8465E4" w14:textId="77777777" w:rsidR="00A354F8" w:rsidRDefault="00A354F8" w:rsidP="00A354F8">
      <w:pPr>
        <w:autoSpaceDE w:val="0"/>
        <w:autoSpaceDN w:val="0"/>
        <w:adjustRightInd w:val="0"/>
        <w:spacing w:after="0"/>
        <w:jc w:val="center"/>
        <w:rPr>
          <w:rFonts w:cs="Arial"/>
          <w:color w:val="0029E1"/>
          <w:sz w:val="72"/>
          <w:szCs w:val="72"/>
        </w:rPr>
      </w:pPr>
    </w:p>
    <w:p w14:paraId="24EFB773" w14:textId="77777777" w:rsidR="00A354F8" w:rsidRDefault="00A354F8" w:rsidP="00A354F8">
      <w:pPr>
        <w:autoSpaceDE w:val="0"/>
        <w:autoSpaceDN w:val="0"/>
        <w:adjustRightInd w:val="0"/>
        <w:spacing w:after="0"/>
        <w:jc w:val="center"/>
        <w:rPr>
          <w:rFonts w:cs="Arial"/>
          <w:color w:val="0029E1"/>
          <w:sz w:val="72"/>
          <w:szCs w:val="72"/>
        </w:rPr>
      </w:pPr>
    </w:p>
    <w:p w14:paraId="6EB2D861" w14:textId="77777777" w:rsidR="00A354F8" w:rsidRPr="00372887" w:rsidRDefault="00A354F8" w:rsidP="00A354F8">
      <w:pPr>
        <w:autoSpaceDE w:val="0"/>
        <w:autoSpaceDN w:val="0"/>
        <w:adjustRightInd w:val="0"/>
        <w:spacing w:after="0"/>
        <w:jc w:val="center"/>
        <w:rPr>
          <w:rFonts w:cs="Arial"/>
          <w:color w:val="0029E1"/>
          <w:sz w:val="72"/>
          <w:szCs w:val="72"/>
        </w:rPr>
      </w:pPr>
    </w:p>
    <w:p w14:paraId="73C707B2" w14:textId="74D83B39" w:rsidR="0084015B" w:rsidRPr="00372887" w:rsidRDefault="006D1B6F" w:rsidP="0084015B">
      <w:pPr>
        <w:spacing w:before="60" w:after="20"/>
        <w:jc w:val="center"/>
        <w:rPr>
          <w:rFonts w:eastAsia="MS Mincho" w:cs="Arial"/>
          <w:b/>
          <w:bCs/>
          <w:iCs/>
          <w:szCs w:val="24"/>
        </w:rPr>
      </w:pPr>
      <w:r w:rsidRPr="006D1B6F">
        <w:rPr>
          <w:rFonts w:cs="Arial"/>
          <w:sz w:val="56"/>
          <w:szCs w:val="56"/>
        </w:rPr>
        <w:t>Hodnocení dopadů regulace zákona o hazardních hrách a souvisejících právních předpisů</w:t>
      </w:r>
    </w:p>
    <w:p w14:paraId="7C084A09" w14:textId="650D2DAF" w:rsidR="0084015B" w:rsidRPr="00372887" w:rsidRDefault="0084015B" w:rsidP="0084015B">
      <w:pPr>
        <w:spacing w:before="60" w:after="20"/>
        <w:jc w:val="center"/>
        <w:rPr>
          <w:rFonts w:eastAsia="MS Mincho" w:cs="Arial"/>
          <w:b/>
          <w:bCs/>
          <w:iCs/>
          <w:szCs w:val="24"/>
        </w:rPr>
      </w:pPr>
    </w:p>
    <w:p w14:paraId="459E7A80" w14:textId="7BB24EBA" w:rsidR="006D1B6F" w:rsidRDefault="006D1B6F">
      <w:pPr>
        <w:spacing w:line="259" w:lineRule="auto"/>
        <w:jc w:val="left"/>
        <w:rPr>
          <w:rFonts w:eastAsia="MS Mincho" w:cs="Arial"/>
          <w:b/>
          <w:bCs/>
          <w:iCs/>
          <w:szCs w:val="24"/>
        </w:rPr>
      </w:pPr>
    </w:p>
    <w:p w14:paraId="02832BBC" w14:textId="2CBA3D69" w:rsidR="00A52FBD" w:rsidRDefault="00A52FBD">
      <w:pPr>
        <w:spacing w:line="259" w:lineRule="auto"/>
        <w:jc w:val="left"/>
        <w:rPr>
          <w:rFonts w:eastAsia="MS Mincho" w:cs="Arial"/>
          <w:b/>
          <w:bCs/>
          <w:iCs/>
          <w:szCs w:val="24"/>
        </w:rPr>
      </w:pPr>
    </w:p>
    <w:p w14:paraId="7FD2BF21" w14:textId="53CC5A1D" w:rsidR="00A52FBD" w:rsidRDefault="00A52FBD">
      <w:pPr>
        <w:spacing w:line="259" w:lineRule="auto"/>
        <w:jc w:val="left"/>
        <w:rPr>
          <w:rFonts w:eastAsia="MS Mincho" w:cs="Arial"/>
          <w:b/>
          <w:bCs/>
          <w:iCs/>
          <w:szCs w:val="24"/>
        </w:rPr>
      </w:pPr>
    </w:p>
    <w:p w14:paraId="61A9EF2A" w14:textId="5E208468" w:rsidR="00A52FBD" w:rsidRDefault="00A52FBD">
      <w:pPr>
        <w:spacing w:line="259" w:lineRule="auto"/>
        <w:jc w:val="left"/>
        <w:rPr>
          <w:rFonts w:eastAsia="MS Mincho" w:cs="Arial"/>
          <w:b/>
          <w:bCs/>
          <w:iCs/>
          <w:szCs w:val="24"/>
        </w:rPr>
      </w:pPr>
    </w:p>
    <w:p w14:paraId="20846BDD" w14:textId="621D72A7" w:rsidR="00A52FBD" w:rsidRDefault="00A52FBD">
      <w:pPr>
        <w:spacing w:line="259" w:lineRule="auto"/>
        <w:jc w:val="left"/>
        <w:rPr>
          <w:rFonts w:eastAsia="MS Mincho" w:cs="Arial"/>
          <w:b/>
          <w:bCs/>
          <w:iCs/>
          <w:szCs w:val="24"/>
        </w:rPr>
      </w:pPr>
    </w:p>
    <w:p w14:paraId="1EC457B2" w14:textId="5ABCD0C7" w:rsidR="00A52FBD" w:rsidRDefault="00A52FBD">
      <w:pPr>
        <w:spacing w:line="259" w:lineRule="auto"/>
        <w:jc w:val="left"/>
        <w:rPr>
          <w:rFonts w:eastAsia="MS Mincho" w:cs="Arial"/>
          <w:b/>
          <w:bCs/>
          <w:iCs/>
          <w:szCs w:val="24"/>
        </w:rPr>
      </w:pPr>
    </w:p>
    <w:p w14:paraId="18A25A55" w14:textId="49CDEBC7" w:rsidR="00A52FBD" w:rsidRDefault="00A52FBD">
      <w:pPr>
        <w:spacing w:line="259" w:lineRule="auto"/>
        <w:jc w:val="left"/>
        <w:rPr>
          <w:rFonts w:eastAsia="MS Mincho" w:cs="Arial"/>
          <w:b/>
          <w:bCs/>
          <w:iCs/>
          <w:szCs w:val="24"/>
        </w:rPr>
      </w:pPr>
    </w:p>
    <w:p w14:paraId="7BDB05CF" w14:textId="055DFD55" w:rsidR="00A52FBD" w:rsidRDefault="00A52FBD">
      <w:pPr>
        <w:spacing w:line="259" w:lineRule="auto"/>
        <w:jc w:val="left"/>
        <w:rPr>
          <w:rFonts w:eastAsia="MS Mincho" w:cs="Arial"/>
          <w:b/>
          <w:bCs/>
          <w:iCs/>
          <w:szCs w:val="24"/>
        </w:rPr>
      </w:pPr>
    </w:p>
    <w:p w14:paraId="01CC4AF9" w14:textId="61C250CC" w:rsidR="00A52FBD" w:rsidRDefault="00A52FBD">
      <w:pPr>
        <w:spacing w:line="259" w:lineRule="auto"/>
        <w:jc w:val="left"/>
        <w:rPr>
          <w:rFonts w:eastAsia="MS Mincho" w:cs="Arial"/>
          <w:b/>
          <w:bCs/>
          <w:iCs/>
          <w:szCs w:val="24"/>
        </w:rPr>
      </w:pPr>
    </w:p>
    <w:p w14:paraId="76A28277" w14:textId="15063609" w:rsidR="00A52FBD" w:rsidRDefault="00A52FBD">
      <w:pPr>
        <w:spacing w:line="259" w:lineRule="auto"/>
        <w:jc w:val="left"/>
        <w:rPr>
          <w:rFonts w:eastAsia="MS Mincho" w:cs="Arial"/>
          <w:b/>
          <w:bCs/>
          <w:iCs/>
          <w:szCs w:val="24"/>
        </w:rPr>
      </w:pPr>
    </w:p>
    <w:p w14:paraId="2A53B7C9" w14:textId="4088C5A0" w:rsidR="00A52FBD" w:rsidRDefault="00A52FBD">
      <w:pPr>
        <w:spacing w:line="259" w:lineRule="auto"/>
        <w:jc w:val="left"/>
        <w:rPr>
          <w:rFonts w:eastAsia="MS Mincho" w:cs="Arial"/>
          <w:b/>
          <w:bCs/>
          <w:iCs/>
          <w:szCs w:val="24"/>
        </w:rPr>
      </w:pPr>
    </w:p>
    <w:p w14:paraId="0A4E0990" w14:textId="5C24BFF4" w:rsidR="00A52FBD" w:rsidRDefault="00A52FBD">
      <w:pPr>
        <w:spacing w:line="259" w:lineRule="auto"/>
        <w:jc w:val="left"/>
        <w:rPr>
          <w:rFonts w:eastAsia="MS Mincho" w:cs="Arial"/>
          <w:b/>
          <w:bCs/>
          <w:iCs/>
          <w:szCs w:val="24"/>
        </w:rPr>
      </w:pPr>
    </w:p>
    <w:p w14:paraId="6962B1B6" w14:textId="5BE3F341" w:rsidR="0084015B" w:rsidRDefault="0084015B" w:rsidP="0084015B">
      <w:pPr>
        <w:spacing w:before="60" w:after="20"/>
        <w:jc w:val="left"/>
        <w:rPr>
          <w:rFonts w:eastAsia="MS Mincho" w:cs="Arial"/>
          <w:b/>
          <w:bCs/>
          <w:iCs/>
          <w:szCs w:val="24"/>
        </w:rPr>
      </w:pPr>
      <w:r w:rsidRPr="00372887">
        <w:rPr>
          <w:rFonts w:eastAsia="MS Mincho" w:cs="Arial"/>
          <w:b/>
          <w:bCs/>
          <w:iCs/>
          <w:szCs w:val="24"/>
        </w:rPr>
        <w:t>Ministerstvo financí, sekce Daně a cla</w:t>
      </w:r>
    </w:p>
    <w:p w14:paraId="52F7F2FB" w14:textId="77777777" w:rsidR="00AC6842" w:rsidRDefault="00AC6842" w:rsidP="0084015B">
      <w:pPr>
        <w:spacing w:before="60" w:after="20"/>
        <w:jc w:val="left"/>
        <w:rPr>
          <w:rFonts w:eastAsia="MS Mincho" w:cs="Arial"/>
          <w:b/>
          <w:bCs/>
          <w:iCs/>
          <w:szCs w:val="24"/>
        </w:rPr>
      </w:pPr>
    </w:p>
    <w:p w14:paraId="36F1D28D" w14:textId="77777777" w:rsidR="00A52FBD" w:rsidRDefault="00A52FBD">
      <w:pPr>
        <w:spacing w:line="259" w:lineRule="auto"/>
        <w:jc w:val="left"/>
        <w:rPr>
          <w:rFonts w:eastAsia="MS Mincho" w:cs="Arial"/>
          <w:b/>
          <w:bCs/>
          <w:iCs/>
          <w:szCs w:val="24"/>
        </w:rPr>
      </w:pPr>
      <w:r>
        <w:rPr>
          <w:rFonts w:eastAsia="MS Mincho" w:cs="Arial"/>
          <w:b/>
          <w:bCs/>
          <w:iCs/>
          <w:szCs w:val="24"/>
        </w:rPr>
        <w:br w:type="page"/>
      </w:r>
    </w:p>
    <w:p w14:paraId="5214DEA8" w14:textId="28288E8F" w:rsidR="00926174" w:rsidRDefault="00AC6842" w:rsidP="0084015B">
      <w:pPr>
        <w:spacing w:before="60" w:after="20"/>
        <w:jc w:val="left"/>
        <w:rPr>
          <w:rFonts w:eastAsia="MS Mincho" w:cs="Arial"/>
          <w:b/>
          <w:bCs/>
          <w:iCs/>
          <w:szCs w:val="24"/>
        </w:rPr>
      </w:pPr>
      <w:r>
        <w:rPr>
          <w:rFonts w:eastAsia="MS Mincho" w:cs="Arial"/>
          <w:b/>
          <w:bCs/>
          <w:iCs/>
          <w:szCs w:val="24"/>
        </w:rPr>
        <w:lastRenderedPageBreak/>
        <w:t>Obsah</w:t>
      </w:r>
    </w:p>
    <w:p w14:paraId="7FCE8BE3" w14:textId="77777777" w:rsidR="00AC6842" w:rsidRPr="00A76962" w:rsidRDefault="00AC6842" w:rsidP="0084015B">
      <w:pPr>
        <w:spacing w:before="60" w:after="20"/>
        <w:jc w:val="left"/>
        <w:rPr>
          <w:rFonts w:eastAsia="MS Mincho" w:cs="Arial"/>
          <w:bCs/>
          <w:iCs/>
          <w:szCs w:val="24"/>
        </w:rPr>
      </w:pPr>
    </w:p>
    <w:p w14:paraId="3322FA30" w14:textId="051F748F" w:rsidR="00990A76" w:rsidRDefault="001E31A6">
      <w:pPr>
        <w:pStyle w:val="Obsah2"/>
        <w:tabs>
          <w:tab w:val="left" w:pos="720"/>
          <w:tab w:val="right" w:leader="dot" w:pos="9062"/>
        </w:tabs>
        <w:rPr>
          <w:rFonts w:asciiTheme="minorHAnsi" w:eastAsiaTheme="minorEastAsia" w:hAnsiTheme="minorHAnsi"/>
          <w:noProof/>
          <w:sz w:val="22"/>
          <w:lang w:eastAsia="cs-CZ"/>
        </w:rPr>
      </w:pPr>
      <w:r>
        <w:rPr>
          <w:rFonts w:eastAsia="MS Mincho" w:cs="Arial"/>
          <w:b/>
          <w:bCs/>
          <w:iCs/>
          <w:szCs w:val="24"/>
        </w:rPr>
        <w:fldChar w:fldCharType="begin"/>
      </w:r>
      <w:r>
        <w:rPr>
          <w:rFonts w:eastAsia="MS Mincho" w:cs="Arial"/>
          <w:b/>
          <w:bCs/>
          <w:iCs/>
          <w:szCs w:val="24"/>
        </w:rPr>
        <w:instrText xml:space="preserve"> TOC \o "1-3" \h \z \u </w:instrText>
      </w:r>
      <w:r>
        <w:rPr>
          <w:rFonts w:eastAsia="MS Mincho" w:cs="Arial"/>
          <w:b/>
          <w:bCs/>
          <w:iCs/>
          <w:szCs w:val="24"/>
        </w:rPr>
        <w:fldChar w:fldCharType="separate"/>
      </w:r>
      <w:hyperlink w:anchor="_Toc73613622" w:history="1">
        <w:r w:rsidR="00990A76" w:rsidRPr="0009232C">
          <w:rPr>
            <w:rStyle w:val="Hypertextovodkaz"/>
            <w:rFonts w:cs="Arial"/>
            <w:noProof/>
          </w:rPr>
          <w:t>1</w:t>
        </w:r>
        <w:r w:rsidR="00990A76">
          <w:rPr>
            <w:rFonts w:asciiTheme="minorHAnsi" w:eastAsiaTheme="minorEastAsia" w:hAnsiTheme="minorHAnsi"/>
            <w:noProof/>
            <w:sz w:val="22"/>
            <w:lang w:eastAsia="cs-CZ"/>
          </w:rPr>
          <w:tab/>
        </w:r>
        <w:r w:rsidR="00990A76" w:rsidRPr="0009232C">
          <w:rPr>
            <w:rStyle w:val="Hypertextovodkaz"/>
            <w:rFonts w:cs="Arial"/>
            <w:noProof/>
          </w:rPr>
          <w:t>Úvod</w:t>
        </w:r>
        <w:r w:rsidR="00990A76">
          <w:rPr>
            <w:noProof/>
            <w:webHidden/>
          </w:rPr>
          <w:tab/>
        </w:r>
        <w:r w:rsidR="00990A76">
          <w:rPr>
            <w:noProof/>
            <w:webHidden/>
          </w:rPr>
          <w:fldChar w:fldCharType="begin"/>
        </w:r>
        <w:r w:rsidR="00990A76">
          <w:rPr>
            <w:noProof/>
            <w:webHidden/>
          </w:rPr>
          <w:instrText xml:space="preserve"> PAGEREF _Toc73613622 \h </w:instrText>
        </w:r>
        <w:r w:rsidR="00990A76">
          <w:rPr>
            <w:noProof/>
            <w:webHidden/>
          </w:rPr>
        </w:r>
        <w:r w:rsidR="00990A76">
          <w:rPr>
            <w:noProof/>
            <w:webHidden/>
          </w:rPr>
          <w:fldChar w:fldCharType="separate"/>
        </w:r>
        <w:r w:rsidR="00990A76">
          <w:rPr>
            <w:noProof/>
            <w:webHidden/>
          </w:rPr>
          <w:t>3</w:t>
        </w:r>
        <w:r w:rsidR="00990A76">
          <w:rPr>
            <w:noProof/>
            <w:webHidden/>
          </w:rPr>
          <w:fldChar w:fldCharType="end"/>
        </w:r>
      </w:hyperlink>
    </w:p>
    <w:p w14:paraId="5FE4D662" w14:textId="2E41051F"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3" w:history="1">
        <w:r w:rsidRPr="0009232C">
          <w:rPr>
            <w:rStyle w:val="Hypertextovodkaz"/>
            <w:rFonts w:cs="Arial"/>
            <w:noProof/>
          </w:rPr>
          <w:t>1.1</w:t>
        </w:r>
        <w:r>
          <w:rPr>
            <w:rFonts w:asciiTheme="minorHAnsi" w:eastAsiaTheme="minorEastAsia" w:hAnsiTheme="minorHAnsi"/>
            <w:noProof/>
            <w:sz w:val="22"/>
            <w:lang w:eastAsia="cs-CZ"/>
          </w:rPr>
          <w:tab/>
        </w:r>
        <w:r w:rsidRPr="0009232C">
          <w:rPr>
            <w:rStyle w:val="Hypertextovodkaz"/>
            <w:rFonts w:cs="Arial"/>
            <w:noProof/>
          </w:rPr>
          <w:t>Základní identifikační údaje právního předpisu</w:t>
        </w:r>
        <w:r>
          <w:rPr>
            <w:noProof/>
            <w:webHidden/>
          </w:rPr>
          <w:tab/>
        </w:r>
        <w:r>
          <w:rPr>
            <w:noProof/>
            <w:webHidden/>
          </w:rPr>
          <w:fldChar w:fldCharType="begin"/>
        </w:r>
        <w:r>
          <w:rPr>
            <w:noProof/>
            <w:webHidden/>
          </w:rPr>
          <w:instrText xml:space="preserve"> PAGEREF _Toc73613623 \h </w:instrText>
        </w:r>
        <w:r>
          <w:rPr>
            <w:noProof/>
            <w:webHidden/>
          </w:rPr>
        </w:r>
        <w:r>
          <w:rPr>
            <w:noProof/>
            <w:webHidden/>
          </w:rPr>
          <w:fldChar w:fldCharType="separate"/>
        </w:r>
        <w:r>
          <w:rPr>
            <w:noProof/>
            <w:webHidden/>
          </w:rPr>
          <w:t>3</w:t>
        </w:r>
        <w:r>
          <w:rPr>
            <w:noProof/>
            <w:webHidden/>
          </w:rPr>
          <w:fldChar w:fldCharType="end"/>
        </w:r>
      </w:hyperlink>
    </w:p>
    <w:p w14:paraId="69014A5C" w14:textId="41933239"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4" w:history="1">
        <w:r w:rsidRPr="0009232C">
          <w:rPr>
            <w:rStyle w:val="Hypertextovodkaz"/>
            <w:rFonts w:cs="Arial"/>
            <w:noProof/>
          </w:rPr>
          <w:t>1.2</w:t>
        </w:r>
        <w:r>
          <w:rPr>
            <w:rFonts w:asciiTheme="minorHAnsi" w:eastAsiaTheme="minorEastAsia" w:hAnsiTheme="minorHAnsi"/>
            <w:noProof/>
            <w:sz w:val="22"/>
            <w:lang w:eastAsia="cs-CZ"/>
          </w:rPr>
          <w:tab/>
        </w:r>
        <w:r w:rsidRPr="0009232C">
          <w:rPr>
            <w:rStyle w:val="Hypertextovodkaz"/>
            <w:rFonts w:cs="Arial"/>
            <w:noProof/>
          </w:rPr>
          <w:t>Metodický postup přezkumu</w:t>
        </w:r>
        <w:r>
          <w:rPr>
            <w:noProof/>
            <w:webHidden/>
          </w:rPr>
          <w:tab/>
        </w:r>
        <w:r>
          <w:rPr>
            <w:noProof/>
            <w:webHidden/>
          </w:rPr>
          <w:fldChar w:fldCharType="begin"/>
        </w:r>
        <w:r>
          <w:rPr>
            <w:noProof/>
            <w:webHidden/>
          </w:rPr>
          <w:instrText xml:space="preserve"> PAGEREF _Toc73613624 \h </w:instrText>
        </w:r>
        <w:r>
          <w:rPr>
            <w:noProof/>
            <w:webHidden/>
          </w:rPr>
        </w:r>
        <w:r>
          <w:rPr>
            <w:noProof/>
            <w:webHidden/>
          </w:rPr>
          <w:fldChar w:fldCharType="separate"/>
        </w:r>
        <w:r>
          <w:rPr>
            <w:noProof/>
            <w:webHidden/>
          </w:rPr>
          <w:t>4</w:t>
        </w:r>
        <w:r>
          <w:rPr>
            <w:noProof/>
            <w:webHidden/>
          </w:rPr>
          <w:fldChar w:fldCharType="end"/>
        </w:r>
      </w:hyperlink>
    </w:p>
    <w:p w14:paraId="718EA6AD" w14:textId="4E061C2A"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5" w:history="1">
        <w:r w:rsidRPr="0009232C">
          <w:rPr>
            <w:rStyle w:val="Hypertextovodkaz"/>
            <w:rFonts w:cs="Arial"/>
            <w:noProof/>
          </w:rPr>
          <w:t>1.3</w:t>
        </w:r>
        <w:r>
          <w:rPr>
            <w:rFonts w:asciiTheme="minorHAnsi" w:eastAsiaTheme="minorEastAsia" w:hAnsiTheme="minorHAnsi"/>
            <w:noProof/>
            <w:sz w:val="22"/>
            <w:lang w:eastAsia="cs-CZ"/>
          </w:rPr>
          <w:tab/>
        </w:r>
        <w:r w:rsidRPr="0009232C">
          <w:rPr>
            <w:rStyle w:val="Hypertextovodkaz"/>
            <w:rFonts w:cs="Arial"/>
            <w:noProof/>
          </w:rPr>
          <w:t>Cíle zákona o hazardních hrách</w:t>
        </w:r>
        <w:r>
          <w:rPr>
            <w:noProof/>
            <w:webHidden/>
          </w:rPr>
          <w:tab/>
        </w:r>
        <w:r>
          <w:rPr>
            <w:noProof/>
            <w:webHidden/>
          </w:rPr>
          <w:fldChar w:fldCharType="begin"/>
        </w:r>
        <w:r>
          <w:rPr>
            <w:noProof/>
            <w:webHidden/>
          </w:rPr>
          <w:instrText xml:space="preserve"> PAGEREF _Toc73613625 \h </w:instrText>
        </w:r>
        <w:r>
          <w:rPr>
            <w:noProof/>
            <w:webHidden/>
          </w:rPr>
        </w:r>
        <w:r>
          <w:rPr>
            <w:noProof/>
            <w:webHidden/>
          </w:rPr>
          <w:fldChar w:fldCharType="separate"/>
        </w:r>
        <w:r>
          <w:rPr>
            <w:noProof/>
            <w:webHidden/>
          </w:rPr>
          <w:t>5</w:t>
        </w:r>
        <w:r>
          <w:rPr>
            <w:noProof/>
            <w:webHidden/>
          </w:rPr>
          <w:fldChar w:fldCharType="end"/>
        </w:r>
      </w:hyperlink>
    </w:p>
    <w:p w14:paraId="089D3356" w14:textId="77B37A76"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6" w:history="1">
        <w:r w:rsidRPr="0009232C">
          <w:rPr>
            <w:rStyle w:val="Hypertextovodkaz"/>
            <w:rFonts w:cs="Arial"/>
            <w:noProof/>
          </w:rPr>
          <w:t>1.4</w:t>
        </w:r>
        <w:r>
          <w:rPr>
            <w:rFonts w:asciiTheme="minorHAnsi" w:eastAsiaTheme="minorEastAsia" w:hAnsiTheme="minorHAnsi"/>
            <w:noProof/>
            <w:sz w:val="22"/>
            <w:lang w:eastAsia="cs-CZ"/>
          </w:rPr>
          <w:tab/>
        </w:r>
        <w:r w:rsidRPr="0009232C">
          <w:rPr>
            <w:rStyle w:val="Hypertextovodkaz"/>
            <w:rFonts w:cs="Arial"/>
            <w:noProof/>
          </w:rPr>
          <w:t>Přehled změn</w:t>
        </w:r>
        <w:r>
          <w:rPr>
            <w:noProof/>
            <w:webHidden/>
          </w:rPr>
          <w:tab/>
        </w:r>
        <w:r>
          <w:rPr>
            <w:noProof/>
            <w:webHidden/>
          </w:rPr>
          <w:fldChar w:fldCharType="begin"/>
        </w:r>
        <w:r>
          <w:rPr>
            <w:noProof/>
            <w:webHidden/>
          </w:rPr>
          <w:instrText xml:space="preserve"> PAGEREF _Toc73613626 \h </w:instrText>
        </w:r>
        <w:r>
          <w:rPr>
            <w:noProof/>
            <w:webHidden/>
          </w:rPr>
        </w:r>
        <w:r>
          <w:rPr>
            <w:noProof/>
            <w:webHidden/>
          </w:rPr>
          <w:fldChar w:fldCharType="separate"/>
        </w:r>
        <w:r>
          <w:rPr>
            <w:noProof/>
            <w:webHidden/>
          </w:rPr>
          <w:t>6</w:t>
        </w:r>
        <w:r>
          <w:rPr>
            <w:noProof/>
            <w:webHidden/>
          </w:rPr>
          <w:fldChar w:fldCharType="end"/>
        </w:r>
      </w:hyperlink>
    </w:p>
    <w:p w14:paraId="11C720B8" w14:textId="32F8D859"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7" w:history="1">
        <w:r w:rsidRPr="0009232C">
          <w:rPr>
            <w:rStyle w:val="Hypertextovodkaz"/>
            <w:rFonts w:cs="Arial"/>
            <w:noProof/>
          </w:rPr>
          <w:t>1.5</w:t>
        </w:r>
        <w:r>
          <w:rPr>
            <w:rFonts w:asciiTheme="minorHAnsi" w:eastAsiaTheme="minorEastAsia" w:hAnsiTheme="minorHAnsi"/>
            <w:noProof/>
            <w:sz w:val="22"/>
            <w:lang w:eastAsia="cs-CZ"/>
          </w:rPr>
          <w:tab/>
        </w:r>
        <w:r w:rsidRPr="0009232C">
          <w:rPr>
            <w:rStyle w:val="Hypertextovodkaz"/>
            <w:rFonts w:cs="Arial"/>
            <w:noProof/>
          </w:rPr>
          <w:t>Dotčené subjekty</w:t>
        </w:r>
        <w:r>
          <w:rPr>
            <w:noProof/>
            <w:webHidden/>
          </w:rPr>
          <w:tab/>
        </w:r>
        <w:r>
          <w:rPr>
            <w:noProof/>
            <w:webHidden/>
          </w:rPr>
          <w:fldChar w:fldCharType="begin"/>
        </w:r>
        <w:r>
          <w:rPr>
            <w:noProof/>
            <w:webHidden/>
          </w:rPr>
          <w:instrText xml:space="preserve"> PAGEREF _Toc73613627 \h </w:instrText>
        </w:r>
        <w:r>
          <w:rPr>
            <w:noProof/>
            <w:webHidden/>
          </w:rPr>
        </w:r>
        <w:r>
          <w:rPr>
            <w:noProof/>
            <w:webHidden/>
          </w:rPr>
          <w:fldChar w:fldCharType="separate"/>
        </w:r>
        <w:r>
          <w:rPr>
            <w:noProof/>
            <w:webHidden/>
          </w:rPr>
          <w:t>7</w:t>
        </w:r>
        <w:r>
          <w:rPr>
            <w:noProof/>
            <w:webHidden/>
          </w:rPr>
          <w:fldChar w:fldCharType="end"/>
        </w:r>
      </w:hyperlink>
    </w:p>
    <w:p w14:paraId="1F3EE858" w14:textId="4B3825FD"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8" w:history="1">
        <w:r w:rsidRPr="0009232C">
          <w:rPr>
            <w:rStyle w:val="Hypertextovodkaz"/>
            <w:rFonts w:cs="Arial"/>
            <w:noProof/>
          </w:rPr>
          <w:t>1.6</w:t>
        </w:r>
        <w:r>
          <w:rPr>
            <w:rFonts w:asciiTheme="minorHAnsi" w:eastAsiaTheme="minorEastAsia" w:hAnsiTheme="minorHAnsi"/>
            <w:noProof/>
            <w:sz w:val="22"/>
            <w:lang w:eastAsia="cs-CZ"/>
          </w:rPr>
          <w:tab/>
        </w:r>
        <w:r w:rsidRPr="0009232C">
          <w:rPr>
            <w:rStyle w:val="Hypertextovodkaz"/>
            <w:rFonts w:cs="Arial"/>
            <w:noProof/>
          </w:rPr>
          <w:t>Cíle ex post RIA</w:t>
        </w:r>
        <w:r>
          <w:rPr>
            <w:noProof/>
            <w:webHidden/>
          </w:rPr>
          <w:tab/>
        </w:r>
        <w:r>
          <w:rPr>
            <w:noProof/>
            <w:webHidden/>
          </w:rPr>
          <w:fldChar w:fldCharType="begin"/>
        </w:r>
        <w:r>
          <w:rPr>
            <w:noProof/>
            <w:webHidden/>
          </w:rPr>
          <w:instrText xml:space="preserve"> PAGEREF _Toc73613628 \h </w:instrText>
        </w:r>
        <w:r>
          <w:rPr>
            <w:noProof/>
            <w:webHidden/>
          </w:rPr>
        </w:r>
        <w:r>
          <w:rPr>
            <w:noProof/>
            <w:webHidden/>
          </w:rPr>
          <w:fldChar w:fldCharType="separate"/>
        </w:r>
        <w:r>
          <w:rPr>
            <w:noProof/>
            <w:webHidden/>
          </w:rPr>
          <w:t>8</w:t>
        </w:r>
        <w:r>
          <w:rPr>
            <w:noProof/>
            <w:webHidden/>
          </w:rPr>
          <w:fldChar w:fldCharType="end"/>
        </w:r>
      </w:hyperlink>
    </w:p>
    <w:p w14:paraId="4B6445F8" w14:textId="765A5EA2"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29" w:history="1">
        <w:r w:rsidRPr="0009232C">
          <w:rPr>
            <w:rStyle w:val="Hypertextovodkaz"/>
            <w:rFonts w:cs="Arial"/>
            <w:noProof/>
          </w:rPr>
          <w:t>1.7</w:t>
        </w:r>
        <w:r>
          <w:rPr>
            <w:rFonts w:asciiTheme="minorHAnsi" w:eastAsiaTheme="minorEastAsia" w:hAnsiTheme="minorHAnsi"/>
            <w:noProof/>
            <w:sz w:val="22"/>
            <w:lang w:eastAsia="cs-CZ"/>
          </w:rPr>
          <w:tab/>
        </w:r>
        <w:r w:rsidRPr="0009232C">
          <w:rPr>
            <w:rStyle w:val="Hypertextovodkaz"/>
            <w:rFonts w:cs="Arial"/>
            <w:noProof/>
          </w:rPr>
          <w:t>Vhodnost nastavených parametrů přezkumu</w:t>
        </w:r>
        <w:r>
          <w:rPr>
            <w:noProof/>
            <w:webHidden/>
          </w:rPr>
          <w:tab/>
        </w:r>
        <w:r>
          <w:rPr>
            <w:noProof/>
            <w:webHidden/>
          </w:rPr>
          <w:fldChar w:fldCharType="begin"/>
        </w:r>
        <w:r>
          <w:rPr>
            <w:noProof/>
            <w:webHidden/>
          </w:rPr>
          <w:instrText xml:space="preserve"> PAGEREF _Toc73613629 \h </w:instrText>
        </w:r>
        <w:r>
          <w:rPr>
            <w:noProof/>
            <w:webHidden/>
          </w:rPr>
        </w:r>
        <w:r>
          <w:rPr>
            <w:noProof/>
            <w:webHidden/>
          </w:rPr>
          <w:fldChar w:fldCharType="separate"/>
        </w:r>
        <w:r>
          <w:rPr>
            <w:noProof/>
            <w:webHidden/>
          </w:rPr>
          <w:t>9</w:t>
        </w:r>
        <w:r>
          <w:rPr>
            <w:noProof/>
            <w:webHidden/>
          </w:rPr>
          <w:fldChar w:fldCharType="end"/>
        </w:r>
      </w:hyperlink>
    </w:p>
    <w:p w14:paraId="60DD184E" w14:textId="7FC63F8D" w:rsidR="00990A76" w:rsidRDefault="00990A76">
      <w:pPr>
        <w:pStyle w:val="Obsah2"/>
        <w:tabs>
          <w:tab w:val="left" w:pos="720"/>
          <w:tab w:val="right" w:leader="dot" w:pos="9062"/>
        </w:tabs>
        <w:rPr>
          <w:rFonts w:asciiTheme="minorHAnsi" w:eastAsiaTheme="minorEastAsia" w:hAnsiTheme="minorHAnsi"/>
          <w:noProof/>
          <w:sz w:val="22"/>
          <w:lang w:eastAsia="cs-CZ"/>
        </w:rPr>
      </w:pPr>
      <w:hyperlink w:anchor="_Toc73613630" w:history="1">
        <w:r w:rsidRPr="0009232C">
          <w:rPr>
            <w:rStyle w:val="Hypertextovodkaz"/>
            <w:noProof/>
          </w:rPr>
          <w:t>2</w:t>
        </w:r>
        <w:r>
          <w:rPr>
            <w:rFonts w:asciiTheme="minorHAnsi" w:eastAsiaTheme="minorEastAsia" w:hAnsiTheme="minorHAnsi"/>
            <w:noProof/>
            <w:sz w:val="22"/>
            <w:lang w:eastAsia="cs-CZ"/>
          </w:rPr>
          <w:tab/>
        </w:r>
        <w:r w:rsidRPr="0009232C">
          <w:rPr>
            <w:rStyle w:val="Hypertextovodkaz"/>
            <w:noProof/>
          </w:rPr>
          <w:t>Obecná část analýzy regulace hazardu</w:t>
        </w:r>
        <w:r>
          <w:rPr>
            <w:noProof/>
            <w:webHidden/>
          </w:rPr>
          <w:tab/>
        </w:r>
        <w:r>
          <w:rPr>
            <w:noProof/>
            <w:webHidden/>
          </w:rPr>
          <w:fldChar w:fldCharType="begin"/>
        </w:r>
        <w:r>
          <w:rPr>
            <w:noProof/>
            <w:webHidden/>
          </w:rPr>
          <w:instrText xml:space="preserve"> PAGEREF _Toc73613630 \h </w:instrText>
        </w:r>
        <w:r>
          <w:rPr>
            <w:noProof/>
            <w:webHidden/>
          </w:rPr>
        </w:r>
        <w:r>
          <w:rPr>
            <w:noProof/>
            <w:webHidden/>
          </w:rPr>
          <w:fldChar w:fldCharType="separate"/>
        </w:r>
        <w:r>
          <w:rPr>
            <w:noProof/>
            <w:webHidden/>
          </w:rPr>
          <w:t>11</w:t>
        </w:r>
        <w:r>
          <w:rPr>
            <w:noProof/>
            <w:webHidden/>
          </w:rPr>
          <w:fldChar w:fldCharType="end"/>
        </w:r>
      </w:hyperlink>
    </w:p>
    <w:p w14:paraId="1CFA40AE" w14:textId="6D456783"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1" w:history="1">
        <w:r w:rsidRPr="0009232C">
          <w:rPr>
            <w:rStyle w:val="Hypertextovodkaz"/>
            <w:noProof/>
          </w:rPr>
          <w:t>2.1</w:t>
        </w:r>
        <w:r>
          <w:rPr>
            <w:rFonts w:asciiTheme="minorHAnsi" w:eastAsiaTheme="minorEastAsia" w:hAnsiTheme="minorHAnsi"/>
            <w:noProof/>
            <w:sz w:val="22"/>
            <w:lang w:eastAsia="cs-CZ"/>
          </w:rPr>
          <w:tab/>
        </w:r>
        <w:r w:rsidRPr="0009232C">
          <w:rPr>
            <w:rStyle w:val="Hypertextovodkaz"/>
            <w:noProof/>
          </w:rPr>
          <w:t>Obecný popis předchozí regulace obsažené v zákoně o loteriích</w:t>
        </w:r>
        <w:r>
          <w:rPr>
            <w:noProof/>
            <w:webHidden/>
          </w:rPr>
          <w:tab/>
        </w:r>
        <w:r>
          <w:rPr>
            <w:noProof/>
            <w:webHidden/>
          </w:rPr>
          <w:fldChar w:fldCharType="begin"/>
        </w:r>
        <w:r>
          <w:rPr>
            <w:noProof/>
            <w:webHidden/>
          </w:rPr>
          <w:instrText xml:space="preserve"> PAGEREF _Toc73613631 \h </w:instrText>
        </w:r>
        <w:r>
          <w:rPr>
            <w:noProof/>
            <w:webHidden/>
          </w:rPr>
        </w:r>
        <w:r>
          <w:rPr>
            <w:noProof/>
            <w:webHidden/>
          </w:rPr>
          <w:fldChar w:fldCharType="separate"/>
        </w:r>
        <w:r>
          <w:rPr>
            <w:noProof/>
            <w:webHidden/>
          </w:rPr>
          <w:t>11</w:t>
        </w:r>
        <w:r>
          <w:rPr>
            <w:noProof/>
            <w:webHidden/>
          </w:rPr>
          <w:fldChar w:fldCharType="end"/>
        </w:r>
      </w:hyperlink>
    </w:p>
    <w:p w14:paraId="47900C9B" w14:textId="76541154"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2" w:history="1">
        <w:r w:rsidRPr="0009232C">
          <w:rPr>
            <w:rStyle w:val="Hypertextovodkaz"/>
            <w:noProof/>
          </w:rPr>
          <w:t>2.2</w:t>
        </w:r>
        <w:r>
          <w:rPr>
            <w:rFonts w:asciiTheme="minorHAnsi" w:eastAsiaTheme="minorEastAsia" w:hAnsiTheme="minorHAnsi"/>
            <w:noProof/>
            <w:sz w:val="22"/>
            <w:lang w:eastAsia="cs-CZ"/>
          </w:rPr>
          <w:tab/>
        </w:r>
        <w:r w:rsidRPr="0009232C">
          <w:rPr>
            <w:rStyle w:val="Hypertextovodkaz"/>
            <w:noProof/>
          </w:rPr>
          <w:t>Obecný popis regulace obsažené v zákoně o hazardních hrách</w:t>
        </w:r>
        <w:r>
          <w:rPr>
            <w:noProof/>
            <w:webHidden/>
          </w:rPr>
          <w:tab/>
        </w:r>
        <w:r>
          <w:rPr>
            <w:noProof/>
            <w:webHidden/>
          </w:rPr>
          <w:fldChar w:fldCharType="begin"/>
        </w:r>
        <w:r>
          <w:rPr>
            <w:noProof/>
            <w:webHidden/>
          </w:rPr>
          <w:instrText xml:space="preserve"> PAGEREF _Toc73613632 \h </w:instrText>
        </w:r>
        <w:r>
          <w:rPr>
            <w:noProof/>
            <w:webHidden/>
          </w:rPr>
        </w:r>
        <w:r>
          <w:rPr>
            <w:noProof/>
            <w:webHidden/>
          </w:rPr>
          <w:fldChar w:fldCharType="separate"/>
        </w:r>
        <w:r>
          <w:rPr>
            <w:noProof/>
            <w:webHidden/>
          </w:rPr>
          <w:t>17</w:t>
        </w:r>
        <w:r>
          <w:rPr>
            <w:noProof/>
            <w:webHidden/>
          </w:rPr>
          <w:fldChar w:fldCharType="end"/>
        </w:r>
      </w:hyperlink>
    </w:p>
    <w:p w14:paraId="7C407564" w14:textId="0ADA66AA"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3" w:history="1">
        <w:r w:rsidRPr="0009232C">
          <w:rPr>
            <w:rStyle w:val="Hypertextovodkaz"/>
            <w:noProof/>
          </w:rPr>
          <w:t>2.3</w:t>
        </w:r>
        <w:r>
          <w:rPr>
            <w:rFonts w:asciiTheme="minorHAnsi" w:eastAsiaTheme="minorEastAsia" w:hAnsiTheme="minorHAnsi"/>
            <w:noProof/>
            <w:sz w:val="22"/>
            <w:lang w:eastAsia="cs-CZ"/>
          </w:rPr>
          <w:tab/>
        </w:r>
        <w:r w:rsidRPr="0009232C">
          <w:rPr>
            <w:rStyle w:val="Hypertextovodkaz"/>
            <w:noProof/>
          </w:rPr>
          <w:t>Obecné zhodnocení a naplnění cílů nové právní úpravy</w:t>
        </w:r>
        <w:r>
          <w:rPr>
            <w:noProof/>
            <w:webHidden/>
          </w:rPr>
          <w:tab/>
        </w:r>
        <w:r>
          <w:rPr>
            <w:noProof/>
            <w:webHidden/>
          </w:rPr>
          <w:fldChar w:fldCharType="begin"/>
        </w:r>
        <w:r>
          <w:rPr>
            <w:noProof/>
            <w:webHidden/>
          </w:rPr>
          <w:instrText xml:space="preserve"> PAGEREF _Toc73613633 \h </w:instrText>
        </w:r>
        <w:r>
          <w:rPr>
            <w:noProof/>
            <w:webHidden/>
          </w:rPr>
        </w:r>
        <w:r>
          <w:rPr>
            <w:noProof/>
            <w:webHidden/>
          </w:rPr>
          <w:fldChar w:fldCharType="separate"/>
        </w:r>
        <w:r>
          <w:rPr>
            <w:noProof/>
            <w:webHidden/>
          </w:rPr>
          <w:t>29</w:t>
        </w:r>
        <w:r>
          <w:rPr>
            <w:noProof/>
            <w:webHidden/>
          </w:rPr>
          <w:fldChar w:fldCharType="end"/>
        </w:r>
      </w:hyperlink>
    </w:p>
    <w:p w14:paraId="4FE46A6C" w14:textId="589E5BD8"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4" w:history="1">
        <w:r w:rsidRPr="0009232C">
          <w:rPr>
            <w:rStyle w:val="Hypertextovodkaz"/>
            <w:noProof/>
          </w:rPr>
          <w:t>2.4</w:t>
        </w:r>
        <w:r>
          <w:rPr>
            <w:rFonts w:asciiTheme="minorHAnsi" w:eastAsiaTheme="minorEastAsia" w:hAnsiTheme="minorHAnsi"/>
            <w:noProof/>
            <w:sz w:val="22"/>
            <w:lang w:eastAsia="cs-CZ"/>
          </w:rPr>
          <w:tab/>
        </w:r>
        <w:r w:rsidRPr="0009232C">
          <w:rPr>
            <w:rStyle w:val="Hypertextovodkaz"/>
            <w:noProof/>
          </w:rPr>
          <w:t>Obecné dopady nové právní úpravy na dotčené subjekty</w:t>
        </w:r>
        <w:r>
          <w:rPr>
            <w:noProof/>
            <w:webHidden/>
          </w:rPr>
          <w:tab/>
        </w:r>
        <w:r>
          <w:rPr>
            <w:noProof/>
            <w:webHidden/>
          </w:rPr>
          <w:fldChar w:fldCharType="begin"/>
        </w:r>
        <w:r>
          <w:rPr>
            <w:noProof/>
            <w:webHidden/>
          </w:rPr>
          <w:instrText xml:space="preserve"> PAGEREF _Toc73613634 \h </w:instrText>
        </w:r>
        <w:r>
          <w:rPr>
            <w:noProof/>
            <w:webHidden/>
          </w:rPr>
        </w:r>
        <w:r>
          <w:rPr>
            <w:noProof/>
            <w:webHidden/>
          </w:rPr>
          <w:fldChar w:fldCharType="separate"/>
        </w:r>
        <w:r>
          <w:rPr>
            <w:noProof/>
            <w:webHidden/>
          </w:rPr>
          <w:t>83</w:t>
        </w:r>
        <w:r>
          <w:rPr>
            <w:noProof/>
            <w:webHidden/>
          </w:rPr>
          <w:fldChar w:fldCharType="end"/>
        </w:r>
      </w:hyperlink>
    </w:p>
    <w:p w14:paraId="08D39D0F" w14:textId="4E8880CA" w:rsidR="00990A76" w:rsidRDefault="00990A76">
      <w:pPr>
        <w:pStyle w:val="Obsah2"/>
        <w:tabs>
          <w:tab w:val="left" w:pos="720"/>
          <w:tab w:val="right" w:leader="dot" w:pos="9062"/>
        </w:tabs>
        <w:rPr>
          <w:rFonts w:asciiTheme="minorHAnsi" w:eastAsiaTheme="minorEastAsia" w:hAnsiTheme="minorHAnsi"/>
          <w:noProof/>
          <w:sz w:val="22"/>
          <w:lang w:eastAsia="cs-CZ"/>
        </w:rPr>
      </w:pPr>
      <w:hyperlink w:anchor="_Toc73613635" w:history="1">
        <w:r w:rsidRPr="0009232C">
          <w:rPr>
            <w:rStyle w:val="Hypertextovodkaz"/>
            <w:noProof/>
          </w:rPr>
          <w:t>3</w:t>
        </w:r>
        <w:r>
          <w:rPr>
            <w:rFonts w:asciiTheme="minorHAnsi" w:eastAsiaTheme="minorEastAsia" w:hAnsiTheme="minorHAnsi"/>
            <w:noProof/>
            <w:sz w:val="22"/>
            <w:lang w:eastAsia="cs-CZ"/>
          </w:rPr>
          <w:tab/>
        </w:r>
        <w:r w:rsidRPr="0009232C">
          <w:rPr>
            <w:rStyle w:val="Hypertextovodkaz"/>
            <w:noProof/>
          </w:rPr>
          <w:t>Závěry a doporučení</w:t>
        </w:r>
        <w:r>
          <w:rPr>
            <w:noProof/>
            <w:webHidden/>
          </w:rPr>
          <w:tab/>
        </w:r>
        <w:r>
          <w:rPr>
            <w:noProof/>
            <w:webHidden/>
          </w:rPr>
          <w:fldChar w:fldCharType="begin"/>
        </w:r>
        <w:r>
          <w:rPr>
            <w:noProof/>
            <w:webHidden/>
          </w:rPr>
          <w:instrText xml:space="preserve"> PAGEREF _Toc73613635 \h </w:instrText>
        </w:r>
        <w:r>
          <w:rPr>
            <w:noProof/>
            <w:webHidden/>
          </w:rPr>
        </w:r>
        <w:r>
          <w:rPr>
            <w:noProof/>
            <w:webHidden/>
          </w:rPr>
          <w:fldChar w:fldCharType="separate"/>
        </w:r>
        <w:r>
          <w:rPr>
            <w:noProof/>
            <w:webHidden/>
          </w:rPr>
          <w:t>89</w:t>
        </w:r>
        <w:r>
          <w:rPr>
            <w:noProof/>
            <w:webHidden/>
          </w:rPr>
          <w:fldChar w:fldCharType="end"/>
        </w:r>
      </w:hyperlink>
    </w:p>
    <w:p w14:paraId="393D0A89" w14:textId="117C2F84"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6" w:history="1">
        <w:r w:rsidRPr="0009232C">
          <w:rPr>
            <w:rStyle w:val="Hypertextovodkaz"/>
            <w:noProof/>
          </w:rPr>
          <w:t>3.1</w:t>
        </w:r>
        <w:r>
          <w:rPr>
            <w:rFonts w:asciiTheme="minorHAnsi" w:eastAsiaTheme="minorEastAsia" w:hAnsiTheme="minorHAnsi"/>
            <w:noProof/>
            <w:sz w:val="22"/>
            <w:lang w:eastAsia="cs-CZ"/>
          </w:rPr>
          <w:tab/>
        </w:r>
        <w:r w:rsidRPr="0009232C">
          <w:rPr>
            <w:rStyle w:val="Hypertextovodkaz"/>
            <w:noProof/>
          </w:rPr>
          <w:t>Nedostatky původní regulace</w:t>
        </w:r>
        <w:r>
          <w:rPr>
            <w:noProof/>
            <w:webHidden/>
          </w:rPr>
          <w:tab/>
        </w:r>
        <w:r>
          <w:rPr>
            <w:noProof/>
            <w:webHidden/>
          </w:rPr>
          <w:fldChar w:fldCharType="begin"/>
        </w:r>
        <w:r>
          <w:rPr>
            <w:noProof/>
            <w:webHidden/>
          </w:rPr>
          <w:instrText xml:space="preserve"> PAGEREF _Toc73613636 \h </w:instrText>
        </w:r>
        <w:r>
          <w:rPr>
            <w:noProof/>
            <w:webHidden/>
          </w:rPr>
        </w:r>
        <w:r>
          <w:rPr>
            <w:noProof/>
            <w:webHidden/>
          </w:rPr>
          <w:fldChar w:fldCharType="separate"/>
        </w:r>
        <w:r>
          <w:rPr>
            <w:noProof/>
            <w:webHidden/>
          </w:rPr>
          <w:t>89</w:t>
        </w:r>
        <w:r>
          <w:rPr>
            <w:noProof/>
            <w:webHidden/>
          </w:rPr>
          <w:fldChar w:fldCharType="end"/>
        </w:r>
      </w:hyperlink>
    </w:p>
    <w:p w14:paraId="75CA0B8C" w14:textId="166DC48F"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7" w:history="1">
        <w:r w:rsidRPr="0009232C">
          <w:rPr>
            <w:rStyle w:val="Hypertextovodkaz"/>
            <w:noProof/>
          </w:rPr>
          <w:t>3.2</w:t>
        </w:r>
        <w:r>
          <w:rPr>
            <w:rFonts w:asciiTheme="minorHAnsi" w:eastAsiaTheme="minorEastAsia" w:hAnsiTheme="minorHAnsi"/>
            <w:noProof/>
            <w:sz w:val="22"/>
            <w:lang w:eastAsia="cs-CZ"/>
          </w:rPr>
          <w:tab/>
        </w:r>
        <w:r w:rsidRPr="0009232C">
          <w:rPr>
            <w:rStyle w:val="Hypertextovodkaz"/>
            <w:noProof/>
          </w:rPr>
          <w:t>Zhodnocení nové regulace hazardních her</w:t>
        </w:r>
        <w:r>
          <w:rPr>
            <w:noProof/>
            <w:webHidden/>
          </w:rPr>
          <w:tab/>
        </w:r>
        <w:r>
          <w:rPr>
            <w:noProof/>
            <w:webHidden/>
          </w:rPr>
          <w:fldChar w:fldCharType="begin"/>
        </w:r>
        <w:r>
          <w:rPr>
            <w:noProof/>
            <w:webHidden/>
          </w:rPr>
          <w:instrText xml:space="preserve"> PAGEREF _Toc73613637 \h </w:instrText>
        </w:r>
        <w:r>
          <w:rPr>
            <w:noProof/>
            <w:webHidden/>
          </w:rPr>
        </w:r>
        <w:r>
          <w:rPr>
            <w:noProof/>
            <w:webHidden/>
          </w:rPr>
          <w:fldChar w:fldCharType="separate"/>
        </w:r>
        <w:r>
          <w:rPr>
            <w:noProof/>
            <w:webHidden/>
          </w:rPr>
          <w:t>90</w:t>
        </w:r>
        <w:r>
          <w:rPr>
            <w:noProof/>
            <w:webHidden/>
          </w:rPr>
          <w:fldChar w:fldCharType="end"/>
        </w:r>
      </w:hyperlink>
    </w:p>
    <w:p w14:paraId="6329FBA2" w14:textId="64DFA028"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38" w:history="1">
        <w:r w:rsidRPr="0009232C">
          <w:rPr>
            <w:rStyle w:val="Hypertextovodkaz"/>
            <w:noProof/>
          </w:rPr>
          <w:t>3.3</w:t>
        </w:r>
        <w:r>
          <w:rPr>
            <w:rFonts w:asciiTheme="minorHAnsi" w:eastAsiaTheme="minorEastAsia" w:hAnsiTheme="minorHAnsi"/>
            <w:noProof/>
            <w:sz w:val="22"/>
            <w:lang w:eastAsia="cs-CZ"/>
          </w:rPr>
          <w:tab/>
        </w:r>
        <w:r w:rsidRPr="0009232C">
          <w:rPr>
            <w:rStyle w:val="Hypertextovodkaz"/>
            <w:noProof/>
          </w:rPr>
          <w:t>Závěry a doporučení</w:t>
        </w:r>
        <w:r>
          <w:rPr>
            <w:noProof/>
            <w:webHidden/>
          </w:rPr>
          <w:tab/>
        </w:r>
        <w:r>
          <w:rPr>
            <w:noProof/>
            <w:webHidden/>
          </w:rPr>
          <w:fldChar w:fldCharType="begin"/>
        </w:r>
        <w:r>
          <w:rPr>
            <w:noProof/>
            <w:webHidden/>
          </w:rPr>
          <w:instrText xml:space="preserve"> PAGEREF _Toc73613638 \h </w:instrText>
        </w:r>
        <w:r>
          <w:rPr>
            <w:noProof/>
            <w:webHidden/>
          </w:rPr>
        </w:r>
        <w:r>
          <w:rPr>
            <w:noProof/>
            <w:webHidden/>
          </w:rPr>
          <w:fldChar w:fldCharType="separate"/>
        </w:r>
        <w:r>
          <w:rPr>
            <w:noProof/>
            <w:webHidden/>
          </w:rPr>
          <w:t>96</w:t>
        </w:r>
        <w:r>
          <w:rPr>
            <w:noProof/>
            <w:webHidden/>
          </w:rPr>
          <w:fldChar w:fldCharType="end"/>
        </w:r>
      </w:hyperlink>
    </w:p>
    <w:p w14:paraId="5CA766C4" w14:textId="57169CEF" w:rsidR="00990A76" w:rsidRDefault="00990A76">
      <w:pPr>
        <w:pStyle w:val="Obsah2"/>
        <w:tabs>
          <w:tab w:val="left" w:pos="720"/>
          <w:tab w:val="right" w:leader="dot" w:pos="9062"/>
        </w:tabs>
        <w:rPr>
          <w:rFonts w:asciiTheme="minorHAnsi" w:eastAsiaTheme="minorEastAsia" w:hAnsiTheme="minorHAnsi"/>
          <w:noProof/>
          <w:sz w:val="22"/>
          <w:lang w:eastAsia="cs-CZ"/>
        </w:rPr>
      </w:pPr>
      <w:hyperlink w:anchor="_Toc73613639" w:history="1">
        <w:r w:rsidRPr="0009232C">
          <w:rPr>
            <w:rStyle w:val="Hypertextovodkaz"/>
            <w:noProof/>
          </w:rPr>
          <w:t>4</w:t>
        </w:r>
        <w:r>
          <w:rPr>
            <w:rFonts w:asciiTheme="minorHAnsi" w:eastAsiaTheme="minorEastAsia" w:hAnsiTheme="minorHAnsi"/>
            <w:noProof/>
            <w:sz w:val="22"/>
            <w:lang w:eastAsia="cs-CZ"/>
          </w:rPr>
          <w:tab/>
        </w:r>
        <w:r w:rsidRPr="0009232C">
          <w:rPr>
            <w:rStyle w:val="Hypertextovodkaz"/>
            <w:noProof/>
          </w:rPr>
          <w:t>Zdroje</w:t>
        </w:r>
        <w:r>
          <w:rPr>
            <w:noProof/>
            <w:webHidden/>
          </w:rPr>
          <w:tab/>
        </w:r>
        <w:r>
          <w:rPr>
            <w:noProof/>
            <w:webHidden/>
          </w:rPr>
          <w:fldChar w:fldCharType="begin"/>
        </w:r>
        <w:r>
          <w:rPr>
            <w:noProof/>
            <w:webHidden/>
          </w:rPr>
          <w:instrText xml:space="preserve"> PAGEREF _Toc73613639 \h </w:instrText>
        </w:r>
        <w:r>
          <w:rPr>
            <w:noProof/>
            <w:webHidden/>
          </w:rPr>
        </w:r>
        <w:r>
          <w:rPr>
            <w:noProof/>
            <w:webHidden/>
          </w:rPr>
          <w:fldChar w:fldCharType="separate"/>
        </w:r>
        <w:r>
          <w:rPr>
            <w:noProof/>
            <w:webHidden/>
          </w:rPr>
          <w:t>99</w:t>
        </w:r>
        <w:r>
          <w:rPr>
            <w:noProof/>
            <w:webHidden/>
          </w:rPr>
          <w:fldChar w:fldCharType="end"/>
        </w:r>
      </w:hyperlink>
    </w:p>
    <w:p w14:paraId="1D1E6325" w14:textId="3CA93115"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0" w:history="1">
        <w:r w:rsidRPr="0009232C">
          <w:rPr>
            <w:rStyle w:val="Hypertextovodkaz"/>
            <w:noProof/>
          </w:rPr>
          <w:t>4.1</w:t>
        </w:r>
        <w:r>
          <w:rPr>
            <w:rFonts w:asciiTheme="minorHAnsi" w:eastAsiaTheme="minorEastAsia" w:hAnsiTheme="minorHAnsi"/>
            <w:noProof/>
            <w:sz w:val="22"/>
            <w:lang w:eastAsia="cs-CZ"/>
          </w:rPr>
          <w:tab/>
        </w:r>
        <w:r w:rsidRPr="0009232C">
          <w:rPr>
            <w:rStyle w:val="Hypertextovodkaz"/>
            <w:noProof/>
          </w:rPr>
          <w:t>Odborná literatura</w:t>
        </w:r>
        <w:r>
          <w:rPr>
            <w:noProof/>
            <w:webHidden/>
          </w:rPr>
          <w:tab/>
        </w:r>
        <w:r>
          <w:rPr>
            <w:noProof/>
            <w:webHidden/>
          </w:rPr>
          <w:fldChar w:fldCharType="begin"/>
        </w:r>
        <w:r>
          <w:rPr>
            <w:noProof/>
            <w:webHidden/>
          </w:rPr>
          <w:instrText xml:space="preserve"> PAGEREF _Toc73613640 \h </w:instrText>
        </w:r>
        <w:r>
          <w:rPr>
            <w:noProof/>
            <w:webHidden/>
          </w:rPr>
        </w:r>
        <w:r>
          <w:rPr>
            <w:noProof/>
            <w:webHidden/>
          </w:rPr>
          <w:fldChar w:fldCharType="separate"/>
        </w:r>
        <w:r>
          <w:rPr>
            <w:noProof/>
            <w:webHidden/>
          </w:rPr>
          <w:t>99</w:t>
        </w:r>
        <w:r>
          <w:rPr>
            <w:noProof/>
            <w:webHidden/>
          </w:rPr>
          <w:fldChar w:fldCharType="end"/>
        </w:r>
      </w:hyperlink>
    </w:p>
    <w:p w14:paraId="31CE322C" w14:textId="33D8FA92"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1" w:history="1">
        <w:r w:rsidRPr="0009232C">
          <w:rPr>
            <w:rStyle w:val="Hypertextovodkaz"/>
            <w:noProof/>
          </w:rPr>
          <w:t>4.2</w:t>
        </w:r>
        <w:r>
          <w:rPr>
            <w:rFonts w:asciiTheme="minorHAnsi" w:eastAsiaTheme="minorEastAsia" w:hAnsiTheme="minorHAnsi"/>
            <w:noProof/>
            <w:sz w:val="22"/>
            <w:lang w:eastAsia="cs-CZ"/>
          </w:rPr>
          <w:tab/>
        </w:r>
        <w:r w:rsidRPr="0009232C">
          <w:rPr>
            <w:rStyle w:val="Hypertextovodkaz"/>
            <w:noProof/>
          </w:rPr>
          <w:t>Právní předpisy</w:t>
        </w:r>
        <w:r>
          <w:rPr>
            <w:noProof/>
            <w:webHidden/>
          </w:rPr>
          <w:tab/>
        </w:r>
        <w:r>
          <w:rPr>
            <w:noProof/>
            <w:webHidden/>
          </w:rPr>
          <w:fldChar w:fldCharType="begin"/>
        </w:r>
        <w:r>
          <w:rPr>
            <w:noProof/>
            <w:webHidden/>
          </w:rPr>
          <w:instrText xml:space="preserve"> PAGEREF _Toc73613641 \h </w:instrText>
        </w:r>
        <w:r>
          <w:rPr>
            <w:noProof/>
            <w:webHidden/>
          </w:rPr>
        </w:r>
        <w:r>
          <w:rPr>
            <w:noProof/>
            <w:webHidden/>
          </w:rPr>
          <w:fldChar w:fldCharType="separate"/>
        </w:r>
        <w:r>
          <w:rPr>
            <w:noProof/>
            <w:webHidden/>
          </w:rPr>
          <w:t>100</w:t>
        </w:r>
        <w:r>
          <w:rPr>
            <w:noProof/>
            <w:webHidden/>
          </w:rPr>
          <w:fldChar w:fldCharType="end"/>
        </w:r>
      </w:hyperlink>
    </w:p>
    <w:p w14:paraId="4E679082" w14:textId="080B0A40"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2" w:history="1">
        <w:r w:rsidRPr="0009232C">
          <w:rPr>
            <w:rStyle w:val="Hypertextovodkaz"/>
            <w:noProof/>
          </w:rPr>
          <w:t>4.3</w:t>
        </w:r>
        <w:r>
          <w:rPr>
            <w:rFonts w:asciiTheme="minorHAnsi" w:eastAsiaTheme="minorEastAsia" w:hAnsiTheme="minorHAnsi"/>
            <w:noProof/>
            <w:sz w:val="22"/>
            <w:lang w:eastAsia="cs-CZ"/>
          </w:rPr>
          <w:tab/>
        </w:r>
        <w:r w:rsidRPr="0009232C">
          <w:rPr>
            <w:rStyle w:val="Hypertextovodkaz"/>
            <w:noProof/>
          </w:rPr>
          <w:t>Judikatura</w:t>
        </w:r>
        <w:r>
          <w:rPr>
            <w:noProof/>
            <w:webHidden/>
          </w:rPr>
          <w:tab/>
        </w:r>
        <w:r>
          <w:rPr>
            <w:noProof/>
            <w:webHidden/>
          </w:rPr>
          <w:fldChar w:fldCharType="begin"/>
        </w:r>
        <w:r>
          <w:rPr>
            <w:noProof/>
            <w:webHidden/>
          </w:rPr>
          <w:instrText xml:space="preserve"> PAGEREF _Toc73613642 \h </w:instrText>
        </w:r>
        <w:r>
          <w:rPr>
            <w:noProof/>
            <w:webHidden/>
          </w:rPr>
        </w:r>
        <w:r>
          <w:rPr>
            <w:noProof/>
            <w:webHidden/>
          </w:rPr>
          <w:fldChar w:fldCharType="separate"/>
        </w:r>
        <w:r>
          <w:rPr>
            <w:noProof/>
            <w:webHidden/>
          </w:rPr>
          <w:t>102</w:t>
        </w:r>
        <w:r>
          <w:rPr>
            <w:noProof/>
            <w:webHidden/>
          </w:rPr>
          <w:fldChar w:fldCharType="end"/>
        </w:r>
      </w:hyperlink>
    </w:p>
    <w:p w14:paraId="761FB2D9" w14:textId="5C5BE1F3"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3" w:history="1">
        <w:r w:rsidRPr="0009232C">
          <w:rPr>
            <w:rStyle w:val="Hypertextovodkaz"/>
            <w:noProof/>
          </w:rPr>
          <w:t>4.4</w:t>
        </w:r>
        <w:r>
          <w:rPr>
            <w:rFonts w:asciiTheme="minorHAnsi" w:eastAsiaTheme="minorEastAsia" w:hAnsiTheme="minorHAnsi"/>
            <w:noProof/>
            <w:sz w:val="22"/>
            <w:lang w:eastAsia="cs-CZ"/>
          </w:rPr>
          <w:tab/>
        </w:r>
        <w:r w:rsidRPr="0009232C">
          <w:rPr>
            <w:rStyle w:val="Hypertextovodkaz"/>
            <w:noProof/>
          </w:rPr>
          <w:t>Metodické pokyny, stanoviska a doporučení</w:t>
        </w:r>
        <w:r>
          <w:rPr>
            <w:noProof/>
            <w:webHidden/>
          </w:rPr>
          <w:tab/>
        </w:r>
        <w:r>
          <w:rPr>
            <w:noProof/>
            <w:webHidden/>
          </w:rPr>
          <w:fldChar w:fldCharType="begin"/>
        </w:r>
        <w:r>
          <w:rPr>
            <w:noProof/>
            <w:webHidden/>
          </w:rPr>
          <w:instrText xml:space="preserve"> PAGEREF _Toc73613643 \h </w:instrText>
        </w:r>
        <w:r>
          <w:rPr>
            <w:noProof/>
            <w:webHidden/>
          </w:rPr>
        </w:r>
        <w:r>
          <w:rPr>
            <w:noProof/>
            <w:webHidden/>
          </w:rPr>
          <w:fldChar w:fldCharType="separate"/>
        </w:r>
        <w:r>
          <w:rPr>
            <w:noProof/>
            <w:webHidden/>
          </w:rPr>
          <w:t>102</w:t>
        </w:r>
        <w:r>
          <w:rPr>
            <w:noProof/>
            <w:webHidden/>
          </w:rPr>
          <w:fldChar w:fldCharType="end"/>
        </w:r>
      </w:hyperlink>
    </w:p>
    <w:p w14:paraId="391D370D" w14:textId="7520522A"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4" w:history="1">
        <w:r w:rsidRPr="0009232C">
          <w:rPr>
            <w:rStyle w:val="Hypertextovodkaz"/>
            <w:noProof/>
          </w:rPr>
          <w:t>4.5</w:t>
        </w:r>
        <w:r>
          <w:rPr>
            <w:rFonts w:asciiTheme="minorHAnsi" w:eastAsiaTheme="minorEastAsia" w:hAnsiTheme="minorHAnsi"/>
            <w:noProof/>
            <w:sz w:val="22"/>
            <w:lang w:eastAsia="cs-CZ"/>
          </w:rPr>
          <w:tab/>
        </w:r>
        <w:r w:rsidRPr="0009232C">
          <w:rPr>
            <w:rStyle w:val="Hypertextovodkaz"/>
            <w:noProof/>
          </w:rPr>
          <w:t>Internetové zdroje</w:t>
        </w:r>
        <w:r>
          <w:rPr>
            <w:noProof/>
            <w:webHidden/>
          </w:rPr>
          <w:tab/>
        </w:r>
        <w:r>
          <w:rPr>
            <w:noProof/>
            <w:webHidden/>
          </w:rPr>
          <w:fldChar w:fldCharType="begin"/>
        </w:r>
        <w:r>
          <w:rPr>
            <w:noProof/>
            <w:webHidden/>
          </w:rPr>
          <w:instrText xml:space="preserve"> PAGEREF _Toc73613644 \h </w:instrText>
        </w:r>
        <w:r>
          <w:rPr>
            <w:noProof/>
            <w:webHidden/>
          </w:rPr>
        </w:r>
        <w:r>
          <w:rPr>
            <w:noProof/>
            <w:webHidden/>
          </w:rPr>
          <w:fldChar w:fldCharType="separate"/>
        </w:r>
        <w:r>
          <w:rPr>
            <w:noProof/>
            <w:webHidden/>
          </w:rPr>
          <w:t>105</w:t>
        </w:r>
        <w:r>
          <w:rPr>
            <w:noProof/>
            <w:webHidden/>
          </w:rPr>
          <w:fldChar w:fldCharType="end"/>
        </w:r>
      </w:hyperlink>
    </w:p>
    <w:p w14:paraId="30D5D041" w14:textId="3350C027"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5" w:history="1">
        <w:r w:rsidRPr="0009232C">
          <w:rPr>
            <w:rStyle w:val="Hypertextovodkaz"/>
            <w:noProof/>
          </w:rPr>
          <w:t>4.6</w:t>
        </w:r>
        <w:r>
          <w:rPr>
            <w:rFonts w:asciiTheme="minorHAnsi" w:eastAsiaTheme="minorEastAsia" w:hAnsiTheme="minorHAnsi"/>
            <w:noProof/>
            <w:sz w:val="22"/>
            <w:lang w:eastAsia="cs-CZ"/>
          </w:rPr>
          <w:tab/>
        </w:r>
        <w:r w:rsidRPr="0009232C">
          <w:rPr>
            <w:rStyle w:val="Hypertextovodkaz"/>
            <w:noProof/>
          </w:rPr>
          <w:t>Ostatní</w:t>
        </w:r>
        <w:r>
          <w:rPr>
            <w:noProof/>
            <w:webHidden/>
          </w:rPr>
          <w:tab/>
        </w:r>
        <w:r>
          <w:rPr>
            <w:noProof/>
            <w:webHidden/>
          </w:rPr>
          <w:fldChar w:fldCharType="begin"/>
        </w:r>
        <w:r>
          <w:rPr>
            <w:noProof/>
            <w:webHidden/>
          </w:rPr>
          <w:instrText xml:space="preserve"> PAGEREF _Toc73613645 \h </w:instrText>
        </w:r>
        <w:r>
          <w:rPr>
            <w:noProof/>
            <w:webHidden/>
          </w:rPr>
        </w:r>
        <w:r>
          <w:rPr>
            <w:noProof/>
            <w:webHidden/>
          </w:rPr>
          <w:fldChar w:fldCharType="separate"/>
        </w:r>
        <w:r>
          <w:rPr>
            <w:noProof/>
            <w:webHidden/>
          </w:rPr>
          <w:t>107</w:t>
        </w:r>
        <w:r>
          <w:rPr>
            <w:noProof/>
            <w:webHidden/>
          </w:rPr>
          <w:fldChar w:fldCharType="end"/>
        </w:r>
      </w:hyperlink>
    </w:p>
    <w:p w14:paraId="15A321FC" w14:textId="2B88841A" w:rsidR="00990A76" w:rsidRDefault="00990A76">
      <w:pPr>
        <w:pStyle w:val="Obsah2"/>
        <w:tabs>
          <w:tab w:val="left" w:pos="720"/>
          <w:tab w:val="right" w:leader="dot" w:pos="9062"/>
        </w:tabs>
        <w:rPr>
          <w:rFonts w:asciiTheme="minorHAnsi" w:eastAsiaTheme="minorEastAsia" w:hAnsiTheme="minorHAnsi"/>
          <w:noProof/>
          <w:sz w:val="22"/>
          <w:lang w:eastAsia="cs-CZ"/>
        </w:rPr>
      </w:pPr>
      <w:hyperlink w:anchor="_Toc73613646" w:history="1">
        <w:r w:rsidRPr="0009232C">
          <w:rPr>
            <w:rStyle w:val="Hypertextovodkaz"/>
            <w:noProof/>
          </w:rPr>
          <w:t>5</w:t>
        </w:r>
        <w:r>
          <w:rPr>
            <w:rFonts w:asciiTheme="minorHAnsi" w:eastAsiaTheme="minorEastAsia" w:hAnsiTheme="minorHAnsi"/>
            <w:noProof/>
            <w:sz w:val="22"/>
            <w:lang w:eastAsia="cs-CZ"/>
          </w:rPr>
          <w:tab/>
        </w:r>
        <w:r w:rsidRPr="0009232C">
          <w:rPr>
            <w:rStyle w:val="Hypertextovodkaz"/>
            <w:noProof/>
          </w:rPr>
          <w:t>Seznam tabulek, obrázků a grafů</w:t>
        </w:r>
        <w:r>
          <w:rPr>
            <w:noProof/>
            <w:webHidden/>
          </w:rPr>
          <w:tab/>
        </w:r>
        <w:r>
          <w:rPr>
            <w:noProof/>
            <w:webHidden/>
          </w:rPr>
          <w:fldChar w:fldCharType="begin"/>
        </w:r>
        <w:r>
          <w:rPr>
            <w:noProof/>
            <w:webHidden/>
          </w:rPr>
          <w:instrText xml:space="preserve"> PAGEREF _Toc73613646 \h </w:instrText>
        </w:r>
        <w:r>
          <w:rPr>
            <w:noProof/>
            <w:webHidden/>
          </w:rPr>
        </w:r>
        <w:r>
          <w:rPr>
            <w:noProof/>
            <w:webHidden/>
          </w:rPr>
          <w:fldChar w:fldCharType="separate"/>
        </w:r>
        <w:r>
          <w:rPr>
            <w:noProof/>
            <w:webHidden/>
          </w:rPr>
          <w:t>108</w:t>
        </w:r>
        <w:r>
          <w:rPr>
            <w:noProof/>
            <w:webHidden/>
          </w:rPr>
          <w:fldChar w:fldCharType="end"/>
        </w:r>
      </w:hyperlink>
    </w:p>
    <w:p w14:paraId="2E5B8841" w14:textId="68517DF6"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7" w:history="1">
        <w:r w:rsidRPr="0009232C">
          <w:rPr>
            <w:rStyle w:val="Hypertextovodkaz"/>
            <w:noProof/>
          </w:rPr>
          <w:t>5.1</w:t>
        </w:r>
        <w:r>
          <w:rPr>
            <w:rFonts w:asciiTheme="minorHAnsi" w:eastAsiaTheme="minorEastAsia" w:hAnsiTheme="minorHAnsi"/>
            <w:noProof/>
            <w:sz w:val="22"/>
            <w:lang w:eastAsia="cs-CZ"/>
          </w:rPr>
          <w:tab/>
        </w:r>
        <w:r w:rsidRPr="0009232C">
          <w:rPr>
            <w:rStyle w:val="Hypertextovodkaz"/>
            <w:noProof/>
          </w:rPr>
          <w:t>Tabulky</w:t>
        </w:r>
        <w:r>
          <w:rPr>
            <w:noProof/>
            <w:webHidden/>
          </w:rPr>
          <w:tab/>
        </w:r>
        <w:r>
          <w:rPr>
            <w:noProof/>
            <w:webHidden/>
          </w:rPr>
          <w:fldChar w:fldCharType="begin"/>
        </w:r>
        <w:r>
          <w:rPr>
            <w:noProof/>
            <w:webHidden/>
          </w:rPr>
          <w:instrText xml:space="preserve"> PAGEREF _Toc73613647 \h </w:instrText>
        </w:r>
        <w:r>
          <w:rPr>
            <w:noProof/>
            <w:webHidden/>
          </w:rPr>
        </w:r>
        <w:r>
          <w:rPr>
            <w:noProof/>
            <w:webHidden/>
          </w:rPr>
          <w:fldChar w:fldCharType="separate"/>
        </w:r>
        <w:r>
          <w:rPr>
            <w:noProof/>
            <w:webHidden/>
          </w:rPr>
          <w:t>108</w:t>
        </w:r>
        <w:r>
          <w:rPr>
            <w:noProof/>
            <w:webHidden/>
          </w:rPr>
          <w:fldChar w:fldCharType="end"/>
        </w:r>
      </w:hyperlink>
    </w:p>
    <w:p w14:paraId="0886F8F0" w14:textId="2B01DA03"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8" w:history="1">
        <w:r w:rsidRPr="0009232C">
          <w:rPr>
            <w:rStyle w:val="Hypertextovodkaz"/>
            <w:noProof/>
          </w:rPr>
          <w:t>5.2</w:t>
        </w:r>
        <w:r>
          <w:rPr>
            <w:rFonts w:asciiTheme="minorHAnsi" w:eastAsiaTheme="minorEastAsia" w:hAnsiTheme="minorHAnsi"/>
            <w:noProof/>
            <w:sz w:val="22"/>
            <w:lang w:eastAsia="cs-CZ"/>
          </w:rPr>
          <w:tab/>
        </w:r>
        <w:r w:rsidRPr="0009232C">
          <w:rPr>
            <w:rStyle w:val="Hypertextovodkaz"/>
            <w:noProof/>
          </w:rPr>
          <w:t>Obrázky</w:t>
        </w:r>
        <w:r>
          <w:rPr>
            <w:noProof/>
            <w:webHidden/>
          </w:rPr>
          <w:tab/>
        </w:r>
        <w:r>
          <w:rPr>
            <w:noProof/>
            <w:webHidden/>
          </w:rPr>
          <w:fldChar w:fldCharType="begin"/>
        </w:r>
        <w:r>
          <w:rPr>
            <w:noProof/>
            <w:webHidden/>
          </w:rPr>
          <w:instrText xml:space="preserve"> PAGEREF _Toc73613648 \h </w:instrText>
        </w:r>
        <w:r>
          <w:rPr>
            <w:noProof/>
            <w:webHidden/>
          </w:rPr>
        </w:r>
        <w:r>
          <w:rPr>
            <w:noProof/>
            <w:webHidden/>
          </w:rPr>
          <w:fldChar w:fldCharType="separate"/>
        </w:r>
        <w:r>
          <w:rPr>
            <w:noProof/>
            <w:webHidden/>
          </w:rPr>
          <w:t>108</w:t>
        </w:r>
        <w:r>
          <w:rPr>
            <w:noProof/>
            <w:webHidden/>
          </w:rPr>
          <w:fldChar w:fldCharType="end"/>
        </w:r>
      </w:hyperlink>
    </w:p>
    <w:p w14:paraId="3D08C210" w14:textId="05EDEBAD" w:rsidR="00990A76" w:rsidRDefault="00990A76">
      <w:pPr>
        <w:pStyle w:val="Obsah3"/>
        <w:tabs>
          <w:tab w:val="left" w:pos="1200"/>
          <w:tab w:val="right" w:leader="dot" w:pos="9062"/>
        </w:tabs>
        <w:rPr>
          <w:rFonts w:asciiTheme="minorHAnsi" w:eastAsiaTheme="minorEastAsia" w:hAnsiTheme="minorHAnsi"/>
          <w:noProof/>
          <w:sz w:val="22"/>
          <w:lang w:eastAsia="cs-CZ"/>
        </w:rPr>
      </w:pPr>
      <w:hyperlink w:anchor="_Toc73613649" w:history="1">
        <w:r w:rsidRPr="0009232C">
          <w:rPr>
            <w:rStyle w:val="Hypertextovodkaz"/>
            <w:noProof/>
          </w:rPr>
          <w:t>5.3</w:t>
        </w:r>
        <w:r>
          <w:rPr>
            <w:rFonts w:asciiTheme="minorHAnsi" w:eastAsiaTheme="minorEastAsia" w:hAnsiTheme="minorHAnsi"/>
            <w:noProof/>
            <w:sz w:val="22"/>
            <w:lang w:eastAsia="cs-CZ"/>
          </w:rPr>
          <w:tab/>
        </w:r>
        <w:r w:rsidRPr="0009232C">
          <w:rPr>
            <w:rStyle w:val="Hypertextovodkaz"/>
            <w:noProof/>
          </w:rPr>
          <w:t>Grafy</w:t>
        </w:r>
        <w:r>
          <w:rPr>
            <w:noProof/>
            <w:webHidden/>
          </w:rPr>
          <w:tab/>
        </w:r>
        <w:r>
          <w:rPr>
            <w:noProof/>
            <w:webHidden/>
          </w:rPr>
          <w:fldChar w:fldCharType="begin"/>
        </w:r>
        <w:r>
          <w:rPr>
            <w:noProof/>
            <w:webHidden/>
          </w:rPr>
          <w:instrText xml:space="preserve"> PAGEREF _Toc73613649 \h </w:instrText>
        </w:r>
        <w:r>
          <w:rPr>
            <w:noProof/>
            <w:webHidden/>
          </w:rPr>
        </w:r>
        <w:r>
          <w:rPr>
            <w:noProof/>
            <w:webHidden/>
          </w:rPr>
          <w:fldChar w:fldCharType="separate"/>
        </w:r>
        <w:r>
          <w:rPr>
            <w:noProof/>
            <w:webHidden/>
          </w:rPr>
          <w:t>108</w:t>
        </w:r>
        <w:r>
          <w:rPr>
            <w:noProof/>
            <w:webHidden/>
          </w:rPr>
          <w:fldChar w:fldCharType="end"/>
        </w:r>
      </w:hyperlink>
    </w:p>
    <w:p w14:paraId="1409C678" w14:textId="78187AF4" w:rsidR="00990A76" w:rsidRDefault="00990A76">
      <w:pPr>
        <w:pStyle w:val="Obsah2"/>
        <w:tabs>
          <w:tab w:val="left" w:pos="720"/>
          <w:tab w:val="right" w:leader="dot" w:pos="9062"/>
        </w:tabs>
        <w:rPr>
          <w:rFonts w:asciiTheme="minorHAnsi" w:eastAsiaTheme="minorEastAsia" w:hAnsiTheme="minorHAnsi"/>
          <w:noProof/>
          <w:sz w:val="22"/>
          <w:lang w:eastAsia="cs-CZ"/>
        </w:rPr>
      </w:pPr>
      <w:hyperlink w:anchor="_Toc73613650" w:history="1">
        <w:r w:rsidRPr="0009232C">
          <w:rPr>
            <w:rStyle w:val="Hypertextovodkaz"/>
            <w:noProof/>
          </w:rPr>
          <w:t>6</w:t>
        </w:r>
        <w:r>
          <w:rPr>
            <w:rFonts w:asciiTheme="minorHAnsi" w:eastAsiaTheme="minorEastAsia" w:hAnsiTheme="minorHAnsi"/>
            <w:noProof/>
            <w:sz w:val="22"/>
            <w:lang w:eastAsia="cs-CZ"/>
          </w:rPr>
          <w:tab/>
        </w:r>
        <w:r w:rsidRPr="0009232C">
          <w:rPr>
            <w:rStyle w:val="Hypertextovodkaz"/>
            <w:noProof/>
          </w:rPr>
          <w:t>Přílohy</w:t>
        </w:r>
        <w:r>
          <w:rPr>
            <w:noProof/>
            <w:webHidden/>
          </w:rPr>
          <w:tab/>
        </w:r>
        <w:r>
          <w:rPr>
            <w:noProof/>
            <w:webHidden/>
          </w:rPr>
          <w:fldChar w:fldCharType="begin"/>
        </w:r>
        <w:r>
          <w:rPr>
            <w:noProof/>
            <w:webHidden/>
          </w:rPr>
          <w:instrText xml:space="preserve"> PAGEREF _Toc73613650 \h </w:instrText>
        </w:r>
        <w:r>
          <w:rPr>
            <w:noProof/>
            <w:webHidden/>
          </w:rPr>
        </w:r>
        <w:r>
          <w:rPr>
            <w:noProof/>
            <w:webHidden/>
          </w:rPr>
          <w:fldChar w:fldCharType="separate"/>
        </w:r>
        <w:r>
          <w:rPr>
            <w:noProof/>
            <w:webHidden/>
          </w:rPr>
          <w:t>110</w:t>
        </w:r>
        <w:r>
          <w:rPr>
            <w:noProof/>
            <w:webHidden/>
          </w:rPr>
          <w:fldChar w:fldCharType="end"/>
        </w:r>
      </w:hyperlink>
    </w:p>
    <w:p w14:paraId="560F9739" w14:textId="2318D7DA" w:rsidR="00990A76" w:rsidRDefault="00990A76">
      <w:pPr>
        <w:pStyle w:val="Obsah3"/>
        <w:tabs>
          <w:tab w:val="right" w:leader="dot" w:pos="9062"/>
        </w:tabs>
        <w:rPr>
          <w:rFonts w:asciiTheme="minorHAnsi" w:eastAsiaTheme="minorEastAsia" w:hAnsiTheme="minorHAnsi"/>
          <w:noProof/>
          <w:sz w:val="22"/>
          <w:lang w:eastAsia="cs-CZ"/>
        </w:rPr>
      </w:pPr>
      <w:hyperlink w:anchor="_Toc73613651" w:history="1">
        <w:r w:rsidRPr="0009232C">
          <w:rPr>
            <w:rStyle w:val="Hypertextovodkaz"/>
            <w:noProof/>
          </w:rPr>
          <w:t>Příloha č. 1: Vyhodnocení rizikovosti provozovaných hazardních her</w:t>
        </w:r>
        <w:r>
          <w:rPr>
            <w:noProof/>
            <w:webHidden/>
          </w:rPr>
          <w:tab/>
        </w:r>
        <w:r>
          <w:rPr>
            <w:noProof/>
            <w:webHidden/>
          </w:rPr>
          <w:fldChar w:fldCharType="begin"/>
        </w:r>
        <w:r>
          <w:rPr>
            <w:noProof/>
            <w:webHidden/>
          </w:rPr>
          <w:instrText xml:space="preserve"> PAGEREF _Toc73613651 \h </w:instrText>
        </w:r>
        <w:r>
          <w:rPr>
            <w:noProof/>
            <w:webHidden/>
          </w:rPr>
        </w:r>
        <w:r>
          <w:rPr>
            <w:noProof/>
            <w:webHidden/>
          </w:rPr>
          <w:fldChar w:fldCharType="separate"/>
        </w:r>
        <w:r>
          <w:rPr>
            <w:noProof/>
            <w:webHidden/>
          </w:rPr>
          <w:t>110</w:t>
        </w:r>
        <w:r>
          <w:rPr>
            <w:noProof/>
            <w:webHidden/>
          </w:rPr>
          <w:fldChar w:fldCharType="end"/>
        </w:r>
      </w:hyperlink>
    </w:p>
    <w:p w14:paraId="2F29574D" w14:textId="1F4B027B" w:rsidR="00990A76" w:rsidRDefault="00990A76">
      <w:pPr>
        <w:pStyle w:val="Obsah3"/>
        <w:tabs>
          <w:tab w:val="right" w:leader="dot" w:pos="9062"/>
        </w:tabs>
        <w:rPr>
          <w:rFonts w:asciiTheme="minorHAnsi" w:eastAsiaTheme="minorEastAsia" w:hAnsiTheme="minorHAnsi"/>
          <w:noProof/>
          <w:sz w:val="22"/>
          <w:lang w:eastAsia="cs-CZ"/>
        </w:rPr>
      </w:pPr>
      <w:hyperlink w:anchor="_Toc73613652" w:history="1">
        <w:r w:rsidRPr="0009232C">
          <w:rPr>
            <w:rStyle w:val="Hypertextovodkaz"/>
            <w:noProof/>
          </w:rPr>
          <w:t>Příloha č. 2: Obecná ustanovení</w:t>
        </w:r>
        <w:r>
          <w:rPr>
            <w:noProof/>
            <w:webHidden/>
          </w:rPr>
          <w:tab/>
        </w:r>
        <w:r>
          <w:rPr>
            <w:noProof/>
            <w:webHidden/>
          </w:rPr>
          <w:fldChar w:fldCharType="begin"/>
        </w:r>
        <w:r>
          <w:rPr>
            <w:noProof/>
            <w:webHidden/>
          </w:rPr>
          <w:instrText xml:space="preserve"> PAGEREF _Toc73613652 \h </w:instrText>
        </w:r>
        <w:r>
          <w:rPr>
            <w:noProof/>
            <w:webHidden/>
          </w:rPr>
        </w:r>
        <w:r>
          <w:rPr>
            <w:noProof/>
            <w:webHidden/>
          </w:rPr>
          <w:fldChar w:fldCharType="separate"/>
        </w:r>
        <w:r>
          <w:rPr>
            <w:noProof/>
            <w:webHidden/>
          </w:rPr>
          <w:t>111</w:t>
        </w:r>
        <w:r>
          <w:rPr>
            <w:noProof/>
            <w:webHidden/>
          </w:rPr>
          <w:fldChar w:fldCharType="end"/>
        </w:r>
      </w:hyperlink>
    </w:p>
    <w:p w14:paraId="6006E689" w14:textId="04EC4ED8" w:rsidR="00990A76" w:rsidRDefault="00990A76">
      <w:pPr>
        <w:pStyle w:val="Obsah3"/>
        <w:tabs>
          <w:tab w:val="right" w:leader="dot" w:pos="9062"/>
        </w:tabs>
        <w:rPr>
          <w:rFonts w:asciiTheme="minorHAnsi" w:eastAsiaTheme="minorEastAsia" w:hAnsiTheme="minorHAnsi"/>
          <w:noProof/>
          <w:sz w:val="22"/>
          <w:lang w:eastAsia="cs-CZ"/>
        </w:rPr>
      </w:pPr>
      <w:hyperlink w:anchor="_Toc73613653" w:history="1">
        <w:r w:rsidRPr="0009232C">
          <w:rPr>
            <w:rStyle w:val="Hypertextovodkaz"/>
            <w:noProof/>
          </w:rPr>
          <w:t>Příloha č. 3: Opatření zodpovědného hraní</w:t>
        </w:r>
        <w:r>
          <w:rPr>
            <w:noProof/>
            <w:webHidden/>
          </w:rPr>
          <w:tab/>
        </w:r>
        <w:r>
          <w:rPr>
            <w:noProof/>
            <w:webHidden/>
          </w:rPr>
          <w:fldChar w:fldCharType="begin"/>
        </w:r>
        <w:r>
          <w:rPr>
            <w:noProof/>
            <w:webHidden/>
          </w:rPr>
          <w:instrText xml:space="preserve"> PAGEREF _Toc73613653 \h </w:instrText>
        </w:r>
        <w:r>
          <w:rPr>
            <w:noProof/>
            <w:webHidden/>
          </w:rPr>
        </w:r>
        <w:r>
          <w:rPr>
            <w:noProof/>
            <w:webHidden/>
          </w:rPr>
          <w:fldChar w:fldCharType="separate"/>
        </w:r>
        <w:r>
          <w:rPr>
            <w:noProof/>
            <w:webHidden/>
          </w:rPr>
          <w:t>112</w:t>
        </w:r>
        <w:r>
          <w:rPr>
            <w:noProof/>
            <w:webHidden/>
          </w:rPr>
          <w:fldChar w:fldCharType="end"/>
        </w:r>
      </w:hyperlink>
    </w:p>
    <w:p w14:paraId="03C6ED24" w14:textId="1E4B2C4A" w:rsidR="00990A76" w:rsidRDefault="00990A76">
      <w:pPr>
        <w:pStyle w:val="Obsah3"/>
        <w:tabs>
          <w:tab w:val="right" w:leader="dot" w:pos="9062"/>
        </w:tabs>
        <w:rPr>
          <w:rFonts w:asciiTheme="minorHAnsi" w:eastAsiaTheme="minorEastAsia" w:hAnsiTheme="minorHAnsi"/>
          <w:noProof/>
          <w:sz w:val="22"/>
          <w:lang w:eastAsia="cs-CZ"/>
        </w:rPr>
      </w:pPr>
      <w:hyperlink w:anchor="_Toc73613654" w:history="1">
        <w:r w:rsidRPr="0009232C">
          <w:rPr>
            <w:rStyle w:val="Hypertextovodkaz"/>
            <w:noProof/>
          </w:rPr>
          <w:t>Příloha č. 4: Registrace a uživatelské konto</w:t>
        </w:r>
        <w:r>
          <w:rPr>
            <w:noProof/>
            <w:webHidden/>
          </w:rPr>
          <w:tab/>
        </w:r>
        <w:r>
          <w:rPr>
            <w:noProof/>
            <w:webHidden/>
          </w:rPr>
          <w:fldChar w:fldCharType="begin"/>
        </w:r>
        <w:r>
          <w:rPr>
            <w:noProof/>
            <w:webHidden/>
          </w:rPr>
          <w:instrText xml:space="preserve"> PAGEREF _Toc73613654 \h </w:instrText>
        </w:r>
        <w:r>
          <w:rPr>
            <w:noProof/>
            <w:webHidden/>
          </w:rPr>
        </w:r>
        <w:r>
          <w:rPr>
            <w:noProof/>
            <w:webHidden/>
          </w:rPr>
          <w:fldChar w:fldCharType="separate"/>
        </w:r>
        <w:r>
          <w:rPr>
            <w:noProof/>
            <w:webHidden/>
          </w:rPr>
          <w:t>113</w:t>
        </w:r>
        <w:r>
          <w:rPr>
            <w:noProof/>
            <w:webHidden/>
          </w:rPr>
          <w:fldChar w:fldCharType="end"/>
        </w:r>
      </w:hyperlink>
    </w:p>
    <w:p w14:paraId="0184299E" w14:textId="0C6337D8" w:rsidR="00990A76" w:rsidRDefault="00990A76">
      <w:pPr>
        <w:pStyle w:val="Obsah3"/>
        <w:tabs>
          <w:tab w:val="right" w:leader="dot" w:pos="9062"/>
        </w:tabs>
        <w:rPr>
          <w:rFonts w:asciiTheme="minorHAnsi" w:eastAsiaTheme="minorEastAsia" w:hAnsiTheme="minorHAnsi"/>
          <w:noProof/>
          <w:sz w:val="22"/>
          <w:lang w:eastAsia="cs-CZ"/>
        </w:rPr>
      </w:pPr>
      <w:hyperlink w:anchor="_Toc73613655" w:history="1">
        <w:r w:rsidRPr="0009232C">
          <w:rPr>
            <w:rStyle w:val="Hypertextovodkaz"/>
            <w:noProof/>
          </w:rPr>
          <w:t>Příloha č. 5: Druhy hazardních her</w:t>
        </w:r>
        <w:r>
          <w:rPr>
            <w:noProof/>
            <w:webHidden/>
          </w:rPr>
          <w:tab/>
        </w:r>
        <w:r>
          <w:rPr>
            <w:noProof/>
            <w:webHidden/>
          </w:rPr>
          <w:fldChar w:fldCharType="begin"/>
        </w:r>
        <w:r>
          <w:rPr>
            <w:noProof/>
            <w:webHidden/>
          </w:rPr>
          <w:instrText xml:space="preserve"> PAGEREF _Toc73613655 \h </w:instrText>
        </w:r>
        <w:r>
          <w:rPr>
            <w:noProof/>
            <w:webHidden/>
          </w:rPr>
        </w:r>
        <w:r>
          <w:rPr>
            <w:noProof/>
            <w:webHidden/>
          </w:rPr>
          <w:fldChar w:fldCharType="separate"/>
        </w:r>
        <w:r>
          <w:rPr>
            <w:noProof/>
            <w:webHidden/>
          </w:rPr>
          <w:t>114</w:t>
        </w:r>
        <w:r>
          <w:rPr>
            <w:noProof/>
            <w:webHidden/>
          </w:rPr>
          <w:fldChar w:fldCharType="end"/>
        </w:r>
      </w:hyperlink>
    </w:p>
    <w:p w14:paraId="463D33F7" w14:textId="5F6056B2" w:rsidR="00990A76" w:rsidRDefault="00990A76">
      <w:pPr>
        <w:pStyle w:val="Obsah3"/>
        <w:tabs>
          <w:tab w:val="right" w:leader="dot" w:pos="9062"/>
        </w:tabs>
        <w:rPr>
          <w:rFonts w:asciiTheme="minorHAnsi" w:eastAsiaTheme="minorEastAsia" w:hAnsiTheme="minorHAnsi"/>
          <w:noProof/>
          <w:sz w:val="22"/>
          <w:lang w:eastAsia="cs-CZ"/>
        </w:rPr>
      </w:pPr>
      <w:hyperlink w:anchor="_Toc73613656" w:history="1">
        <w:r w:rsidRPr="0009232C">
          <w:rPr>
            <w:rStyle w:val="Hypertextovodkaz"/>
            <w:noProof/>
          </w:rPr>
          <w:t>Příloha č. 6: Herní prostor</w:t>
        </w:r>
        <w:r>
          <w:rPr>
            <w:noProof/>
            <w:webHidden/>
          </w:rPr>
          <w:tab/>
        </w:r>
        <w:r>
          <w:rPr>
            <w:noProof/>
            <w:webHidden/>
          </w:rPr>
          <w:fldChar w:fldCharType="begin"/>
        </w:r>
        <w:r>
          <w:rPr>
            <w:noProof/>
            <w:webHidden/>
          </w:rPr>
          <w:instrText xml:space="preserve"> PAGEREF _Toc73613656 \h </w:instrText>
        </w:r>
        <w:r>
          <w:rPr>
            <w:noProof/>
            <w:webHidden/>
          </w:rPr>
        </w:r>
        <w:r>
          <w:rPr>
            <w:noProof/>
            <w:webHidden/>
          </w:rPr>
          <w:fldChar w:fldCharType="separate"/>
        </w:r>
        <w:r>
          <w:rPr>
            <w:noProof/>
            <w:webHidden/>
          </w:rPr>
          <w:t>117</w:t>
        </w:r>
        <w:r>
          <w:rPr>
            <w:noProof/>
            <w:webHidden/>
          </w:rPr>
          <w:fldChar w:fldCharType="end"/>
        </w:r>
      </w:hyperlink>
    </w:p>
    <w:p w14:paraId="34FF72F5" w14:textId="6AE1EC8B" w:rsidR="00990A76" w:rsidRDefault="00990A76">
      <w:pPr>
        <w:pStyle w:val="Obsah3"/>
        <w:tabs>
          <w:tab w:val="right" w:leader="dot" w:pos="9062"/>
        </w:tabs>
        <w:rPr>
          <w:rFonts w:asciiTheme="minorHAnsi" w:eastAsiaTheme="minorEastAsia" w:hAnsiTheme="minorHAnsi"/>
          <w:noProof/>
          <w:sz w:val="22"/>
          <w:lang w:eastAsia="cs-CZ"/>
        </w:rPr>
      </w:pPr>
      <w:hyperlink w:anchor="_Toc73613657" w:history="1">
        <w:r w:rsidRPr="0009232C">
          <w:rPr>
            <w:rStyle w:val="Hypertextovodkaz"/>
            <w:noProof/>
          </w:rPr>
          <w:t>Příloha č. 7: Internetová hra</w:t>
        </w:r>
        <w:r>
          <w:rPr>
            <w:noProof/>
            <w:webHidden/>
          </w:rPr>
          <w:tab/>
        </w:r>
        <w:r>
          <w:rPr>
            <w:noProof/>
            <w:webHidden/>
          </w:rPr>
          <w:fldChar w:fldCharType="begin"/>
        </w:r>
        <w:r>
          <w:rPr>
            <w:noProof/>
            <w:webHidden/>
          </w:rPr>
          <w:instrText xml:space="preserve"> PAGEREF _Toc73613657 \h </w:instrText>
        </w:r>
        <w:r>
          <w:rPr>
            <w:noProof/>
            <w:webHidden/>
          </w:rPr>
        </w:r>
        <w:r>
          <w:rPr>
            <w:noProof/>
            <w:webHidden/>
          </w:rPr>
          <w:fldChar w:fldCharType="separate"/>
        </w:r>
        <w:r>
          <w:rPr>
            <w:noProof/>
            <w:webHidden/>
          </w:rPr>
          <w:t>118</w:t>
        </w:r>
        <w:r>
          <w:rPr>
            <w:noProof/>
            <w:webHidden/>
          </w:rPr>
          <w:fldChar w:fldCharType="end"/>
        </w:r>
      </w:hyperlink>
    </w:p>
    <w:p w14:paraId="46E9F958" w14:textId="394AACD3" w:rsidR="00990A76" w:rsidRDefault="00990A76">
      <w:pPr>
        <w:pStyle w:val="Obsah3"/>
        <w:tabs>
          <w:tab w:val="right" w:leader="dot" w:pos="9062"/>
        </w:tabs>
        <w:rPr>
          <w:rFonts w:asciiTheme="minorHAnsi" w:eastAsiaTheme="minorEastAsia" w:hAnsiTheme="minorHAnsi"/>
          <w:noProof/>
          <w:sz w:val="22"/>
          <w:lang w:eastAsia="cs-CZ"/>
        </w:rPr>
      </w:pPr>
      <w:hyperlink w:anchor="_Toc73613658" w:history="1">
        <w:r w:rsidRPr="0009232C">
          <w:rPr>
            <w:rStyle w:val="Hypertextovodkaz"/>
            <w:noProof/>
          </w:rPr>
          <w:t>Příloha č. 8: Nepovolené internetové hry</w:t>
        </w:r>
        <w:r>
          <w:rPr>
            <w:noProof/>
            <w:webHidden/>
          </w:rPr>
          <w:tab/>
        </w:r>
        <w:r>
          <w:rPr>
            <w:noProof/>
            <w:webHidden/>
          </w:rPr>
          <w:fldChar w:fldCharType="begin"/>
        </w:r>
        <w:r>
          <w:rPr>
            <w:noProof/>
            <w:webHidden/>
          </w:rPr>
          <w:instrText xml:space="preserve"> PAGEREF _Toc73613658 \h </w:instrText>
        </w:r>
        <w:r>
          <w:rPr>
            <w:noProof/>
            <w:webHidden/>
          </w:rPr>
        </w:r>
        <w:r>
          <w:rPr>
            <w:noProof/>
            <w:webHidden/>
          </w:rPr>
          <w:fldChar w:fldCharType="separate"/>
        </w:r>
        <w:r>
          <w:rPr>
            <w:noProof/>
            <w:webHidden/>
          </w:rPr>
          <w:t>118</w:t>
        </w:r>
        <w:r>
          <w:rPr>
            <w:noProof/>
            <w:webHidden/>
          </w:rPr>
          <w:fldChar w:fldCharType="end"/>
        </w:r>
      </w:hyperlink>
    </w:p>
    <w:p w14:paraId="190F84BB" w14:textId="767121B7" w:rsidR="00990A76" w:rsidRDefault="00990A76">
      <w:pPr>
        <w:pStyle w:val="Obsah3"/>
        <w:tabs>
          <w:tab w:val="right" w:leader="dot" w:pos="9062"/>
        </w:tabs>
        <w:rPr>
          <w:rFonts w:asciiTheme="minorHAnsi" w:eastAsiaTheme="minorEastAsia" w:hAnsiTheme="minorHAnsi"/>
          <w:noProof/>
          <w:sz w:val="22"/>
          <w:lang w:eastAsia="cs-CZ"/>
        </w:rPr>
      </w:pPr>
      <w:hyperlink w:anchor="_Toc73613659" w:history="1">
        <w:r w:rsidRPr="0009232C">
          <w:rPr>
            <w:rStyle w:val="Hypertextovodkaz"/>
            <w:noProof/>
          </w:rPr>
          <w:t>Příloha č. 9: Povolovací řízení</w:t>
        </w:r>
        <w:r>
          <w:rPr>
            <w:noProof/>
            <w:webHidden/>
          </w:rPr>
          <w:tab/>
        </w:r>
        <w:r>
          <w:rPr>
            <w:noProof/>
            <w:webHidden/>
          </w:rPr>
          <w:fldChar w:fldCharType="begin"/>
        </w:r>
        <w:r>
          <w:rPr>
            <w:noProof/>
            <w:webHidden/>
          </w:rPr>
          <w:instrText xml:space="preserve"> PAGEREF _Toc73613659 \h </w:instrText>
        </w:r>
        <w:r>
          <w:rPr>
            <w:noProof/>
            <w:webHidden/>
          </w:rPr>
        </w:r>
        <w:r>
          <w:rPr>
            <w:noProof/>
            <w:webHidden/>
          </w:rPr>
          <w:fldChar w:fldCharType="separate"/>
        </w:r>
        <w:r>
          <w:rPr>
            <w:noProof/>
            <w:webHidden/>
          </w:rPr>
          <w:t>119</w:t>
        </w:r>
        <w:r>
          <w:rPr>
            <w:noProof/>
            <w:webHidden/>
          </w:rPr>
          <w:fldChar w:fldCharType="end"/>
        </w:r>
      </w:hyperlink>
    </w:p>
    <w:p w14:paraId="0363B2A9" w14:textId="48800E7F" w:rsidR="00990A76" w:rsidRDefault="00990A76">
      <w:pPr>
        <w:pStyle w:val="Obsah3"/>
        <w:tabs>
          <w:tab w:val="right" w:leader="dot" w:pos="9062"/>
        </w:tabs>
        <w:rPr>
          <w:rFonts w:asciiTheme="minorHAnsi" w:eastAsiaTheme="minorEastAsia" w:hAnsiTheme="minorHAnsi"/>
          <w:noProof/>
          <w:sz w:val="22"/>
          <w:lang w:eastAsia="cs-CZ"/>
        </w:rPr>
      </w:pPr>
      <w:hyperlink w:anchor="_Toc73613660" w:history="1">
        <w:r w:rsidRPr="0009232C">
          <w:rPr>
            <w:rStyle w:val="Hypertextovodkaz"/>
            <w:noProof/>
          </w:rPr>
          <w:t>Příloha č. 10: Kauce</w:t>
        </w:r>
        <w:r>
          <w:rPr>
            <w:noProof/>
            <w:webHidden/>
          </w:rPr>
          <w:tab/>
        </w:r>
        <w:r>
          <w:rPr>
            <w:noProof/>
            <w:webHidden/>
          </w:rPr>
          <w:fldChar w:fldCharType="begin"/>
        </w:r>
        <w:r>
          <w:rPr>
            <w:noProof/>
            <w:webHidden/>
          </w:rPr>
          <w:instrText xml:space="preserve"> PAGEREF _Toc73613660 \h </w:instrText>
        </w:r>
        <w:r>
          <w:rPr>
            <w:noProof/>
            <w:webHidden/>
          </w:rPr>
        </w:r>
        <w:r>
          <w:rPr>
            <w:noProof/>
            <w:webHidden/>
          </w:rPr>
          <w:fldChar w:fldCharType="separate"/>
        </w:r>
        <w:r>
          <w:rPr>
            <w:noProof/>
            <w:webHidden/>
          </w:rPr>
          <w:t>120</w:t>
        </w:r>
        <w:r>
          <w:rPr>
            <w:noProof/>
            <w:webHidden/>
          </w:rPr>
          <w:fldChar w:fldCharType="end"/>
        </w:r>
      </w:hyperlink>
    </w:p>
    <w:p w14:paraId="22C99DC4" w14:textId="1D9CB638" w:rsidR="00990A76" w:rsidRDefault="00990A76">
      <w:pPr>
        <w:pStyle w:val="Obsah3"/>
        <w:tabs>
          <w:tab w:val="right" w:leader="dot" w:pos="9062"/>
        </w:tabs>
        <w:rPr>
          <w:rFonts w:asciiTheme="minorHAnsi" w:eastAsiaTheme="minorEastAsia" w:hAnsiTheme="minorHAnsi"/>
          <w:noProof/>
          <w:sz w:val="22"/>
          <w:lang w:eastAsia="cs-CZ"/>
        </w:rPr>
      </w:pPr>
      <w:hyperlink w:anchor="_Toc73613661" w:history="1">
        <w:r w:rsidRPr="0009232C">
          <w:rPr>
            <w:rStyle w:val="Hypertextovodkaz"/>
            <w:noProof/>
          </w:rPr>
          <w:t>Příloha č. 11: Technické parametry a činnost odborného posuzování a osvědčování</w:t>
        </w:r>
        <w:r>
          <w:rPr>
            <w:noProof/>
            <w:webHidden/>
          </w:rPr>
          <w:tab/>
        </w:r>
        <w:r>
          <w:rPr>
            <w:noProof/>
            <w:webHidden/>
          </w:rPr>
          <w:fldChar w:fldCharType="begin"/>
        </w:r>
        <w:r>
          <w:rPr>
            <w:noProof/>
            <w:webHidden/>
          </w:rPr>
          <w:instrText xml:space="preserve"> PAGEREF _Toc73613661 \h </w:instrText>
        </w:r>
        <w:r>
          <w:rPr>
            <w:noProof/>
            <w:webHidden/>
          </w:rPr>
        </w:r>
        <w:r>
          <w:rPr>
            <w:noProof/>
            <w:webHidden/>
          </w:rPr>
          <w:fldChar w:fldCharType="separate"/>
        </w:r>
        <w:r>
          <w:rPr>
            <w:noProof/>
            <w:webHidden/>
          </w:rPr>
          <w:t>120</w:t>
        </w:r>
        <w:r>
          <w:rPr>
            <w:noProof/>
            <w:webHidden/>
          </w:rPr>
          <w:fldChar w:fldCharType="end"/>
        </w:r>
      </w:hyperlink>
    </w:p>
    <w:p w14:paraId="2BB62DAA" w14:textId="3D18B1AB" w:rsidR="00990A76" w:rsidRDefault="00990A76">
      <w:pPr>
        <w:pStyle w:val="Obsah3"/>
        <w:tabs>
          <w:tab w:val="right" w:leader="dot" w:pos="9062"/>
        </w:tabs>
        <w:rPr>
          <w:rFonts w:asciiTheme="minorHAnsi" w:eastAsiaTheme="minorEastAsia" w:hAnsiTheme="minorHAnsi"/>
          <w:noProof/>
          <w:sz w:val="22"/>
          <w:lang w:eastAsia="cs-CZ"/>
        </w:rPr>
      </w:pPr>
      <w:hyperlink w:anchor="_Toc73613662" w:history="1">
        <w:r w:rsidRPr="0009232C">
          <w:rPr>
            <w:rStyle w:val="Hypertextovodkaz"/>
            <w:noProof/>
          </w:rPr>
          <w:t>Příloha č. 12: Dozor</w:t>
        </w:r>
        <w:r>
          <w:rPr>
            <w:noProof/>
            <w:webHidden/>
          </w:rPr>
          <w:tab/>
        </w:r>
        <w:r>
          <w:rPr>
            <w:noProof/>
            <w:webHidden/>
          </w:rPr>
          <w:fldChar w:fldCharType="begin"/>
        </w:r>
        <w:r>
          <w:rPr>
            <w:noProof/>
            <w:webHidden/>
          </w:rPr>
          <w:instrText xml:space="preserve"> PAGEREF _Toc73613662 \h </w:instrText>
        </w:r>
        <w:r>
          <w:rPr>
            <w:noProof/>
            <w:webHidden/>
          </w:rPr>
        </w:r>
        <w:r>
          <w:rPr>
            <w:noProof/>
            <w:webHidden/>
          </w:rPr>
          <w:fldChar w:fldCharType="separate"/>
        </w:r>
        <w:r>
          <w:rPr>
            <w:noProof/>
            <w:webHidden/>
          </w:rPr>
          <w:t>121</w:t>
        </w:r>
        <w:r>
          <w:rPr>
            <w:noProof/>
            <w:webHidden/>
          </w:rPr>
          <w:fldChar w:fldCharType="end"/>
        </w:r>
      </w:hyperlink>
    </w:p>
    <w:p w14:paraId="070294D9" w14:textId="2B405716" w:rsidR="00990A76" w:rsidRDefault="00990A76">
      <w:pPr>
        <w:pStyle w:val="Obsah3"/>
        <w:tabs>
          <w:tab w:val="right" w:leader="dot" w:pos="9062"/>
        </w:tabs>
        <w:rPr>
          <w:rFonts w:asciiTheme="minorHAnsi" w:eastAsiaTheme="minorEastAsia" w:hAnsiTheme="minorHAnsi"/>
          <w:noProof/>
          <w:sz w:val="22"/>
          <w:lang w:eastAsia="cs-CZ"/>
        </w:rPr>
      </w:pPr>
      <w:hyperlink w:anchor="_Toc73613663" w:history="1">
        <w:r w:rsidRPr="0009232C">
          <w:rPr>
            <w:rStyle w:val="Hypertextovodkaz"/>
            <w:noProof/>
          </w:rPr>
          <w:t>Příloha č. 13: Přestupky</w:t>
        </w:r>
        <w:r>
          <w:rPr>
            <w:noProof/>
            <w:webHidden/>
          </w:rPr>
          <w:tab/>
        </w:r>
        <w:r>
          <w:rPr>
            <w:noProof/>
            <w:webHidden/>
          </w:rPr>
          <w:fldChar w:fldCharType="begin"/>
        </w:r>
        <w:r>
          <w:rPr>
            <w:noProof/>
            <w:webHidden/>
          </w:rPr>
          <w:instrText xml:space="preserve"> PAGEREF _Toc73613663 \h </w:instrText>
        </w:r>
        <w:r>
          <w:rPr>
            <w:noProof/>
            <w:webHidden/>
          </w:rPr>
        </w:r>
        <w:r>
          <w:rPr>
            <w:noProof/>
            <w:webHidden/>
          </w:rPr>
          <w:fldChar w:fldCharType="separate"/>
        </w:r>
        <w:r>
          <w:rPr>
            <w:noProof/>
            <w:webHidden/>
          </w:rPr>
          <w:t>121</w:t>
        </w:r>
        <w:r>
          <w:rPr>
            <w:noProof/>
            <w:webHidden/>
          </w:rPr>
          <w:fldChar w:fldCharType="end"/>
        </w:r>
      </w:hyperlink>
    </w:p>
    <w:p w14:paraId="09150441" w14:textId="45707792" w:rsidR="00990A76" w:rsidRDefault="00990A76">
      <w:pPr>
        <w:pStyle w:val="Obsah3"/>
        <w:tabs>
          <w:tab w:val="right" w:leader="dot" w:pos="9062"/>
        </w:tabs>
        <w:rPr>
          <w:rFonts w:asciiTheme="minorHAnsi" w:eastAsiaTheme="minorEastAsia" w:hAnsiTheme="minorHAnsi"/>
          <w:noProof/>
          <w:sz w:val="22"/>
          <w:lang w:eastAsia="cs-CZ"/>
        </w:rPr>
      </w:pPr>
      <w:hyperlink w:anchor="_Toc73613664" w:history="1">
        <w:r w:rsidRPr="0009232C">
          <w:rPr>
            <w:rStyle w:val="Hypertextovodkaz"/>
            <w:noProof/>
          </w:rPr>
          <w:t>Příloha č. 14: Daň z hazardních her</w:t>
        </w:r>
        <w:r>
          <w:rPr>
            <w:noProof/>
            <w:webHidden/>
          </w:rPr>
          <w:tab/>
        </w:r>
        <w:r>
          <w:rPr>
            <w:noProof/>
            <w:webHidden/>
          </w:rPr>
          <w:fldChar w:fldCharType="begin"/>
        </w:r>
        <w:r>
          <w:rPr>
            <w:noProof/>
            <w:webHidden/>
          </w:rPr>
          <w:instrText xml:space="preserve"> PAGEREF _Toc73613664 \h </w:instrText>
        </w:r>
        <w:r>
          <w:rPr>
            <w:noProof/>
            <w:webHidden/>
          </w:rPr>
        </w:r>
        <w:r>
          <w:rPr>
            <w:noProof/>
            <w:webHidden/>
          </w:rPr>
          <w:fldChar w:fldCharType="separate"/>
        </w:r>
        <w:r>
          <w:rPr>
            <w:noProof/>
            <w:webHidden/>
          </w:rPr>
          <w:t>122</w:t>
        </w:r>
        <w:r>
          <w:rPr>
            <w:noProof/>
            <w:webHidden/>
          </w:rPr>
          <w:fldChar w:fldCharType="end"/>
        </w:r>
      </w:hyperlink>
    </w:p>
    <w:p w14:paraId="49EBB545" w14:textId="461BCA0C" w:rsidR="00926174" w:rsidRDefault="001E31A6" w:rsidP="0084015B">
      <w:pPr>
        <w:spacing w:before="60" w:after="20"/>
        <w:jc w:val="left"/>
        <w:rPr>
          <w:rFonts w:eastAsia="MS Mincho" w:cs="Arial"/>
          <w:b/>
          <w:bCs/>
          <w:iCs/>
          <w:szCs w:val="24"/>
        </w:rPr>
      </w:pPr>
      <w:r>
        <w:rPr>
          <w:rFonts w:eastAsia="MS Mincho" w:cs="Arial"/>
          <w:b/>
          <w:bCs/>
          <w:iCs/>
          <w:szCs w:val="24"/>
        </w:rPr>
        <w:fldChar w:fldCharType="end"/>
      </w:r>
    </w:p>
    <w:p w14:paraId="35BBF6FA" w14:textId="5B51D61E" w:rsidR="00926174" w:rsidRDefault="00926174" w:rsidP="0084015B">
      <w:pPr>
        <w:spacing w:before="60" w:after="20"/>
        <w:jc w:val="left"/>
        <w:rPr>
          <w:rFonts w:eastAsia="MS Mincho" w:cs="Arial"/>
          <w:b/>
          <w:bCs/>
          <w:iCs/>
          <w:szCs w:val="24"/>
        </w:rPr>
      </w:pPr>
    </w:p>
    <w:p w14:paraId="6D90251F" w14:textId="78F99291" w:rsidR="00926174" w:rsidRDefault="00926174" w:rsidP="0084015B">
      <w:pPr>
        <w:spacing w:before="60" w:after="20"/>
        <w:jc w:val="left"/>
        <w:rPr>
          <w:rFonts w:eastAsia="MS Mincho" w:cs="Arial"/>
          <w:b/>
          <w:bCs/>
          <w:iCs/>
          <w:szCs w:val="24"/>
        </w:rPr>
      </w:pPr>
    </w:p>
    <w:p w14:paraId="1978CA93" w14:textId="69BA154B" w:rsidR="00926174" w:rsidRDefault="00926174" w:rsidP="0084015B">
      <w:pPr>
        <w:spacing w:before="60" w:after="20"/>
        <w:jc w:val="left"/>
        <w:rPr>
          <w:rFonts w:eastAsia="MS Mincho" w:cs="Arial"/>
          <w:b/>
          <w:bCs/>
          <w:iCs/>
          <w:szCs w:val="24"/>
        </w:rPr>
      </w:pPr>
      <w:bookmarkStart w:id="0" w:name="_GoBack"/>
      <w:bookmarkEnd w:id="0"/>
    </w:p>
    <w:p w14:paraId="22CFD1A3" w14:textId="72D5D92C" w:rsidR="00926174" w:rsidRDefault="00926174" w:rsidP="0084015B">
      <w:pPr>
        <w:spacing w:before="60" w:after="20"/>
        <w:jc w:val="left"/>
        <w:rPr>
          <w:rFonts w:eastAsia="MS Mincho" w:cs="Arial"/>
          <w:b/>
          <w:bCs/>
          <w:iCs/>
          <w:szCs w:val="24"/>
        </w:rPr>
      </w:pPr>
    </w:p>
    <w:p w14:paraId="10F9537D" w14:textId="26148568" w:rsidR="00926174" w:rsidRDefault="00926174" w:rsidP="0084015B">
      <w:pPr>
        <w:spacing w:before="60" w:after="20"/>
        <w:jc w:val="left"/>
        <w:rPr>
          <w:rFonts w:eastAsia="MS Mincho" w:cs="Arial"/>
          <w:b/>
          <w:bCs/>
          <w:iCs/>
          <w:szCs w:val="24"/>
        </w:rPr>
      </w:pPr>
    </w:p>
    <w:p w14:paraId="7C4EA6D7" w14:textId="5AB40B15" w:rsidR="00926174" w:rsidRDefault="00926174" w:rsidP="0084015B">
      <w:pPr>
        <w:spacing w:before="60" w:after="20"/>
        <w:jc w:val="left"/>
        <w:rPr>
          <w:rFonts w:eastAsia="MS Mincho" w:cs="Arial"/>
          <w:b/>
          <w:bCs/>
          <w:iCs/>
          <w:szCs w:val="24"/>
        </w:rPr>
      </w:pPr>
    </w:p>
    <w:p w14:paraId="481A092F" w14:textId="4B94528C" w:rsidR="00926174" w:rsidRDefault="00926174" w:rsidP="0084015B">
      <w:pPr>
        <w:spacing w:before="60" w:after="20"/>
        <w:jc w:val="left"/>
        <w:rPr>
          <w:rFonts w:eastAsia="MS Mincho" w:cs="Arial"/>
          <w:b/>
          <w:bCs/>
          <w:iCs/>
          <w:szCs w:val="24"/>
        </w:rPr>
      </w:pPr>
    </w:p>
    <w:p w14:paraId="142F9CE7" w14:textId="0EC8DB2E" w:rsidR="00926174" w:rsidRDefault="00926174" w:rsidP="0084015B">
      <w:pPr>
        <w:spacing w:before="60" w:after="20"/>
        <w:jc w:val="left"/>
        <w:rPr>
          <w:rFonts w:eastAsia="MS Mincho" w:cs="Arial"/>
          <w:b/>
          <w:bCs/>
          <w:iCs/>
          <w:szCs w:val="24"/>
        </w:rPr>
      </w:pPr>
    </w:p>
    <w:p w14:paraId="4A8D3D4A" w14:textId="66C25693" w:rsidR="00926174" w:rsidRDefault="00926174" w:rsidP="0084015B">
      <w:pPr>
        <w:spacing w:before="60" w:after="20"/>
        <w:jc w:val="left"/>
        <w:rPr>
          <w:rFonts w:eastAsia="MS Mincho" w:cs="Arial"/>
          <w:b/>
          <w:bCs/>
          <w:iCs/>
          <w:szCs w:val="24"/>
        </w:rPr>
      </w:pPr>
    </w:p>
    <w:p w14:paraId="48802D54" w14:textId="48362342" w:rsidR="001E31A6" w:rsidRDefault="001E31A6" w:rsidP="0084015B">
      <w:pPr>
        <w:spacing w:before="60" w:after="20"/>
        <w:jc w:val="left"/>
        <w:rPr>
          <w:rFonts w:eastAsia="MS Mincho" w:cs="Arial"/>
          <w:b/>
          <w:bCs/>
          <w:iCs/>
          <w:szCs w:val="24"/>
        </w:rPr>
      </w:pPr>
    </w:p>
    <w:p w14:paraId="5FF3885F" w14:textId="3507C94B" w:rsidR="001E31A6" w:rsidRDefault="001E31A6" w:rsidP="0084015B">
      <w:pPr>
        <w:spacing w:before="60" w:after="20"/>
        <w:jc w:val="left"/>
        <w:rPr>
          <w:rFonts w:eastAsia="MS Mincho" w:cs="Arial"/>
          <w:b/>
          <w:bCs/>
          <w:iCs/>
          <w:szCs w:val="24"/>
        </w:rPr>
      </w:pPr>
    </w:p>
    <w:p w14:paraId="06C219FE" w14:textId="6B43AE89" w:rsidR="001E31A6" w:rsidRDefault="001E31A6" w:rsidP="0084015B">
      <w:pPr>
        <w:spacing w:before="60" w:after="20"/>
        <w:jc w:val="left"/>
        <w:rPr>
          <w:rFonts w:eastAsia="MS Mincho" w:cs="Arial"/>
          <w:b/>
          <w:bCs/>
          <w:iCs/>
          <w:szCs w:val="24"/>
        </w:rPr>
      </w:pPr>
    </w:p>
    <w:p w14:paraId="1E8BC04C" w14:textId="5678433E" w:rsidR="001E31A6" w:rsidRDefault="001E31A6" w:rsidP="0084015B">
      <w:pPr>
        <w:spacing w:before="60" w:after="20"/>
        <w:jc w:val="left"/>
        <w:rPr>
          <w:rFonts w:eastAsia="MS Mincho" w:cs="Arial"/>
          <w:b/>
          <w:bCs/>
          <w:iCs/>
          <w:szCs w:val="24"/>
        </w:rPr>
      </w:pPr>
    </w:p>
    <w:p w14:paraId="5EB8913D" w14:textId="65E603E7" w:rsidR="001E31A6" w:rsidRDefault="001E31A6" w:rsidP="0084015B">
      <w:pPr>
        <w:spacing w:before="60" w:after="20"/>
        <w:jc w:val="left"/>
        <w:rPr>
          <w:rFonts w:eastAsia="MS Mincho" w:cs="Arial"/>
          <w:b/>
          <w:bCs/>
          <w:iCs/>
          <w:szCs w:val="24"/>
        </w:rPr>
      </w:pPr>
    </w:p>
    <w:p w14:paraId="4430B0C6" w14:textId="2E6EF231" w:rsidR="001E31A6" w:rsidRDefault="001E31A6" w:rsidP="0084015B">
      <w:pPr>
        <w:spacing w:before="60" w:after="20"/>
        <w:jc w:val="left"/>
        <w:rPr>
          <w:rFonts w:eastAsia="MS Mincho" w:cs="Arial"/>
          <w:b/>
          <w:bCs/>
          <w:iCs/>
          <w:szCs w:val="24"/>
        </w:rPr>
      </w:pPr>
    </w:p>
    <w:p w14:paraId="714E0276" w14:textId="0CD0CBAD" w:rsidR="001E31A6" w:rsidRDefault="001E31A6" w:rsidP="0084015B">
      <w:pPr>
        <w:spacing w:before="60" w:after="20"/>
        <w:jc w:val="left"/>
        <w:rPr>
          <w:rFonts w:eastAsia="MS Mincho" w:cs="Arial"/>
          <w:b/>
          <w:bCs/>
          <w:iCs/>
          <w:szCs w:val="24"/>
        </w:rPr>
      </w:pPr>
    </w:p>
    <w:p w14:paraId="4122761A" w14:textId="2BC84D78" w:rsidR="001E31A6" w:rsidRDefault="001E31A6" w:rsidP="0084015B">
      <w:pPr>
        <w:spacing w:before="60" w:after="20"/>
        <w:jc w:val="left"/>
        <w:rPr>
          <w:rFonts w:eastAsia="MS Mincho" w:cs="Arial"/>
          <w:b/>
          <w:bCs/>
          <w:iCs/>
          <w:szCs w:val="24"/>
        </w:rPr>
      </w:pPr>
    </w:p>
    <w:p w14:paraId="3E50C4EB" w14:textId="321B6DB6" w:rsidR="001E31A6" w:rsidRDefault="001E31A6" w:rsidP="0084015B">
      <w:pPr>
        <w:spacing w:before="60" w:after="20"/>
        <w:jc w:val="left"/>
        <w:rPr>
          <w:rFonts w:eastAsia="MS Mincho" w:cs="Arial"/>
          <w:b/>
          <w:bCs/>
          <w:iCs/>
          <w:szCs w:val="24"/>
        </w:rPr>
      </w:pPr>
    </w:p>
    <w:p w14:paraId="614CA82C" w14:textId="5B4290C7" w:rsidR="001E31A6" w:rsidRDefault="001E31A6" w:rsidP="0084015B">
      <w:pPr>
        <w:spacing w:before="60" w:after="20"/>
        <w:jc w:val="left"/>
        <w:rPr>
          <w:rFonts w:eastAsia="MS Mincho" w:cs="Arial"/>
          <w:b/>
          <w:bCs/>
          <w:iCs/>
          <w:szCs w:val="24"/>
        </w:rPr>
      </w:pPr>
    </w:p>
    <w:p w14:paraId="23B90593" w14:textId="444B7930" w:rsidR="001E31A6" w:rsidRDefault="001E31A6" w:rsidP="0084015B">
      <w:pPr>
        <w:spacing w:before="60" w:after="20"/>
        <w:jc w:val="left"/>
        <w:rPr>
          <w:rFonts w:eastAsia="MS Mincho" w:cs="Arial"/>
          <w:b/>
          <w:bCs/>
          <w:iCs/>
          <w:szCs w:val="24"/>
        </w:rPr>
      </w:pPr>
    </w:p>
    <w:p w14:paraId="1E7506F3" w14:textId="0420B5A9" w:rsidR="001E31A6" w:rsidRDefault="001E31A6" w:rsidP="0084015B">
      <w:pPr>
        <w:spacing w:before="60" w:after="20"/>
        <w:jc w:val="left"/>
        <w:rPr>
          <w:rFonts w:eastAsia="MS Mincho" w:cs="Arial"/>
          <w:b/>
          <w:bCs/>
          <w:iCs/>
          <w:szCs w:val="24"/>
        </w:rPr>
      </w:pPr>
    </w:p>
    <w:p w14:paraId="75E5BE94" w14:textId="5A7B8930" w:rsidR="001E31A6" w:rsidRDefault="001E31A6" w:rsidP="0084015B">
      <w:pPr>
        <w:spacing w:before="60" w:after="20"/>
        <w:jc w:val="left"/>
        <w:rPr>
          <w:rFonts w:eastAsia="MS Mincho" w:cs="Arial"/>
          <w:b/>
          <w:bCs/>
          <w:iCs/>
          <w:szCs w:val="24"/>
        </w:rPr>
      </w:pPr>
    </w:p>
    <w:p w14:paraId="504AEF99" w14:textId="71D3E95E" w:rsidR="001E31A6" w:rsidRDefault="001E31A6" w:rsidP="0084015B">
      <w:pPr>
        <w:spacing w:before="60" w:after="20"/>
        <w:jc w:val="left"/>
        <w:rPr>
          <w:rFonts w:eastAsia="MS Mincho" w:cs="Arial"/>
          <w:b/>
          <w:bCs/>
          <w:iCs/>
          <w:szCs w:val="24"/>
        </w:rPr>
      </w:pPr>
    </w:p>
    <w:p w14:paraId="69ACA3AC" w14:textId="795458B1" w:rsidR="001E31A6" w:rsidRDefault="001E31A6" w:rsidP="0084015B">
      <w:pPr>
        <w:spacing w:before="60" w:after="20"/>
        <w:jc w:val="left"/>
        <w:rPr>
          <w:rFonts w:eastAsia="MS Mincho" w:cs="Arial"/>
          <w:b/>
          <w:bCs/>
          <w:iCs/>
          <w:szCs w:val="24"/>
        </w:rPr>
      </w:pPr>
    </w:p>
    <w:p w14:paraId="33DB8639" w14:textId="7B8B6887" w:rsidR="001E31A6" w:rsidRDefault="001E31A6" w:rsidP="0084015B">
      <w:pPr>
        <w:spacing w:before="60" w:after="20"/>
        <w:jc w:val="left"/>
        <w:rPr>
          <w:rFonts w:eastAsia="MS Mincho" w:cs="Arial"/>
          <w:b/>
          <w:bCs/>
          <w:iCs/>
          <w:szCs w:val="24"/>
        </w:rPr>
      </w:pPr>
    </w:p>
    <w:p w14:paraId="2E360891" w14:textId="0D0FD3CA" w:rsidR="001E31A6" w:rsidRDefault="001E31A6" w:rsidP="0084015B">
      <w:pPr>
        <w:spacing w:before="60" w:after="20"/>
        <w:jc w:val="left"/>
        <w:rPr>
          <w:rFonts w:eastAsia="MS Mincho" w:cs="Arial"/>
          <w:b/>
          <w:bCs/>
          <w:iCs/>
          <w:szCs w:val="24"/>
        </w:rPr>
      </w:pPr>
    </w:p>
    <w:p w14:paraId="333CB510" w14:textId="71C778CE" w:rsidR="001E31A6" w:rsidRDefault="001E31A6" w:rsidP="0084015B">
      <w:pPr>
        <w:spacing w:before="60" w:after="20"/>
        <w:jc w:val="left"/>
        <w:rPr>
          <w:rFonts w:eastAsia="MS Mincho" w:cs="Arial"/>
          <w:b/>
          <w:bCs/>
          <w:iCs/>
          <w:szCs w:val="24"/>
        </w:rPr>
      </w:pPr>
    </w:p>
    <w:p w14:paraId="0C72607D" w14:textId="77777777" w:rsidR="001E31A6" w:rsidRDefault="001E31A6" w:rsidP="0084015B">
      <w:pPr>
        <w:spacing w:before="60" w:after="20"/>
        <w:jc w:val="left"/>
        <w:rPr>
          <w:rFonts w:eastAsia="MS Mincho" w:cs="Arial"/>
          <w:b/>
          <w:bCs/>
          <w:iCs/>
          <w:szCs w:val="24"/>
        </w:rPr>
      </w:pPr>
    </w:p>
    <w:p w14:paraId="647E3DEC" w14:textId="69ED8D40" w:rsidR="003519E5" w:rsidRPr="00CD5C90" w:rsidRDefault="003519E5" w:rsidP="003519E5">
      <w:pPr>
        <w:pStyle w:val="Nadpis2"/>
        <w:rPr>
          <w:rFonts w:cs="Arial"/>
        </w:rPr>
      </w:pPr>
      <w:bookmarkStart w:id="1" w:name="_Toc69210519"/>
      <w:bookmarkStart w:id="2" w:name="_Toc71880534"/>
      <w:bookmarkStart w:id="3" w:name="_Toc71881094"/>
      <w:bookmarkStart w:id="4" w:name="_Toc72999520"/>
      <w:bookmarkStart w:id="5" w:name="_Toc73613622"/>
      <w:r w:rsidRPr="009A0C66">
        <w:rPr>
          <w:rFonts w:cs="Arial"/>
        </w:rPr>
        <w:lastRenderedPageBreak/>
        <w:t>Úvod</w:t>
      </w:r>
      <w:bookmarkEnd w:id="1"/>
      <w:bookmarkEnd w:id="2"/>
      <w:bookmarkEnd w:id="3"/>
      <w:bookmarkEnd w:id="4"/>
      <w:bookmarkEnd w:id="5"/>
    </w:p>
    <w:p w14:paraId="6A265BCC" w14:textId="3C7A8220" w:rsidR="003519E5" w:rsidRPr="00B01C1B" w:rsidRDefault="003519E5" w:rsidP="00610772">
      <w:pPr>
        <w:pStyle w:val="Nadpis3"/>
        <w:rPr>
          <w:rFonts w:cs="Arial"/>
        </w:rPr>
      </w:pPr>
      <w:bookmarkStart w:id="6" w:name="_Toc69210520"/>
      <w:bookmarkStart w:id="7" w:name="_Toc72999521"/>
      <w:bookmarkStart w:id="8" w:name="_Toc73613623"/>
      <w:r w:rsidRPr="00B01C1B">
        <w:rPr>
          <w:rFonts w:cs="Arial"/>
        </w:rPr>
        <w:t>Základní identifikační údaje právního předpisu</w:t>
      </w:r>
      <w:bookmarkEnd w:id="6"/>
      <w:bookmarkEnd w:id="7"/>
      <w:bookmarkEnd w:id="8"/>
    </w:p>
    <w:p w14:paraId="5C9C9BD7" w14:textId="63950C17" w:rsidR="003519E5" w:rsidRPr="00372887" w:rsidRDefault="003519E5" w:rsidP="00C334E0">
      <w:pPr>
        <w:rPr>
          <w:lang w:eastAsia="zh-CN"/>
        </w:rPr>
      </w:pPr>
      <w:r w:rsidRPr="00CD5C90">
        <w:rPr>
          <w:lang w:eastAsia="zh-CN"/>
        </w:rPr>
        <w:t xml:space="preserve">Předmětem této zprávy je ex post hodnocení dopadů </w:t>
      </w:r>
      <w:r w:rsidR="00C31D46" w:rsidRPr="00CD5C90">
        <w:rPr>
          <w:lang w:eastAsia="zh-CN"/>
        </w:rPr>
        <w:t>regulace v oblasti hazardních her</w:t>
      </w:r>
      <w:r w:rsidR="003937EC">
        <w:rPr>
          <w:lang w:eastAsia="zh-CN"/>
        </w:rPr>
        <w:t>,</w:t>
      </w:r>
      <w:r w:rsidR="00C31D46" w:rsidRPr="00CD5C90">
        <w:rPr>
          <w:lang w:eastAsia="zh-CN"/>
        </w:rPr>
        <w:t xml:space="preserve"> tzn. zejména </w:t>
      </w:r>
      <w:r w:rsidRPr="00CD5C90">
        <w:rPr>
          <w:lang w:eastAsia="zh-CN"/>
        </w:rPr>
        <w:t xml:space="preserve">zákona č. 186/2016 Sb., o hazardních hrách, ve znění pozdějších předpisů, (dále </w:t>
      </w:r>
      <w:r w:rsidR="001A58FF" w:rsidRPr="00CD5C90">
        <w:rPr>
          <w:lang w:eastAsia="zh-CN"/>
        </w:rPr>
        <w:t xml:space="preserve">také jako </w:t>
      </w:r>
      <w:r w:rsidRPr="00CD5C90">
        <w:rPr>
          <w:lang w:eastAsia="zh-CN"/>
        </w:rPr>
        <w:t>„</w:t>
      </w:r>
      <w:r w:rsidR="00CD5C90" w:rsidRPr="00CD5C90">
        <w:rPr>
          <w:lang w:eastAsia="zh-CN"/>
        </w:rPr>
        <w:t>zákon o  hazardních hrách”) a dále zákona č. </w:t>
      </w:r>
      <w:r w:rsidRPr="00CD5C90">
        <w:rPr>
          <w:lang w:eastAsia="zh-CN"/>
        </w:rPr>
        <w:t>187/2016</w:t>
      </w:r>
      <w:r w:rsidR="00D429F2">
        <w:rPr>
          <w:lang w:eastAsia="zh-CN"/>
        </w:rPr>
        <w:t> </w:t>
      </w:r>
      <w:r w:rsidRPr="00CD5C90">
        <w:rPr>
          <w:lang w:eastAsia="zh-CN"/>
        </w:rPr>
        <w:t>Sb., o</w:t>
      </w:r>
      <w:r w:rsidR="003937EC">
        <w:rPr>
          <w:lang w:eastAsia="zh-CN"/>
        </w:rPr>
        <w:t> </w:t>
      </w:r>
      <w:r w:rsidRPr="00CD5C90">
        <w:rPr>
          <w:lang w:eastAsia="zh-CN"/>
        </w:rPr>
        <w:t>dani z hazardních her, ve znění pozdějších předpisů</w:t>
      </w:r>
      <w:r w:rsidR="00CD5C90" w:rsidRPr="00CD5C90">
        <w:rPr>
          <w:lang w:eastAsia="zh-CN"/>
        </w:rPr>
        <w:t xml:space="preserve"> </w:t>
      </w:r>
      <w:r w:rsidR="000C5BEF" w:rsidRPr="00CD5C90">
        <w:rPr>
          <w:lang w:eastAsia="zh-CN"/>
        </w:rPr>
        <w:t xml:space="preserve">(dále </w:t>
      </w:r>
      <w:r w:rsidR="001A58FF" w:rsidRPr="00CD5C90">
        <w:rPr>
          <w:lang w:eastAsia="zh-CN"/>
        </w:rPr>
        <w:t>také jako</w:t>
      </w:r>
      <w:r w:rsidR="000C5BEF" w:rsidRPr="00CD5C90">
        <w:rPr>
          <w:lang w:eastAsia="zh-CN"/>
        </w:rPr>
        <w:t xml:space="preserve"> „</w:t>
      </w:r>
      <w:r w:rsidR="00CD5C90" w:rsidRPr="00CD5C90">
        <w:rPr>
          <w:lang w:eastAsia="zh-CN"/>
        </w:rPr>
        <w:t>z</w:t>
      </w:r>
      <w:r w:rsidR="00CD5C90">
        <w:rPr>
          <w:lang w:eastAsia="zh-CN"/>
        </w:rPr>
        <w:t>ákon o  dani z hazardních her”).</w:t>
      </w:r>
    </w:p>
    <w:p w14:paraId="36ACAF3D" w14:textId="0E4AF034" w:rsidR="001A58FF" w:rsidRPr="00372887" w:rsidRDefault="000C5BEF" w:rsidP="00C334E0">
      <w:pPr>
        <w:rPr>
          <w:lang w:eastAsia="zh-CN" w:bidi="ar"/>
        </w:rPr>
      </w:pPr>
      <w:r w:rsidRPr="00372887">
        <w:rPr>
          <w:lang w:eastAsia="zh-CN" w:bidi="ar"/>
        </w:rPr>
        <w:t xml:space="preserve">Relevantní je zmínit i přijaté prováděcí </w:t>
      </w:r>
      <w:r w:rsidR="00CD5C90">
        <w:rPr>
          <w:lang w:eastAsia="zh-CN" w:bidi="ar"/>
        </w:rPr>
        <w:t xml:space="preserve">a další </w:t>
      </w:r>
      <w:r w:rsidRPr="00372887">
        <w:rPr>
          <w:lang w:eastAsia="zh-CN" w:bidi="ar"/>
        </w:rPr>
        <w:t>právní předpisy k zákonu o hazardních hrách. Jedná se o</w:t>
      </w:r>
      <w:r w:rsidR="001A58FF" w:rsidRPr="00372887">
        <w:rPr>
          <w:lang w:eastAsia="zh-CN" w:bidi="ar"/>
        </w:rPr>
        <w:t>:</w:t>
      </w:r>
    </w:p>
    <w:p w14:paraId="1B9C32B0" w14:textId="395DD3DB" w:rsidR="001A58FF" w:rsidRPr="00D62F6D" w:rsidRDefault="000C5BEF" w:rsidP="00D62F6D">
      <w:pPr>
        <w:pStyle w:val="Odstavecseseznamem"/>
        <w:numPr>
          <w:ilvl w:val="0"/>
          <w:numId w:val="20"/>
        </w:numPr>
        <w:jc w:val="both"/>
        <w:rPr>
          <w:rFonts w:ascii="Arial" w:eastAsia="SimSun" w:hAnsi="Arial" w:cs="Arial"/>
          <w:color w:val="000000"/>
          <w:sz w:val="24"/>
          <w:szCs w:val="24"/>
          <w:lang w:eastAsia="zh-CN" w:bidi="ar"/>
        </w:rPr>
      </w:pPr>
      <w:r w:rsidRPr="00D62F6D">
        <w:rPr>
          <w:rFonts w:ascii="Arial" w:eastAsia="SimSun" w:hAnsi="Arial" w:cs="Arial"/>
          <w:color w:val="000000"/>
          <w:sz w:val="24"/>
          <w:szCs w:val="24"/>
          <w:lang w:eastAsia="zh-CN" w:bidi="ar"/>
        </w:rPr>
        <w:t>vyhlášku č. 439/2016 Sb.</w:t>
      </w:r>
      <w:r w:rsidR="00CD5C90" w:rsidRPr="00D62F6D">
        <w:rPr>
          <w:rFonts w:ascii="Arial" w:eastAsia="SimSun" w:hAnsi="Arial" w:cs="Arial"/>
          <w:color w:val="000000"/>
          <w:sz w:val="24"/>
          <w:szCs w:val="24"/>
          <w:lang w:eastAsia="zh-CN" w:bidi="ar"/>
        </w:rPr>
        <w:t>,</w:t>
      </w:r>
      <w:r w:rsidRPr="00D62F6D">
        <w:rPr>
          <w:rFonts w:ascii="Arial" w:eastAsia="SimSun" w:hAnsi="Arial" w:cs="Arial"/>
          <w:color w:val="000000"/>
          <w:sz w:val="24"/>
          <w:szCs w:val="24"/>
          <w:lang w:eastAsia="zh-CN" w:bidi="ar"/>
        </w:rPr>
        <w:t xml:space="preserve"> o požadavcích na minimální náležitosti výstupních dokumentů odborného posuzování a osvědčování a o jejich poskytování orgánům vykonávajícím státní správu v oblasti provozování hazardních her</w:t>
      </w:r>
      <w:r w:rsidR="005479DF">
        <w:rPr>
          <w:rFonts w:ascii="Arial" w:eastAsia="SimSun" w:hAnsi="Arial" w:cs="Arial"/>
          <w:color w:val="000000"/>
          <w:sz w:val="24"/>
          <w:szCs w:val="24"/>
          <w:lang w:eastAsia="zh-CN" w:bidi="ar"/>
        </w:rPr>
        <w:t xml:space="preserve"> (dále také jen „vyhláška o náležitostech výstupních dokumentů“)</w:t>
      </w:r>
      <w:r w:rsidRPr="00D62F6D">
        <w:rPr>
          <w:rFonts w:ascii="Arial" w:eastAsia="SimSun" w:hAnsi="Arial" w:cs="Arial"/>
          <w:color w:val="000000"/>
          <w:sz w:val="24"/>
          <w:szCs w:val="24"/>
          <w:lang w:eastAsia="zh-CN" w:bidi="ar"/>
        </w:rPr>
        <w:t xml:space="preserve">, </w:t>
      </w:r>
    </w:p>
    <w:p w14:paraId="1337AB77" w14:textId="1E75279E" w:rsidR="001A58FF" w:rsidRPr="00D62F6D" w:rsidRDefault="000C5BEF" w:rsidP="00D62F6D">
      <w:pPr>
        <w:pStyle w:val="Odstavecseseznamem"/>
        <w:numPr>
          <w:ilvl w:val="0"/>
          <w:numId w:val="20"/>
        </w:numPr>
        <w:jc w:val="both"/>
        <w:rPr>
          <w:rFonts w:ascii="Arial" w:eastAsia="SimSun" w:hAnsi="Arial" w:cs="Arial"/>
          <w:color w:val="000000"/>
          <w:sz w:val="24"/>
          <w:szCs w:val="24"/>
          <w:lang w:eastAsia="zh-CN" w:bidi="ar"/>
        </w:rPr>
      </w:pPr>
      <w:r w:rsidRPr="00D62F6D">
        <w:rPr>
          <w:rFonts w:ascii="Arial" w:eastAsia="SimSun" w:hAnsi="Arial" w:cs="Arial"/>
          <w:color w:val="000000"/>
          <w:sz w:val="24"/>
          <w:szCs w:val="24"/>
          <w:lang w:eastAsia="zh-CN" w:bidi="ar"/>
        </w:rPr>
        <w:t>vyhlášku č. 208/2017 Sb., kterou se stanoví r</w:t>
      </w:r>
      <w:r w:rsidR="005A6B38">
        <w:rPr>
          <w:rFonts w:ascii="Arial" w:eastAsia="SimSun" w:hAnsi="Arial" w:cs="Arial"/>
          <w:color w:val="000000"/>
          <w:sz w:val="24"/>
          <w:szCs w:val="24"/>
          <w:lang w:eastAsia="zh-CN" w:bidi="ar"/>
        </w:rPr>
        <w:t>ozsah technických parametrů pro </w:t>
      </w:r>
      <w:r w:rsidRPr="00D62F6D">
        <w:rPr>
          <w:rFonts w:ascii="Arial" w:eastAsia="SimSun" w:hAnsi="Arial" w:cs="Arial"/>
          <w:color w:val="000000"/>
          <w:sz w:val="24"/>
          <w:szCs w:val="24"/>
          <w:lang w:eastAsia="zh-CN" w:bidi="ar"/>
        </w:rPr>
        <w:t>zařízení, jejichž prostřednictvím jsou provozovány hazardní hry, požadavků na ochranu a uchovávání herních a finančních dat a jejich technické parametry</w:t>
      </w:r>
      <w:r w:rsidR="005479DF">
        <w:rPr>
          <w:rFonts w:ascii="Arial" w:eastAsia="SimSun" w:hAnsi="Arial" w:cs="Arial"/>
          <w:color w:val="000000"/>
          <w:sz w:val="24"/>
          <w:szCs w:val="24"/>
          <w:lang w:eastAsia="zh-CN" w:bidi="ar"/>
        </w:rPr>
        <w:t xml:space="preserve"> (dále také jen „technická vyhláška“)</w:t>
      </w:r>
      <w:r w:rsidRPr="00D62F6D">
        <w:rPr>
          <w:rFonts w:ascii="Arial" w:eastAsia="SimSun" w:hAnsi="Arial" w:cs="Arial"/>
          <w:color w:val="000000"/>
          <w:sz w:val="24"/>
          <w:szCs w:val="24"/>
          <w:lang w:eastAsia="zh-CN" w:bidi="ar"/>
        </w:rPr>
        <w:t xml:space="preserve">, </w:t>
      </w:r>
    </w:p>
    <w:p w14:paraId="43F32A73" w14:textId="6D6FCBD4" w:rsidR="001A58FF" w:rsidRPr="00D62F6D" w:rsidRDefault="000C5BEF" w:rsidP="00D62F6D">
      <w:pPr>
        <w:pStyle w:val="Odstavecseseznamem"/>
        <w:numPr>
          <w:ilvl w:val="0"/>
          <w:numId w:val="20"/>
        </w:numPr>
        <w:jc w:val="both"/>
        <w:rPr>
          <w:rFonts w:ascii="Arial" w:eastAsia="SimSun" w:hAnsi="Arial" w:cs="Arial"/>
          <w:color w:val="000000"/>
          <w:sz w:val="24"/>
          <w:szCs w:val="24"/>
          <w:lang w:eastAsia="zh-CN" w:bidi="ar"/>
        </w:rPr>
      </w:pPr>
      <w:r w:rsidRPr="00D62F6D">
        <w:rPr>
          <w:rFonts w:ascii="Arial" w:eastAsia="SimSun" w:hAnsi="Arial" w:cs="Arial"/>
          <w:color w:val="000000"/>
          <w:sz w:val="24"/>
          <w:szCs w:val="24"/>
          <w:lang w:eastAsia="zh-CN" w:bidi="ar"/>
        </w:rPr>
        <w:t xml:space="preserve">směrnici </w:t>
      </w:r>
      <w:r w:rsidR="00CD5C90" w:rsidRPr="00D62F6D">
        <w:rPr>
          <w:rFonts w:ascii="Arial" w:eastAsia="SimSun" w:hAnsi="Arial" w:cs="Arial"/>
          <w:color w:val="000000"/>
          <w:sz w:val="24"/>
          <w:szCs w:val="24"/>
          <w:lang w:eastAsia="zh-CN" w:bidi="ar"/>
        </w:rPr>
        <w:t xml:space="preserve">Ministerstva financí </w:t>
      </w:r>
      <w:r w:rsidRPr="00D62F6D">
        <w:rPr>
          <w:rFonts w:ascii="Arial" w:eastAsia="SimSun" w:hAnsi="Arial" w:cs="Arial"/>
          <w:color w:val="000000"/>
          <w:sz w:val="24"/>
          <w:szCs w:val="24"/>
          <w:lang w:eastAsia="zh-CN" w:bidi="ar"/>
        </w:rPr>
        <w:t>č.</w:t>
      </w:r>
      <w:r w:rsidR="00CD5C90" w:rsidRPr="00D62F6D">
        <w:rPr>
          <w:rFonts w:ascii="Arial" w:eastAsia="SimSun" w:hAnsi="Arial" w:cs="Arial"/>
          <w:color w:val="000000"/>
          <w:sz w:val="24"/>
          <w:szCs w:val="24"/>
          <w:lang w:eastAsia="zh-CN" w:bidi="ar"/>
        </w:rPr>
        <w:t xml:space="preserve"> j.</w:t>
      </w:r>
      <w:r w:rsidRPr="00D62F6D">
        <w:rPr>
          <w:rFonts w:ascii="Arial" w:eastAsia="SimSun" w:hAnsi="Arial" w:cs="Arial"/>
          <w:color w:val="000000"/>
          <w:sz w:val="24"/>
          <w:szCs w:val="24"/>
          <w:lang w:eastAsia="zh-CN" w:bidi="ar"/>
        </w:rPr>
        <w:t xml:space="preserve"> MF-929/2017/3404-9 ze dne 3.</w:t>
      </w:r>
      <w:r w:rsidR="003937EC">
        <w:rPr>
          <w:rFonts w:ascii="Arial" w:eastAsia="SimSun" w:hAnsi="Arial" w:cs="Arial"/>
          <w:color w:val="000000"/>
          <w:sz w:val="24"/>
          <w:szCs w:val="24"/>
          <w:lang w:eastAsia="zh-CN" w:bidi="ar"/>
        </w:rPr>
        <w:t> </w:t>
      </w:r>
      <w:r w:rsidRPr="00D62F6D">
        <w:rPr>
          <w:rFonts w:ascii="Arial" w:eastAsia="SimSun" w:hAnsi="Arial" w:cs="Arial"/>
          <w:color w:val="000000"/>
          <w:sz w:val="24"/>
          <w:szCs w:val="24"/>
          <w:lang w:eastAsia="zh-CN" w:bidi="ar"/>
        </w:rPr>
        <w:t>dubna</w:t>
      </w:r>
      <w:r w:rsidR="003937EC">
        <w:rPr>
          <w:rFonts w:ascii="Arial" w:eastAsia="SimSun" w:hAnsi="Arial" w:cs="Arial"/>
          <w:color w:val="000000"/>
          <w:sz w:val="24"/>
          <w:szCs w:val="24"/>
          <w:lang w:eastAsia="zh-CN" w:bidi="ar"/>
        </w:rPr>
        <w:t> </w:t>
      </w:r>
      <w:r w:rsidRPr="00D62F6D">
        <w:rPr>
          <w:rFonts w:ascii="Arial" w:eastAsia="SimSun" w:hAnsi="Arial" w:cs="Arial"/>
          <w:color w:val="000000"/>
          <w:sz w:val="24"/>
          <w:szCs w:val="24"/>
          <w:lang w:eastAsia="zh-CN" w:bidi="ar"/>
        </w:rPr>
        <w:t>2017</w:t>
      </w:r>
      <w:r w:rsidR="00CD5C90" w:rsidRPr="00D62F6D">
        <w:rPr>
          <w:rFonts w:ascii="Arial" w:eastAsia="SimSun" w:hAnsi="Arial" w:cs="Arial"/>
          <w:color w:val="000000"/>
          <w:sz w:val="24"/>
          <w:szCs w:val="24"/>
          <w:lang w:eastAsia="zh-CN" w:bidi="ar"/>
        </w:rPr>
        <w:t>,</w:t>
      </w:r>
      <w:r w:rsidR="001A58FF" w:rsidRPr="00D62F6D">
        <w:rPr>
          <w:rFonts w:ascii="Arial" w:eastAsia="SimSun" w:hAnsi="Arial" w:cs="Arial"/>
          <w:color w:val="000000"/>
          <w:sz w:val="24"/>
          <w:szCs w:val="24"/>
          <w:lang w:eastAsia="zh-CN" w:bidi="ar"/>
        </w:rPr>
        <w:t xml:space="preserve"> </w:t>
      </w:r>
      <w:r w:rsidRPr="00D62F6D">
        <w:rPr>
          <w:rFonts w:ascii="Arial" w:eastAsia="SimSun" w:hAnsi="Arial" w:cs="Arial"/>
          <w:color w:val="000000"/>
          <w:sz w:val="24"/>
          <w:szCs w:val="24"/>
          <w:lang w:eastAsia="zh-CN" w:bidi="ar"/>
        </w:rPr>
        <w:t>o</w:t>
      </w:r>
      <w:r w:rsidR="00CD5C90" w:rsidRPr="00D62F6D">
        <w:rPr>
          <w:rFonts w:ascii="Arial" w:eastAsia="SimSun" w:hAnsi="Arial" w:cs="Arial"/>
          <w:color w:val="000000"/>
          <w:sz w:val="24"/>
          <w:szCs w:val="24"/>
          <w:lang w:eastAsia="zh-CN" w:bidi="ar"/>
        </w:rPr>
        <w:t> </w:t>
      </w:r>
      <w:r w:rsidRPr="00D62F6D">
        <w:rPr>
          <w:rFonts w:ascii="Arial" w:eastAsia="SimSun" w:hAnsi="Arial" w:cs="Arial"/>
          <w:color w:val="000000"/>
          <w:sz w:val="24"/>
          <w:szCs w:val="24"/>
          <w:lang w:eastAsia="zh-CN" w:bidi="ar"/>
        </w:rPr>
        <w:t>postupu obecních úřadů při poskytování informací nezbytných pro výkon dozoru podle zákona č. 186/2016 Sb., o hazardních hrách</w:t>
      </w:r>
      <w:r w:rsidR="00CD5C90" w:rsidRPr="00D62F6D">
        <w:rPr>
          <w:rFonts w:ascii="Arial" w:eastAsia="SimSun" w:hAnsi="Arial" w:cs="Arial"/>
          <w:color w:val="000000"/>
          <w:sz w:val="24"/>
          <w:szCs w:val="24"/>
          <w:lang w:eastAsia="zh-CN" w:bidi="ar"/>
        </w:rPr>
        <w:t>,</w:t>
      </w:r>
    </w:p>
    <w:p w14:paraId="06529ED1" w14:textId="47578CF7" w:rsidR="000C5BEF" w:rsidRDefault="000C5BEF" w:rsidP="00D62F6D">
      <w:pPr>
        <w:pStyle w:val="Odstavecseseznamem"/>
        <w:numPr>
          <w:ilvl w:val="0"/>
          <w:numId w:val="20"/>
        </w:numPr>
        <w:jc w:val="both"/>
        <w:rPr>
          <w:rFonts w:ascii="Arial" w:eastAsia="SimSun" w:hAnsi="Arial" w:cs="Arial"/>
          <w:color w:val="000000"/>
          <w:sz w:val="24"/>
          <w:szCs w:val="24"/>
          <w:lang w:eastAsia="zh-CN" w:bidi="ar"/>
        </w:rPr>
      </w:pPr>
      <w:r w:rsidRPr="00D62F6D">
        <w:rPr>
          <w:rFonts w:ascii="Arial" w:eastAsia="SimSun" w:hAnsi="Arial" w:cs="Arial"/>
          <w:color w:val="000000"/>
          <w:sz w:val="24"/>
          <w:szCs w:val="24"/>
          <w:lang w:eastAsia="zh-CN" w:bidi="ar"/>
        </w:rPr>
        <w:t>vyhlášku č</w:t>
      </w:r>
      <w:r w:rsidR="001A58FF" w:rsidRPr="00D62F6D">
        <w:rPr>
          <w:rFonts w:ascii="Arial" w:eastAsia="SimSun" w:hAnsi="Arial" w:cs="Arial"/>
          <w:color w:val="000000"/>
          <w:sz w:val="24"/>
          <w:szCs w:val="24"/>
          <w:lang w:eastAsia="zh-CN" w:bidi="ar"/>
        </w:rPr>
        <w:t>. 10/2019 Sb., o způsobu oz</w:t>
      </w:r>
      <w:r w:rsidR="00D62F6D">
        <w:rPr>
          <w:rFonts w:ascii="Arial" w:eastAsia="SimSun" w:hAnsi="Arial" w:cs="Arial"/>
          <w:color w:val="000000"/>
          <w:sz w:val="24"/>
          <w:szCs w:val="24"/>
          <w:lang w:eastAsia="zh-CN" w:bidi="ar"/>
        </w:rPr>
        <w:t>namování a zasílání informací a </w:t>
      </w:r>
      <w:r w:rsidR="001A58FF" w:rsidRPr="00D62F6D">
        <w:rPr>
          <w:rFonts w:ascii="Arial" w:eastAsia="SimSun" w:hAnsi="Arial" w:cs="Arial"/>
          <w:color w:val="000000"/>
          <w:sz w:val="24"/>
          <w:szCs w:val="24"/>
          <w:lang w:eastAsia="zh-CN" w:bidi="ar"/>
        </w:rPr>
        <w:t xml:space="preserve">přenosu dat provozovatelem hazardních her, rozsahu přenášených </w:t>
      </w:r>
      <w:r w:rsidR="00D62F6D">
        <w:rPr>
          <w:rFonts w:ascii="Arial" w:eastAsia="SimSun" w:hAnsi="Arial" w:cs="Arial"/>
          <w:color w:val="000000"/>
          <w:sz w:val="24"/>
          <w:szCs w:val="24"/>
          <w:lang w:eastAsia="zh-CN" w:bidi="ar"/>
        </w:rPr>
        <w:t>dat a </w:t>
      </w:r>
      <w:r w:rsidR="001A58FF" w:rsidRPr="00D62F6D">
        <w:rPr>
          <w:rFonts w:ascii="Arial" w:eastAsia="SimSun" w:hAnsi="Arial" w:cs="Arial"/>
          <w:color w:val="000000"/>
          <w:sz w:val="24"/>
          <w:szCs w:val="24"/>
          <w:lang w:eastAsia="zh-CN" w:bidi="ar"/>
        </w:rPr>
        <w:t>jiných tech</w:t>
      </w:r>
      <w:r w:rsidR="00CD5C90" w:rsidRPr="00D62F6D">
        <w:rPr>
          <w:rFonts w:ascii="Arial" w:eastAsia="SimSun" w:hAnsi="Arial" w:cs="Arial"/>
          <w:color w:val="000000"/>
          <w:sz w:val="24"/>
          <w:szCs w:val="24"/>
          <w:lang w:eastAsia="zh-CN" w:bidi="ar"/>
        </w:rPr>
        <w:t>n</w:t>
      </w:r>
      <w:r w:rsidR="00D62F6D">
        <w:rPr>
          <w:rFonts w:ascii="Arial" w:eastAsia="SimSun" w:hAnsi="Arial" w:cs="Arial"/>
          <w:color w:val="000000"/>
          <w:sz w:val="24"/>
          <w:szCs w:val="24"/>
          <w:lang w:eastAsia="zh-CN" w:bidi="ar"/>
        </w:rPr>
        <w:t>ických parametrech přenosu dat</w:t>
      </w:r>
      <w:r w:rsidR="005479DF">
        <w:rPr>
          <w:rFonts w:ascii="Arial" w:eastAsia="SimSun" w:hAnsi="Arial" w:cs="Arial"/>
          <w:color w:val="000000"/>
          <w:sz w:val="24"/>
          <w:szCs w:val="24"/>
          <w:lang w:eastAsia="zh-CN" w:bidi="ar"/>
        </w:rPr>
        <w:t xml:space="preserve"> (dále také jen „reportingová vyhláška“)</w:t>
      </w:r>
      <w:r w:rsidR="00D62F6D">
        <w:rPr>
          <w:rFonts w:ascii="Arial" w:eastAsia="SimSun" w:hAnsi="Arial" w:cs="Arial"/>
          <w:color w:val="000000"/>
          <w:sz w:val="24"/>
          <w:szCs w:val="24"/>
          <w:lang w:eastAsia="zh-CN" w:bidi="ar"/>
        </w:rPr>
        <w:t>.</w:t>
      </w:r>
    </w:p>
    <w:p w14:paraId="7F13752C" w14:textId="64B32D46" w:rsidR="003519E5" w:rsidRPr="00372887" w:rsidRDefault="003519E5" w:rsidP="00C334E0">
      <w:pPr>
        <w:rPr>
          <w:lang w:eastAsia="zh-CN" w:bidi="ar"/>
        </w:rPr>
      </w:pPr>
      <w:r w:rsidRPr="00372887">
        <w:rPr>
          <w:lang w:eastAsia="zh-CN" w:bidi="ar"/>
        </w:rPr>
        <w:t>Zákon o hazardních hrách byl schválen Parlamentem České republiky dne  26. května</w:t>
      </w:r>
      <w:r w:rsidR="003937EC">
        <w:rPr>
          <w:lang w:eastAsia="zh-CN" w:bidi="ar"/>
        </w:rPr>
        <w:t> </w:t>
      </w:r>
      <w:r w:rsidRPr="00372887">
        <w:rPr>
          <w:lang w:eastAsia="zh-CN" w:bidi="ar"/>
        </w:rPr>
        <w:t>2016 a ve Sbírce zákonů byl vydán dne 15. června</w:t>
      </w:r>
      <w:r w:rsidR="003937EC">
        <w:rPr>
          <w:lang w:eastAsia="zh-CN" w:bidi="ar"/>
        </w:rPr>
        <w:t> </w:t>
      </w:r>
      <w:r w:rsidRPr="00372887">
        <w:rPr>
          <w:lang w:eastAsia="zh-CN" w:bidi="ar"/>
        </w:rPr>
        <w:t>2016, účinný byl od 1. ledna</w:t>
      </w:r>
      <w:r w:rsidR="003937EC">
        <w:rPr>
          <w:lang w:eastAsia="zh-CN" w:bidi="ar"/>
        </w:rPr>
        <w:t> </w:t>
      </w:r>
      <w:r w:rsidRPr="00372887">
        <w:rPr>
          <w:lang w:eastAsia="zh-CN" w:bidi="ar"/>
        </w:rPr>
        <w:t>2017. Zákon byl od té doby již několikrát novelizován.</w:t>
      </w:r>
      <w:r w:rsidR="00C31D46" w:rsidRPr="00372887">
        <w:rPr>
          <w:lang w:eastAsia="zh-CN" w:bidi="ar"/>
        </w:rPr>
        <w:t xml:space="preserve"> Obdobná situace je v případě zákona o dani z hazardních her.</w:t>
      </w:r>
      <w:r w:rsidR="009E7C9E">
        <w:rPr>
          <w:lang w:eastAsia="zh-CN" w:bidi="ar"/>
        </w:rPr>
        <w:t xml:space="preserve"> V </w:t>
      </w:r>
      <w:r w:rsidRPr="00372887">
        <w:rPr>
          <w:lang w:eastAsia="zh-CN" w:bidi="ar"/>
        </w:rPr>
        <w:t>lednu 2021 tedy uplynuly čtyři roky od zahájení implementace tohoto zákona, což předsta</w:t>
      </w:r>
      <w:r w:rsidR="005A6B38">
        <w:rPr>
          <w:lang w:eastAsia="zh-CN" w:bidi="ar"/>
        </w:rPr>
        <w:t>vuje dostatečně dlouhou dobu na </w:t>
      </w:r>
      <w:r w:rsidRPr="00372887">
        <w:rPr>
          <w:lang w:eastAsia="zh-CN" w:bidi="ar"/>
        </w:rPr>
        <w:t>zpracování ex post vyhodnocení dopadů (dále také „přezkum“</w:t>
      </w:r>
      <w:r w:rsidR="009C2EFD">
        <w:rPr>
          <w:lang w:eastAsia="zh-CN" w:bidi="ar"/>
        </w:rPr>
        <w:t>, „Analýza“</w:t>
      </w:r>
      <w:r w:rsidR="005A6B38">
        <w:rPr>
          <w:lang w:eastAsia="zh-CN" w:bidi="ar"/>
        </w:rPr>
        <w:t xml:space="preserve"> nebo „ex </w:t>
      </w:r>
      <w:r w:rsidRPr="00372887">
        <w:rPr>
          <w:lang w:eastAsia="zh-CN" w:bidi="ar"/>
        </w:rPr>
        <w:t>post RIA“) kompletní právní úpravy regulace hazardních her v České republice, ale také na zjištění zkušeností a  názorů od „uživatelů/adresá</w:t>
      </w:r>
      <w:r w:rsidR="00D62F6D">
        <w:rPr>
          <w:lang w:eastAsia="zh-CN" w:bidi="ar"/>
        </w:rPr>
        <w:t>tů/subjektů“ samotného zákona o </w:t>
      </w:r>
      <w:r w:rsidRPr="00372887">
        <w:rPr>
          <w:lang w:eastAsia="zh-CN" w:bidi="ar"/>
        </w:rPr>
        <w:t xml:space="preserve">hazardních hrách z hlediska jeho implementace. </w:t>
      </w:r>
    </w:p>
    <w:p w14:paraId="288312AB" w14:textId="038EE366" w:rsidR="003519E5" w:rsidRPr="00372887" w:rsidRDefault="003519E5" w:rsidP="00C334E0">
      <w:pPr>
        <w:rPr>
          <w:lang w:eastAsia="zh-CN"/>
        </w:rPr>
      </w:pPr>
      <w:r w:rsidRPr="00372887">
        <w:rPr>
          <w:lang w:eastAsia="zh-CN"/>
        </w:rPr>
        <w:t xml:space="preserve">Ex post RIA je zpracovávána v návaznosti na požadavky Metodiky přezkumu účinnosti právních předpisů Úřadu vlády ČR a požadavky části </w:t>
      </w:r>
      <w:r w:rsidR="00662DDC">
        <w:rPr>
          <w:lang w:eastAsia="zh-CN"/>
        </w:rPr>
        <w:t>přílohy č.</w:t>
      </w:r>
      <w:r w:rsidR="00662DDC" w:rsidRPr="00372887">
        <w:rPr>
          <w:lang w:eastAsia="zh-CN"/>
        </w:rPr>
        <w:t xml:space="preserve"> </w:t>
      </w:r>
      <w:r w:rsidRPr="00372887">
        <w:rPr>
          <w:lang w:eastAsia="zh-CN"/>
        </w:rPr>
        <w:t xml:space="preserve">6. Závěrečné zprávy z hodnocení dopadů regulace zákona o hazardních hrách (dále jen „RIA“). Dle RIA by měly centrální orgány po zavedení informačního systému provozování hazardních her disponovat dostatečnými údaji potřebnými pro  analýzu a následné vyhodnocení dopadů regulace ex post. Dle RIA se jako účelné jeví každoroční vyhodnocovaní trendů v této oblasti a jejich následné předložení vládě </w:t>
      </w:r>
      <w:r w:rsidR="00D4451F">
        <w:rPr>
          <w:lang w:eastAsia="zh-CN"/>
        </w:rPr>
        <w:t>i </w:t>
      </w:r>
      <w:r w:rsidRPr="00372887">
        <w:rPr>
          <w:lang w:eastAsia="zh-CN"/>
        </w:rPr>
        <w:t xml:space="preserve">veřejnosti. Vzhledem k tomu, že </w:t>
      </w:r>
      <w:r w:rsidR="00D62F6D">
        <w:rPr>
          <w:lang w:eastAsia="zh-CN"/>
        </w:rPr>
        <w:t xml:space="preserve">dle RIA </w:t>
      </w:r>
      <w:r w:rsidRPr="00372887">
        <w:rPr>
          <w:lang w:eastAsia="zh-CN"/>
        </w:rPr>
        <w:t>plné zavedení informačního systém</w:t>
      </w:r>
      <w:r w:rsidR="005A6B38">
        <w:rPr>
          <w:lang w:eastAsia="zh-CN"/>
        </w:rPr>
        <w:t>u může mít částečné zpoždění za </w:t>
      </w:r>
      <w:r w:rsidRPr="00372887">
        <w:rPr>
          <w:lang w:eastAsia="zh-CN"/>
        </w:rPr>
        <w:t>platností zákona lze předpokládat, že  první takovéto vyhodnocení by se mělo konat nejpozději do pěti let od  platnosti zákona (v</w:t>
      </w:r>
      <w:r w:rsidR="005A6B38">
        <w:rPr>
          <w:lang w:eastAsia="zh-CN"/>
        </w:rPr>
        <w:t>yhodnocována tedy budou data za </w:t>
      </w:r>
      <w:r w:rsidRPr="00372887">
        <w:rPr>
          <w:lang w:eastAsia="zh-CN"/>
        </w:rPr>
        <w:t xml:space="preserve">čtyři roky fungování systému, resp.  dva roky fungování informačního systému provozování hazardních her. V rámci prvního vyhodnocení bude podstatné zapojení zahraničních poskytovatelů hazardních her do regulace v ČR </w:t>
      </w:r>
      <w:r w:rsidR="007D4ED3">
        <w:rPr>
          <w:lang w:eastAsia="zh-CN"/>
        </w:rPr>
        <w:t>a</w:t>
      </w:r>
      <w:r w:rsidR="009E7C9E">
        <w:rPr>
          <w:lang w:eastAsia="zh-CN"/>
        </w:rPr>
        <w:t xml:space="preserve">  v </w:t>
      </w:r>
      <w:r w:rsidRPr="00372887">
        <w:rPr>
          <w:lang w:eastAsia="zh-CN"/>
        </w:rPr>
        <w:t>dlouhodobém horizontu především počet problémových a</w:t>
      </w:r>
      <w:r w:rsidR="00993B3E">
        <w:rPr>
          <w:lang w:eastAsia="zh-CN"/>
        </w:rPr>
        <w:t> </w:t>
      </w:r>
      <w:r w:rsidRPr="00372887">
        <w:rPr>
          <w:lang w:eastAsia="zh-CN"/>
        </w:rPr>
        <w:t>patologických hráčů</w:t>
      </w:r>
      <w:r w:rsidR="007C268C">
        <w:rPr>
          <w:lang w:eastAsia="zh-CN"/>
        </w:rPr>
        <w:t xml:space="preserve"> </w:t>
      </w:r>
      <w:r w:rsidR="007D4ED3">
        <w:rPr>
          <w:lang w:eastAsia="zh-CN"/>
        </w:rPr>
        <w:t>(</w:t>
      </w:r>
      <w:r w:rsidR="007C268C">
        <w:rPr>
          <w:lang w:eastAsia="zh-CN"/>
        </w:rPr>
        <w:t xml:space="preserve">RIA definuje cíl </w:t>
      </w:r>
      <w:r w:rsidR="007C268C" w:rsidRPr="00372887">
        <w:rPr>
          <w:lang w:eastAsia="zh-CN"/>
        </w:rPr>
        <w:t>snížení</w:t>
      </w:r>
      <w:r w:rsidR="007C268C">
        <w:rPr>
          <w:lang w:eastAsia="zh-CN"/>
        </w:rPr>
        <w:t>m</w:t>
      </w:r>
      <w:r w:rsidR="007C268C" w:rsidRPr="00372887">
        <w:rPr>
          <w:lang w:eastAsia="zh-CN"/>
        </w:rPr>
        <w:t xml:space="preserve"> počtu </w:t>
      </w:r>
      <w:r w:rsidR="007C268C" w:rsidRPr="00372887">
        <w:rPr>
          <w:lang w:eastAsia="zh-CN"/>
        </w:rPr>
        <w:lastRenderedPageBreak/>
        <w:t>problémových a patologických hráčů o 10 %</w:t>
      </w:r>
      <w:r w:rsidR="007D4ED3">
        <w:rPr>
          <w:lang w:eastAsia="zh-CN"/>
        </w:rPr>
        <w:t>)</w:t>
      </w:r>
      <w:r w:rsidR="007C268C">
        <w:rPr>
          <w:lang w:eastAsia="zh-CN"/>
        </w:rPr>
        <w:t xml:space="preserve">.  Potenciální </w:t>
      </w:r>
      <w:r w:rsidR="009E7C9E">
        <w:rPr>
          <w:lang w:eastAsia="zh-CN"/>
        </w:rPr>
        <w:t>nárůst rozpočtových a </w:t>
      </w:r>
      <w:r w:rsidR="007C268C" w:rsidRPr="00372887">
        <w:rPr>
          <w:lang w:eastAsia="zh-CN"/>
        </w:rPr>
        <w:t>dalších příjmů</w:t>
      </w:r>
      <w:r w:rsidR="007C268C">
        <w:rPr>
          <w:lang w:eastAsia="zh-CN"/>
        </w:rPr>
        <w:t xml:space="preserve"> je v tomto ohledu až sekundární.</w:t>
      </w:r>
      <w:r w:rsidR="007C268C" w:rsidRPr="00372887">
        <w:rPr>
          <w:lang w:eastAsia="zh-CN"/>
        </w:rPr>
        <w:t xml:space="preserve"> </w:t>
      </w:r>
    </w:p>
    <w:p w14:paraId="4770035C" w14:textId="1E4B56BD" w:rsidR="003519E5" w:rsidRPr="00372887" w:rsidRDefault="003519E5" w:rsidP="00C334E0">
      <w:pPr>
        <w:rPr>
          <w:lang w:eastAsia="zh-CN"/>
        </w:rPr>
      </w:pPr>
      <w:r w:rsidRPr="00372887">
        <w:rPr>
          <w:lang w:eastAsia="zh-CN"/>
        </w:rPr>
        <w:t xml:space="preserve">Při vyhodnocení by měly být zohledněny </w:t>
      </w:r>
      <w:r w:rsidR="00DB797D" w:rsidRPr="00372887">
        <w:rPr>
          <w:lang w:eastAsia="zh-CN"/>
        </w:rPr>
        <w:t>nejen zmíněné</w:t>
      </w:r>
      <w:r w:rsidRPr="00372887">
        <w:rPr>
          <w:lang w:eastAsia="zh-CN"/>
        </w:rPr>
        <w:t xml:space="preserve"> ukazatele popisující trh</w:t>
      </w:r>
      <w:r w:rsidR="00DB797D" w:rsidRPr="00372887">
        <w:rPr>
          <w:lang w:eastAsia="zh-CN"/>
        </w:rPr>
        <w:t xml:space="preserve"> s hazardními hrami, ale i další relevantní skutečnosti.</w:t>
      </w:r>
      <w:r w:rsidRPr="00372887">
        <w:rPr>
          <w:lang w:eastAsia="zh-CN"/>
        </w:rPr>
        <w:t xml:space="preserve"> </w:t>
      </w:r>
    </w:p>
    <w:p w14:paraId="2F3DC713" w14:textId="4CD79A97" w:rsidR="003519E5" w:rsidRPr="00372887" w:rsidRDefault="003519E5" w:rsidP="00C334E0">
      <w:pPr>
        <w:rPr>
          <w:b/>
          <w:bCs/>
          <w:lang w:eastAsia="zh-CN"/>
        </w:rPr>
      </w:pPr>
      <w:r w:rsidRPr="00372887">
        <w:rPr>
          <w:b/>
          <w:bCs/>
          <w:lang w:eastAsia="zh-CN"/>
        </w:rPr>
        <w:t xml:space="preserve">Cílem tohoto dokumentu </w:t>
      </w:r>
      <w:r w:rsidR="00D62F6D">
        <w:rPr>
          <w:b/>
          <w:bCs/>
          <w:lang w:eastAsia="zh-CN"/>
        </w:rPr>
        <w:t xml:space="preserve">je s ohledem na výše uvedené </w:t>
      </w:r>
      <w:r w:rsidRPr="00372887">
        <w:rPr>
          <w:b/>
          <w:bCs/>
          <w:lang w:eastAsia="zh-CN"/>
        </w:rPr>
        <w:t xml:space="preserve">provést komplexní přezkum účinnosti tohoto zákona. </w:t>
      </w:r>
    </w:p>
    <w:p w14:paraId="700AF7E5" w14:textId="177A9296" w:rsidR="003519E5" w:rsidRPr="00365ED5" w:rsidRDefault="003519E5" w:rsidP="00610772">
      <w:pPr>
        <w:pStyle w:val="Nadpis3"/>
        <w:rPr>
          <w:rFonts w:cs="Arial"/>
        </w:rPr>
      </w:pPr>
      <w:bookmarkStart w:id="9" w:name="_Toc69210521"/>
      <w:bookmarkStart w:id="10" w:name="_Toc72999522"/>
      <w:bookmarkStart w:id="11" w:name="_Toc73613624"/>
      <w:r w:rsidRPr="00365ED5">
        <w:rPr>
          <w:rFonts w:cs="Arial"/>
        </w:rPr>
        <w:t>Metodický postup přezkumu</w:t>
      </w:r>
      <w:bookmarkEnd w:id="9"/>
      <w:bookmarkEnd w:id="10"/>
      <w:bookmarkEnd w:id="11"/>
    </w:p>
    <w:p w14:paraId="6FD4FDC8" w14:textId="39D53DD2" w:rsidR="003519E5" w:rsidRPr="00372887" w:rsidRDefault="003519E5" w:rsidP="00C334E0">
      <w:r w:rsidRPr="00372887">
        <w:rPr>
          <w:lang w:eastAsia="zh-CN" w:bidi="ar"/>
        </w:rPr>
        <w:t>Přezkum se opírá o metodiku hodnocení dopadů regulace neboli RIA (Regulatory Impact Assessment), která je souborem kroků analyzujících očekávané dopady navrhovaných právních předpisů. Tato metodika</w:t>
      </w:r>
      <w:r w:rsidR="005A6B38">
        <w:rPr>
          <w:lang w:eastAsia="zh-CN" w:bidi="ar"/>
        </w:rPr>
        <w:t xml:space="preserve"> je součástí Obecných zásad pro </w:t>
      </w:r>
      <w:r w:rsidRPr="00372887">
        <w:rPr>
          <w:lang w:eastAsia="zh-CN" w:bidi="ar"/>
        </w:rPr>
        <w:t xml:space="preserve">hodnocení dopadů regulace, které byly naposledy </w:t>
      </w:r>
      <w:r w:rsidR="00D62F6D">
        <w:rPr>
          <w:lang w:eastAsia="zh-CN" w:bidi="ar"/>
        </w:rPr>
        <w:t>novelizovány usnesením vlády č. </w:t>
      </w:r>
      <w:r w:rsidRPr="00372887">
        <w:rPr>
          <w:lang w:eastAsia="zh-CN" w:bidi="ar"/>
        </w:rPr>
        <w:t xml:space="preserve">76 ze dne 3. února 2016, a jsou určeny pro  hodnocení dopadů zákonů před jejich schválením a nabytím účinnosti. </w:t>
      </w:r>
    </w:p>
    <w:p w14:paraId="5918C995" w14:textId="1465D409" w:rsidR="003519E5" w:rsidRPr="00372887" w:rsidRDefault="003519E5" w:rsidP="00C334E0">
      <w:r w:rsidRPr="00372887">
        <w:rPr>
          <w:lang w:eastAsia="zh-CN" w:bidi="ar"/>
        </w:rPr>
        <w:t>Pro zpracování přezkumu byla v modifikované podobě využita Metodika přezkumu účinnosti právních předpisů zpracovaná Úřadem vlády České republiky v roce 2018. Tato metodika obsahuje doporučený postup pro  provedení přezkumu a stanovuje strukturu výsledné zprávy. Pro provedení přezkumu proto byla rovněž využita metodika hodnocení regulace předpisů EU Impact A</w:t>
      </w:r>
      <w:r w:rsidR="009E7C9E">
        <w:rPr>
          <w:lang w:eastAsia="zh-CN" w:bidi="ar"/>
        </w:rPr>
        <w:t>ssessment Guidelines ze dne 15. </w:t>
      </w:r>
      <w:r w:rsidRPr="00372887">
        <w:rPr>
          <w:lang w:eastAsia="zh-CN" w:bidi="ar"/>
        </w:rPr>
        <w:t xml:space="preserve">ledna 2009, zejména kapitola VI. Quidelines on evaluation. </w:t>
      </w:r>
    </w:p>
    <w:p w14:paraId="26FA3092" w14:textId="77777777" w:rsidR="003519E5" w:rsidRPr="00372887" w:rsidRDefault="003519E5" w:rsidP="00C334E0">
      <w:pPr>
        <w:rPr>
          <w:highlight w:val="yellow"/>
        </w:rPr>
      </w:pPr>
      <w:r w:rsidRPr="00372887">
        <w:rPr>
          <w:lang w:eastAsia="zh-CN" w:bidi="ar"/>
        </w:rPr>
        <w:t>Metodický postup zpracování ex post RIA byl přizpůsoben celkovému kontextu přijetí zákona do právního řádu České republiky.</w:t>
      </w:r>
    </w:p>
    <w:p w14:paraId="672629E7" w14:textId="0877D290" w:rsidR="003519E5" w:rsidRPr="00372887" w:rsidRDefault="003519E5" w:rsidP="00C334E0">
      <w:r w:rsidRPr="00372887">
        <w:rPr>
          <w:lang w:eastAsia="zh-CN" w:bidi="ar"/>
        </w:rPr>
        <w:t>Výchozím vstupem pro provedení přezkumu byla část RIA, která konstat</w:t>
      </w:r>
      <w:r w:rsidR="00D62F6D">
        <w:rPr>
          <w:lang w:eastAsia="zh-CN" w:bidi="ar"/>
        </w:rPr>
        <w:t>uje základní principy přezkumu z</w:t>
      </w:r>
      <w:r w:rsidRPr="00372887">
        <w:rPr>
          <w:lang w:eastAsia="zh-CN" w:bidi="ar"/>
        </w:rPr>
        <w:t xml:space="preserve">ákona o hazardních hrách a dále analýza textu zákona, v rámci které byly upřesněny cíle, principy a analyzovány jednotlivé nástroje </w:t>
      </w:r>
      <w:r w:rsidR="00D62F6D">
        <w:rPr>
          <w:lang w:eastAsia="zh-CN" w:bidi="ar"/>
        </w:rPr>
        <w:t xml:space="preserve">tohoto </w:t>
      </w:r>
      <w:r w:rsidRPr="00372887">
        <w:rPr>
          <w:lang w:eastAsia="zh-CN" w:bidi="ar"/>
        </w:rPr>
        <w:t xml:space="preserve">zákona. Na základě analýzy textu zákona </w:t>
      </w:r>
      <w:r w:rsidR="00004257" w:rsidRPr="00372887">
        <w:rPr>
          <w:lang w:eastAsia="zh-CN" w:bidi="ar"/>
        </w:rPr>
        <w:t xml:space="preserve">a situace na trhu s hazardními hrami </w:t>
      </w:r>
      <w:r w:rsidRPr="00372887">
        <w:rPr>
          <w:lang w:eastAsia="zh-CN" w:bidi="ar"/>
        </w:rPr>
        <w:t>byl</w:t>
      </w:r>
      <w:r w:rsidR="00004257" w:rsidRPr="00372887">
        <w:rPr>
          <w:lang w:eastAsia="zh-CN" w:bidi="ar"/>
        </w:rPr>
        <w:t>y</w:t>
      </w:r>
      <w:r w:rsidRPr="00372887">
        <w:rPr>
          <w:lang w:eastAsia="zh-CN" w:bidi="ar"/>
        </w:rPr>
        <w:t xml:space="preserve"> identifikován</w:t>
      </w:r>
      <w:r w:rsidR="00004257" w:rsidRPr="00372887">
        <w:rPr>
          <w:lang w:eastAsia="zh-CN" w:bidi="ar"/>
        </w:rPr>
        <w:t xml:space="preserve">y potenciální </w:t>
      </w:r>
      <w:r w:rsidR="00171292" w:rsidRPr="00372887">
        <w:rPr>
          <w:lang w:eastAsia="zh-CN" w:bidi="ar"/>
        </w:rPr>
        <w:t>problematické o</w:t>
      </w:r>
      <w:r w:rsidR="00004257" w:rsidRPr="00372887">
        <w:rPr>
          <w:lang w:eastAsia="zh-CN" w:bidi="ar"/>
        </w:rPr>
        <w:t xml:space="preserve">blasti </w:t>
      </w:r>
      <w:r w:rsidR="00171292" w:rsidRPr="00372887">
        <w:rPr>
          <w:lang w:eastAsia="zh-CN" w:bidi="ar"/>
        </w:rPr>
        <w:t>či</w:t>
      </w:r>
      <w:r w:rsidRPr="00372887">
        <w:rPr>
          <w:lang w:eastAsia="zh-CN" w:bidi="ar"/>
        </w:rPr>
        <w:t xml:space="preserve"> rizika, kter</w:t>
      </w:r>
      <w:r w:rsidR="00171292" w:rsidRPr="00372887">
        <w:rPr>
          <w:lang w:eastAsia="zh-CN" w:bidi="ar"/>
        </w:rPr>
        <w:t>é</w:t>
      </w:r>
      <w:r w:rsidRPr="00372887">
        <w:rPr>
          <w:lang w:eastAsia="zh-CN" w:bidi="ar"/>
        </w:rPr>
        <w:t xml:space="preserve"> byl</w:t>
      </w:r>
      <w:r w:rsidR="00171292" w:rsidRPr="00372887">
        <w:rPr>
          <w:lang w:eastAsia="zh-CN" w:bidi="ar"/>
        </w:rPr>
        <w:t>y</w:t>
      </w:r>
      <w:r w:rsidRPr="00372887">
        <w:rPr>
          <w:lang w:eastAsia="zh-CN" w:bidi="ar"/>
        </w:rPr>
        <w:t xml:space="preserve"> v rámci zpracování přezkumu </w:t>
      </w:r>
      <w:r w:rsidR="00171292" w:rsidRPr="00372887">
        <w:rPr>
          <w:lang w:eastAsia="zh-CN" w:bidi="ar"/>
        </w:rPr>
        <w:t xml:space="preserve">posuzovány a </w:t>
      </w:r>
      <w:r w:rsidRPr="00372887">
        <w:rPr>
          <w:lang w:eastAsia="zh-CN" w:bidi="ar"/>
        </w:rPr>
        <w:t>ověřován</w:t>
      </w:r>
      <w:r w:rsidR="00171292" w:rsidRPr="00372887">
        <w:rPr>
          <w:lang w:eastAsia="zh-CN" w:bidi="ar"/>
        </w:rPr>
        <w:t>y</w:t>
      </w:r>
      <w:r w:rsidRPr="00372887">
        <w:rPr>
          <w:lang w:eastAsia="zh-CN" w:bidi="ar"/>
        </w:rPr>
        <w:t xml:space="preserve">. </w:t>
      </w:r>
    </w:p>
    <w:p w14:paraId="3E226D17" w14:textId="08E619E4" w:rsidR="003519E5" w:rsidRPr="00372887" w:rsidRDefault="003519E5" w:rsidP="00C334E0">
      <w:pPr>
        <w:rPr>
          <w:highlight w:val="yellow"/>
        </w:rPr>
      </w:pPr>
      <w:r w:rsidRPr="00372887">
        <w:rPr>
          <w:lang w:eastAsia="zh-CN" w:bidi="ar"/>
        </w:rPr>
        <w:t xml:space="preserve">Pro přezkum byly definovány také indikátory, které byly vytvořeny v souladu se  standardními postupy pro tvorbu indikátorů. Pro vyhodnocení indikátorů byla využita kvantitativní a kvalitativní analýza dat z </w:t>
      </w:r>
      <w:r w:rsidR="00171292" w:rsidRPr="00372887">
        <w:rPr>
          <w:lang w:eastAsia="zh-CN"/>
        </w:rPr>
        <w:t>informačního systému provozování hazardních her,</w:t>
      </w:r>
      <w:r w:rsidR="00171292" w:rsidRPr="00372887" w:rsidDel="00457663">
        <w:rPr>
          <w:lang w:eastAsia="zh-CN" w:bidi="ar"/>
        </w:rPr>
        <w:t xml:space="preserve"> </w:t>
      </w:r>
      <w:r w:rsidR="00171292" w:rsidRPr="00372887">
        <w:rPr>
          <w:lang w:eastAsia="zh-CN" w:bidi="ar"/>
        </w:rPr>
        <w:t>dat a poznatků  získaných z vlastní činnosti Ministerstva fi</w:t>
      </w:r>
      <w:r w:rsidR="00D62F6D">
        <w:rPr>
          <w:lang w:eastAsia="zh-CN" w:bidi="ar"/>
        </w:rPr>
        <w:t>nancí a </w:t>
      </w:r>
      <w:r w:rsidR="00171292" w:rsidRPr="00372887">
        <w:rPr>
          <w:lang w:eastAsia="zh-CN" w:bidi="ar"/>
        </w:rPr>
        <w:t xml:space="preserve">orgánů státní správy i od dalších zainteresovaných a dotčených subjektů. </w:t>
      </w:r>
    </w:p>
    <w:p w14:paraId="49BFF3F5" w14:textId="04C68772" w:rsidR="003519E5" w:rsidRPr="00372887" w:rsidRDefault="003519E5" w:rsidP="00C334E0">
      <w:r w:rsidRPr="00372887">
        <w:rPr>
          <w:lang w:eastAsia="zh-CN" w:bidi="ar"/>
        </w:rPr>
        <w:t xml:space="preserve">Kromě empirických metod výzkumu byla využita celá </w:t>
      </w:r>
      <w:r w:rsidR="00D62F6D">
        <w:rPr>
          <w:lang w:eastAsia="zh-CN" w:bidi="ar"/>
        </w:rPr>
        <w:t>řada dílčích metod a  postupů k </w:t>
      </w:r>
      <w:r w:rsidRPr="00372887">
        <w:rPr>
          <w:lang w:eastAsia="zh-CN" w:bidi="ar"/>
        </w:rPr>
        <w:t xml:space="preserve">formulování hlavních závěrů přezkumu. Využity byly zejména metody deskripce, analýzy, syntézy, indukce a dedukce včetně metody logické a analogické. </w:t>
      </w:r>
    </w:p>
    <w:p w14:paraId="63FEC75B" w14:textId="3733E200" w:rsidR="003519E5" w:rsidRPr="00372887" w:rsidRDefault="003519E5" w:rsidP="00C334E0">
      <w:r w:rsidRPr="00372887">
        <w:rPr>
          <w:lang w:eastAsia="zh-CN" w:bidi="ar"/>
        </w:rPr>
        <w:t>Výsledkem bylo provedení vyhodnocení dopadů dle jednotlivých nástrojů a  prezentace výsledků a dopadů ve vztahu k naplnění cílů zákona</w:t>
      </w:r>
      <w:r w:rsidR="00171292" w:rsidRPr="00372887">
        <w:rPr>
          <w:lang w:eastAsia="zh-CN" w:bidi="ar"/>
        </w:rPr>
        <w:t>, včetně případných závěrů a doporučení</w:t>
      </w:r>
      <w:r w:rsidRPr="00372887">
        <w:rPr>
          <w:lang w:eastAsia="zh-CN" w:bidi="ar"/>
        </w:rPr>
        <w:t xml:space="preserve">. </w:t>
      </w:r>
    </w:p>
    <w:p w14:paraId="4032E798" w14:textId="6D53A1B9" w:rsidR="003519E5" w:rsidRPr="00372887" w:rsidRDefault="003519E5" w:rsidP="00C334E0">
      <w:pPr>
        <w:rPr>
          <w:lang w:eastAsia="zh-CN" w:bidi="ar"/>
        </w:rPr>
      </w:pPr>
      <w:r w:rsidRPr="00372887">
        <w:rPr>
          <w:lang w:eastAsia="zh-CN" w:bidi="ar"/>
        </w:rPr>
        <w:t xml:space="preserve">Podstatou přezkumu účinnosti zákona o hazardních hrách a zákona o dani z hazardních her jako celku jakož i jednotlivých norem/institutů je posouzení </w:t>
      </w:r>
      <w:r w:rsidR="00171292" w:rsidRPr="00372887">
        <w:rPr>
          <w:lang w:eastAsia="zh-CN" w:bidi="ar"/>
        </w:rPr>
        <w:t xml:space="preserve">zejména </w:t>
      </w:r>
      <w:r w:rsidRPr="00372887">
        <w:rPr>
          <w:lang w:eastAsia="zh-CN" w:bidi="ar"/>
        </w:rPr>
        <w:t>jejich potřebnosti a je</w:t>
      </w:r>
      <w:r w:rsidR="00171292" w:rsidRPr="00372887">
        <w:rPr>
          <w:lang w:eastAsia="zh-CN" w:bidi="ar"/>
        </w:rPr>
        <w:t>jich</w:t>
      </w:r>
      <w:r w:rsidRPr="00372887">
        <w:rPr>
          <w:lang w:eastAsia="zh-CN" w:bidi="ar"/>
        </w:rPr>
        <w:t xml:space="preserve"> efektivity. V této souvislosti </w:t>
      </w:r>
      <w:r w:rsidR="00171292" w:rsidRPr="00372887">
        <w:rPr>
          <w:lang w:eastAsia="zh-CN" w:bidi="ar"/>
        </w:rPr>
        <w:t xml:space="preserve">je </w:t>
      </w:r>
      <w:r w:rsidRPr="00372887">
        <w:rPr>
          <w:lang w:eastAsia="zh-CN" w:bidi="ar"/>
        </w:rPr>
        <w:t xml:space="preserve">hodnoceno jednak to, zda </w:t>
      </w:r>
      <w:r w:rsidRPr="00372887">
        <w:rPr>
          <w:lang w:eastAsia="zh-CN" w:bidi="ar"/>
        </w:rPr>
        <w:lastRenderedPageBreak/>
        <w:t xml:space="preserve">právní úprava vede ke stanovenému cíli, </w:t>
      </w:r>
      <w:r w:rsidR="009C2EFD">
        <w:rPr>
          <w:lang w:eastAsia="zh-CN" w:bidi="ar"/>
        </w:rPr>
        <w:t xml:space="preserve">jednak zda existuje nějaký jiný či </w:t>
      </w:r>
      <w:r w:rsidRPr="00372887">
        <w:rPr>
          <w:lang w:eastAsia="zh-CN" w:bidi="ar"/>
        </w:rPr>
        <w:t>další způsob</w:t>
      </w:r>
      <w:r w:rsidR="009C2EFD">
        <w:rPr>
          <w:lang w:eastAsia="zh-CN" w:bidi="ar"/>
        </w:rPr>
        <w:t>,</w:t>
      </w:r>
      <w:r w:rsidRPr="00372887">
        <w:rPr>
          <w:lang w:eastAsia="zh-CN" w:bidi="ar"/>
        </w:rPr>
        <w:t xml:space="preserve"> jak cíle lépe dosáhnout.</w:t>
      </w:r>
    </w:p>
    <w:p w14:paraId="7BEB7D85" w14:textId="1E339193" w:rsidR="003519E5" w:rsidRPr="00372887" w:rsidRDefault="003519E5" w:rsidP="00C334E0">
      <w:pPr>
        <w:rPr>
          <w:lang w:eastAsia="zh-CN" w:bidi="ar"/>
        </w:rPr>
      </w:pPr>
      <w:r w:rsidRPr="00372887">
        <w:rPr>
          <w:lang w:eastAsia="zh-CN" w:bidi="ar"/>
        </w:rPr>
        <w:t>Základním kritériem pro hodnocení je míra naplnění stanovených cílů. RIA je v tomto ohledu velmi stručná a zabývá se pouze počtem patologických hráčů, zapojením zahraničních provozovatelů hazardních her a nárůst</w:t>
      </w:r>
      <w:r w:rsidR="004D51B3">
        <w:rPr>
          <w:lang w:eastAsia="zh-CN" w:bidi="ar"/>
        </w:rPr>
        <w:t>em</w:t>
      </w:r>
      <w:r w:rsidRPr="00372887">
        <w:rPr>
          <w:lang w:eastAsia="zh-CN" w:bidi="ar"/>
        </w:rPr>
        <w:t xml:space="preserve"> rozpočtových a  dalších příjmů.</w:t>
      </w:r>
      <w:r w:rsidR="00171292" w:rsidRPr="00372887">
        <w:rPr>
          <w:lang w:eastAsia="zh-CN" w:bidi="ar"/>
        </w:rPr>
        <w:t xml:space="preserve"> V tomto ohledu jsou ambice </w:t>
      </w:r>
      <w:r w:rsidR="00DA6ED0" w:rsidRPr="00372887">
        <w:rPr>
          <w:lang w:eastAsia="zh-CN" w:bidi="ar"/>
        </w:rPr>
        <w:t>hodnocení dopadů regulace v rámce této ex post RIA mnohem širší a komplexnější.</w:t>
      </w:r>
      <w:r w:rsidRPr="00372887">
        <w:rPr>
          <w:lang w:eastAsia="zh-CN" w:bidi="ar"/>
        </w:rPr>
        <w:t xml:space="preserve"> Analýza vedle explicitně uvedeného hodnotí kvantitativně i  kvalitativně všechny základní instituty dotčené právní úpravy</w:t>
      </w:r>
      <w:r w:rsidR="00DA6ED0" w:rsidRPr="00372887">
        <w:rPr>
          <w:lang w:eastAsia="zh-CN" w:bidi="ar"/>
        </w:rPr>
        <w:t xml:space="preserve"> a jejich dopady a potenciálně problematické či rizikové oblasti, u nichž navrhuje závěry či doporučení</w:t>
      </w:r>
      <w:r w:rsidRPr="00372887">
        <w:rPr>
          <w:lang w:eastAsia="zh-CN" w:bidi="ar"/>
        </w:rPr>
        <w:t>.</w:t>
      </w:r>
    </w:p>
    <w:p w14:paraId="143B4637" w14:textId="41CC8EE5" w:rsidR="003519E5" w:rsidRPr="00365ED5" w:rsidRDefault="003519E5" w:rsidP="00610772">
      <w:pPr>
        <w:pStyle w:val="Nadpis3"/>
        <w:rPr>
          <w:rFonts w:cs="Arial"/>
        </w:rPr>
      </w:pPr>
      <w:bookmarkStart w:id="12" w:name="_Toc69210522"/>
      <w:bookmarkStart w:id="13" w:name="_Toc72999523"/>
      <w:bookmarkStart w:id="14" w:name="_Toc73613625"/>
      <w:r w:rsidRPr="00365ED5">
        <w:rPr>
          <w:rFonts w:cs="Arial"/>
        </w:rPr>
        <w:t>Cíle zákona o hazardních hrách</w:t>
      </w:r>
      <w:bookmarkEnd w:id="12"/>
      <w:bookmarkEnd w:id="13"/>
      <w:bookmarkEnd w:id="14"/>
    </w:p>
    <w:p w14:paraId="410158DD" w14:textId="7D8EFFD6" w:rsidR="003519E5" w:rsidRPr="00372887" w:rsidRDefault="003519E5" w:rsidP="00C334E0">
      <w:r w:rsidRPr="00372887">
        <w:rPr>
          <w:lang w:eastAsia="zh-CN" w:bidi="ar"/>
        </w:rPr>
        <w:t>Od 1. 1. 2017</w:t>
      </w:r>
      <w:r w:rsidR="009C2EFD">
        <w:rPr>
          <w:rStyle w:val="Znakapoznpodarou"/>
          <w:rFonts w:eastAsia="SimSun" w:cs="Arial"/>
          <w:color w:val="000000"/>
          <w:szCs w:val="24"/>
          <w:lang w:eastAsia="zh-CN" w:bidi="ar"/>
        </w:rPr>
        <w:footnoteReference w:id="1"/>
      </w:r>
      <w:r w:rsidRPr="00372887">
        <w:rPr>
          <w:lang w:eastAsia="zh-CN" w:bidi="ar"/>
        </w:rPr>
        <w:t xml:space="preserve"> nabyl účinnosti </w:t>
      </w:r>
      <w:r w:rsidRPr="00372887">
        <w:rPr>
          <w:lang w:eastAsia="zh-CN"/>
        </w:rPr>
        <w:t xml:space="preserve">zákon o hazardních hrách, </w:t>
      </w:r>
      <w:r w:rsidR="009C2EFD">
        <w:rPr>
          <w:lang w:eastAsia="zh-CN"/>
        </w:rPr>
        <w:t xml:space="preserve">jehož </w:t>
      </w:r>
      <w:r w:rsidR="009C2EFD">
        <w:rPr>
          <w:lang w:eastAsia="zh-CN" w:bidi="ar"/>
        </w:rPr>
        <w:t>přijetí</w:t>
      </w:r>
      <w:r w:rsidRPr="00372887">
        <w:rPr>
          <w:lang w:eastAsia="zh-CN" w:bidi="ar"/>
        </w:rPr>
        <w:t xml:space="preserve"> představovalo klíčový posun České republiky z hlediska celkové regulace hazardních her, a to především</w:t>
      </w:r>
      <w:r w:rsidRPr="00372887">
        <w:rPr>
          <w:lang w:eastAsia="zh-CN"/>
        </w:rPr>
        <w:t xml:space="preserve"> v souvislosti s využitím moderních informačních technologií, ale i souladu regulace oblasti hazardních her v České republice s pravidly vnitřního trhu Evropské unie (zejména v oblasti on-line hazardních her).</w:t>
      </w:r>
    </w:p>
    <w:p w14:paraId="6BBAE88E" w14:textId="62525AD0" w:rsidR="003519E5" w:rsidRPr="00372887" w:rsidRDefault="003519E5" w:rsidP="00C334E0">
      <w:pPr>
        <w:rPr>
          <w:lang w:eastAsia="zh-CN"/>
        </w:rPr>
      </w:pPr>
      <w:r w:rsidRPr="00372887">
        <w:rPr>
          <w:lang w:eastAsia="zh-CN" w:bidi="ar"/>
        </w:rPr>
        <w:t>Základní cíle, které měla právní regulace naplňovat</w:t>
      </w:r>
      <w:r w:rsidR="009C2EFD">
        <w:rPr>
          <w:lang w:eastAsia="zh-CN" w:bidi="ar"/>
        </w:rPr>
        <w:t>,</w:t>
      </w:r>
      <w:r w:rsidRPr="00372887">
        <w:rPr>
          <w:lang w:eastAsia="zh-CN" w:bidi="ar"/>
        </w:rPr>
        <w:t xml:space="preserve"> vyplývaly </w:t>
      </w:r>
      <w:r w:rsidR="00AA1713" w:rsidRPr="00372887">
        <w:rPr>
          <w:rFonts w:eastAsia="Bold"/>
          <w:lang w:eastAsia="zh-CN" w:bidi="ar"/>
        </w:rPr>
        <w:t xml:space="preserve"> ze samotného návrhu této regulace včetně zpracované </w:t>
      </w:r>
      <w:r w:rsidR="00AA1713" w:rsidRPr="00372887">
        <w:rPr>
          <w:color w:val="000000" w:themeColor="text1"/>
        </w:rPr>
        <w:t> </w:t>
      </w:r>
      <w:r w:rsidRPr="00372887">
        <w:rPr>
          <w:color w:val="000000" w:themeColor="text1"/>
        </w:rPr>
        <w:t>RIA</w:t>
      </w:r>
      <w:r w:rsidR="00AA1713" w:rsidRPr="00372887">
        <w:rPr>
          <w:color w:val="000000" w:themeColor="text1"/>
        </w:rPr>
        <w:t xml:space="preserve">. </w:t>
      </w:r>
    </w:p>
    <w:p w14:paraId="34FAEF1E" w14:textId="24F43CB0" w:rsidR="003519E5" w:rsidRPr="00372887" w:rsidRDefault="003519E5" w:rsidP="00C334E0">
      <w:r w:rsidRPr="00372887">
        <w:rPr>
          <w:lang w:eastAsia="zh-CN" w:bidi="ar"/>
        </w:rPr>
        <w:t xml:space="preserve">Pro potřeby Analýzy bylo provedeno širší kontextuální vymezení a posouzení vzájemných příčinných souvislostí jednotlivých cílů. Naplnění daného cíle úzce souvisí se způsobem dosažení jednoho nebo více dalších cílů. </w:t>
      </w:r>
    </w:p>
    <w:p w14:paraId="19B427B2" w14:textId="5D3E1688" w:rsidR="003519E5" w:rsidRPr="00372887" w:rsidRDefault="003519E5" w:rsidP="00C334E0">
      <w:pPr>
        <w:rPr>
          <w:lang w:eastAsia="zh-CN"/>
        </w:rPr>
      </w:pPr>
      <w:r w:rsidRPr="00372887">
        <w:rPr>
          <w:lang w:eastAsia="zh-CN"/>
        </w:rPr>
        <w:t>Zákon o hazardních hrách a zákon o dani z hazardních her byly zpracovány v souvislosti s potřebou úpravy právního stavu v obla</w:t>
      </w:r>
      <w:r w:rsidR="00EF47D3">
        <w:rPr>
          <w:lang w:eastAsia="zh-CN"/>
        </w:rPr>
        <w:t>sti loterních a sázkových her v </w:t>
      </w:r>
      <w:r w:rsidRPr="00372887">
        <w:rPr>
          <w:lang w:eastAsia="zh-CN"/>
        </w:rPr>
        <w:t>reakci na nový přístup k regulaci provozování hazardních her v České republice vyplývající ze dvou vzájemně provázaných hlavních faktorů. Prvním faktorem byly velmi vysoké společenské náklady hazardního hraní v České republice a druhým faktorem byl, resp. je, rozvoj a využití moderních, zejména informačních technol</w:t>
      </w:r>
      <w:r w:rsidR="009E7C9E">
        <w:rPr>
          <w:lang w:eastAsia="zh-CN"/>
        </w:rPr>
        <w:t>ogií, a </w:t>
      </w:r>
      <w:r w:rsidRPr="00372887">
        <w:rPr>
          <w:lang w:eastAsia="zh-CN"/>
        </w:rPr>
        <w:t xml:space="preserve">z něj vyplývající potřeba modernizace i samotné regulace. </w:t>
      </w:r>
      <w:r w:rsidR="003937EC">
        <w:rPr>
          <w:lang w:eastAsia="zh-CN"/>
        </w:rPr>
        <w:t>V neposlední řadě se jedná o</w:t>
      </w:r>
      <w:r w:rsidRPr="00372887">
        <w:rPr>
          <w:lang w:eastAsia="zh-CN"/>
        </w:rPr>
        <w:t xml:space="preserve"> potřeb</w:t>
      </w:r>
      <w:r w:rsidR="003937EC">
        <w:rPr>
          <w:lang w:eastAsia="zh-CN"/>
        </w:rPr>
        <w:t>u</w:t>
      </w:r>
      <w:r w:rsidRPr="00372887">
        <w:rPr>
          <w:lang w:eastAsia="zh-CN"/>
        </w:rPr>
        <w:t xml:space="preserve"> souladu regulace v oblasti loterních a sázkových her v České republice s pravidly vnitřního trhu Evr</w:t>
      </w:r>
      <w:r w:rsidR="00E766E2">
        <w:rPr>
          <w:lang w:eastAsia="zh-CN"/>
        </w:rPr>
        <w:t>opské unie zejména v  oblasti  </w:t>
      </w:r>
      <w:r w:rsidRPr="00372887">
        <w:rPr>
          <w:lang w:eastAsia="zh-CN"/>
        </w:rPr>
        <w:t>on-line hazardních her.</w:t>
      </w:r>
    </w:p>
    <w:p w14:paraId="2F638A51" w14:textId="119A8F16" w:rsidR="003519E5" w:rsidRPr="00372887" w:rsidRDefault="003519E5" w:rsidP="00C334E0">
      <w:r w:rsidRPr="00372887">
        <w:t>Primárním cílem právní úpravy byla zejména ochrana sázejících a jejich okolí, zajištění opatření k předcházení a potírání sociálně patologických jevů spojených s provo</w:t>
      </w:r>
      <w:r w:rsidR="007E3008">
        <w:t>zováním hazardních her, včetně R</w:t>
      </w:r>
      <w:r w:rsidRPr="00372887">
        <w:t>ejstří</w:t>
      </w:r>
      <w:r w:rsidR="005A6B38">
        <w:t>ku osob vyloučených s účasti na </w:t>
      </w:r>
      <w:r w:rsidRPr="00372887">
        <w:t>hazardních hrách</w:t>
      </w:r>
      <w:r w:rsidR="007E3008">
        <w:t xml:space="preserve"> (dále také jako „R</w:t>
      </w:r>
      <w:r w:rsidR="00272425">
        <w:t>e</w:t>
      </w:r>
      <w:r w:rsidR="007E3008">
        <w:t>jstřík vyloučených osob“ nebo „R</w:t>
      </w:r>
      <w:r w:rsidR="00272425">
        <w:t>ejstřík“)</w:t>
      </w:r>
      <w:r w:rsidRPr="00372887">
        <w:t>. Cílem bylo rovněž otevření českého trhu v oblasti</w:t>
      </w:r>
      <w:r w:rsidR="005A6B38">
        <w:t xml:space="preserve"> provozování hazardních her pro </w:t>
      </w:r>
      <w:r w:rsidRPr="00372887">
        <w:t>provozovatele se sídlem v jiném členském státě Evropské unie nebo státě, který je smluvní stranou Dohody o Evropském hospodářském prostoru, přičemž s otevřením trhu souvisí také úprava provozování hazardních her prostřednictvím internetu. Důležit</w:t>
      </w:r>
      <w:r w:rsidR="00871531">
        <w:t>é</w:t>
      </w:r>
      <w:r w:rsidRPr="00372887">
        <w:t xml:space="preserve"> bylo zavedení nového postupu povolovacího řízení a zavedení efektivního kontrolního mechanismu, včetně výběru daní. </w:t>
      </w:r>
      <w:r w:rsidR="00871531">
        <w:t>Záměrem</w:t>
      </w:r>
      <w:r w:rsidR="00871531" w:rsidRPr="00372887">
        <w:t xml:space="preserve"> </w:t>
      </w:r>
      <w:r w:rsidRPr="00372887">
        <w:t>bylo také zohlednění naplnění závěrů a</w:t>
      </w:r>
      <w:r w:rsidR="005A6B38">
        <w:t xml:space="preserve"> doporučení Evropské komise pro </w:t>
      </w:r>
      <w:r w:rsidRPr="00372887">
        <w:t>regulaci hazardu. Zákon  o hazardních hrách přinesl řadu nástrojů, prostřednictvím kterých jsou naplňovány cíle právní úpravy.</w:t>
      </w:r>
    </w:p>
    <w:p w14:paraId="7B0718C2" w14:textId="3350885F" w:rsidR="00D657A9" w:rsidRPr="00372887" w:rsidRDefault="00D657A9" w:rsidP="00C334E0">
      <w:pPr>
        <w:rPr>
          <w:i/>
          <w:iCs/>
          <w:color w:val="C00000"/>
          <w:lang w:eastAsia="zh-CN"/>
        </w:rPr>
      </w:pPr>
      <w:r w:rsidRPr="00372887">
        <w:rPr>
          <w:lang w:eastAsia="zh-CN"/>
        </w:rPr>
        <w:lastRenderedPageBreak/>
        <w:t xml:space="preserve">Společně se zákonem o hazardních hrách byl přijat také </w:t>
      </w:r>
      <w:r w:rsidR="00EF47D3">
        <w:rPr>
          <w:lang w:eastAsia="zh-CN"/>
        </w:rPr>
        <w:t>z</w:t>
      </w:r>
      <w:r w:rsidRPr="00372887">
        <w:rPr>
          <w:lang w:eastAsia="zh-CN"/>
        </w:rPr>
        <w:t>ákon o dani z hazardních her</w:t>
      </w:r>
      <w:r w:rsidR="0060728E">
        <w:rPr>
          <w:lang w:eastAsia="zh-CN"/>
        </w:rPr>
        <w:t xml:space="preserve">, podle kterého </w:t>
      </w:r>
      <w:r w:rsidRPr="00372887">
        <w:rPr>
          <w:lang w:eastAsia="zh-CN"/>
        </w:rPr>
        <w:t xml:space="preserve">je </w:t>
      </w:r>
      <w:r w:rsidR="00871531">
        <w:rPr>
          <w:lang w:eastAsia="zh-CN"/>
        </w:rPr>
        <w:t xml:space="preserve">nově </w:t>
      </w:r>
      <w:r w:rsidRPr="00372887">
        <w:rPr>
          <w:lang w:eastAsia="zh-CN"/>
        </w:rPr>
        <w:t>daňovým poplatníkem také nelegální provozovatel. Příjmy veřejných rozpočtů podpořilo i otevření trhu zahraničním provozovatelům a umožnění provozování hazardních her prostřednictvím sítě internet.</w:t>
      </w:r>
    </w:p>
    <w:p w14:paraId="18BE172D" w14:textId="09AA4664" w:rsidR="003519E5" w:rsidRPr="00372887" w:rsidRDefault="00D657A9" w:rsidP="00C334E0">
      <w:r w:rsidRPr="00372887">
        <w:t>Obecným c</w:t>
      </w:r>
      <w:r w:rsidR="003519E5" w:rsidRPr="00372887">
        <w:t xml:space="preserve">ílem </w:t>
      </w:r>
      <w:r w:rsidRPr="00372887">
        <w:t>regulace</w:t>
      </w:r>
      <w:r w:rsidR="003519E5" w:rsidRPr="00372887">
        <w:t xml:space="preserve"> bylo vytvořit transparentní podnikatelské prostředí a </w:t>
      </w:r>
      <w:r w:rsidR="00AA1713" w:rsidRPr="00372887">
        <w:t xml:space="preserve">zároveň i </w:t>
      </w:r>
      <w:r w:rsidR="003519E5" w:rsidRPr="00372887">
        <w:t xml:space="preserve">omezit v maximální možné míře případná korupční rizika. </w:t>
      </w:r>
    </w:p>
    <w:p w14:paraId="4F8BD357" w14:textId="75289002" w:rsidR="003519E5" w:rsidRPr="00365ED5" w:rsidRDefault="003519E5" w:rsidP="00610772">
      <w:pPr>
        <w:pStyle w:val="Nadpis3"/>
        <w:rPr>
          <w:rFonts w:cs="Arial"/>
        </w:rPr>
      </w:pPr>
      <w:bookmarkStart w:id="15" w:name="_Toc69210523"/>
      <w:bookmarkStart w:id="16" w:name="_Toc72999524"/>
      <w:bookmarkStart w:id="17" w:name="_Toc73613626"/>
      <w:r w:rsidRPr="00365ED5">
        <w:rPr>
          <w:rFonts w:cs="Arial"/>
        </w:rPr>
        <w:t>Přehled změn</w:t>
      </w:r>
      <w:bookmarkEnd w:id="15"/>
      <w:bookmarkEnd w:id="16"/>
      <w:bookmarkEnd w:id="17"/>
    </w:p>
    <w:p w14:paraId="4237A113" w14:textId="2F865FEB" w:rsidR="003519E5" w:rsidRPr="00B01C1B" w:rsidRDefault="0060728E" w:rsidP="00C334E0">
      <w:r>
        <w:t>Ve vztahu k z</w:t>
      </w:r>
      <w:r w:rsidR="003519E5" w:rsidRPr="000C27B8">
        <w:t>ákonu</w:t>
      </w:r>
      <w:r>
        <w:t xml:space="preserve"> o hazardních hrách a zákonu o dani z hazardních her</w:t>
      </w:r>
      <w:r w:rsidR="003519E5" w:rsidRPr="000C27B8">
        <w:t xml:space="preserve"> byly identifikovány následující </w:t>
      </w:r>
      <w:r w:rsidR="00AA1713" w:rsidRPr="009A0C66">
        <w:t xml:space="preserve">relevantní </w:t>
      </w:r>
      <w:r w:rsidR="003519E5" w:rsidRPr="00B01C1B">
        <w:t>změny, které mají z hlediska provedení Analýzy vliv:</w:t>
      </w:r>
    </w:p>
    <w:p w14:paraId="5D689D23" w14:textId="77777777" w:rsidR="003519E5" w:rsidRPr="00365ED5" w:rsidRDefault="003519E5" w:rsidP="003519E5">
      <w:pPr>
        <w:pStyle w:val="Nadpis4"/>
        <w:rPr>
          <w:rFonts w:cs="Arial"/>
        </w:rPr>
      </w:pPr>
      <w:bookmarkStart w:id="18" w:name="_Toc72999525"/>
      <w:r w:rsidRPr="00365ED5">
        <w:rPr>
          <w:rFonts w:cs="Arial"/>
        </w:rPr>
        <w:t>Právní změny</w:t>
      </w:r>
      <w:bookmarkEnd w:id="18"/>
      <w:r w:rsidRPr="00365ED5">
        <w:rPr>
          <w:rFonts w:cs="Arial"/>
        </w:rPr>
        <w:t xml:space="preserve"> </w:t>
      </w:r>
    </w:p>
    <w:p w14:paraId="56DB100D" w14:textId="17CB79A5" w:rsidR="003519E5" w:rsidRPr="0060728E" w:rsidRDefault="003519E5" w:rsidP="00C334E0">
      <w:pPr>
        <w:rPr>
          <w:lang w:eastAsia="zh-CN"/>
        </w:rPr>
      </w:pPr>
      <w:r w:rsidRPr="00372887">
        <w:rPr>
          <w:lang w:eastAsia="zh-CN"/>
        </w:rPr>
        <w:t xml:space="preserve">V rámci zkoumaných účinků zákona o hazardních hrách a zákona o dani z hazardních her je nezbytné zohlednit </w:t>
      </w:r>
      <w:r w:rsidR="00F342E2" w:rsidRPr="00372887">
        <w:rPr>
          <w:lang w:eastAsia="zh-CN"/>
        </w:rPr>
        <w:t>dosavadní změny předmětné regulace</w:t>
      </w:r>
      <w:r w:rsidR="001A58FF" w:rsidRPr="00372887">
        <w:rPr>
          <w:lang w:eastAsia="zh-CN"/>
        </w:rPr>
        <w:t>.</w:t>
      </w:r>
      <w:r w:rsidR="00D82FF2" w:rsidRPr="00372887">
        <w:rPr>
          <w:lang w:eastAsia="zh-CN"/>
        </w:rPr>
        <w:t xml:space="preserve"> Z hlediska významnosti změn </w:t>
      </w:r>
      <w:r w:rsidR="00D82FF2" w:rsidRPr="0060728E">
        <w:rPr>
          <w:lang w:eastAsia="zh-CN"/>
        </w:rPr>
        <w:t xml:space="preserve">se jedná </w:t>
      </w:r>
      <w:r w:rsidR="00D82FF2" w:rsidRPr="00F114A6">
        <w:rPr>
          <w:lang w:eastAsia="zh-CN"/>
        </w:rPr>
        <w:t xml:space="preserve">zejména o </w:t>
      </w:r>
      <w:r w:rsidR="00D82FF2" w:rsidRPr="00372887">
        <w:rPr>
          <w:lang w:eastAsia="zh-CN"/>
        </w:rPr>
        <w:t>zákon č. 527/2</w:t>
      </w:r>
      <w:r w:rsidR="00923C0E">
        <w:rPr>
          <w:lang w:eastAsia="zh-CN"/>
        </w:rPr>
        <w:t>020 Sb., který</w:t>
      </w:r>
      <w:r w:rsidR="00871531">
        <w:rPr>
          <w:lang w:eastAsia="zh-CN"/>
        </w:rPr>
        <w:t>m</w:t>
      </w:r>
      <w:r w:rsidR="00923C0E">
        <w:rPr>
          <w:lang w:eastAsia="zh-CN"/>
        </w:rPr>
        <w:t xml:space="preserve"> </w:t>
      </w:r>
      <w:r w:rsidR="00871531">
        <w:rPr>
          <w:lang w:eastAsia="zh-CN"/>
        </w:rPr>
        <w:t xml:space="preserve">se </w:t>
      </w:r>
      <w:r w:rsidR="00923C0E">
        <w:rPr>
          <w:lang w:eastAsia="zh-CN"/>
        </w:rPr>
        <w:t>mění</w:t>
      </w:r>
      <w:r w:rsidR="00871531" w:rsidRPr="00871531">
        <w:rPr>
          <w:lang w:eastAsia="zh-CN"/>
        </w:rPr>
        <w:t xml:space="preserve"> </w:t>
      </w:r>
      <w:r w:rsidR="00871531" w:rsidRPr="000F1331">
        <w:rPr>
          <w:lang w:eastAsia="zh-CN"/>
        </w:rPr>
        <w:t>zákon č.</w:t>
      </w:r>
      <w:r w:rsidR="00871531">
        <w:rPr>
          <w:lang w:eastAsia="zh-CN"/>
        </w:rPr>
        <w:t> </w:t>
      </w:r>
      <w:r w:rsidR="00871531" w:rsidRPr="000F1331">
        <w:rPr>
          <w:lang w:eastAsia="zh-CN"/>
        </w:rPr>
        <w:t>253/2008 Sb., o některých opatřeních proti legalizaci výnosů z trestné činnosti a</w:t>
      </w:r>
      <w:r w:rsidR="00871531">
        <w:rPr>
          <w:lang w:eastAsia="zh-CN"/>
        </w:rPr>
        <w:t> </w:t>
      </w:r>
      <w:r w:rsidR="00871531" w:rsidRPr="000F1331">
        <w:rPr>
          <w:lang w:eastAsia="zh-CN"/>
        </w:rPr>
        <w:t xml:space="preserve"> financování terorismu, ve znění pozdějších předpisů, a další související zákony</w:t>
      </w:r>
      <w:r w:rsidR="00871531">
        <w:rPr>
          <w:lang w:eastAsia="zh-CN"/>
        </w:rPr>
        <w:t xml:space="preserve"> (dále jen „AML zákon“)</w:t>
      </w:r>
      <w:r w:rsidR="00871531" w:rsidRPr="000F1331">
        <w:rPr>
          <w:lang w:eastAsia="zh-CN"/>
        </w:rPr>
        <w:t>, zákony související s přijetím zákona o evidenci skutečných majitelů a</w:t>
      </w:r>
      <w:r w:rsidR="00923C0E">
        <w:rPr>
          <w:lang w:eastAsia="zh-CN"/>
        </w:rPr>
        <w:t xml:space="preserve"> mimo jiné i </w:t>
      </w:r>
      <w:r w:rsidR="00D82FF2" w:rsidRPr="00372887">
        <w:rPr>
          <w:lang w:eastAsia="zh-CN"/>
        </w:rPr>
        <w:t>zákon č. 186/2016 Sb., o hazardních hrách</w:t>
      </w:r>
      <w:r w:rsidR="00871531" w:rsidRPr="000F1331">
        <w:rPr>
          <w:lang w:eastAsia="zh-CN"/>
        </w:rPr>
        <w:t>, ve</w:t>
      </w:r>
      <w:r w:rsidR="005A6B38">
        <w:rPr>
          <w:lang w:eastAsia="zh-CN"/>
        </w:rPr>
        <w:t> </w:t>
      </w:r>
      <w:r w:rsidR="00871531" w:rsidRPr="000F1331">
        <w:rPr>
          <w:lang w:eastAsia="zh-CN"/>
        </w:rPr>
        <w:t>znění pozdějších předpisů</w:t>
      </w:r>
      <w:r w:rsidR="00871531">
        <w:rPr>
          <w:lang w:eastAsia="zh-CN"/>
        </w:rPr>
        <w:t xml:space="preserve"> (dále jen „zákon č. 527/2020 Sb.“)</w:t>
      </w:r>
      <w:r w:rsidR="00D82FF2" w:rsidRPr="00372887">
        <w:rPr>
          <w:lang w:eastAsia="zh-CN"/>
        </w:rPr>
        <w:t xml:space="preserve">. Z pohledu </w:t>
      </w:r>
      <w:r w:rsidR="0060728E">
        <w:rPr>
          <w:lang w:eastAsia="zh-CN"/>
        </w:rPr>
        <w:t>zákona č. </w:t>
      </w:r>
      <w:r w:rsidR="00923C0E">
        <w:rPr>
          <w:lang w:eastAsia="zh-CN"/>
        </w:rPr>
        <w:t>187/2016 Sb., o </w:t>
      </w:r>
      <w:r w:rsidR="00D82FF2" w:rsidRPr="0060728E">
        <w:rPr>
          <w:lang w:eastAsia="zh-CN"/>
        </w:rPr>
        <w:t xml:space="preserve">dani z hazardních her, je pak významná změna obsažená v zákoně č. </w:t>
      </w:r>
      <w:r w:rsidR="001C6495" w:rsidRPr="00372887">
        <w:rPr>
          <w:lang w:eastAsia="zh-CN"/>
        </w:rPr>
        <w:t>364/2019 Sb</w:t>
      </w:r>
      <w:r w:rsidR="00871531" w:rsidRPr="00372887">
        <w:rPr>
          <w:lang w:eastAsia="zh-CN"/>
        </w:rPr>
        <w:t>.</w:t>
      </w:r>
      <w:r w:rsidR="00871531">
        <w:rPr>
          <w:lang w:eastAsia="zh-CN"/>
        </w:rPr>
        <w:t xml:space="preserve">, </w:t>
      </w:r>
      <w:r w:rsidR="00871531" w:rsidRPr="000F1331">
        <w:rPr>
          <w:lang w:eastAsia="zh-CN"/>
        </w:rPr>
        <w:t>kterým se mění některé zákony v oblasti daní v</w:t>
      </w:r>
      <w:r w:rsidR="00871531">
        <w:rPr>
          <w:lang w:eastAsia="zh-CN"/>
        </w:rPr>
        <w:t> </w:t>
      </w:r>
      <w:r w:rsidR="00871531" w:rsidRPr="000F1331">
        <w:rPr>
          <w:lang w:eastAsia="zh-CN"/>
        </w:rPr>
        <w:t>souvislosti se zvyšováním příjmů veřejných rozpočtů</w:t>
      </w:r>
      <w:r w:rsidR="00871531">
        <w:rPr>
          <w:lang w:eastAsia="zh-CN"/>
        </w:rPr>
        <w:t xml:space="preserve"> (dále jen „zákon č. 364/2019 Sb.“)</w:t>
      </w:r>
      <w:r w:rsidR="001C6495" w:rsidRPr="00372887">
        <w:rPr>
          <w:lang w:eastAsia="zh-CN"/>
        </w:rPr>
        <w:t>.</w:t>
      </w:r>
    </w:p>
    <w:p w14:paraId="7DA2DD1A" w14:textId="77777777" w:rsidR="003519E5" w:rsidRPr="00365ED5" w:rsidRDefault="003519E5" w:rsidP="003519E5">
      <w:pPr>
        <w:pStyle w:val="Nadpis4"/>
        <w:rPr>
          <w:rFonts w:cs="Arial"/>
        </w:rPr>
      </w:pPr>
      <w:bookmarkStart w:id="19" w:name="_Toc72999526"/>
      <w:r w:rsidRPr="00365ED5">
        <w:rPr>
          <w:rFonts w:cs="Arial"/>
        </w:rPr>
        <w:t>Ekonomické změny</w:t>
      </w:r>
      <w:bookmarkEnd w:id="19"/>
    </w:p>
    <w:p w14:paraId="0CF66CFB" w14:textId="1BB66B24" w:rsidR="00F7512B" w:rsidRPr="00013073" w:rsidRDefault="002F6E38" w:rsidP="00C334E0">
      <w:pPr>
        <w:rPr>
          <w:lang w:eastAsia="zh-CN"/>
        </w:rPr>
      </w:pPr>
      <w:r w:rsidRPr="009131FD">
        <w:rPr>
          <w:lang w:eastAsia="zh-CN"/>
        </w:rPr>
        <w:t xml:space="preserve">Zásadní událostí, která měla dopad nejen na oblast hazardních her, ale na celou společnost, byla a je situace způsobená pandemií </w:t>
      </w:r>
      <w:r w:rsidR="00871531">
        <w:rPr>
          <w:lang w:eastAsia="zh-CN"/>
        </w:rPr>
        <w:t>covid-</w:t>
      </w:r>
      <w:r w:rsidRPr="009131FD">
        <w:rPr>
          <w:lang w:eastAsia="zh-CN"/>
        </w:rPr>
        <w:t xml:space="preserve">19. </w:t>
      </w:r>
      <w:r w:rsidR="00A82ACD" w:rsidRPr="009131FD">
        <w:rPr>
          <w:lang w:eastAsia="zh-CN"/>
        </w:rPr>
        <w:t>Související opatření měl</w:t>
      </w:r>
      <w:r w:rsidR="0060728E">
        <w:rPr>
          <w:lang w:eastAsia="zh-CN"/>
        </w:rPr>
        <w:t>a</w:t>
      </w:r>
      <w:r w:rsidR="00A82ACD" w:rsidRPr="009131FD">
        <w:rPr>
          <w:lang w:eastAsia="zh-CN"/>
        </w:rPr>
        <w:t xml:space="preserve"> dopady nejen na provozovatele hazardních her, ale i samozřejmě na ostatní dotčené subjekty. Celkové finální dopady této situace i do budoucna na celý trh lze v době vypracování ex post RIA obtížně kvantifikovat či předvídat</w:t>
      </w:r>
      <w:r w:rsidR="00F7512B" w:rsidRPr="00013073">
        <w:rPr>
          <w:lang w:eastAsia="zh-CN"/>
        </w:rPr>
        <w:t xml:space="preserve"> další vývoj</w:t>
      </w:r>
      <w:r w:rsidR="00A82ACD" w:rsidRPr="009131FD">
        <w:rPr>
          <w:lang w:eastAsia="zh-CN"/>
        </w:rPr>
        <w:t>, nicméně lze konstatovat, že zcela jistě nebudou zanedbatelné</w:t>
      </w:r>
      <w:r w:rsidR="009C5A9E" w:rsidRPr="009131FD">
        <w:rPr>
          <w:lang w:eastAsia="zh-CN"/>
        </w:rPr>
        <w:t xml:space="preserve"> a je nutno je brát v</w:t>
      </w:r>
      <w:r w:rsidR="009131FD">
        <w:rPr>
          <w:lang w:eastAsia="zh-CN"/>
        </w:rPr>
        <w:t> </w:t>
      </w:r>
      <w:r w:rsidR="009C5A9E" w:rsidRPr="009131FD">
        <w:rPr>
          <w:lang w:eastAsia="zh-CN"/>
        </w:rPr>
        <w:t>potaz</w:t>
      </w:r>
      <w:r w:rsidR="00A82ACD" w:rsidRPr="009131FD">
        <w:rPr>
          <w:lang w:eastAsia="zh-CN"/>
        </w:rPr>
        <w:t xml:space="preserve">. </w:t>
      </w:r>
      <w:r w:rsidR="00F7512B" w:rsidRPr="00013073">
        <w:rPr>
          <w:lang w:eastAsia="zh-CN"/>
        </w:rPr>
        <w:t xml:space="preserve">Již v současné době jsou patrné dopady na některé provozovatele, kterých se dotklo uzavření jejich provozoven (zejména kasin a </w:t>
      </w:r>
      <w:r w:rsidR="00E766E2">
        <w:rPr>
          <w:lang w:eastAsia="zh-CN"/>
        </w:rPr>
        <w:t>heren). Dopady jsou viditelné i </w:t>
      </w:r>
      <w:r w:rsidR="00F7512B" w:rsidRPr="00013073">
        <w:rPr>
          <w:lang w:eastAsia="zh-CN"/>
        </w:rPr>
        <w:t xml:space="preserve">z hlediska výnosu daně z hazardních her. Stejně tak je patrná akcelerace trendu přechodu </w:t>
      </w:r>
      <w:r w:rsidR="00727982">
        <w:rPr>
          <w:lang w:eastAsia="zh-CN"/>
        </w:rPr>
        <w:t>účastníků hazardních her</w:t>
      </w:r>
      <w:r w:rsidR="00727982" w:rsidRPr="00013073">
        <w:rPr>
          <w:lang w:eastAsia="zh-CN"/>
        </w:rPr>
        <w:t xml:space="preserve"> </w:t>
      </w:r>
      <w:r w:rsidR="004325D3" w:rsidRPr="00013073">
        <w:rPr>
          <w:lang w:eastAsia="zh-CN"/>
        </w:rPr>
        <w:t xml:space="preserve">od her provozovaných </w:t>
      </w:r>
      <w:r w:rsidR="00871531">
        <w:rPr>
          <w:lang w:eastAsia="zh-CN"/>
        </w:rPr>
        <w:t xml:space="preserve">formou </w:t>
      </w:r>
      <w:r w:rsidR="004325D3" w:rsidRPr="00013073">
        <w:rPr>
          <w:lang w:eastAsia="zh-CN"/>
        </w:rPr>
        <w:t>land</w:t>
      </w:r>
      <w:r w:rsidR="006466CE">
        <w:rPr>
          <w:lang w:eastAsia="zh-CN"/>
        </w:rPr>
        <w:noBreakHyphen/>
      </w:r>
      <w:r w:rsidR="004325D3" w:rsidRPr="00013073">
        <w:rPr>
          <w:lang w:eastAsia="zh-CN"/>
        </w:rPr>
        <w:t>base</w:t>
      </w:r>
      <w:r w:rsidR="005104A7" w:rsidRPr="00013073">
        <w:rPr>
          <w:lang w:eastAsia="zh-CN"/>
        </w:rPr>
        <w:t>d</w:t>
      </w:r>
      <w:r w:rsidR="004325D3" w:rsidRPr="00013073">
        <w:rPr>
          <w:lang w:eastAsia="zh-CN"/>
        </w:rPr>
        <w:t xml:space="preserve"> k hrám provozovaných prostřednictvím internetu. Ruku v ruce s tím </w:t>
      </w:r>
      <w:r w:rsidR="009131FD">
        <w:rPr>
          <w:lang w:eastAsia="zh-CN"/>
        </w:rPr>
        <w:t>jde</w:t>
      </w:r>
      <w:r w:rsidR="005104A7" w:rsidRPr="00013073">
        <w:rPr>
          <w:lang w:eastAsia="zh-CN"/>
        </w:rPr>
        <w:t xml:space="preserve"> posilující</w:t>
      </w:r>
      <w:r w:rsidR="004325D3" w:rsidRPr="00013073">
        <w:rPr>
          <w:lang w:eastAsia="zh-CN"/>
        </w:rPr>
        <w:t xml:space="preserve"> nabídka her provozovaných tímto způsobem. </w:t>
      </w:r>
    </w:p>
    <w:p w14:paraId="2FCC7F45" w14:textId="77777777" w:rsidR="003519E5" w:rsidRPr="00F114A6" w:rsidRDefault="003519E5" w:rsidP="007F210B">
      <w:pPr>
        <w:pStyle w:val="Nadpis4"/>
        <w:rPr>
          <w:rFonts w:cs="Arial"/>
        </w:rPr>
      </w:pPr>
      <w:bookmarkStart w:id="20" w:name="_Toc72999527"/>
      <w:r w:rsidRPr="00365ED5">
        <w:rPr>
          <w:rFonts w:cs="Arial"/>
        </w:rPr>
        <w:t>Technologické změny</w:t>
      </w:r>
      <w:bookmarkEnd w:id="20"/>
    </w:p>
    <w:p w14:paraId="2A8A15B0" w14:textId="61BCF5FE" w:rsidR="00AA6E74" w:rsidRPr="00013073" w:rsidRDefault="00AA6E74" w:rsidP="00C334E0">
      <w:r w:rsidRPr="00365ED5">
        <w:t xml:space="preserve">Oblast hazardních her je velmi provázána </w:t>
      </w:r>
      <w:r w:rsidR="001C6495" w:rsidRPr="00365ED5">
        <w:t>s</w:t>
      </w:r>
      <w:r w:rsidRPr="000C27B8">
        <w:t xml:space="preserve"> technolo</w:t>
      </w:r>
      <w:r w:rsidRPr="009A0C66">
        <w:t>gický</w:t>
      </w:r>
      <w:r w:rsidR="001C6495" w:rsidRPr="00B01C1B">
        <w:t>m</w:t>
      </w:r>
      <w:r w:rsidRPr="00B01C1B">
        <w:t xml:space="preserve"> pokrok</w:t>
      </w:r>
      <w:r w:rsidR="001C6495" w:rsidRPr="00B01C1B">
        <w:t>em</w:t>
      </w:r>
      <w:r w:rsidRPr="00B01C1B">
        <w:t>. Relevantní je to zejména z </w:t>
      </w:r>
      <w:r w:rsidRPr="00243706">
        <w:t>hlediska nabídky nových druhů her či produktů, které mohou naplňovat některé znaky hazardních her</w:t>
      </w:r>
      <w:r w:rsidRPr="00A87951">
        <w:t xml:space="preserve">. Zásadní jsou také formy nabízení </w:t>
      </w:r>
      <w:r w:rsidR="00DF5F16" w:rsidRPr="002A6FEA">
        <w:t xml:space="preserve">a dostupnost </w:t>
      </w:r>
      <w:r w:rsidRPr="002A6FEA">
        <w:t>těchto produktů</w:t>
      </w:r>
      <w:r w:rsidR="00DF5F16" w:rsidRPr="007C268C">
        <w:t xml:space="preserve"> zejména s ohledem na rozvoj internetu a jeho dostupnost pro širokou veřejnost včetně mladistvý</w:t>
      </w:r>
      <w:r w:rsidR="00DF5F16" w:rsidRPr="007D4ED3">
        <w:t>ch a dětí. Regulace tak musí reagovat na všechny tyto technologické změny a s</w:t>
      </w:r>
      <w:r w:rsidR="00DF5F16" w:rsidRPr="00013073">
        <w:t xml:space="preserve"> tím související trendy. </w:t>
      </w:r>
      <w:r w:rsidRPr="00013073">
        <w:t xml:space="preserve"> </w:t>
      </w:r>
    </w:p>
    <w:p w14:paraId="533B4525" w14:textId="4C629915" w:rsidR="003519E5" w:rsidRPr="00013073" w:rsidRDefault="003519E5" w:rsidP="00610772">
      <w:pPr>
        <w:pStyle w:val="Nadpis3"/>
        <w:rPr>
          <w:rFonts w:cs="Arial"/>
        </w:rPr>
      </w:pPr>
      <w:bookmarkStart w:id="21" w:name="_Toc69210524"/>
      <w:bookmarkStart w:id="22" w:name="_Toc72999528"/>
      <w:bookmarkStart w:id="23" w:name="_Toc73613627"/>
      <w:r w:rsidRPr="00013073">
        <w:rPr>
          <w:rFonts w:cs="Arial"/>
        </w:rPr>
        <w:lastRenderedPageBreak/>
        <w:t>Dotčené subjekty</w:t>
      </w:r>
      <w:bookmarkEnd w:id="21"/>
      <w:bookmarkEnd w:id="22"/>
      <w:bookmarkEnd w:id="23"/>
    </w:p>
    <w:p w14:paraId="23D8766F" w14:textId="115305F0" w:rsidR="003519E5" w:rsidRPr="00372887" w:rsidRDefault="003519E5" w:rsidP="00C334E0">
      <w:r w:rsidRPr="00372887">
        <w:t xml:space="preserve">Vzhledem ke skutečnosti, že zákon o hazardních hrách </w:t>
      </w:r>
      <w:r w:rsidR="007F210B">
        <w:t>včetně úpravy</w:t>
      </w:r>
      <w:r w:rsidR="00FF6583" w:rsidRPr="00372887">
        <w:t xml:space="preserve"> souvisejících právních předpisů </w:t>
      </w:r>
      <w:r w:rsidRPr="00372887">
        <w:t xml:space="preserve">přinesl zcela novou komplexní právní úpravu, existuje celá řada subjektů, které byly právní úpravou přímo dotčené. </w:t>
      </w:r>
    </w:p>
    <w:p w14:paraId="1A093B50" w14:textId="40390890" w:rsidR="00DF7542" w:rsidRPr="00372887" w:rsidRDefault="003519E5" w:rsidP="00C334E0">
      <w:r w:rsidRPr="00372887">
        <w:t>V prvé řadě se jedná o Ministerstvo financí</w:t>
      </w:r>
      <w:r w:rsidR="00871531">
        <w:t xml:space="preserve"> České republiky (dále jen „Ministerstvo financí“)</w:t>
      </w:r>
      <w:r w:rsidRPr="00372887">
        <w:t>, které nejen, že je gestorem zákona  o hazardních hrách</w:t>
      </w:r>
      <w:r w:rsidR="00380BDE" w:rsidRPr="00372887">
        <w:t xml:space="preserve"> (včetně prováděcích právních předpisů) a zákona o dani z hazardních her</w:t>
      </w:r>
      <w:r w:rsidRPr="00372887">
        <w:t xml:space="preserve">, ale </w:t>
      </w:r>
      <w:r w:rsidR="00DF7542" w:rsidRPr="00372887">
        <w:t>plní i další oprávnění či role, které mu stanoví právní předpisy v této oblasti. Ministerstvo financí rozhoduje o vydání základního povolení k provozování hazardních her a o vydání po</w:t>
      </w:r>
      <w:r w:rsidR="00923C0E">
        <w:t>věření k odbornému posuzování a </w:t>
      </w:r>
      <w:r w:rsidR="00DF7542" w:rsidRPr="00372887">
        <w:t xml:space="preserve">osvědčování. Je </w:t>
      </w:r>
      <w:r w:rsidR="00C46FF8">
        <w:t>dozorujícím</w:t>
      </w:r>
      <w:r w:rsidR="00C46FF8" w:rsidRPr="00372887">
        <w:t xml:space="preserve"> </w:t>
      </w:r>
      <w:r w:rsidR="00DF7542" w:rsidRPr="00372887">
        <w:t>orgánem v oblasti zákona o hazardních hrách, zároveň je správcem informačních systémů v obl</w:t>
      </w:r>
      <w:r w:rsidR="007E3008">
        <w:t>asti hazardních her a</w:t>
      </w:r>
      <w:r w:rsidR="00DC36EE">
        <w:t> </w:t>
      </w:r>
      <w:r w:rsidR="007E3008">
        <w:t>správcem R</w:t>
      </w:r>
      <w:r w:rsidR="00DF7542" w:rsidRPr="00372887">
        <w:t>ejstříku vyloučených osob. Vede seznam nepovolených internetových her atd.</w:t>
      </w:r>
    </w:p>
    <w:p w14:paraId="3804DD89" w14:textId="670A56E6" w:rsidR="00FF6583" w:rsidRPr="00372887" w:rsidRDefault="00FF6583" w:rsidP="00C334E0">
      <w:r w:rsidRPr="00372887">
        <w:t>Dále se jedná o Celní správu České republiky</w:t>
      </w:r>
      <w:r w:rsidR="00DC36EE">
        <w:t xml:space="preserve"> (dále jen „Celní správa“)</w:t>
      </w:r>
      <w:r w:rsidRPr="00372887">
        <w:t xml:space="preserve">, jakožto primární </w:t>
      </w:r>
      <w:r w:rsidR="00C46FF8">
        <w:t>dozorující</w:t>
      </w:r>
      <w:r w:rsidR="00C46FF8" w:rsidRPr="00372887">
        <w:t xml:space="preserve"> </w:t>
      </w:r>
      <w:r w:rsidRPr="00372887">
        <w:t xml:space="preserve">orgán, a to nejen v oblasti působnosti zákona o hazardních hrách, ale i v oblasti ochrany spotřebitele či reklamy týkající se hazardních her (vedle živnostenských úřadů).  </w:t>
      </w:r>
    </w:p>
    <w:p w14:paraId="282E97A8" w14:textId="7E9AD2AB" w:rsidR="00FF6583" w:rsidRPr="00372887" w:rsidRDefault="00FF6583" w:rsidP="00C334E0">
      <w:r w:rsidRPr="00372887">
        <w:t>Dalšími přímo dotčenými subjekty jsou obe</w:t>
      </w:r>
      <w:r w:rsidR="007E65E4" w:rsidRPr="00372887">
        <w:t>cní úřady</w:t>
      </w:r>
      <w:r w:rsidRPr="00372887">
        <w:t>, které jsou povolovacím orgánem v případě povolení k umístění herního prostoru</w:t>
      </w:r>
      <w:r w:rsidR="007E65E4" w:rsidRPr="00372887">
        <w:t>. Obec, resp. zastupitelstvo obce</w:t>
      </w:r>
      <w:r w:rsidRPr="00372887">
        <w:t xml:space="preserve"> m</w:t>
      </w:r>
      <w:r w:rsidR="007E65E4" w:rsidRPr="00372887">
        <w:t>á</w:t>
      </w:r>
      <w:r w:rsidRPr="00372887">
        <w:t xml:space="preserve"> </w:t>
      </w:r>
      <w:r w:rsidR="007E65E4" w:rsidRPr="00372887">
        <w:t>pak</w:t>
      </w:r>
      <w:r w:rsidRPr="00372887">
        <w:t xml:space="preserve"> možnost regulovat hazardní hry na svém území pomocí obecně závazných vyhlášek. V neposlední řadě jsou i příjemci části výnosu daně z hazardních her. </w:t>
      </w:r>
    </w:p>
    <w:p w14:paraId="1E7CC506" w14:textId="360B8806" w:rsidR="00FF6583" w:rsidRPr="00372887" w:rsidRDefault="00FF6583" w:rsidP="00C334E0">
      <w:r w:rsidRPr="00372887">
        <w:t>Finanční správa, resp. Specializovaný finanční úřad je správcem daně z hazardních her.</w:t>
      </w:r>
    </w:p>
    <w:p w14:paraId="72A60370" w14:textId="042879EF" w:rsidR="0080488B" w:rsidRPr="00372887" w:rsidRDefault="0080488B" w:rsidP="00C334E0">
      <w:r w:rsidRPr="00372887">
        <w:t>Významnou roli hraje i Úřad vlády</w:t>
      </w:r>
      <w:r w:rsidR="007E65E4" w:rsidRPr="00372887">
        <w:t>,</w:t>
      </w:r>
      <w:r w:rsidRPr="00372887">
        <w:t xml:space="preserve"> resp. </w:t>
      </w:r>
      <w:r w:rsidR="007E65E4" w:rsidRPr="00372887">
        <w:t>O</w:t>
      </w:r>
      <w:r w:rsidRPr="00372887">
        <w:t>dbor protidrogové politiky, jakožto koordinátor boje se závislostmi.</w:t>
      </w:r>
    </w:p>
    <w:p w14:paraId="66F3D06B" w14:textId="16F194C0" w:rsidR="00FF6583" w:rsidRPr="00372887" w:rsidRDefault="00FF6583" w:rsidP="00C334E0">
      <w:r w:rsidRPr="00372887">
        <w:t>Z oblasti státní správy je dále dotčeným subje</w:t>
      </w:r>
      <w:r w:rsidR="007F210B">
        <w:t>ktem např. Ministerstvo práce a </w:t>
      </w:r>
      <w:r w:rsidRPr="00372887">
        <w:t>sociálních věcí a Ministerstvo spravedlnosti, správa základních registrů a soudy, kteří jsou poskytova</w:t>
      </w:r>
      <w:r w:rsidR="00923C0E">
        <w:t>teli dat nutných pro fungování R</w:t>
      </w:r>
      <w:r w:rsidRPr="00372887">
        <w:t xml:space="preserve">ejstříku </w:t>
      </w:r>
      <w:r w:rsidR="00DC36EE">
        <w:t>vyloučených osob</w:t>
      </w:r>
      <w:r w:rsidRPr="00372887">
        <w:t>, nebo policie a</w:t>
      </w:r>
      <w:r w:rsidR="00DC36EE">
        <w:t> </w:t>
      </w:r>
      <w:r w:rsidRPr="00372887">
        <w:t>obecně orgány činné v trestních řízeních, z hlediska potírání protiprávního jednání v oblasti hazardních her.</w:t>
      </w:r>
    </w:p>
    <w:p w14:paraId="328F84C5" w14:textId="60506409" w:rsidR="00FF6583" w:rsidRPr="00372887" w:rsidRDefault="00FF6583" w:rsidP="00C334E0">
      <w:r w:rsidRPr="00372887">
        <w:t>Také soukromoprávní subjekty jsou právní úpravou v oblasti  hazardních her přímo dotčeny. Jedná se samozřejmě primárně zejména o samotné provozovatele hazardních her, ale také o pověřené osoby, kterými jsou subjekty s odbornou znalostí v oblasti provozování hazardních her, a poskytovatel</w:t>
      </w:r>
      <w:r w:rsidR="007E65E4" w:rsidRPr="00372887">
        <w:t>e</w:t>
      </w:r>
      <w:r w:rsidRPr="00372887">
        <w:t xml:space="preserve"> internetového připojení</w:t>
      </w:r>
      <w:r w:rsidR="007F210B">
        <w:t>, poskytovatele platebních služeb</w:t>
      </w:r>
      <w:r w:rsidRPr="00372887">
        <w:t>, či nepřímo např. výrobc</w:t>
      </w:r>
      <w:r w:rsidR="00DC36EE">
        <w:t>e</w:t>
      </w:r>
      <w:r w:rsidRPr="00372887">
        <w:t xml:space="preserve"> a dodavatel</w:t>
      </w:r>
      <w:r w:rsidR="00DC36EE">
        <w:t>e</w:t>
      </w:r>
      <w:r w:rsidRPr="00372887">
        <w:t xml:space="preserve"> herních zařízení a další podnikatelské subjekty.</w:t>
      </w:r>
    </w:p>
    <w:p w14:paraId="55A29596" w14:textId="55F6C7E9" w:rsidR="003519E5" w:rsidRPr="00372887" w:rsidRDefault="003519E5" w:rsidP="00C334E0">
      <w:r w:rsidRPr="00372887">
        <w:t>Významný dopad má právní úprava samozřejmě n</w:t>
      </w:r>
      <w:r w:rsidR="00E766E2">
        <w:t>a spotřebitele hazardních her a </w:t>
      </w:r>
      <w:r w:rsidRPr="00372887">
        <w:t>také jim blízké osoby, a to z důvodu implementace opatření zodpovědného hraní.</w:t>
      </w:r>
    </w:p>
    <w:p w14:paraId="34AC7F04" w14:textId="12B4A68D" w:rsidR="00FF6583" w:rsidRPr="00372887" w:rsidRDefault="00FF6583" w:rsidP="00C334E0">
      <w:r w:rsidRPr="00372887">
        <w:t xml:space="preserve">V neposlední řadě je nutné zmínit i subjekty, které řeší negativní dopady hazardních her na </w:t>
      </w:r>
      <w:r w:rsidR="00727982">
        <w:t>účastníky hazardních her</w:t>
      </w:r>
      <w:r w:rsidR="00727982" w:rsidRPr="00372887">
        <w:t xml:space="preserve"> </w:t>
      </w:r>
      <w:r w:rsidRPr="00372887">
        <w:t>a jejich blízké, ať už se jedná o různé adiktologické poradny, ambulance či další zařízení pracující např. s patologickými hráči a mající zásadní úlohu z hlediska prevence i léčby z</w:t>
      </w:r>
      <w:r w:rsidR="00BB477D">
        <w:t xml:space="preserve">ávislostí na hazardních hrách. </w:t>
      </w:r>
    </w:p>
    <w:p w14:paraId="59517328" w14:textId="37661F67" w:rsidR="003519E5" w:rsidRPr="00365ED5" w:rsidRDefault="003519E5" w:rsidP="00610772">
      <w:pPr>
        <w:pStyle w:val="Nadpis3"/>
        <w:rPr>
          <w:rFonts w:cs="Arial"/>
        </w:rPr>
      </w:pPr>
      <w:bookmarkStart w:id="24" w:name="_Toc69210525"/>
      <w:bookmarkStart w:id="25" w:name="_Toc72999529"/>
      <w:bookmarkStart w:id="26" w:name="_Toc73613628"/>
      <w:r w:rsidRPr="00365ED5">
        <w:rPr>
          <w:rFonts w:cs="Arial"/>
        </w:rPr>
        <w:lastRenderedPageBreak/>
        <w:t xml:space="preserve">Cíle </w:t>
      </w:r>
      <w:bookmarkEnd w:id="24"/>
      <w:r w:rsidR="005715B9">
        <w:rPr>
          <w:rFonts w:cs="Arial"/>
        </w:rPr>
        <w:t>e</w:t>
      </w:r>
      <w:r w:rsidR="000A28D2">
        <w:rPr>
          <w:rFonts w:cs="Arial"/>
        </w:rPr>
        <w:t>x post RIA</w:t>
      </w:r>
      <w:bookmarkEnd w:id="25"/>
      <w:bookmarkEnd w:id="26"/>
    </w:p>
    <w:p w14:paraId="24BBB34E" w14:textId="63CF8463" w:rsidR="003519E5" w:rsidRPr="00372887" w:rsidRDefault="000A28D2" w:rsidP="00C334E0">
      <w:r>
        <w:rPr>
          <w:lang w:eastAsia="zh-CN" w:bidi="ar"/>
        </w:rPr>
        <w:t xml:space="preserve">Cílem </w:t>
      </w:r>
      <w:r w:rsidR="005715B9">
        <w:rPr>
          <w:lang w:eastAsia="zh-CN" w:bidi="ar"/>
        </w:rPr>
        <w:t>e</w:t>
      </w:r>
      <w:r>
        <w:rPr>
          <w:lang w:eastAsia="zh-CN" w:bidi="ar"/>
        </w:rPr>
        <w:t>x post RIA</w:t>
      </w:r>
      <w:r w:rsidR="0080488B" w:rsidRPr="00372887">
        <w:rPr>
          <w:lang w:eastAsia="zh-CN" w:bidi="ar"/>
        </w:rPr>
        <w:t xml:space="preserve"> je </w:t>
      </w:r>
      <w:r w:rsidR="003519E5" w:rsidRPr="00372887">
        <w:rPr>
          <w:lang w:eastAsia="zh-CN" w:bidi="ar"/>
        </w:rPr>
        <w:t>provedení přezkumu právní úpravy v oblasti hazardních</w:t>
      </w:r>
      <w:r>
        <w:rPr>
          <w:lang w:eastAsia="zh-CN" w:bidi="ar"/>
        </w:rPr>
        <w:t xml:space="preserve"> her, vycházející především ze z</w:t>
      </w:r>
      <w:r w:rsidR="003519E5" w:rsidRPr="00372887">
        <w:rPr>
          <w:lang w:eastAsia="zh-CN" w:bidi="ar"/>
        </w:rPr>
        <w:t xml:space="preserve">ákona </w:t>
      </w:r>
      <w:r w:rsidR="003519E5" w:rsidRPr="00372887">
        <w:rPr>
          <w:lang w:eastAsia="zh-CN"/>
        </w:rPr>
        <w:t xml:space="preserve">o hazardních hrách </w:t>
      </w:r>
      <w:r>
        <w:rPr>
          <w:lang w:eastAsia="zh-CN" w:bidi="ar"/>
        </w:rPr>
        <w:t>a z</w:t>
      </w:r>
      <w:r w:rsidR="003519E5" w:rsidRPr="00372887">
        <w:rPr>
          <w:lang w:eastAsia="zh-CN"/>
        </w:rPr>
        <w:t xml:space="preserve">ákona </w:t>
      </w:r>
      <w:r w:rsidR="00F75C6C" w:rsidRPr="00372887">
        <w:rPr>
          <w:lang w:eastAsia="zh-CN"/>
        </w:rPr>
        <w:t>o dani z  hazardních her</w:t>
      </w:r>
      <w:r w:rsidR="003519E5" w:rsidRPr="00372887">
        <w:rPr>
          <w:lang w:eastAsia="zh-CN"/>
        </w:rPr>
        <w:t xml:space="preserve"> </w:t>
      </w:r>
      <w:r w:rsidR="003519E5" w:rsidRPr="00372887">
        <w:rPr>
          <w:lang w:eastAsia="zh-CN" w:bidi="ar"/>
        </w:rPr>
        <w:t xml:space="preserve">a naplňování základních cílů a principů stanovených pro  oblast hazardních her, které byly stanoveny před schválením zákona. </w:t>
      </w:r>
    </w:p>
    <w:p w14:paraId="6300065C" w14:textId="22B2F82D" w:rsidR="006E2DDB" w:rsidRDefault="006E2DDB" w:rsidP="006E2DDB">
      <w:r>
        <w:rPr>
          <w:lang w:eastAsia="zh-CN" w:bidi="ar"/>
        </w:rPr>
        <w:t xml:space="preserve">Analýza </w:t>
      </w:r>
      <w:r w:rsidR="00404C50">
        <w:rPr>
          <w:lang w:eastAsia="zh-CN" w:bidi="ar"/>
        </w:rPr>
        <w:t>obsahuje</w:t>
      </w:r>
      <w:r>
        <w:rPr>
          <w:lang w:eastAsia="zh-CN" w:bidi="ar"/>
        </w:rPr>
        <w:t xml:space="preserve"> </w:t>
      </w:r>
      <w:r w:rsidRPr="006E2DDB">
        <w:rPr>
          <w:b/>
        </w:rPr>
        <w:t>obecnou část hodnocení regulace</w:t>
      </w:r>
      <w:r>
        <w:t xml:space="preserve"> hazardních her</w:t>
      </w:r>
      <w:r w:rsidR="00404C50">
        <w:t>,</w:t>
      </w:r>
      <w:r>
        <w:t xml:space="preserve"> </w:t>
      </w:r>
      <w:r w:rsidR="00404C50">
        <w:t>jejíž součástí jsou</w:t>
      </w:r>
      <w:r>
        <w:t xml:space="preserve"> i obecné </w:t>
      </w:r>
      <w:r w:rsidRPr="00404C50">
        <w:rPr>
          <w:b/>
        </w:rPr>
        <w:t>závěry a doporučení</w:t>
      </w:r>
      <w:r w:rsidR="00404C50">
        <w:rPr>
          <w:b/>
        </w:rPr>
        <w:t xml:space="preserve">. V přílohách </w:t>
      </w:r>
      <w:r w:rsidR="00404C50" w:rsidRPr="00404C50">
        <w:t>jsou obsaženy</w:t>
      </w:r>
      <w:r w:rsidR="00404C50">
        <w:rPr>
          <w:b/>
        </w:rPr>
        <w:t xml:space="preserve"> jednotlivé</w:t>
      </w:r>
      <w:r>
        <w:t xml:space="preserve"> </w:t>
      </w:r>
      <w:r w:rsidRPr="00404C50">
        <w:rPr>
          <w:b/>
        </w:rPr>
        <w:t>dílčí analýzy</w:t>
      </w:r>
      <w:r>
        <w:t xml:space="preserve"> s jednotlivými závěry či doporučeními. Jedná se specifické či potenciálně problematické okruhy, které byly identifikovány na základě zkušeností Ministerstva financí z dosavadní aplikace či na základě podnětů dalších dotčených subjektů včetně provozovatelů hazardních her. </w:t>
      </w:r>
    </w:p>
    <w:p w14:paraId="4FDA6EC8" w14:textId="3F7C08D6" w:rsidR="003519E5" w:rsidRPr="00372887" w:rsidRDefault="003519E5" w:rsidP="00C334E0">
      <w:r w:rsidRPr="00372887">
        <w:t xml:space="preserve">Primárním účelem Analýzy je </w:t>
      </w:r>
      <w:r w:rsidRPr="00404C50">
        <w:rPr>
          <w:b/>
        </w:rPr>
        <w:t>zhodnotit cíle, které si nová právní úprava kladla</w:t>
      </w:r>
      <w:r w:rsidRPr="00372887">
        <w:t xml:space="preserve">, tedy zda zákon o hazardních hrách poskytuje dostatečně </w:t>
      </w:r>
      <w:r w:rsidR="005A6B38">
        <w:t>transparentní prostředí jak pro </w:t>
      </w:r>
      <w:r w:rsidRPr="00372887">
        <w:t xml:space="preserve">provozovatele hazardních her, tak i pro samotné </w:t>
      </w:r>
      <w:r w:rsidR="00727982">
        <w:t>účastníky hazardních her</w:t>
      </w:r>
      <w:r w:rsidRPr="00372887">
        <w:t xml:space="preserve">. To vše tak, aby byla zajištěna maximální možná ochrana </w:t>
      </w:r>
      <w:r w:rsidR="00727982">
        <w:t>účastníků hazardních her</w:t>
      </w:r>
      <w:r w:rsidR="00727982" w:rsidRPr="00372887">
        <w:t xml:space="preserve"> </w:t>
      </w:r>
      <w:r w:rsidRPr="00372887">
        <w:t xml:space="preserve">a jim blízkých osob před negativními dopady, které </w:t>
      </w:r>
      <w:r w:rsidR="000A28D2">
        <w:t>s </w:t>
      </w:r>
      <w:r w:rsidRPr="00372887">
        <w:t xml:space="preserve">sebou účast na hazardních hrách nese. </w:t>
      </w:r>
    </w:p>
    <w:p w14:paraId="09D8D862" w14:textId="090CEF26" w:rsidR="003519E5" w:rsidRPr="00372887" w:rsidRDefault="003519E5" w:rsidP="00C334E0">
      <w:pPr>
        <w:rPr>
          <w:lang w:eastAsia="zh-CN" w:bidi="ar"/>
        </w:rPr>
      </w:pPr>
      <w:r w:rsidRPr="00372887">
        <w:rPr>
          <w:lang w:eastAsia="zh-CN" w:bidi="ar"/>
        </w:rPr>
        <w:t>Cílem Analýzy je dále vyhodnotit</w:t>
      </w:r>
      <w:r w:rsidR="000A28D2">
        <w:rPr>
          <w:lang w:eastAsia="zh-CN" w:bidi="ar"/>
        </w:rPr>
        <w:t>, zda jsou veškeré instrumenty zákona  o  hazardních hrách a z</w:t>
      </w:r>
      <w:r w:rsidRPr="00372887">
        <w:rPr>
          <w:lang w:eastAsia="zh-CN" w:bidi="ar"/>
        </w:rPr>
        <w:t xml:space="preserve">ákona o dani z hazardních her plně funkční, nebo zda by bylo možné provést dílčí úpravy tak, aby byla právní úprava z  pohledu naplňování svých cílů efektivnější. Zároveň je nutné vyhodnotit, zda právní úprava </w:t>
      </w:r>
      <w:r w:rsidR="0080488B" w:rsidRPr="00372887">
        <w:rPr>
          <w:lang w:eastAsia="zh-CN" w:bidi="ar"/>
        </w:rPr>
        <w:t xml:space="preserve">je schopna </w:t>
      </w:r>
      <w:r w:rsidRPr="00372887">
        <w:rPr>
          <w:lang w:eastAsia="zh-CN" w:bidi="ar"/>
        </w:rPr>
        <w:t>dostatečně reag</w:t>
      </w:r>
      <w:r w:rsidR="0080488B" w:rsidRPr="00372887">
        <w:rPr>
          <w:lang w:eastAsia="zh-CN" w:bidi="ar"/>
        </w:rPr>
        <w:t>ovat</w:t>
      </w:r>
      <w:r w:rsidRPr="00372887">
        <w:rPr>
          <w:lang w:eastAsia="zh-CN" w:bidi="ar"/>
        </w:rPr>
        <w:t xml:space="preserve"> i na technologický rozvoj v oblasti provozování hazardních her</w:t>
      </w:r>
      <w:r w:rsidR="0080488B" w:rsidRPr="00372887">
        <w:rPr>
          <w:lang w:eastAsia="zh-CN" w:bidi="ar"/>
        </w:rPr>
        <w:t xml:space="preserve"> či jiné společenské změny</w:t>
      </w:r>
      <w:r w:rsidRPr="00372887">
        <w:rPr>
          <w:lang w:eastAsia="zh-CN" w:bidi="ar"/>
        </w:rPr>
        <w:t>.</w:t>
      </w:r>
    </w:p>
    <w:p w14:paraId="5EF1E664" w14:textId="071A93DA" w:rsidR="003519E5" w:rsidRDefault="003519E5" w:rsidP="00C334E0">
      <w:pPr>
        <w:rPr>
          <w:lang w:eastAsia="zh-CN" w:bidi="ar"/>
        </w:rPr>
      </w:pPr>
      <w:r w:rsidRPr="00372887">
        <w:rPr>
          <w:lang w:eastAsia="zh-CN" w:bidi="ar"/>
        </w:rPr>
        <w:t xml:space="preserve">Analýza také vyhodnocuje dopady na trh provozování hazardních her, a to </w:t>
      </w:r>
      <w:r w:rsidR="006F6635">
        <w:rPr>
          <w:lang w:eastAsia="zh-CN" w:bidi="ar"/>
        </w:rPr>
        <w:t>jak z </w:t>
      </w:r>
      <w:r w:rsidRPr="00372887">
        <w:rPr>
          <w:lang w:eastAsia="zh-CN" w:bidi="ar"/>
        </w:rPr>
        <w:t>pohledu nákladů provozovatelů hazardních</w:t>
      </w:r>
      <w:r w:rsidR="0080488B" w:rsidRPr="00372887">
        <w:rPr>
          <w:lang w:eastAsia="zh-CN" w:bidi="ar"/>
        </w:rPr>
        <w:t xml:space="preserve"> her</w:t>
      </w:r>
      <w:r w:rsidRPr="00372887">
        <w:rPr>
          <w:lang w:eastAsia="zh-CN" w:bidi="ar"/>
        </w:rPr>
        <w:t>, tak i fiskálních dopadů na veřejné rozpočty.</w:t>
      </w:r>
    </w:p>
    <w:p w14:paraId="7D72A05E" w14:textId="77777777" w:rsidR="001018D4" w:rsidRDefault="003519E5" w:rsidP="004B5A5C">
      <w:r w:rsidRPr="004B5A5C">
        <w:t xml:space="preserve">Výsledkem přezkumu zákona o hazardních hrách jsou návrhy </w:t>
      </w:r>
      <w:r w:rsidR="0080488B" w:rsidRPr="00404C50">
        <w:rPr>
          <w:b/>
        </w:rPr>
        <w:t>závěrů a doporučení</w:t>
      </w:r>
      <w:r w:rsidR="0080488B" w:rsidRPr="004B5A5C">
        <w:t xml:space="preserve"> včetně těch, které mohou</w:t>
      </w:r>
      <w:r w:rsidR="000A28D2" w:rsidRPr="004B5A5C">
        <w:t xml:space="preserve"> směřovat k potenciální úpravě z</w:t>
      </w:r>
      <w:r w:rsidR="0080488B" w:rsidRPr="004B5A5C">
        <w:t>ákona  o  hazardních hrách</w:t>
      </w:r>
      <w:r w:rsidR="00025F44" w:rsidRPr="004B5A5C">
        <w:t>,</w:t>
      </w:r>
      <w:r w:rsidR="0080488B" w:rsidRPr="004B5A5C">
        <w:t xml:space="preserve"> jeho prováděcích předpisů nebo souvisejících zákonů.</w:t>
      </w:r>
      <w:r w:rsidR="00472EA1" w:rsidRPr="004B5A5C">
        <w:t xml:space="preserve"> </w:t>
      </w:r>
      <w:r w:rsidR="000A13CF" w:rsidRPr="004B5A5C">
        <w:t>Výsledky a</w:t>
      </w:r>
      <w:r w:rsidR="00472EA1" w:rsidRPr="004B5A5C">
        <w:t>nalýz</w:t>
      </w:r>
      <w:r w:rsidR="000A13CF" w:rsidRPr="004B5A5C">
        <w:t xml:space="preserve"> však nejsou </w:t>
      </w:r>
      <w:r w:rsidR="007A1DC0" w:rsidRPr="004B5A5C">
        <w:t xml:space="preserve">v čase </w:t>
      </w:r>
      <w:r w:rsidR="000A13CF" w:rsidRPr="004B5A5C">
        <w:t>statické</w:t>
      </w:r>
      <w:r w:rsidR="00472EA1" w:rsidRPr="004B5A5C">
        <w:t>, jejich závěry</w:t>
      </w:r>
      <w:r w:rsidR="007A1DC0" w:rsidRPr="004B5A5C">
        <w:t>, indikátory</w:t>
      </w:r>
      <w:r w:rsidR="00472EA1" w:rsidRPr="004B5A5C">
        <w:t xml:space="preserve"> i případná doporučení vychází z  informací a dat dostupných v době zpracování</w:t>
      </w:r>
      <w:r w:rsidR="009A1F0A" w:rsidRPr="004B5A5C">
        <w:t xml:space="preserve"> </w:t>
      </w:r>
      <w:r w:rsidR="00025F44" w:rsidRPr="004B5A5C">
        <w:t xml:space="preserve">této Analýzy </w:t>
      </w:r>
      <w:r w:rsidR="009A1F0A" w:rsidRPr="004B5A5C">
        <w:t>a nelze tak vyloučit jejich potenciální změny v návaznosti na nová data</w:t>
      </w:r>
      <w:r w:rsidR="004A3E36" w:rsidRPr="004B5A5C">
        <w:t xml:space="preserve"> či další faktory.</w:t>
      </w:r>
      <w:r w:rsidR="000A13CF" w:rsidRPr="004B5A5C">
        <w:t xml:space="preserve"> </w:t>
      </w:r>
      <w:r w:rsidR="007A1DC0" w:rsidRPr="004B5A5C">
        <w:t>Stejně tak může v čase dojít k preferenci jiných variant řešení.</w:t>
      </w:r>
      <w:r w:rsidR="004B5A5C" w:rsidRPr="004B5A5C">
        <w:t xml:space="preserve"> </w:t>
      </w:r>
    </w:p>
    <w:p w14:paraId="178D719D" w14:textId="2693A31B" w:rsidR="003519E5" w:rsidRPr="000C27B8" w:rsidRDefault="003519E5" w:rsidP="003519E5">
      <w:pPr>
        <w:pStyle w:val="Nadpis4"/>
        <w:rPr>
          <w:rFonts w:eastAsia="SimSun" w:cs="Arial"/>
          <w:lang w:bidi="ar"/>
        </w:rPr>
      </w:pPr>
      <w:bookmarkStart w:id="27" w:name="_Toc72999530"/>
      <w:r w:rsidRPr="000C27B8">
        <w:rPr>
          <w:rFonts w:eastAsia="SimSun" w:cs="Arial"/>
          <w:lang w:bidi="ar"/>
        </w:rPr>
        <w:t>Obecně k indikátorům</w:t>
      </w:r>
      <w:bookmarkEnd w:id="27"/>
    </w:p>
    <w:p w14:paraId="284C4A36" w14:textId="77777777" w:rsidR="003519E5" w:rsidRPr="00372887" w:rsidRDefault="003519E5" w:rsidP="00C334E0">
      <w:pPr>
        <w:rPr>
          <w:lang w:eastAsia="zh-CN" w:bidi="ar"/>
        </w:rPr>
      </w:pPr>
      <w:r w:rsidRPr="00372887">
        <w:rPr>
          <w:lang w:eastAsia="zh-CN" w:bidi="ar"/>
        </w:rPr>
        <w:t>Pro potřeby vypracování ex post RIA byla v souladu s požadavky Metodiky přezkumu účinnosti právních předpisů definovaná sada indikátorů, která slouží pro provedení přezkumu účinnosti zákona. Vytvořená soustava indikátorů by měla být podkladem pro systematický sběr dat a jejich analýzu i v následujících letech.</w:t>
      </w:r>
    </w:p>
    <w:p w14:paraId="11C7B99C" w14:textId="77777777" w:rsidR="003519E5" w:rsidRPr="00365ED5" w:rsidRDefault="003519E5" w:rsidP="003519E5">
      <w:pPr>
        <w:pStyle w:val="Nadpis4"/>
        <w:rPr>
          <w:rFonts w:cs="Arial"/>
        </w:rPr>
      </w:pPr>
      <w:bookmarkStart w:id="28" w:name="_Toc72999531"/>
      <w:r w:rsidRPr="00365ED5">
        <w:rPr>
          <w:rFonts w:cs="Arial"/>
        </w:rPr>
        <w:t>Metodika tvorby indikátorů</w:t>
      </w:r>
      <w:bookmarkEnd w:id="28"/>
    </w:p>
    <w:p w14:paraId="36284DCB" w14:textId="77777777" w:rsidR="003519E5" w:rsidRPr="00372887" w:rsidRDefault="003519E5" w:rsidP="00C334E0">
      <w:pPr>
        <w:rPr>
          <w:lang w:eastAsia="zh-CN" w:bidi="ar"/>
        </w:rPr>
      </w:pPr>
      <w:r w:rsidRPr="00372887">
        <w:rPr>
          <w:lang w:eastAsia="zh-CN" w:bidi="ar"/>
        </w:rPr>
        <w:t>Za účelem přezkumu účinnosti byla zvolena následující soustava indikátorů:</w:t>
      </w:r>
    </w:p>
    <w:p w14:paraId="433D4075" w14:textId="77777777" w:rsidR="003519E5" w:rsidRPr="00E93DD3" w:rsidRDefault="003519E5" w:rsidP="00E93DD3">
      <w:pPr>
        <w:pStyle w:val="Odstavecseseznamem"/>
        <w:numPr>
          <w:ilvl w:val="0"/>
          <w:numId w:val="29"/>
        </w:numPr>
        <w:ind w:left="714" w:hanging="357"/>
        <w:jc w:val="both"/>
        <w:rPr>
          <w:rFonts w:ascii="Arial" w:hAnsi="Arial" w:cs="Arial"/>
          <w:sz w:val="24"/>
        </w:rPr>
      </w:pPr>
      <w:bookmarkStart w:id="29" w:name="_Toc72999532"/>
      <w:r w:rsidRPr="00E93DD3">
        <w:rPr>
          <w:rFonts w:ascii="Arial" w:hAnsi="Arial" w:cs="Arial"/>
          <w:sz w:val="24"/>
        </w:rPr>
        <w:t>indikátory míry naplnění cílů. Indikátor hodnotí naplnění žádoucího cílového stavu. Konkrétní podoba indikátoru (tj. jeho žádoucí výsledné hodnoty) vycházejí z odhadu optimálního vlivu na předmět právní úpravy;</w:t>
      </w:r>
      <w:bookmarkEnd w:id="29"/>
    </w:p>
    <w:p w14:paraId="1FDEAEEF" w14:textId="77777777" w:rsidR="003519E5" w:rsidRPr="00E93DD3" w:rsidRDefault="003519E5" w:rsidP="00E93DD3">
      <w:pPr>
        <w:pStyle w:val="Odstavecseseznamem"/>
        <w:numPr>
          <w:ilvl w:val="0"/>
          <w:numId w:val="29"/>
        </w:numPr>
        <w:ind w:left="714" w:hanging="357"/>
        <w:jc w:val="both"/>
        <w:rPr>
          <w:rFonts w:ascii="Arial" w:hAnsi="Arial" w:cs="Arial"/>
          <w:sz w:val="24"/>
        </w:rPr>
      </w:pPr>
      <w:bookmarkStart w:id="30" w:name="_Toc72999533"/>
      <w:r w:rsidRPr="00E93DD3">
        <w:rPr>
          <w:rFonts w:ascii="Arial" w:hAnsi="Arial" w:cs="Arial"/>
          <w:sz w:val="24"/>
        </w:rPr>
        <w:lastRenderedPageBreak/>
        <w:t>indikátory nákladů. Účelem těchto indikátorů je sledovat, zda skutečné náklady právní úpravy odpovídají původním předpokladům, na jejichž základě bylo rozhodnuto o přijetí právní úpravy;</w:t>
      </w:r>
      <w:bookmarkEnd w:id="30"/>
      <w:r w:rsidRPr="00E93DD3">
        <w:rPr>
          <w:rFonts w:ascii="Arial" w:hAnsi="Arial" w:cs="Arial"/>
          <w:sz w:val="24"/>
        </w:rPr>
        <w:t xml:space="preserve">  </w:t>
      </w:r>
    </w:p>
    <w:p w14:paraId="3CE9C5EA" w14:textId="64066BC0" w:rsidR="003519E5" w:rsidRPr="00E93DD3" w:rsidRDefault="003519E5" w:rsidP="00E93DD3">
      <w:pPr>
        <w:pStyle w:val="Odstavecseseznamem"/>
        <w:numPr>
          <w:ilvl w:val="0"/>
          <w:numId w:val="29"/>
        </w:numPr>
        <w:ind w:left="714" w:hanging="357"/>
        <w:jc w:val="both"/>
        <w:rPr>
          <w:rFonts w:ascii="Arial" w:hAnsi="Arial" w:cs="Arial"/>
          <w:sz w:val="24"/>
        </w:rPr>
      </w:pPr>
      <w:bookmarkStart w:id="31" w:name="_Toc72999534"/>
      <w:r w:rsidRPr="00E93DD3">
        <w:rPr>
          <w:rFonts w:ascii="Arial" w:hAnsi="Arial" w:cs="Arial"/>
          <w:sz w:val="24"/>
        </w:rPr>
        <w:t>indikátory nezamýšlených důsledků. Byla-li v původní RIA identifikována určitá rizika navrhované právní úpravy, je vhodné stanovit indikátory umožňující zjistit, zda, popř. nakolik se daná rizika realizovala;</w:t>
      </w:r>
      <w:bookmarkEnd w:id="31"/>
    </w:p>
    <w:p w14:paraId="6F5A7999" w14:textId="77777777" w:rsidR="003519E5" w:rsidRPr="00E93DD3" w:rsidRDefault="003519E5" w:rsidP="00E93DD3">
      <w:pPr>
        <w:pStyle w:val="Odstavecseseznamem"/>
        <w:numPr>
          <w:ilvl w:val="0"/>
          <w:numId w:val="29"/>
        </w:numPr>
        <w:ind w:left="714" w:hanging="357"/>
        <w:jc w:val="both"/>
        <w:rPr>
          <w:rFonts w:ascii="Arial" w:hAnsi="Arial" w:cs="Arial"/>
          <w:sz w:val="24"/>
        </w:rPr>
      </w:pPr>
      <w:bookmarkStart w:id="32" w:name="_Toc72999535"/>
      <w:r w:rsidRPr="00E93DD3">
        <w:rPr>
          <w:rFonts w:ascii="Arial" w:hAnsi="Arial" w:cs="Arial"/>
          <w:sz w:val="24"/>
        </w:rPr>
        <w:t>indikátor míry dodržování právní úpravy. Cílem je vyhodnotit efektivitu nové právní úpravy, tedy zda dotčené subjekty respektují relevantní normu.</w:t>
      </w:r>
      <w:bookmarkEnd w:id="32"/>
    </w:p>
    <w:p w14:paraId="7CF7C961" w14:textId="77777777" w:rsidR="003519E5" w:rsidRPr="00F114A6" w:rsidRDefault="003519E5" w:rsidP="003519E5">
      <w:pPr>
        <w:pStyle w:val="Nadpis4"/>
        <w:rPr>
          <w:rFonts w:cs="Arial"/>
        </w:rPr>
      </w:pPr>
      <w:bookmarkStart w:id="33" w:name="_Toc72999536"/>
      <w:r w:rsidRPr="00F114A6">
        <w:rPr>
          <w:rFonts w:cs="Arial"/>
        </w:rPr>
        <w:t>Požadavky na indikátory</w:t>
      </w:r>
      <w:bookmarkEnd w:id="33"/>
    </w:p>
    <w:p w14:paraId="48F59688" w14:textId="77777777" w:rsidR="003519E5" w:rsidRPr="00372887" w:rsidRDefault="003519E5" w:rsidP="00C334E0">
      <w:pPr>
        <w:rPr>
          <w:lang w:eastAsia="zh-CN" w:bidi="ar"/>
        </w:rPr>
      </w:pPr>
      <w:r w:rsidRPr="00372887">
        <w:rPr>
          <w:lang w:eastAsia="zh-CN" w:bidi="ar"/>
        </w:rPr>
        <w:t>Analýza klade na indikátory, které budou použity ve vztahu k přezkoumávané normě, popř. institutu, následující požadavky:</w:t>
      </w:r>
    </w:p>
    <w:p w14:paraId="109CC8D5" w14:textId="77777777" w:rsidR="003519E5" w:rsidRPr="000A28D2" w:rsidRDefault="003519E5" w:rsidP="003519E5">
      <w:pPr>
        <w:pStyle w:val="Odstavecseseznamem"/>
        <w:numPr>
          <w:ilvl w:val="0"/>
          <w:numId w:val="6"/>
        </w:numPr>
        <w:ind w:left="425" w:hanging="357"/>
        <w:contextualSpacing w:val="0"/>
        <w:jc w:val="both"/>
        <w:rPr>
          <w:rFonts w:ascii="Arial" w:hAnsi="Arial" w:cs="Arial"/>
        </w:rPr>
      </w:pPr>
      <w:r w:rsidRPr="00372887">
        <w:rPr>
          <w:rFonts w:ascii="Arial" w:eastAsia="SimSun" w:hAnsi="Arial" w:cs="Arial"/>
          <w:b/>
          <w:color w:val="000000"/>
          <w:sz w:val="24"/>
          <w:szCs w:val="24"/>
          <w:lang w:eastAsia="zh-CN" w:bidi="ar"/>
        </w:rPr>
        <w:t>relevance.</w:t>
      </w:r>
      <w:r w:rsidRPr="00372887">
        <w:rPr>
          <w:rFonts w:ascii="Arial" w:eastAsia="SimSun" w:hAnsi="Arial" w:cs="Arial"/>
          <w:color w:val="000000"/>
          <w:sz w:val="24"/>
          <w:szCs w:val="24"/>
          <w:lang w:eastAsia="zh-CN" w:bidi="ar"/>
        </w:rPr>
        <w:t xml:space="preserve"> Pro přezkum bude zvolen vždy takový indikátor/y z výše uvedených, který bude přímo a co nejlogičtěji spjat s tím dotčeným aspektem normy/institutu, k jehož vyhodnocení mají sloužit;</w:t>
      </w:r>
    </w:p>
    <w:p w14:paraId="69D15CA8" w14:textId="2640F5CB" w:rsidR="003519E5" w:rsidRPr="000C27B8" w:rsidRDefault="003519E5" w:rsidP="003519E5">
      <w:pPr>
        <w:pStyle w:val="Odstavecseseznamem"/>
        <w:numPr>
          <w:ilvl w:val="0"/>
          <w:numId w:val="6"/>
        </w:numPr>
        <w:spacing w:before="240"/>
        <w:ind w:left="425" w:hanging="357"/>
        <w:contextualSpacing w:val="0"/>
        <w:jc w:val="both"/>
        <w:rPr>
          <w:rFonts w:ascii="Arial" w:eastAsiaTheme="majorEastAsia" w:hAnsi="Arial" w:cs="Arial"/>
          <w:sz w:val="24"/>
        </w:rPr>
      </w:pPr>
      <w:r w:rsidRPr="00F114A6">
        <w:rPr>
          <w:rFonts w:ascii="Arial" w:eastAsiaTheme="majorEastAsia" w:hAnsi="Arial" w:cs="Arial"/>
          <w:b/>
          <w:sz w:val="24"/>
        </w:rPr>
        <w:t xml:space="preserve">měřitelnost. </w:t>
      </w:r>
      <w:r w:rsidRPr="00F114A6">
        <w:rPr>
          <w:rFonts w:ascii="Arial" w:eastAsiaTheme="majorEastAsia" w:hAnsi="Arial" w:cs="Arial"/>
          <w:sz w:val="24"/>
        </w:rPr>
        <w:t xml:space="preserve">V případě norem/institutů, u </w:t>
      </w:r>
      <w:r w:rsidR="00490B1D" w:rsidRPr="00365ED5">
        <w:rPr>
          <w:rFonts w:ascii="Arial" w:eastAsiaTheme="majorEastAsia" w:hAnsi="Arial" w:cs="Arial"/>
          <w:sz w:val="24"/>
        </w:rPr>
        <w:t>něhož to umožňuje</w:t>
      </w:r>
      <w:r w:rsidRPr="000C27B8">
        <w:rPr>
          <w:rFonts w:ascii="Arial" w:eastAsiaTheme="majorEastAsia" w:hAnsi="Arial" w:cs="Arial"/>
          <w:sz w:val="24"/>
        </w:rPr>
        <w:t> p</w:t>
      </w:r>
      <w:r w:rsidR="000A28D2">
        <w:rPr>
          <w:rFonts w:ascii="Arial" w:eastAsiaTheme="majorEastAsia" w:hAnsi="Arial" w:cs="Arial"/>
          <w:sz w:val="24"/>
        </w:rPr>
        <w:t>ovaha</w:t>
      </w:r>
      <w:r w:rsidRPr="000C27B8">
        <w:rPr>
          <w:rFonts w:ascii="Arial" w:eastAsiaTheme="majorEastAsia" w:hAnsi="Arial" w:cs="Arial"/>
          <w:sz w:val="24"/>
        </w:rPr>
        <w:t xml:space="preserve"> věci, bude zvolen indikátor, jehož výsledkem bude měřitelný parametr; </w:t>
      </w:r>
    </w:p>
    <w:p w14:paraId="1FDC8B99" w14:textId="71B9094C" w:rsidR="003519E5" w:rsidRPr="000A28D2" w:rsidRDefault="003519E5" w:rsidP="000A28D2">
      <w:pPr>
        <w:pStyle w:val="Odstavecseseznamem"/>
        <w:numPr>
          <w:ilvl w:val="0"/>
          <w:numId w:val="6"/>
        </w:numPr>
        <w:spacing w:before="240"/>
        <w:ind w:left="425" w:hanging="357"/>
        <w:contextualSpacing w:val="0"/>
        <w:jc w:val="both"/>
        <w:rPr>
          <w:rFonts w:eastAsiaTheme="majorEastAsia" w:cs="Arial"/>
        </w:rPr>
      </w:pPr>
      <w:r w:rsidRPr="000A28D2">
        <w:rPr>
          <w:rFonts w:ascii="Arial" w:eastAsiaTheme="majorEastAsia" w:hAnsi="Arial" w:cs="Arial"/>
          <w:b/>
          <w:sz w:val="24"/>
        </w:rPr>
        <w:t xml:space="preserve">efektivita sledování. </w:t>
      </w:r>
      <w:r w:rsidRPr="000A28D2">
        <w:rPr>
          <w:rFonts w:ascii="Arial" w:eastAsiaTheme="majorEastAsia" w:hAnsi="Arial" w:cs="Arial"/>
          <w:sz w:val="24"/>
        </w:rPr>
        <w:t>V rámci možné volby konkrétních indikátorů budou upřednostněny ty, jejichž sledování, včetně sběru a analýzy potřebných dat, bude představovat co nejmenší zátěž, zejména ty, které jsou obsahem</w:t>
      </w:r>
      <w:r w:rsidR="00DC36EE" w:rsidRPr="00DC36EE">
        <w:rPr>
          <w:rFonts w:ascii="Arial" w:eastAsiaTheme="majorEastAsia" w:hAnsi="Arial" w:cs="Arial"/>
          <w:sz w:val="24"/>
        </w:rPr>
        <w:t xml:space="preserve"> </w:t>
      </w:r>
      <w:r w:rsidR="00DC36EE">
        <w:rPr>
          <w:rFonts w:ascii="Arial" w:eastAsiaTheme="majorEastAsia" w:hAnsi="Arial" w:cs="Arial"/>
          <w:sz w:val="24"/>
        </w:rPr>
        <w:t>informačního systému provozování hazardních her ve smyslu zákona o hazardních hrách (dále jen</w:t>
      </w:r>
      <w:r w:rsidRPr="000A28D2">
        <w:rPr>
          <w:rFonts w:ascii="Arial" w:eastAsiaTheme="majorEastAsia" w:hAnsi="Arial" w:cs="Arial"/>
          <w:sz w:val="24"/>
        </w:rPr>
        <w:t xml:space="preserve"> </w:t>
      </w:r>
      <w:r w:rsidR="00DC36EE">
        <w:rPr>
          <w:rFonts w:ascii="Arial" w:eastAsiaTheme="majorEastAsia" w:hAnsi="Arial" w:cs="Arial"/>
          <w:sz w:val="24"/>
        </w:rPr>
        <w:t>„</w:t>
      </w:r>
      <w:r w:rsidRPr="000A28D2">
        <w:rPr>
          <w:rFonts w:ascii="Arial" w:eastAsiaTheme="majorEastAsia" w:hAnsi="Arial" w:cs="Arial"/>
          <w:sz w:val="24"/>
        </w:rPr>
        <w:t>AISG</w:t>
      </w:r>
      <w:r w:rsidR="00DC36EE">
        <w:rPr>
          <w:rFonts w:ascii="Arial" w:eastAsiaTheme="majorEastAsia" w:hAnsi="Arial" w:cs="Arial"/>
          <w:sz w:val="24"/>
        </w:rPr>
        <w:t>“)</w:t>
      </w:r>
      <w:r w:rsidRPr="000A28D2">
        <w:rPr>
          <w:rFonts w:ascii="Arial" w:eastAsiaTheme="majorEastAsia" w:hAnsi="Arial" w:cs="Arial"/>
          <w:sz w:val="24"/>
        </w:rPr>
        <w:t xml:space="preserve"> či jiných </w:t>
      </w:r>
      <w:r w:rsidR="00490B1D" w:rsidRPr="000A28D2">
        <w:rPr>
          <w:rFonts w:ascii="Arial" w:eastAsiaTheme="majorEastAsia" w:hAnsi="Arial" w:cs="Arial"/>
          <w:sz w:val="24"/>
        </w:rPr>
        <w:t xml:space="preserve">zdrojů informací a </w:t>
      </w:r>
      <w:r w:rsidRPr="000A28D2">
        <w:rPr>
          <w:rFonts w:ascii="Arial" w:eastAsiaTheme="majorEastAsia" w:hAnsi="Arial" w:cs="Arial"/>
          <w:sz w:val="24"/>
        </w:rPr>
        <w:t>analýz, které jsou MF k dispozici.</w:t>
      </w:r>
    </w:p>
    <w:p w14:paraId="6AE43C01" w14:textId="7B601338" w:rsidR="003519E5" w:rsidRPr="00F114A6" w:rsidRDefault="003519E5" w:rsidP="00610772">
      <w:pPr>
        <w:pStyle w:val="Nadpis3"/>
        <w:rPr>
          <w:rFonts w:cs="Arial"/>
        </w:rPr>
      </w:pPr>
      <w:bookmarkStart w:id="34" w:name="_Toc69210527"/>
      <w:bookmarkStart w:id="35" w:name="_Toc72999537"/>
      <w:bookmarkStart w:id="36" w:name="_Toc73613629"/>
      <w:r w:rsidRPr="00F114A6">
        <w:rPr>
          <w:rFonts w:cs="Arial"/>
        </w:rPr>
        <w:t>Vhodnost nastavených parametrů přezkumu</w:t>
      </w:r>
      <w:bookmarkEnd w:id="34"/>
      <w:bookmarkEnd w:id="35"/>
      <w:bookmarkEnd w:id="36"/>
    </w:p>
    <w:p w14:paraId="50DEE0E2" w14:textId="0B79647A" w:rsidR="003519E5" w:rsidRPr="00365ED5" w:rsidRDefault="003519E5" w:rsidP="003519E5">
      <w:pPr>
        <w:pStyle w:val="Nadpis4"/>
        <w:rPr>
          <w:rFonts w:cs="Arial"/>
        </w:rPr>
      </w:pPr>
      <w:bookmarkStart w:id="37" w:name="_Toc72999538"/>
      <w:r w:rsidRPr="00365ED5">
        <w:rPr>
          <w:rFonts w:cs="Arial"/>
        </w:rPr>
        <w:t>Termíny</w:t>
      </w:r>
      <w:bookmarkEnd w:id="37"/>
    </w:p>
    <w:p w14:paraId="116614F2" w14:textId="1690E001" w:rsidR="003519E5" w:rsidRPr="00372887" w:rsidRDefault="003519E5" w:rsidP="00C334E0">
      <w:pPr>
        <w:rPr>
          <w:lang w:eastAsia="zh-CN" w:bidi="ar"/>
        </w:rPr>
      </w:pPr>
      <w:r w:rsidRPr="00372887">
        <w:rPr>
          <w:lang w:eastAsia="zh-CN" w:bidi="ar"/>
        </w:rPr>
        <w:t>Dle RIA se jako účelné jevilo každoroční vyhodnocení trendů v této oblasti a jejich následné předložení vládě i veřejnosti. RIA konstatuje, že plné zavedení informačního systému může mít částečné zpoždění za platností zákona</w:t>
      </w:r>
      <w:r w:rsidR="000A28D2">
        <w:rPr>
          <w:lang w:eastAsia="zh-CN" w:bidi="ar"/>
        </w:rPr>
        <w:t>,</w:t>
      </w:r>
      <w:r w:rsidRPr="00372887">
        <w:rPr>
          <w:lang w:eastAsia="zh-CN" w:bidi="ar"/>
        </w:rPr>
        <w:t xml:space="preserve"> a proto by se první vyhodnocení účinnosti mělo konat nejpozději do pěti let od platnosti zákona (vyhodnocována tedy budou data za čtyři roky fungování systému, resp.  dva roky fungování informačního systému provozování hazardních her).</w:t>
      </w:r>
      <w:r w:rsidR="0059012E" w:rsidRPr="00372887">
        <w:rPr>
          <w:lang w:eastAsia="zh-CN" w:bidi="ar"/>
        </w:rPr>
        <w:t xml:space="preserve"> </w:t>
      </w:r>
    </w:p>
    <w:p w14:paraId="4EE5BB24" w14:textId="5A93897B" w:rsidR="0059012E" w:rsidRPr="00372887" w:rsidRDefault="00185EB7" w:rsidP="00C334E0">
      <w:pPr>
        <w:rPr>
          <w:lang w:eastAsia="zh-CN" w:bidi="ar"/>
        </w:rPr>
      </w:pPr>
      <w:r w:rsidRPr="00372887">
        <w:rPr>
          <w:lang w:eastAsia="zh-CN" w:bidi="ar"/>
        </w:rPr>
        <w:t>Předkládané výsledky a závěry přezkum</w:t>
      </w:r>
      <w:r w:rsidR="007B0331">
        <w:rPr>
          <w:lang w:eastAsia="zh-CN" w:bidi="ar"/>
        </w:rPr>
        <w:t>u</w:t>
      </w:r>
      <w:r w:rsidRPr="00372887">
        <w:rPr>
          <w:lang w:eastAsia="zh-CN" w:bidi="ar"/>
        </w:rPr>
        <w:t xml:space="preserve"> vychází z průběžného monitoringu a</w:t>
      </w:r>
      <w:r w:rsidR="007B0331">
        <w:rPr>
          <w:lang w:eastAsia="zh-CN" w:bidi="ar"/>
        </w:rPr>
        <w:t> </w:t>
      </w:r>
      <w:r w:rsidRPr="00372887">
        <w:rPr>
          <w:lang w:eastAsia="zh-CN" w:bidi="ar"/>
        </w:rPr>
        <w:t xml:space="preserve">získávání dat a informací z trhu v souladu </w:t>
      </w:r>
      <w:r w:rsidR="00847F0E" w:rsidRPr="00372887">
        <w:rPr>
          <w:lang w:eastAsia="zh-CN" w:bidi="ar"/>
        </w:rPr>
        <w:t xml:space="preserve">se závěry RIA. </w:t>
      </w:r>
      <w:r w:rsidR="0059012E" w:rsidRPr="00372887">
        <w:rPr>
          <w:lang w:eastAsia="zh-CN" w:bidi="ar"/>
        </w:rPr>
        <w:t>Co se týče informačního systému provozování hazardních her (</w:t>
      </w:r>
      <w:r w:rsidR="007B0331">
        <w:rPr>
          <w:lang w:eastAsia="zh-CN" w:bidi="ar"/>
        </w:rPr>
        <w:t>dále také jako „</w:t>
      </w:r>
      <w:r w:rsidR="0059012E" w:rsidRPr="00372887">
        <w:rPr>
          <w:lang w:eastAsia="zh-CN" w:bidi="ar"/>
        </w:rPr>
        <w:t>AISG</w:t>
      </w:r>
      <w:r w:rsidR="007B0331">
        <w:rPr>
          <w:lang w:eastAsia="zh-CN" w:bidi="ar"/>
        </w:rPr>
        <w:t>“</w:t>
      </w:r>
      <w:r w:rsidR="0059012E" w:rsidRPr="00372887">
        <w:rPr>
          <w:lang w:eastAsia="zh-CN" w:bidi="ar"/>
        </w:rPr>
        <w:t xml:space="preserve">), zde jsou </w:t>
      </w:r>
      <w:r w:rsidR="00B94AF8" w:rsidRPr="00372887">
        <w:rPr>
          <w:lang w:eastAsia="zh-CN" w:bidi="ar"/>
        </w:rPr>
        <w:t xml:space="preserve">reálně </w:t>
      </w:r>
      <w:r w:rsidR="0059012E" w:rsidRPr="00372887">
        <w:rPr>
          <w:lang w:eastAsia="zh-CN" w:bidi="ar"/>
        </w:rPr>
        <w:t xml:space="preserve">s ohledem na termín spuštění dostupné informace </w:t>
      </w:r>
      <w:r w:rsidR="000C6602" w:rsidRPr="00372887">
        <w:rPr>
          <w:lang w:eastAsia="zh-CN" w:bidi="ar"/>
        </w:rPr>
        <w:t xml:space="preserve">od poloviny roku 2019, </w:t>
      </w:r>
      <w:r w:rsidR="00DC36EE">
        <w:rPr>
          <w:lang w:eastAsia="zh-CN" w:bidi="ar"/>
        </w:rPr>
        <w:t>pokud jde o </w:t>
      </w:r>
      <w:r w:rsidR="00DC36EE" w:rsidRPr="00372887">
        <w:rPr>
          <w:lang w:eastAsia="zh-CN" w:bidi="ar"/>
        </w:rPr>
        <w:t xml:space="preserve"> </w:t>
      </w:r>
      <w:r w:rsidR="000C6602" w:rsidRPr="00372887">
        <w:rPr>
          <w:lang w:eastAsia="zh-CN" w:bidi="ar"/>
        </w:rPr>
        <w:t>dat</w:t>
      </w:r>
      <w:r w:rsidR="00DC36EE">
        <w:rPr>
          <w:lang w:eastAsia="zh-CN" w:bidi="ar"/>
        </w:rPr>
        <w:t>a</w:t>
      </w:r>
      <w:r w:rsidR="000C6602" w:rsidRPr="00372887">
        <w:rPr>
          <w:lang w:eastAsia="zh-CN" w:bidi="ar"/>
        </w:rPr>
        <w:t xml:space="preserve"> z reportingu v rámci Analytického modulu AISG, resp. od 21.</w:t>
      </w:r>
      <w:r w:rsidR="007B0331">
        <w:rPr>
          <w:lang w:eastAsia="zh-CN" w:bidi="ar"/>
        </w:rPr>
        <w:t xml:space="preserve"> </w:t>
      </w:r>
      <w:r w:rsidR="000C6602" w:rsidRPr="00372887">
        <w:rPr>
          <w:lang w:eastAsia="zh-CN" w:bidi="ar"/>
        </w:rPr>
        <w:t>12.</w:t>
      </w:r>
      <w:r w:rsidR="007B0331">
        <w:rPr>
          <w:lang w:eastAsia="zh-CN" w:bidi="ar"/>
        </w:rPr>
        <w:t xml:space="preserve"> </w:t>
      </w:r>
      <w:r w:rsidR="000C6602" w:rsidRPr="00372887">
        <w:rPr>
          <w:lang w:eastAsia="zh-CN" w:bidi="ar"/>
        </w:rPr>
        <w:t>2020, kdy byla spuštěna Dozorová část systému AISG</w:t>
      </w:r>
      <w:r w:rsidR="007B0331">
        <w:rPr>
          <w:lang w:eastAsia="zh-CN" w:bidi="ar"/>
        </w:rPr>
        <w:t>,</w:t>
      </w:r>
      <w:r w:rsidR="007E3008">
        <w:rPr>
          <w:lang w:eastAsia="zh-CN" w:bidi="ar"/>
        </w:rPr>
        <w:t xml:space="preserve"> včetně R</w:t>
      </w:r>
      <w:r w:rsidR="000C6602" w:rsidRPr="00372887">
        <w:rPr>
          <w:lang w:eastAsia="zh-CN" w:bidi="ar"/>
        </w:rPr>
        <w:t xml:space="preserve">ejstříku </w:t>
      </w:r>
      <w:r w:rsidR="00DC36EE">
        <w:rPr>
          <w:lang w:eastAsia="zh-CN" w:bidi="ar"/>
        </w:rPr>
        <w:t xml:space="preserve">vyloučených </w:t>
      </w:r>
      <w:r w:rsidR="000C6602" w:rsidRPr="00372887">
        <w:rPr>
          <w:lang w:eastAsia="zh-CN" w:bidi="ar"/>
        </w:rPr>
        <w:t>osob.</w:t>
      </w:r>
    </w:p>
    <w:p w14:paraId="143E4F66" w14:textId="11E85D9A" w:rsidR="003519E5" w:rsidRPr="00372887" w:rsidRDefault="003519E5" w:rsidP="00C334E0">
      <w:pPr>
        <w:rPr>
          <w:lang w:eastAsia="zh-CN" w:bidi="ar"/>
        </w:rPr>
      </w:pPr>
      <w:r w:rsidRPr="00372887">
        <w:rPr>
          <w:lang w:eastAsia="zh-CN" w:bidi="ar"/>
        </w:rPr>
        <w:t xml:space="preserve">V souladu s požadavky Metodiky přezkumu účinnosti právních předpisů se jeví jako vhodné nastavit termíny </w:t>
      </w:r>
      <w:r w:rsidR="00185EB7" w:rsidRPr="00372887">
        <w:rPr>
          <w:lang w:eastAsia="zh-CN" w:bidi="ar"/>
        </w:rPr>
        <w:t xml:space="preserve">dalšího </w:t>
      </w:r>
      <w:r w:rsidRPr="00372887">
        <w:rPr>
          <w:lang w:eastAsia="zh-CN" w:bidi="ar"/>
        </w:rPr>
        <w:t xml:space="preserve">přezkumu tak, aby nebyly příliš časté (což by sekundárně </w:t>
      </w:r>
      <w:r w:rsidR="00847F0E" w:rsidRPr="00372887">
        <w:rPr>
          <w:lang w:eastAsia="zh-CN" w:bidi="ar"/>
        </w:rPr>
        <w:t xml:space="preserve">mohlo vést </w:t>
      </w:r>
      <w:r w:rsidRPr="00372887">
        <w:rPr>
          <w:lang w:eastAsia="zh-CN" w:bidi="ar"/>
        </w:rPr>
        <w:t>k jejich nepromyšlenosti)</w:t>
      </w:r>
      <w:r w:rsidR="007B0331">
        <w:rPr>
          <w:lang w:eastAsia="zh-CN" w:bidi="ar"/>
        </w:rPr>
        <w:t>,</w:t>
      </w:r>
      <w:r w:rsidRPr="00372887">
        <w:rPr>
          <w:lang w:eastAsia="zh-CN" w:bidi="ar"/>
        </w:rPr>
        <w:t xml:space="preserve"> ale zároveň aby nebyly beze změn příliš dlouho. V návaznosti na poznatky z praxe </w:t>
      </w:r>
      <w:r w:rsidR="00E74487">
        <w:rPr>
          <w:lang w:eastAsia="zh-CN" w:bidi="ar"/>
        </w:rPr>
        <w:t>i s ohledem na skutečnost, že základní informace o trhu s hazardními hrami jsou veřejně dostupn</w:t>
      </w:r>
      <w:r w:rsidR="004E2D3E">
        <w:rPr>
          <w:lang w:eastAsia="zh-CN" w:bidi="ar"/>
        </w:rPr>
        <w:t>é</w:t>
      </w:r>
      <w:r w:rsidR="00E74487">
        <w:rPr>
          <w:lang w:eastAsia="zh-CN" w:bidi="ar"/>
        </w:rPr>
        <w:t xml:space="preserve"> a že každoročně je vypracovávána a zveřejňována Výroční zpráva o hazardním hraní</w:t>
      </w:r>
      <w:r w:rsidR="004E2D3E">
        <w:rPr>
          <w:lang w:eastAsia="zh-CN" w:bidi="ar"/>
        </w:rPr>
        <w:t xml:space="preserve"> v České republice, kterou </w:t>
      </w:r>
      <w:r w:rsidR="004E2D3E" w:rsidRPr="004E2D3E">
        <w:rPr>
          <w:lang w:eastAsia="zh-CN" w:bidi="ar"/>
        </w:rPr>
        <w:t xml:space="preserve">připravuje Národní monitorovací středisko pro drogy a závislosti </w:t>
      </w:r>
      <w:r w:rsidR="004E2D3E" w:rsidRPr="004E2D3E">
        <w:rPr>
          <w:lang w:eastAsia="zh-CN" w:bidi="ar"/>
        </w:rPr>
        <w:lastRenderedPageBreak/>
        <w:t>(NMS) z pověření vlády</w:t>
      </w:r>
      <w:r w:rsidR="00E74487">
        <w:rPr>
          <w:lang w:eastAsia="zh-CN" w:bidi="ar"/>
        </w:rPr>
        <w:t xml:space="preserve">, </w:t>
      </w:r>
      <w:r w:rsidRPr="00372887">
        <w:rPr>
          <w:lang w:eastAsia="zh-CN" w:bidi="ar"/>
        </w:rPr>
        <w:t>se každoroční hodnocení formou e</w:t>
      </w:r>
      <w:r w:rsidR="006F6635">
        <w:rPr>
          <w:lang w:eastAsia="zh-CN" w:bidi="ar"/>
        </w:rPr>
        <w:t>x post RIA jeví jako neúčelné a </w:t>
      </w:r>
      <w:r w:rsidRPr="00372887">
        <w:rPr>
          <w:lang w:eastAsia="zh-CN" w:bidi="ar"/>
        </w:rPr>
        <w:t>zatěžující, nově se tedy navrhuje provádět přezkum</w:t>
      </w:r>
      <w:r w:rsidR="00771199">
        <w:rPr>
          <w:lang w:eastAsia="zh-CN" w:bidi="ar"/>
        </w:rPr>
        <w:t xml:space="preserve"> </w:t>
      </w:r>
      <w:r w:rsidRPr="00372887">
        <w:rPr>
          <w:lang w:eastAsia="zh-CN" w:bidi="ar"/>
        </w:rPr>
        <w:t>v intervalu pěti let. Ministerstvo financí bude průběžně provád</w:t>
      </w:r>
      <w:r w:rsidR="004D51B3">
        <w:rPr>
          <w:lang w:eastAsia="zh-CN" w:bidi="ar"/>
        </w:rPr>
        <w:t>ět monitoring a hodnocení dopadů</w:t>
      </w:r>
      <w:r w:rsidRPr="00372887">
        <w:rPr>
          <w:lang w:eastAsia="zh-CN" w:bidi="ar"/>
        </w:rPr>
        <w:t xml:space="preserve"> právních norem, které však nebudou formalizovány. V případě zjištění závažného nepředvídaného negativního důsledku či zjištění vysoké míry intenzity tohoto důsledku bude přezkum účinnosti proveden ad hoc.</w:t>
      </w:r>
    </w:p>
    <w:p w14:paraId="3578BA79" w14:textId="77777777" w:rsidR="003519E5" w:rsidRPr="00365ED5" w:rsidRDefault="003519E5" w:rsidP="003519E5">
      <w:pPr>
        <w:pStyle w:val="Nadpis4"/>
        <w:rPr>
          <w:rFonts w:cs="Arial"/>
        </w:rPr>
      </w:pPr>
      <w:bookmarkStart w:id="38" w:name="_Toc72999539"/>
      <w:r w:rsidRPr="00365ED5">
        <w:rPr>
          <w:rFonts w:cs="Arial"/>
        </w:rPr>
        <w:t>Indikátory</w:t>
      </w:r>
      <w:bookmarkEnd w:id="38"/>
    </w:p>
    <w:p w14:paraId="73967332" w14:textId="77777777" w:rsidR="003519E5" w:rsidRPr="00372887" w:rsidRDefault="003519E5" w:rsidP="00C334E0">
      <w:pPr>
        <w:rPr>
          <w:lang w:eastAsia="zh-CN" w:bidi="ar"/>
        </w:rPr>
      </w:pPr>
      <w:r w:rsidRPr="00372887">
        <w:rPr>
          <w:lang w:eastAsia="zh-CN" w:bidi="ar"/>
        </w:rPr>
        <w:t>Zvolené indikátory se pro účely přezkumu jeví jako optimální.</w:t>
      </w:r>
    </w:p>
    <w:p w14:paraId="6DCE2AB0" w14:textId="77777777" w:rsidR="003519E5" w:rsidRPr="00365ED5" w:rsidRDefault="003519E5" w:rsidP="003519E5">
      <w:pPr>
        <w:pStyle w:val="Nadpis4"/>
        <w:rPr>
          <w:rFonts w:cs="Arial"/>
        </w:rPr>
      </w:pPr>
      <w:bookmarkStart w:id="39" w:name="_Toc72999540"/>
      <w:r w:rsidRPr="00365ED5">
        <w:rPr>
          <w:rFonts w:cs="Arial"/>
        </w:rPr>
        <w:t>Sběr dat</w:t>
      </w:r>
      <w:bookmarkEnd w:id="39"/>
    </w:p>
    <w:p w14:paraId="1339088D" w14:textId="46037E4D" w:rsidR="00BB477D" w:rsidRDefault="003519E5" w:rsidP="00C334E0">
      <w:pPr>
        <w:rPr>
          <w:lang w:eastAsia="zh-CN" w:bidi="ar"/>
        </w:rPr>
      </w:pPr>
      <w:r w:rsidRPr="00372887">
        <w:rPr>
          <w:lang w:eastAsia="zh-CN" w:bidi="ar"/>
        </w:rPr>
        <w:t>Průběžně získávaná data se pro účely přezkumu jeví jako dostačující</w:t>
      </w:r>
      <w:r w:rsidR="00D97324">
        <w:rPr>
          <w:lang w:eastAsia="zh-CN" w:bidi="ar"/>
        </w:rPr>
        <w:t xml:space="preserve"> vyjma dat nezbytných pro exaktní určení, resp. aktualizaci Lafferových křivek</w:t>
      </w:r>
      <w:r w:rsidR="002A436B">
        <w:rPr>
          <w:rStyle w:val="Znakapoznpodarou"/>
          <w:rFonts w:eastAsia="SimSun" w:cs="Arial"/>
          <w:color w:val="000000"/>
          <w:szCs w:val="24"/>
          <w:lang w:eastAsia="zh-CN" w:bidi="ar"/>
        </w:rPr>
        <w:footnoteReference w:id="2"/>
      </w:r>
      <w:r w:rsidRPr="00372887">
        <w:rPr>
          <w:lang w:eastAsia="zh-CN" w:bidi="ar"/>
        </w:rPr>
        <w:t>.</w:t>
      </w:r>
      <w:r w:rsidR="00D97324">
        <w:t xml:space="preserve"> </w:t>
      </w:r>
      <w:r w:rsidRPr="00372887">
        <w:rPr>
          <w:lang w:eastAsia="zh-CN" w:bidi="ar"/>
        </w:rPr>
        <w:t xml:space="preserve"> V rámci přezkumu nebyl identifikován požadavek </w:t>
      </w:r>
      <w:r w:rsidR="00372887" w:rsidRPr="00372887">
        <w:rPr>
          <w:lang w:eastAsia="zh-CN" w:bidi="ar"/>
        </w:rPr>
        <w:t xml:space="preserve">i s ohledem na jejich potenciální dostupnost </w:t>
      </w:r>
      <w:r w:rsidRPr="00372887">
        <w:rPr>
          <w:lang w:eastAsia="zh-CN" w:bidi="ar"/>
        </w:rPr>
        <w:t xml:space="preserve">získávat pro účely příštího přezkumu </w:t>
      </w:r>
      <w:r w:rsidR="00847F0E" w:rsidRPr="00372887">
        <w:rPr>
          <w:lang w:eastAsia="zh-CN" w:bidi="ar"/>
        </w:rPr>
        <w:t>nějaký výrazně odlišný rozsah dat</w:t>
      </w:r>
      <w:r w:rsidRPr="00372887">
        <w:rPr>
          <w:lang w:eastAsia="zh-CN" w:bidi="ar"/>
        </w:rPr>
        <w:t>.</w:t>
      </w:r>
      <w:r w:rsidR="00847F0E" w:rsidRPr="00372887">
        <w:rPr>
          <w:lang w:eastAsia="zh-CN" w:bidi="ar"/>
        </w:rPr>
        <w:t xml:space="preserve"> </w:t>
      </w:r>
      <w:r w:rsidR="00372887" w:rsidRPr="00372887">
        <w:rPr>
          <w:lang w:eastAsia="zh-CN" w:bidi="ar"/>
        </w:rPr>
        <w:t>Pokud by při průběžném monitoringu vyvstala potřeba změny rozsahu získávaných dat, budou tato</w:t>
      </w:r>
      <w:r w:rsidR="00DC36EE">
        <w:rPr>
          <w:lang w:eastAsia="zh-CN" w:bidi="ar"/>
        </w:rPr>
        <w:t xml:space="preserve"> data</w:t>
      </w:r>
      <w:r w:rsidR="00372887" w:rsidRPr="00372887">
        <w:rPr>
          <w:lang w:eastAsia="zh-CN" w:bidi="ar"/>
        </w:rPr>
        <w:t xml:space="preserve"> zohledněna při dalším přezkumu účinnosti</w:t>
      </w:r>
      <w:r w:rsidR="007B0331">
        <w:rPr>
          <w:lang w:eastAsia="zh-CN" w:bidi="ar"/>
        </w:rPr>
        <w:t xml:space="preserve"> regulace</w:t>
      </w:r>
      <w:r w:rsidR="00372887" w:rsidRPr="00372887">
        <w:rPr>
          <w:lang w:eastAsia="zh-CN" w:bidi="ar"/>
        </w:rPr>
        <w:t>.</w:t>
      </w:r>
      <w:r w:rsidR="00E74487">
        <w:rPr>
          <w:lang w:eastAsia="zh-CN" w:bidi="ar"/>
        </w:rPr>
        <w:t xml:space="preserve"> V této souvislosti je potřeba zmínit, že základní data ohledně trhu s hazardním</w:t>
      </w:r>
      <w:r w:rsidR="00E766E2">
        <w:rPr>
          <w:lang w:eastAsia="zh-CN" w:bidi="ar"/>
        </w:rPr>
        <w:t>i hrami jsou veřejně dostupná a </w:t>
      </w:r>
      <w:r w:rsidR="00E74487">
        <w:rPr>
          <w:lang w:eastAsia="zh-CN" w:bidi="ar"/>
        </w:rPr>
        <w:t>jsou průběžně aktualizována. Ka</w:t>
      </w:r>
      <w:r w:rsidR="005A6B38">
        <w:rPr>
          <w:lang w:eastAsia="zh-CN" w:bidi="ar"/>
        </w:rPr>
        <w:t>ždoročně je pak vypracovávána a </w:t>
      </w:r>
      <w:r w:rsidR="00E74487">
        <w:rPr>
          <w:lang w:eastAsia="zh-CN" w:bidi="ar"/>
        </w:rPr>
        <w:t xml:space="preserve">zveřejňována </w:t>
      </w:r>
      <w:r w:rsidR="00EA7158">
        <w:rPr>
          <w:lang w:eastAsia="zh-CN" w:bidi="ar"/>
        </w:rPr>
        <w:t xml:space="preserve">Výroční zpráva o hazardním hraní v České republice, kterou </w:t>
      </w:r>
      <w:r w:rsidR="00EA7158" w:rsidRPr="004E2D3E">
        <w:rPr>
          <w:lang w:eastAsia="zh-CN" w:bidi="ar"/>
        </w:rPr>
        <w:t>připravuje Národní monitorovací středisko pro drogy a závislosti (NMS) z pověření vlády</w:t>
      </w:r>
      <w:r w:rsidR="00EA7158">
        <w:rPr>
          <w:lang w:eastAsia="zh-CN" w:bidi="ar"/>
        </w:rPr>
        <w:t>.</w:t>
      </w:r>
    </w:p>
    <w:p w14:paraId="5FD3F5D7" w14:textId="77777777" w:rsidR="00BB477D" w:rsidRDefault="00BB477D">
      <w:pPr>
        <w:jc w:val="left"/>
        <w:rPr>
          <w:rFonts w:eastAsia="SimSun" w:cs="Arial"/>
          <w:color w:val="000000"/>
          <w:szCs w:val="24"/>
          <w:lang w:eastAsia="zh-CN" w:bidi="ar"/>
        </w:rPr>
      </w:pPr>
      <w:r>
        <w:rPr>
          <w:rFonts w:eastAsia="SimSun" w:cs="Arial"/>
          <w:color w:val="000000"/>
          <w:szCs w:val="24"/>
          <w:lang w:eastAsia="zh-CN" w:bidi="ar"/>
        </w:rPr>
        <w:br w:type="page"/>
      </w:r>
    </w:p>
    <w:p w14:paraId="7C2B6804" w14:textId="1570AB9A" w:rsidR="000B58A2" w:rsidRPr="002E6EC3" w:rsidRDefault="007D6A29" w:rsidP="00004CAA">
      <w:pPr>
        <w:pStyle w:val="Nadpis2"/>
      </w:pPr>
      <w:bookmarkStart w:id="40" w:name="_Toc71880535"/>
      <w:bookmarkStart w:id="41" w:name="_Toc71881095"/>
      <w:bookmarkStart w:id="42" w:name="_Toc72999541"/>
      <w:bookmarkStart w:id="43" w:name="_Toc73613630"/>
      <w:r w:rsidRPr="002E6EC3">
        <w:lastRenderedPageBreak/>
        <w:t>Obecná část</w:t>
      </w:r>
      <w:r w:rsidR="008A2BD4">
        <w:t xml:space="preserve"> analýzy regulace hazardu</w:t>
      </w:r>
      <w:bookmarkEnd w:id="40"/>
      <w:bookmarkEnd w:id="41"/>
      <w:bookmarkEnd w:id="42"/>
      <w:bookmarkEnd w:id="43"/>
    </w:p>
    <w:p w14:paraId="28424BEE" w14:textId="1BC8088A" w:rsidR="000B58A2" w:rsidRDefault="007D6A29" w:rsidP="00610772">
      <w:pPr>
        <w:pStyle w:val="Nadpis3"/>
      </w:pPr>
      <w:bookmarkStart w:id="44" w:name="_Toc72999542"/>
      <w:bookmarkStart w:id="45" w:name="_Toc73613631"/>
      <w:r w:rsidRPr="002E6EC3">
        <w:t xml:space="preserve">Obecný popis </w:t>
      </w:r>
      <w:r w:rsidR="00365ED5">
        <w:t xml:space="preserve">předchozí </w:t>
      </w:r>
      <w:r w:rsidRPr="002E6EC3">
        <w:t xml:space="preserve">regulace </w:t>
      </w:r>
      <w:r w:rsidRPr="001B5AA0">
        <w:t>obsažené</w:t>
      </w:r>
      <w:r w:rsidR="00365ED5">
        <w:t xml:space="preserve"> </w:t>
      </w:r>
      <w:r w:rsidR="00DC4D0E">
        <w:t>v zákoně o </w:t>
      </w:r>
      <w:r w:rsidRPr="002E6EC3">
        <w:t>loteriích</w:t>
      </w:r>
      <w:bookmarkEnd w:id="44"/>
      <w:bookmarkEnd w:id="45"/>
    </w:p>
    <w:p w14:paraId="4B19D650" w14:textId="53C28A79" w:rsidR="001C327C" w:rsidRDefault="001C327C" w:rsidP="00C334E0">
      <w:r w:rsidRPr="00D57731">
        <w:t>Zákon č. 202/1990 Sb.</w:t>
      </w:r>
      <w:r>
        <w:t>,</w:t>
      </w:r>
      <w:r w:rsidRPr="00D57731">
        <w:t xml:space="preserve"> o loteriích a jiných podobných hrách, </w:t>
      </w:r>
      <w:r w:rsidR="005A6B38">
        <w:t>ve znění platném do </w:t>
      </w:r>
      <w:r>
        <w:t>31. </w:t>
      </w:r>
      <w:r w:rsidR="007B0331">
        <w:t>12. 2016 (dále jen „z</w:t>
      </w:r>
      <w:r w:rsidRPr="00D57731">
        <w:t>ákon o loteriích“)</w:t>
      </w:r>
      <w:r w:rsidR="00365ED5">
        <w:t>, resp. celková regulace v této oblasti</w:t>
      </w:r>
      <w:r w:rsidR="00FA2F2E">
        <w:t xml:space="preserve"> do</w:t>
      </w:r>
      <w:r w:rsidR="005A6B38">
        <w:t> </w:t>
      </w:r>
      <w:r w:rsidR="00FA2F2E">
        <w:t>uvedeného data</w:t>
      </w:r>
      <w:r w:rsidRPr="00D57731">
        <w:t>, byl</w:t>
      </w:r>
      <w:r w:rsidR="00365ED5">
        <w:t>a</w:t>
      </w:r>
      <w:r w:rsidRPr="00D57731">
        <w:t xml:space="preserve"> zatížen</w:t>
      </w:r>
      <w:r w:rsidR="00365ED5">
        <w:t>a</w:t>
      </w:r>
      <w:r w:rsidRPr="00D57731">
        <w:t xml:space="preserve"> </w:t>
      </w:r>
      <w:r w:rsidRPr="00B85C67">
        <w:rPr>
          <w:b/>
        </w:rPr>
        <w:t>řadou nedostatků</w:t>
      </w:r>
      <w:r w:rsidRPr="00D57731">
        <w:t xml:space="preserve"> ja</w:t>
      </w:r>
      <w:r w:rsidR="005A6B38">
        <w:t>k po stránce formální, tak po </w:t>
      </w:r>
      <w:r w:rsidRPr="00D57731">
        <w:t xml:space="preserve">stránce věcné. V obsahové rovině právní úprava nevytvářela dostatečně </w:t>
      </w:r>
      <w:r w:rsidR="00DF518E">
        <w:t>efektivní zábrany před nárůstem</w:t>
      </w:r>
      <w:r w:rsidR="006C1388">
        <w:t xml:space="preserve"> </w:t>
      </w:r>
      <w:r w:rsidRPr="00D57731">
        <w:t>podnikatelských aktivit v této oblasti a před projevy některých společenských rizik, jež jsou s touto činností</w:t>
      </w:r>
      <w:r w:rsidR="00FA2F2E">
        <w:t xml:space="preserve"> spojeny</w:t>
      </w:r>
      <w:r>
        <w:t>,</w:t>
      </w:r>
      <w:r w:rsidRPr="00D57731">
        <w:t xml:space="preserve"> vzhledem k její značně specifické povaze</w:t>
      </w:r>
      <w:r w:rsidR="00365ED5">
        <w:t xml:space="preserve"> a jejím negativním dopadům</w:t>
      </w:r>
      <w:r>
        <w:t>.</w:t>
      </w:r>
    </w:p>
    <w:p w14:paraId="1524DFBC" w14:textId="49E0AB56" w:rsidR="000B15C0" w:rsidRPr="00D57731" w:rsidRDefault="000B15C0" w:rsidP="00474584">
      <w:pPr>
        <w:pStyle w:val="Nadpis4"/>
      </w:pPr>
      <w:bookmarkStart w:id="46" w:name="_Toc72999543"/>
      <w:r w:rsidRPr="00D57731">
        <w:t>Stanovení základních principů</w:t>
      </w:r>
      <w:bookmarkEnd w:id="46"/>
      <w:r w:rsidRPr="00D57731">
        <w:t xml:space="preserve"> </w:t>
      </w:r>
    </w:p>
    <w:p w14:paraId="42A7EBC4" w14:textId="08EC0751" w:rsidR="000B15C0" w:rsidRPr="00D57731" w:rsidRDefault="000B15C0" w:rsidP="00C334E0">
      <w:r w:rsidRPr="00B85C67">
        <w:rPr>
          <w:b/>
        </w:rPr>
        <w:t>K nedostatkům</w:t>
      </w:r>
      <w:r w:rsidRPr="00D57731">
        <w:t xml:space="preserve"> právní úpravy patřila samotná </w:t>
      </w:r>
      <w:r w:rsidRPr="00B85C67">
        <w:rPr>
          <w:b/>
        </w:rPr>
        <w:t>systematika zákona</w:t>
      </w:r>
      <w:r w:rsidR="007B0331" w:rsidRPr="00B85C67">
        <w:rPr>
          <w:b/>
        </w:rPr>
        <w:t xml:space="preserve"> o loteriích</w:t>
      </w:r>
      <w:r w:rsidRPr="00D57731">
        <w:t>, který byl rozčleněn na úvodní ustanovení, pět dalších částí věnovaných postupně jednotlivým (nikoli však všem) druhům loterií a jiný</w:t>
      </w:r>
      <w:r w:rsidR="00FA2F2E">
        <w:t>m</w:t>
      </w:r>
      <w:r w:rsidRPr="00D57731">
        <w:t xml:space="preserve"> podobný</w:t>
      </w:r>
      <w:r w:rsidR="00FA2F2E">
        <w:t>m</w:t>
      </w:r>
      <w:r w:rsidRPr="00D57731">
        <w:t xml:space="preserve"> hr</w:t>
      </w:r>
      <w:r w:rsidR="00FA2F2E">
        <w:t>ám</w:t>
      </w:r>
      <w:r w:rsidRPr="00D57731">
        <w:t xml:space="preserve"> a část nazvanou ustanovení společná, přechodná a závěrečná. </w:t>
      </w:r>
    </w:p>
    <w:p w14:paraId="3F0C8815" w14:textId="7FD11FE4" w:rsidR="000B15C0" w:rsidRDefault="007B0331" w:rsidP="00C334E0">
      <w:r>
        <w:t>Obsah těchto částí z</w:t>
      </w:r>
      <w:r w:rsidR="000B15C0" w:rsidRPr="00D57731">
        <w:t>ákona o loteriích byl značně neproporcionální a poměrně nezvyklý z hlediska obvyklých mechanismů tv</w:t>
      </w:r>
      <w:r w:rsidR="006C1388">
        <w:t>orby právních předpisů. Zákon o </w:t>
      </w:r>
      <w:r w:rsidR="000B15C0" w:rsidRPr="00D57731">
        <w:t xml:space="preserve">loteriích v § 2 obsahoval demonstrativní výčet loterií a jiných podobných her, přičemž však čtyři ustanovení (§ 2 písm. e), j), l), m) bod 2. a n) </w:t>
      </w:r>
      <w:r w:rsidR="00FA2F2E">
        <w:t xml:space="preserve">zákona o  loteriích </w:t>
      </w:r>
      <w:r w:rsidR="000B15C0" w:rsidRPr="00D57731">
        <w:t>defin</w:t>
      </w:r>
      <w:r w:rsidR="004D51B3">
        <w:t>oval</w:t>
      </w:r>
      <w:r w:rsidR="00E766E2">
        <w:t>y</w:t>
      </w:r>
      <w:r w:rsidR="000B15C0" w:rsidRPr="00D57731">
        <w:t xml:space="preserve"> hazardní hry, kterých se účastník hazardní hry účastní prostřednictvím přímo obsluhovaného technického z</w:t>
      </w:r>
      <w:r w:rsidR="005A6B38">
        <w:t>ařízení. Zvláštní část zákona o </w:t>
      </w:r>
      <w:r w:rsidR="000B15C0" w:rsidRPr="00D57731">
        <w:t>loteriích, část první až čtvrtá, však upravovala konkrétní požadavky na provozování loterií a jiných podobných her pouze u několika z kateg</w:t>
      </w:r>
      <w:r w:rsidR="005A6B38">
        <w:t>orií uvedených v § </w:t>
      </w:r>
      <w:r w:rsidR="000B15C0" w:rsidRPr="00D57731">
        <w:t>2 tohoto zákona, a to loterií a tombol, výherních hracích přístrojů, kursových sázek, sázek v kasinu a dostihových sázek. Navíc § 50 odst. 3 zákona o loteriích umožňovalo Ministerstvu financí</w:t>
      </w:r>
      <w:r w:rsidR="000B15C0">
        <w:t>,</w:t>
      </w:r>
      <w:r w:rsidR="000B15C0" w:rsidRPr="00D57731">
        <w:t xml:space="preserve"> jakožto jednomu z povolovacích orgánů</w:t>
      </w:r>
      <w:r w:rsidR="000B15C0">
        <w:t>,</w:t>
      </w:r>
      <w:r w:rsidR="006C1388">
        <w:t xml:space="preserve"> povolit i </w:t>
      </w:r>
      <w:r w:rsidR="000B15C0" w:rsidRPr="00D57731">
        <w:t xml:space="preserve">loterie </w:t>
      </w:r>
      <w:r w:rsidR="000B15C0">
        <w:t>a ji</w:t>
      </w:r>
      <w:r w:rsidR="006F6635">
        <w:t>né podobné hry, které nebyly v z</w:t>
      </w:r>
      <w:r w:rsidR="000B15C0" w:rsidRPr="00D57731">
        <w:t xml:space="preserve">ákoně </w:t>
      </w:r>
      <w:r w:rsidR="000B15C0">
        <w:t xml:space="preserve">o loteriích </w:t>
      </w:r>
      <w:r w:rsidR="000B15C0" w:rsidRPr="00D57731">
        <w:t>v části první až čtvrté</w:t>
      </w:r>
      <w:r w:rsidR="000B15C0">
        <w:t xml:space="preserve"> upraveny, za předpokladu, že všechny</w:t>
      </w:r>
      <w:r w:rsidR="000B15C0" w:rsidRPr="00D57731">
        <w:t xml:space="preserve"> podmín</w:t>
      </w:r>
      <w:r w:rsidR="000B15C0">
        <w:t>ky</w:t>
      </w:r>
      <w:r w:rsidR="000B15C0" w:rsidRPr="00D57731">
        <w:t xml:space="preserve"> provozování takové loterie a jiné podobné hry </w:t>
      </w:r>
      <w:r w:rsidR="000B15C0">
        <w:t xml:space="preserve">budou </w:t>
      </w:r>
      <w:r w:rsidR="000B15C0" w:rsidRPr="00D57731">
        <w:t xml:space="preserve">podrobně </w:t>
      </w:r>
      <w:r w:rsidR="000B15C0">
        <w:t>stanoveny v povolení. Použilo</w:t>
      </w:r>
      <w:r w:rsidR="000B15C0" w:rsidRPr="00D57731">
        <w:t xml:space="preserve"> se přitom přiměřeně ustanove</w:t>
      </w:r>
      <w:r w:rsidR="000B15C0">
        <w:t>ní části první až čtvrté tohoto z</w:t>
      </w:r>
      <w:r w:rsidR="000B15C0" w:rsidRPr="00D57731">
        <w:t>ákona.</w:t>
      </w:r>
    </w:p>
    <w:p w14:paraId="0996F1CE" w14:textId="14C1692A" w:rsidR="000B15C0" w:rsidRPr="00D57731" w:rsidRDefault="000B15C0" w:rsidP="00C334E0">
      <w:r w:rsidRPr="00D57731">
        <w:t xml:space="preserve">Zákon o loteriích komplexně </w:t>
      </w:r>
      <w:r w:rsidRPr="00B85C67">
        <w:rPr>
          <w:b/>
        </w:rPr>
        <w:t>neupravoval možnost provozování loterií a jiných podobných her</w:t>
      </w:r>
      <w:r w:rsidR="0081764C">
        <w:t xml:space="preserve">. </w:t>
      </w:r>
      <w:r w:rsidRPr="00D57731">
        <w:t xml:space="preserve">V rámci demonstrativně uvedených druhů loterií a jiných podobných </w:t>
      </w:r>
      <w:r>
        <w:t xml:space="preserve">her uvedených v § 2 </w:t>
      </w:r>
      <w:r w:rsidR="006F6635">
        <w:t>z</w:t>
      </w:r>
      <w:r w:rsidRPr="00D57731">
        <w:t>ákona o loteriích dával zákon možnost provozovat loterii nebo jinou podobnou hru podle písm. m), turnajové nebo hotovostní sázkové hry provozované za pomoci karet, při nichž není předem určen počet účastníků a ani není známa výše vsazených částek, kdy účastníci platí vklad (sázku) nebo startovné, jehož návratnost se účastníkovi</w:t>
      </w:r>
      <w:r>
        <w:t xml:space="preserve"> nezaručuje. Výhra se vypočítávala</w:t>
      </w:r>
      <w:r w:rsidRPr="00D57731">
        <w:t xml:space="preserve"> podle podmínek stanovených herním plánem. Sázkové hry podle tohoto ustanovení přitom nebylo možné provozovat v mobilních hernách (kasinech), ale podle bodu 2. tohoto ustanovení je bylo možné provozovat prostřednictvím zařízení obsluhovaných přímo sázejícím (např. prostřednictvím sítě internet, interaktivních videoloterních terminálů, lokálních loterních systémů, výherních hracích přístrojů). Povolení k této hře bylo vydáváno ve spojení s § 50 odst. 3 </w:t>
      </w:r>
      <w:r w:rsidR="002F042E">
        <w:t>z</w:t>
      </w:r>
      <w:r w:rsidRPr="00D57731">
        <w:t xml:space="preserve">ákona o loteriích, který zároveň umožnoval povolit provozování i jiných loterii nebo jiných podobných her prostřednictvím </w:t>
      </w:r>
      <w:r w:rsidRPr="00D57731">
        <w:lastRenderedPageBreak/>
        <w:t>internetu. Takové povolení bylo vydáno v případě kurzového sázení</w:t>
      </w:r>
      <w:r>
        <w:t xml:space="preserve"> provozovaného prostřednictvím internetu</w:t>
      </w:r>
      <w:r w:rsidRPr="00D57731">
        <w:t>.</w:t>
      </w:r>
    </w:p>
    <w:p w14:paraId="7EC7109F" w14:textId="5AEC22FC" w:rsidR="000B15C0" w:rsidRPr="00D57731" w:rsidRDefault="000B15C0" w:rsidP="00C334E0">
      <w:r w:rsidRPr="00D57731">
        <w:t xml:space="preserve">V souvislosti s výše uvedeným </w:t>
      </w:r>
      <w:r>
        <w:t xml:space="preserve">tedy </w:t>
      </w:r>
      <w:r w:rsidRPr="00D57731">
        <w:t>v rámci povolovací praxe docházelo k tomu, že loterie a jiné podobné hry neuvedené v části první až čtvrté byly povolovány ve va</w:t>
      </w:r>
      <w:r w:rsidR="002F042E">
        <w:t>zbě na § 50 odst. 3 z</w:t>
      </w:r>
      <w:r w:rsidRPr="00D57731">
        <w:t xml:space="preserve">ákona o loteriích. Největší podíl takto provozovaných hazardních her tvořily právě hazardní hry, jichž se účastníci účastní prostřednictvím přímo obsluhovaného technického zařízení, neboť pouze jedna </w:t>
      </w:r>
      <w:r>
        <w:t>část z těchto her</w:t>
      </w:r>
      <w:r w:rsidRPr="00D57731">
        <w:t>, sázkové hry provozované pomocí elektronicky nebo elektromechanicky řízených výherních hracích přístrojů nebo podobných zařízení, byla upravena ve zvláštní části, a to části druhé. Ministerstvo financí tak vytvářelo správní praxi v oblasti</w:t>
      </w:r>
      <w:r>
        <w:t xml:space="preserve"> povolování ostatních loterií a </w:t>
      </w:r>
      <w:r w:rsidRPr="00D57731">
        <w:t>jiných podobných her provozovaných prostřednictvím přímo obsl</w:t>
      </w:r>
      <w:r w:rsidR="006C1388">
        <w:t>uhovaného technického zařízení.</w:t>
      </w:r>
      <w:r w:rsidR="0081764C">
        <w:t xml:space="preserve"> </w:t>
      </w:r>
      <w:r w:rsidR="0081764C" w:rsidRPr="00D57731">
        <w:t xml:space="preserve">Toto však </w:t>
      </w:r>
      <w:r w:rsidR="0081764C">
        <w:t>způsobovalo nepřehlednost a</w:t>
      </w:r>
      <w:r w:rsidR="0081764C" w:rsidRPr="00D57731">
        <w:t xml:space="preserve"> </w:t>
      </w:r>
      <w:r w:rsidR="0081764C">
        <w:t>mohlo narušovat</w:t>
      </w:r>
      <w:r w:rsidR="0081764C" w:rsidRPr="00D57731">
        <w:t xml:space="preserve"> právní jistotu provozovatelů loterií a jiných podobných her.</w:t>
      </w:r>
    </w:p>
    <w:p w14:paraId="35D5AB15" w14:textId="41018F1E" w:rsidR="000B15C0" w:rsidRPr="00D57731" w:rsidRDefault="000B15C0" w:rsidP="00C334E0">
      <w:r>
        <w:t>V oblasti míst, kde docházelo k</w:t>
      </w:r>
      <w:r w:rsidRPr="00D57731">
        <w:t xml:space="preserve"> provozování </w:t>
      </w:r>
      <w:r>
        <w:t>loterií a jiných pod</w:t>
      </w:r>
      <w:r w:rsidR="006F6635">
        <w:t>obných her z</w:t>
      </w:r>
      <w:r>
        <w:t>ákon o </w:t>
      </w:r>
      <w:r w:rsidRPr="00D57731">
        <w:t>loteriích rozlišoval mezi sázkov</w:t>
      </w:r>
      <w:r w:rsidR="00FA2F2E">
        <w:t>ou</w:t>
      </w:r>
      <w:r w:rsidRPr="00D57731">
        <w:t xml:space="preserve"> kancelář</w:t>
      </w:r>
      <w:r w:rsidR="00FA2F2E">
        <w:t>í</w:t>
      </w:r>
      <w:r w:rsidR="005A6B38">
        <w:t>, kasinem, hernou a tzv. </w:t>
      </w:r>
      <w:r w:rsidRPr="00D57731">
        <w:t xml:space="preserve">zvláštním provozním režimem. </w:t>
      </w:r>
      <w:r>
        <w:t>V případě kasina, herny a </w:t>
      </w:r>
      <w:r w:rsidRPr="00D57731">
        <w:t>zvláštního provozního režimu se jednalo o prostory, ve kterých bylo možné provozovat loterie a jiné podobné hry, kterých se účastní účastník hazardní hry prostřednictvím přímo obsluhovaného technického zařízení</w:t>
      </w:r>
      <w:r w:rsidR="006F6635">
        <w:t xml:space="preserve">. </w:t>
      </w:r>
      <w:r w:rsidRPr="00CE190B">
        <w:t>Pojmem zvláštní provozní režim byla označována nejen pohostinská zařízení, ale také například čerpací stanice.</w:t>
      </w:r>
      <w:r w:rsidRPr="00D57731">
        <w:t xml:space="preserve"> Umístění do konkrétních druhů prostorů potom ovlivňovalo další parametry provozování, jako například výši maximálních sázek a výher. </w:t>
      </w:r>
    </w:p>
    <w:p w14:paraId="61112044" w14:textId="5F77A0BA" w:rsidR="000B15C0" w:rsidRPr="00D57731" w:rsidRDefault="000B15C0" w:rsidP="00C334E0">
      <w:r w:rsidRPr="00D57731">
        <w:t>Zákon o loteriích upravoval také podmínky provozování</w:t>
      </w:r>
      <w:r>
        <w:t xml:space="preserve"> soutěží, anket a jiných akcí o </w:t>
      </w:r>
      <w:r w:rsidRPr="00D57731">
        <w:t>ceny, př</w:t>
      </w:r>
      <w:r>
        <w:t>i nichž se provozovatel zavazoval</w:t>
      </w:r>
      <w:r w:rsidRPr="00D57731">
        <w:t xml:space="preserve"> vyplatit účastníkům určeným slosováním nebo jiným náhodným výběrem peněžní ceny, vkladní knížky, cenné papíry, pojištění apod. a nemovitosti, a při </w:t>
      </w:r>
      <w:r w:rsidRPr="00CB5F26">
        <w:t>kterých byla podmínkou</w:t>
      </w:r>
      <w:r w:rsidRPr="00D57731">
        <w:t xml:space="preserve"> účasti zakoupení určitého zboží, služby nebo jiného produktu a doložení tohoto nákupu provozovateli nebo uzavření smluvního vztahu s poskytovatelem zboží, služby nebo jiného produktu nebo účast na propagační či reklamní akci poskytovatele anebo provozovatele, a to i nepřímo prostřednictví</w:t>
      </w:r>
      <w:r>
        <w:t>m jiné (další) osoby (dále jen „spotřebitelské loterie“</w:t>
      </w:r>
      <w:r w:rsidR="005A6B38">
        <w:t>). Za </w:t>
      </w:r>
      <w:r w:rsidRPr="00D57731">
        <w:t xml:space="preserve">spotřebitelskou loterii </w:t>
      </w:r>
      <w:r>
        <w:t xml:space="preserve">se </w:t>
      </w:r>
      <w:r w:rsidRPr="00D57731">
        <w:t>také považoval</w:t>
      </w:r>
      <w:r>
        <w:t>y</w:t>
      </w:r>
      <w:r w:rsidRPr="00D57731">
        <w:t xml:space="preserve"> soutěže, ankety a</w:t>
      </w:r>
      <w:r w:rsidR="005A6B38">
        <w:t xml:space="preserve"> jiné akce o ceny, při </w:t>
      </w:r>
      <w:r w:rsidRPr="00D57731">
        <w:t xml:space="preserve">nichž se provozovatel za </w:t>
      </w:r>
      <w:r>
        <w:t>výše uvedených podmínek zavazoval</w:t>
      </w:r>
      <w:r w:rsidRPr="00D57731">
        <w:t xml:space="preserve"> poskytnout účastníkům nepeněžité plnění, služby nebo ceny ve zboží a produktech apod., jestliže souhrn všech nepeněžitých výher za všechny provozovatelem provozované hry v peněžním vyjádření přesáhl za jeden kal</w:t>
      </w:r>
      <w:r w:rsidR="006C1388">
        <w:t>endářní rok částku 200</w:t>
      </w:r>
      <w:r w:rsidR="00CD39A7">
        <w:t> </w:t>
      </w:r>
      <w:r w:rsidR="006C1388">
        <w:t>000</w:t>
      </w:r>
      <w:r w:rsidR="00CD39A7">
        <w:t> </w:t>
      </w:r>
      <w:r w:rsidR="006C1388">
        <w:t>Kč a </w:t>
      </w:r>
      <w:r w:rsidRPr="00D57731">
        <w:t>hodnota jednotlivé výhry přesáhla</w:t>
      </w:r>
      <w:r>
        <w:t xml:space="preserve"> částku 20</w:t>
      </w:r>
      <w:r w:rsidR="00CD39A7">
        <w:t> </w:t>
      </w:r>
      <w:r>
        <w:t>000</w:t>
      </w:r>
      <w:r w:rsidR="00CD39A7">
        <w:t> </w:t>
      </w:r>
      <w:r w:rsidRPr="00D57731">
        <w:t>Kč. Provozování spotřebitelských loterií bylo zakázáno, soutěže, ankety a jiné akce o ceny podle věty první a druhé provozované jedním provozovatelem, ve kterých souhrn nepeněžitých výher za</w:t>
      </w:r>
      <w:r>
        <w:t xml:space="preserve"> jeden kalendářní rok nepřesáhnul částku 200</w:t>
      </w:r>
      <w:r w:rsidR="00CD39A7">
        <w:t> </w:t>
      </w:r>
      <w:r>
        <w:t>000</w:t>
      </w:r>
      <w:r w:rsidR="00CD39A7">
        <w:t> </w:t>
      </w:r>
      <w:r>
        <w:t>Kč a </w:t>
      </w:r>
      <w:r w:rsidRPr="00D57731">
        <w:t>hod</w:t>
      </w:r>
      <w:r>
        <w:t>nota jednotlivé výhry nepřesáhla</w:t>
      </w:r>
      <w:r w:rsidRPr="00D57731">
        <w:t xml:space="preserve"> částku </w:t>
      </w:r>
      <w:r>
        <w:t>20</w:t>
      </w:r>
      <w:r w:rsidR="00CD39A7">
        <w:t> </w:t>
      </w:r>
      <w:r>
        <w:t>000</w:t>
      </w:r>
      <w:r w:rsidR="00CD39A7">
        <w:t> </w:t>
      </w:r>
      <w:r>
        <w:t>Kč, však byly umožněny a </w:t>
      </w:r>
      <w:r w:rsidRPr="00D57731">
        <w:t xml:space="preserve">podléhaly oznamovací povinnosti místně příslušnému finančnímu úřadu. </w:t>
      </w:r>
    </w:p>
    <w:p w14:paraId="690FB029" w14:textId="77777777" w:rsidR="000B15C0" w:rsidRPr="00D57731" w:rsidRDefault="000B15C0" w:rsidP="00474584">
      <w:pPr>
        <w:pStyle w:val="Nadpis4"/>
      </w:pPr>
      <w:bookmarkStart w:id="47" w:name="_Toc72999544"/>
      <w:r w:rsidRPr="00D57731">
        <w:t>Povolovací a další řízení</w:t>
      </w:r>
      <w:bookmarkEnd w:id="47"/>
    </w:p>
    <w:p w14:paraId="19E5FE79" w14:textId="6AD0D8CF" w:rsidR="000B15C0" w:rsidRPr="00D57731" w:rsidRDefault="000B15C0" w:rsidP="00C334E0">
      <w:r w:rsidRPr="00D57731">
        <w:t xml:space="preserve">Zákon o loteriích rozlišoval mezi </w:t>
      </w:r>
      <w:r w:rsidRPr="00B85C67">
        <w:rPr>
          <w:b/>
        </w:rPr>
        <w:t>třemi povolovacími orgány</w:t>
      </w:r>
      <w:r w:rsidRPr="00D57731">
        <w:t xml:space="preserve">, a to Ministerstvem financí, krajskými a obecními </w:t>
      </w:r>
      <w:r w:rsidR="00CD39A7">
        <w:t>ú</w:t>
      </w:r>
      <w:r w:rsidRPr="00D57731">
        <w:t xml:space="preserve">řady, které tak činily v rámci přenesené působnosti. Konkrétní povolovací orgán byl vždy uveden ve zvláštní části zákona o loteriích, části první až čtvrté. V případě loterií a jiných podobných her povolovaných ve vazbě </w:t>
      </w:r>
      <w:r w:rsidRPr="00D57731">
        <w:lastRenderedPageBreak/>
        <w:t>na</w:t>
      </w:r>
      <w:r w:rsidR="005A6B38">
        <w:t> </w:t>
      </w:r>
      <w:r w:rsidRPr="00D57731">
        <w:t>§</w:t>
      </w:r>
      <w:r w:rsidR="006C1388">
        <w:t> </w:t>
      </w:r>
      <w:r w:rsidRPr="00D57731">
        <w:t>50 odst.</w:t>
      </w:r>
      <w:r>
        <w:t> </w:t>
      </w:r>
      <w:r w:rsidRPr="00D57731">
        <w:t>3 zákona o loteriích bylo povolovacím orgán</w:t>
      </w:r>
      <w:r w:rsidR="005A6B38">
        <w:t>em Ministerstvo financí, a </w:t>
      </w:r>
      <w:r w:rsidR="00CC3ADA">
        <w:t>to i </w:t>
      </w:r>
      <w:r w:rsidRPr="00D57731">
        <w:t>v případě, že se jednalo o zařízení, které bylo umístěno do herny.</w:t>
      </w:r>
    </w:p>
    <w:p w14:paraId="276018D0" w14:textId="3006F643" w:rsidR="000B15C0" w:rsidRPr="00EB2E48" w:rsidRDefault="000B15C0" w:rsidP="00C334E0">
      <w:r w:rsidRPr="00EB2E48">
        <w:t>Povolení k provozování loterií nebo jiných podobných her mohlo být vydáno pouze subjektům, které n</w:t>
      </w:r>
      <w:r w:rsidR="007337CD" w:rsidRPr="00EB2E48">
        <w:t>aplňovaly podmínky stanovené v z</w:t>
      </w:r>
      <w:r w:rsidRPr="00EB2E48">
        <w:t xml:space="preserve">ákoně o loteriích, které byly stanoveny v § 4 odst. </w:t>
      </w:r>
      <w:r w:rsidR="007337CD" w:rsidRPr="00EB2E48">
        <w:t xml:space="preserve">4 tohoto zákona. </w:t>
      </w:r>
      <w:r w:rsidRPr="00EB2E48">
        <w:t>Povolení bylo možné vydat pouze státu, nebo právnické osobě, která měla sídlo na území České republiky. Povolení nebylo možné vydat tuzemské právnické osobě se zahraniční majetkovou účastí ani právnické osobě, ve které má tato společnost majetkovou účast. Ustanovení věty druhé se nevztahovalo na sázkové hry podle § 2 písm. i)</w:t>
      </w:r>
      <w:r w:rsidR="00CD39A7" w:rsidRPr="00EB2E48">
        <w:t xml:space="preserve"> zákona o  loteriích</w:t>
      </w:r>
      <w:r w:rsidRPr="00EB2E48">
        <w:t xml:space="preserve">. Provozování loterií a jiných podobných her tak, až na výše uvedenou výjimku, nebylo umožněno zahraničním subjektům, a to ani se sídlem v jiných členských státech Evropské unie. </w:t>
      </w:r>
    </w:p>
    <w:p w14:paraId="2CA4A786" w14:textId="177F19F2" w:rsidR="000B15C0" w:rsidRPr="00EB2E48" w:rsidRDefault="000B15C0" w:rsidP="00C334E0">
      <w:r w:rsidRPr="00EB2E48">
        <w:t xml:space="preserve">Spolu s požadavkem na sídlo v České republice </w:t>
      </w:r>
      <w:r w:rsidR="002F042E" w:rsidRPr="00EB2E48">
        <w:t>z</w:t>
      </w:r>
      <w:r w:rsidRPr="00EB2E48">
        <w:t>ákon o loteriích dále stano</w:t>
      </w:r>
      <w:r w:rsidR="005A6B38" w:rsidRPr="00EB2E48">
        <w:t>vil, že </w:t>
      </w:r>
      <w:r w:rsidRPr="00EB2E48">
        <w:t xml:space="preserve">provozovatelem mohl být pouze jeden z typů právnické osoby, a to akciová společnost, která měla jako předmět podnikání provozování loterií a jiných podobných her, jejíž veškeré akcie zněly na jméno. Základní kapitál této akciové společnosti musel činit nejméně 100 000 000 Kč (v případě loterií a jiných podobných her podle § 2 písm. e) a g) </w:t>
      </w:r>
      <w:r w:rsidR="00CD39A7" w:rsidRPr="00EB2E48">
        <w:t xml:space="preserve">zákona o  loteriích </w:t>
      </w:r>
      <w:r w:rsidRPr="00EB2E48">
        <w:t xml:space="preserve">musel být základní kapitál nejméně 30 000 000 Kč, v případě loterií a jiných podobných her podle § 2 písm. k) </w:t>
      </w:r>
      <w:r w:rsidR="00CD39A7" w:rsidRPr="00EB2E48">
        <w:t xml:space="preserve">zákona o  loteriích </w:t>
      </w:r>
      <w:r w:rsidRPr="00EB2E48">
        <w:t>musel být základní kapitál nejméně 10 000 000 Kč) a nesměl být snížen pod tuto minimální výši po celou dobu platnosti povolení, přičemž musel být splacen pouze peněžitými vklady a původ finančních prostředků byl prokazován, např. soubore</w:t>
      </w:r>
      <w:r w:rsidR="006C1388" w:rsidRPr="00EB2E48">
        <w:t>m daňových přiznání, a to jak z </w:t>
      </w:r>
      <w:r w:rsidRPr="00EB2E48">
        <w:t>České republiky, tak ze zahraničí.</w:t>
      </w:r>
    </w:p>
    <w:p w14:paraId="43BB8FDA" w14:textId="76533F41" w:rsidR="000B15C0" w:rsidRPr="00EB2E48" w:rsidRDefault="000B15C0" w:rsidP="00C334E0">
      <w:r w:rsidRPr="00EB2E48">
        <w:t>Kromě splnění výše uvedených požadavků byl žadatel o vydání povolení povinen složit na zvláštní účet u banky nebo spořitelního a úvěrního družstva peněžní částku (dále jen „jistota“), jejíž výše se lišila podle konkrétní loterie nebo jiné podobné hry uvedené v § 2</w:t>
      </w:r>
      <w:r w:rsidR="00CD39A7" w:rsidRPr="00EB2E48">
        <w:t xml:space="preserve"> zákona o  loteriích</w:t>
      </w:r>
      <w:r w:rsidRPr="00EB2E48">
        <w:t xml:space="preserve"> nebo případně loterie či jiné podobné hry podle §</w:t>
      </w:r>
      <w:r w:rsidR="00CD39A7" w:rsidRPr="00EB2E48">
        <w:t> </w:t>
      </w:r>
      <w:r w:rsidR="002F042E" w:rsidRPr="00EB2E48">
        <w:t>50</w:t>
      </w:r>
      <w:r w:rsidR="00CD39A7" w:rsidRPr="00EB2E48">
        <w:t> </w:t>
      </w:r>
      <w:r w:rsidR="002F042E" w:rsidRPr="00EB2E48">
        <w:t>odst.</w:t>
      </w:r>
      <w:r w:rsidR="00CD39A7" w:rsidRPr="00EB2E48">
        <w:t> </w:t>
      </w:r>
      <w:r w:rsidR="002F042E" w:rsidRPr="00EB2E48">
        <w:t>3</w:t>
      </w:r>
      <w:r w:rsidR="00CD39A7" w:rsidRPr="00EB2E48">
        <w:t> </w:t>
      </w:r>
      <w:r w:rsidR="002F042E" w:rsidRPr="00EB2E48">
        <w:t>z</w:t>
      </w:r>
      <w:r w:rsidR="00EC0053" w:rsidRPr="00EB2E48">
        <w:t>ákona o </w:t>
      </w:r>
      <w:r w:rsidRPr="00EB2E48">
        <w:t>loteriích. Výše jistoty byla stanovena v § 4b</w:t>
      </w:r>
      <w:r w:rsidR="00CD39A7" w:rsidRPr="00EB2E48">
        <w:t xml:space="preserve"> zákona o  loteriích</w:t>
      </w:r>
      <w:r w:rsidRPr="00EB2E48">
        <w:t xml:space="preserve"> a její rozpětí bylo mezi 2</w:t>
      </w:r>
      <w:r w:rsidR="00CD39A7" w:rsidRPr="00EB2E48">
        <w:t> </w:t>
      </w:r>
      <w:r w:rsidRPr="00EB2E48">
        <w:t>000</w:t>
      </w:r>
      <w:r w:rsidR="00CD39A7" w:rsidRPr="00EB2E48">
        <w:t> </w:t>
      </w:r>
      <w:r w:rsidRPr="00EB2E48">
        <w:t>000</w:t>
      </w:r>
      <w:r w:rsidR="00CD39A7" w:rsidRPr="00EB2E48">
        <w:t> </w:t>
      </w:r>
      <w:r w:rsidRPr="00EB2E48">
        <w:t>Kč až 50</w:t>
      </w:r>
      <w:r w:rsidR="00CD39A7" w:rsidRPr="00EB2E48">
        <w:t> </w:t>
      </w:r>
      <w:r w:rsidRPr="00EB2E48">
        <w:t>000</w:t>
      </w:r>
      <w:r w:rsidR="00CD39A7" w:rsidRPr="00EB2E48">
        <w:t> </w:t>
      </w:r>
      <w:r w:rsidR="007337CD" w:rsidRPr="00EB2E48">
        <w:t>000</w:t>
      </w:r>
      <w:r w:rsidR="00CD39A7" w:rsidRPr="00EB2E48">
        <w:t> </w:t>
      </w:r>
      <w:r w:rsidRPr="00EB2E48">
        <w:t>Kč. Původ finančních prostředků použitých na složení jistoty byl žadatel povinen prokázat (např. souborem daňových přiznání, a to jak z České republiky, tak ze zahraničí), přičemž na složení jistoty nebyl oprávn</w:t>
      </w:r>
      <w:r w:rsidR="007337CD" w:rsidRPr="00EB2E48">
        <w:t>ěn použít finanční prostředky z</w:t>
      </w:r>
      <w:r w:rsidR="00EC0053" w:rsidRPr="00EB2E48">
        <w:t xml:space="preserve"> půjček a úvěrů. </w:t>
      </w:r>
      <w:r w:rsidRPr="00EB2E48">
        <w:t>Složení jistoty bylo prokazováno pot</w:t>
      </w:r>
      <w:r w:rsidR="007337CD" w:rsidRPr="00EB2E48">
        <w:t>vrzením banky nebo spořitelního </w:t>
      </w:r>
      <w:r w:rsidRPr="00EB2E48">
        <w:t>a úvěrního družstva o zřízení účtu a složení jistoty. Potvrzení o složení jistoty mělo u výherních hracích přístrojů platnost 24</w:t>
      </w:r>
      <w:r w:rsidR="00CD39A7" w:rsidRPr="00EB2E48">
        <w:t> </w:t>
      </w:r>
      <w:r w:rsidRPr="00EB2E48">
        <w:t xml:space="preserve">měsíců. Po uplynutí této lhůty předložil provozovatel povolujícímu orgánu a příslušnému finančnímu úřadu nové potvrzení o složení jistoty. Jistota sloužila k zajištění finančních zájmů státu a mohla být provozovateli uvolněna po předchozím souhlasu orgánu, který danou loterii nebo jinou podobnou hru povolil, tehdy, jestliže uplynula lhůta, na kterou bylo povolení vydáno, nebo bylo povolení zrušeno anebo činnost skončila a byl vyúčtován provoz loterie nebo jiné podobné hry. </w:t>
      </w:r>
    </w:p>
    <w:p w14:paraId="0D8A85AD" w14:textId="10375277" w:rsidR="000B15C0" w:rsidRPr="00D57731" w:rsidRDefault="000B15C0" w:rsidP="00C334E0">
      <w:r w:rsidRPr="00D57731">
        <w:t>V případě loterií a jiných podobných her byla vyžadována součinnost třetích osob, které měly specializaci v oblasti inspekce zařízení, k jejímuž provádění získaly akreditaci od Českého institutu pro akreditaci, o.p.s. (ČIA). Zákon o loteriích primárně stanovil povinnost přiložit k žádosti o vydání povolení k provozování osvědčení pověřené autorizované osoby o tom, že je výherní hrací přístroj provozuschopný. Zároveň však byla tato povinnost uložena také v případě žádosti o vydání povolení v případě ostatních technických zařízení, která byla povolována v souvislosti s</w:t>
      </w:r>
      <w:r w:rsidR="00CD39A7">
        <w:t> </w:t>
      </w:r>
      <w:r w:rsidRPr="00D57731">
        <w:t>§</w:t>
      </w:r>
      <w:r w:rsidR="00CD39A7">
        <w:t> </w:t>
      </w:r>
      <w:r w:rsidRPr="00D57731">
        <w:t>50</w:t>
      </w:r>
      <w:r w:rsidR="00CD39A7">
        <w:t> </w:t>
      </w:r>
      <w:r w:rsidRPr="00D57731">
        <w:t>odst. 3 zákona o loteriích.</w:t>
      </w:r>
    </w:p>
    <w:p w14:paraId="1636EB68" w14:textId="1F149043" w:rsidR="000B15C0" w:rsidRPr="00D57731" w:rsidRDefault="007F075B" w:rsidP="00474584">
      <w:pPr>
        <w:pStyle w:val="Nadpis4"/>
      </w:pPr>
      <w:bookmarkStart w:id="48" w:name="_Toc72999545"/>
      <w:r>
        <w:lastRenderedPageBreak/>
        <w:t>Nízká úroveň</w:t>
      </w:r>
      <w:r w:rsidR="000B15C0" w:rsidRPr="00D57731">
        <w:t xml:space="preserve"> ochran</w:t>
      </w:r>
      <w:r>
        <w:t>y</w:t>
      </w:r>
      <w:r w:rsidR="000B15C0" w:rsidRPr="00D57731">
        <w:t xml:space="preserve"> účastníků hazardních her</w:t>
      </w:r>
      <w:bookmarkEnd w:id="48"/>
      <w:r w:rsidR="000B15C0" w:rsidRPr="00D57731">
        <w:t xml:space="preserve"> </w:t>
      </w:r>
    </w:p>
    <w:p w14:paraId="53F1B90A" w14:textId="77777777" w:rsidR="000B15C0" w:rsidRPr="00D57731" w:rsidRDefault="000B15C0" w:rsidP="00C334E0">
      <w:r w:rsidRPr="00D57731">
        <w:t xml:space="preserve">Zákon o loteriích se zaměřoval na ochranu osob mladších 18 let, neboť zakazoval jejich účast na loteriích a jiných podobných hrách. Provozovatel loterií a jiných podobných her musel učinit taková opatření, aby se tyto osoby nemohly hry zúčastnit. K tomuto účelu byl oprávněn požadovat předložení průkazu totožnosti. </w:t>
      </w:r>
    </w:p>
    <w:p w14:paraId="7B54A0AD" w14:textId="58C89CE9" w:rsidR="000B15C0" w:rsidRPr="00D57731" w:rsidRDefault="000B15C0" w:rsidP="00C334E0">
      <w:r w:rsidRPr="00D57731">
        <w:t xml:space="preserve">Zároveň byla povinnost rozšířena také na vstup do herny, kdy již tento vstup byl osobám mladším 18 let zakázán. V případě zvláštních provozních prostorů </w:t>
      </w:r>
      <w:r w:rsidR="00CD39A7">
        <w:t xml:space="preserve">nebyl omezen </w:t>
      </w:r>
      <w:r w:rsidRPr="00D57731">
        <w:t>vstup těmto osobám</w:t>
      </w:r>
      <w:r>
        <w:t>,</w:t>
      </w:r>
      <w:r w:rsidRPr="00D57731">
        <w:t xml:space="preserve"> </w:t>
      </w:r>
      <w:r>
        <w:t>s ohledem na</w:t>
      </w:r>
      <w:r w:rsidRPr="00D57731">
        <w:t> pova</w:t>
      </w:r>
      <w:r>
        <w:t>hu</w:t>
      </w:r>
      <w:r w:rsidRPr="00D57731">
        <w:t xml:space="preserve"> těchto prostorů (často se jednalo o restaurační zařízení)</w:t>
      </w:r>
      <w:r w:rsidR="00CD39A7">
        <w:t>. Zákon o loteriích</w:t>
      </w:r>
      <w:r w:rsidR="00CD39A7" w:rsidRPr="00D57731">
        <w:t xml:space="preserve"> </w:t>
      </w:r>
      <w:r w:rsidRPr="00D57731">
        <w:t>vyžadoval dohled osoby odpovědné za dodržování zákazu hry osob mladších 18 let, která musela zajistit omezení jejich vstupu do celé</w:t>
      </w:r>
      <w:r w:rsidR="005A6B38">
        <w:t>ho prostoru provozovny, nebo do </w:t>
      </w:r>
      <w:r w:rsidRPr="00D57731">
        <w:t xml:space="preserve">místnosti v provozovně výhradně určené k provozování výherních hracích přístrojů, nebo do oddělené části provozovny určené k provozování výherních hracích přístrojů. </w:t>
      </w:r>
      <w:r>
        <w:t>Provozovatel byl povinen zamezit, vedle neumožnění samotné účasti, také vizuální účasti na této hazardní hře.</w:t>
      </w:r>
      <w:r>
        <w:rPr>
          <w:rStyle w:val="Znakapoznpodarou"/>
          <w:rFonts w:cs="Arial"/>
          <w:szCs w:val="24"/>
        </w:rPr>
        <w:footnoteReference w:id="3"/>
      </w:r>
    </w:p>
    <w:p w14:paraId="78A50A33" w14:textId="0F3F87F5" w:rsidR="000B15C0" w:rsidRPr="00D57731" w:rsidRDefault="000B15C0" w:rsidP="00C334E0">
      <w:r w:rsidRPr="00D57731">
        <w:t>Dalším druhem loterie nebo jiné podobn</w:t>
      </w:r>
      <w:r>
        <w:t xml:space="preserve">é hry, v souvislosti se kterým </w:t>
      </w:r>
      <w:r w:rsidR="007337CD">
        <w:t>z</w:t>
      </w:r>
      <w:r w:rsidR="004C633C">
        <w:t>ákon o </w:t>
      </w:r>
      <w:r w:rsidRPr="00D57731">
        <w:t xml:space="preserve">loteriích požadoval speciální úpravu v oblasti zákazu účasti osob mladších 18 let na loteriích nebo jiných podobných hrách, byly sázkové hry v kasinu. V tomto případě byl provozovatel, na rozdíl od herny nebo jiného podobného prostoru, </w:t>
      </w:r>
      <w:r>
        <w:t>povinen</w:t>
      </w:r>
      <w:r w:rsidRPr="00D57731">
        <w:t xml:space="preserve"> požadovat při vstupu do kasina doklad prokazující totožnost vstupujících osob, přičemž následně osoby, které nedovršily 18 let věku, a ty, které v souladu s návštěvním řádem neměly přístup do kasina, nesměly být do kasina vpuštěny.</w:t>
      </w:r>
    </w:p>
    <w:p w14:paraId="6E854262" w14:textId="40AAF35D" w:rsidR="000B15C0" w:rsidRDefault="00CD39A7" w:rsidP="00C334E0">
      <w:r>
        <w:t>O</w:t>
      </w:r>
      <w:r w:rsidR="000B15C0" w:rsidRPr="00D57731">
        <w:t xml:space="preserve">patřením, které se </w:t>
      </w:r>
      <w:r w:rsidR="00EB2E48">
        <w:t>také</w:t>
      </w:r>
      <w:r w:rsidR="00EB2E48" w:rsidRPr="00D57731">
        <w:t xml:space="preserve"> </w:t>
      </w:r>
      <w:r w:rsidR="000B15C0" w:rsidRPr="00D57731">
        <w:t>zaměřilo na ochranu osob účastnících se loterií nebo jiných podobných her, bylo stanovení limitů nejvyšší vsazené částky na jednu hru, která činila 2</w:t>
      </w:r>
      <w:r>
        <w:t> </w:t>
      </w:r>
      <w:r w:rsidR="000B15C0" w:rsidRPr="00D57731">
        <w:t>Kč v případě zvláštních provozních režimů, 5</w:t>
      </w:r>
      <w:r>
        <w:t> </w:t>
      </w:r>
      <w:r w:rsidR="000B15C0" w:rsidRPr="00D57731">
        <w:t>Kč u výherních hracích přístrojů umístěných v hernách a 50</w:t>
      </w:r>
      <w:r>
        <w:t> </w:t>
      </w:r>
      <w:r w:rsidR="000B15C0" w:rsidRPr="00D57731">
        <w:t>Kč, pokud byly umístě</w:t>
      </w:r>
      <w:r w:rsidR="0077034D">
        <w:t>ny v kasinech. Nejvyšší výhra z </w:t>
      </w:r>
      <w:r w:rsidR="000B15C0" w:rsidRPr="00D57731">
        <w:t>jedné hry byla omezena na 300</w:t>
      </w:r>
      <w:r w:rsidR="008C5065">
        <w:t> </w:t>
      </w:r>
      <w:r w:rsidR="000B15C0" w:rsidRPr="00D57731">
        <w:t xml:space="preserve">Kč v případě </w:t>
      </w:r>
      <w:r w:rsidR="002A127E">
        <w:t>zvláštních provozních režimů, u </w:t>
      </w:r>
      <w:r w:rsidR="000B15C0" w:rsidRPr="00D57731">
        <w:t>výherních hracích přístrojů umístěných v hernách 750</w:t>
      </w:r>
      <w:r w:rsidR="008C5065">
        <w:t> </w:t>
      </w:r>
      <w:r w:rsidR="000B15C0" w:rsidRPr="00D57731">
        <w:t>Kč</w:t>
      </w:r>
      <w:r w:rsidR="008C5065">
        <w:t>.</w:t>
      </w:r>
      <w:r w:rsidR="000B15C0" w:rsidRPr="00D57731">
        <w:t xml:space="preserve"> </w:t>
      </w:r>
      <w:r w:rsidR="008C5065">
        <w:t>B</w:t>
      </w:r>
      <w:r w:rsidR="000B15C0" w:rsidRPr="00B307A7">
        <w:t>yly-li umístěny</w:t>
      </w:r>
      <w:r w:rsidR="000B15C0">
        <w:t xml:space="preserve"> v</w:t>
      </w:r>
      <w:r w:rsidR="008C5065">
        <w:t> </w:t>
      </w:r>
      <w:r w:rsidR="000B15C0">
        <w:t>kasinu</w:t>
      </w:r>
      <w:r w:rsidR="008C5065">
        <w:t>, činila nejvyšší přípustná výhra 50 000 Kč</w:t>
      </w:r>
      <w:r w:rsidR="000B15C0">
        <w:t xml:space="preserve">. V této souvislosti </w:t>
      </w:r>
      <w:r w:rsidR="002F042E">
        <w:t>z</w:t>
      </w:r>
      <w:r w:rsidR="0077034D">
        <w:t>ákon o </w:t>
      </w:r>
      <w:r w:rsidR="000B15C0" w:rsidRPr="00D57731">
        <w:t>loteriích stanovil i omezení nejvyšší hodinové prohry, která byla stanovena na částku 1</w:t>
      </w:r>
      <w:r w:rsidR="008C5065">
        <w:t> </w:t>
      </w:r>
      <w:r w:rsidR="000B15C0" w:rsidRPr="00D57731">
        <w:t>000</w:t>
      </w:r>
      <w:r w:rsidR="008C5065">
        <w:t> </w:t>
      </w:r>
      <w:r w:rsidR="000B15C0" w:rsidRPr="00D57731">
        <w:t>Kč v případě zvláštních provozních režimů</w:t>
      </w:r>
      <w:r w:rsidR="000B15C0">
        <w:t>, u </w:t>
      </w:r>
      <w:r w:rsidR="000B15C0" w:rsidRPr="00D57731">
        <w:t>výherních hracích přístrojů umístěných v herně</w:t>
      </w:r>
      <w:r w:rsidR="008C5065">
        <w:t xml:space="preserve"> byla stanovena maximální</w:t>
      </w:r>
      <w:r w:rsidR="000B15C0" w:rsidRPr="00D57731">
        <w:t xml:space="preserve"> částka 2</w:t>
      </w:r>
      <w:r w:rsidR="008C5065">
        <w:t> </w:t>
      </w:r>
      <w:r w:rsidR="000B15C0" w:rsidRPr="00D57731">
        <w:t>000</w:t>
      </w:r>
      <w:r w:rsidR="008C5065">
        <w:t> </w:t>
      </w:r>
      <w:r w:rsidR="005A6B38">
        <w:t>Kč a u </w:t>
      </w:r>
      <w:r w:rsidR="000B15C0" w:rsidRPr="00D57731">
        <w:t>výherních hracích přístrojů umístěných v kasinu částka 10</w:t>
      </w:r>
      <w:r w:rsidR="008C5065">
        <w:t> </w:t>
      </w:r>
      <w:r w:rsidR="000B15C0" w:rsidRPr="00D57731">
        <w:t>000</w:t>
      </w:r>
      <w:r w:rsidR="008C5065">
        <w:t> </w:t>
      </w:r>
      <w:r w:rsidR="000B15C0" w:rsidRPr="00D57731">
        <w:t>Kč. Obdobné omezení Ministerstvo financí stanovilo také v případě povolení zařízení povolovaných v souvislosti s § 50 odst. 3 zákona o loteriích, přičemž konkrétní částka byla stanovena správní praxí.</w:t>
      </w:r>
    </w:p>
    <w:p w14:paraId="523C9E46" w14:textId="5D4B3833" w:rsidR="00857710" w:rsidRDefault="00857710" w:rsidP="00C334E0">
      <w:r w:rsidRPr="0012497A">
        <w:t xml:space="preserve">Následkem zastaralé a nekoncepční právní úpravy byla </w:t>
      </w:r>
      <w:r w:rsidRPr="009B7DBC">
        <w:rPr>
          <w:b/>
        </w:rPr>
        <w:t>nízká ochrana účastníků hazardních her a nepřehlednost podmínek provozování</w:t>
      </w:r>
      <w:r w:rsidRPr="0012497A">
        <w:t xml:space="preserve">. </w:t>
      </w:r>
      <w:r>
        <w:t>Zároveň byly hazardní hry</w:t>
      </w:r>
      <w:r w:rsidRPr="009B7DBC">
        <w:rPr>
          <w:b/>
        </w:rPr>
        <w:t xml:space="preserve"> velmi snadno dostupné</w:t>
      </w:r>
      <w:r w:rsidR="00104E85" w:rsidRPr="009B7DBC">
        <w:rPr>
          <w:b/>
        </w:rPr>
        <w:t>, což byl jeden z hlavních problémů</w:t>
      </w:r>
      <w:r w:rsidRPr="009B7DBC">
        <w:rPr>
          <w:b/>
        </w:rPr>
        <w:t>.</w:t>
      </w:r>
    </w:p>
    <w:p w14:paraId="09508D2F" w14:textId="77777777" w:rsidR="000B15C0" w:rsidRPr="00D57731" w:rsidRDefault="000B15C0" w:rsidP="00474584">
      <w:pPr>
        <w:pStyle w:val="Nadpis4"/>
      </w:pPr>
      <w:bookmarkStart w:id="49" w:name="_Toc72999546"/>
      <w:r w:rsidRPr="00D57731">
        <w:lastRenderedPageBreak/>
        <w:t>Dozor</w:t>
      </w:r>
      <w:bookmarkEnd w:id="49"/>
    </w:p>
    <w:p w14:paraId="724506FC" w14:textId="7B7BD627" w:rsidR="000B15C0" w:rsidRPr="00D57731" w:rsidRDefault="000B15C0" w:rsidP="00C334E0">
      <w:r w:rsidRPr="00D57731">
        <w:t>Zákon o loteriích stanovil povinnost dozoru nad provozováním loterií a jiných podobných her v návaznosti na povolovací orgán. Ob</w:t>
      </w:r>
      <w:r>
        <w:t>ecní úřady</w:t>
      </w:r>
      <w:r w:rsidRPr="00D57731">
        <w:t xml:space="preserve"> jej vykonávaly v</w:t>
      </w:r>
      <w:r>
        <w:t> </w:t>
      </w:r>
      <w:r w:rsidRPr="00D57731">
        <w:t>případech, kdy vydávaly povolení k provozování loterií a jiných podobných her, krajské</w:t>
      </w:r>
      <w:r>
        <w:t xml:space="preserve"> úřady v </w:t>
      </w:r>
      <w:r w:rsidRPr="00D57731">
        <w:t>případech, kdy vydávaly povolení k provozování l</w:t>
      </w:r>
      <w:r>
        <w:t>oterií a jiných podobných her a </w:t>
      </w:r>
      <w:r w:rsidRPr="00D57731">
        <w:t xml:space="preserve">příslušné finanční úřady a finanční úřady, v jejichž územním obvodu se </w:t>
      </w:r>
      <w:r>
        <w:t xml:space="preserve">nacházely </w:t>
      </w:r>
      <w:r w:rsidRPr="00D57731">
        <w:t>jednotlivé provozovny, v případech, kdy p</w:t>
      </w:r>
      <w:r>
        <w:t>ovolení k provozování loterií a </w:t>
      </w:r>
      <w:r w:rsidRPr="00D57731">
        <w:t xml:space="preserve">jiných podobných her </w:t>
      </w:r>
      <w:r w:rsidRPr="00B307A7">
        <w:t>vydalo</w:t>
      </w:r>
      <w:r w:rsidRPr="00D57731">
        <w:t xml:space="preserve"> Ministerstvo financí. V případech, kdy provozování loterií</w:t>
      </w:r>
      <w:r>
        <w:t xml:space="preserve"> a </w:t>
      </w:r>
      <w:r w:rsidRPr="00D57731">
        <w:t>jiných podobných her povolovalo Ministerstvo financí a sídlo provozovatele nebo jeho provozovna se nacházely na území hlavního města Prahy, vykonával státní dozor Finanční úřad pro Prahu 1. Bylo-li sídlo provozovatele nebo jeho provozovna na území města Brna, vykonával státní dozor Finanční úřad Brno I. Také Ministerstvo financí mělo oprávnění dozor nad provozováním vykonávat, přičemž nebylo omezeno pouze na loterie a jiné podobné hry, kterým vydalo povolení,</w:t>
      </w:r>
      <w:r w:rsidR="005A6B38">
        <w:t xml:space="preserve"> ale na </w:t>
      </w:r>
      <w:r>
        <w:t>všechny druhy loterií a </w:t>
      </w:r>
      <w:r w:rsidRPr="00D57731">
        <w:t>jiných podobných her.</w:t>
      </w:r>
    </w:p>
    <w:p w14:paraId="5D29D340" w14:textId="44BD2384" w:rsidR="000B15C0" w:rsidRPr="00D57731" w:rsidRDefault="000B15C0" w:rsidP="00C334E0">
      <w:r w:rsidRPr="00D57731">
        <w:t>Dozor nad provozování</w:t>
      </w:r>
      <w:r w:rsidR="00DF5C96">
        <w:t>m</w:t>
      </w:r>
      <w:r w:rsidRPr="00D57731">
        <w:t xml:space="preserve"> loterií a jiných sázkových her byl vykonáván podle </w:t>
      </w:r>
      <w:r w:rsidR="008C5065" w:rsidRPr="00E131D9">
        <w:t>zákona</w:t>
      </w:r>
      <w:r w:rsidR="008C5065">
        <w:t> </w:t>
      </w:r>
      <w:r w:rsidR="008C5065" w:rsidRPr="00E131D9">
        <w:t>č.</w:t>
      </w:r>
      <w:r w:rsidR="008C5065">
        <w:t> </w:t>
      </w:r>
      <w:r w:rsidR="008C5065" w:rsidRPr="00E131D9">
        <w:t>255/2012 Sb., o kontrole, ve znění pozdějších předpisů (dále jen „kontrolní řád“)</w:t>
      </w:r>
      <w:r w:rsidR="008C5065">
        <w:t xml:space="preserve"> </w:t>
      </w:r>
      <w:r w:rsidRPr="00D57731">
        <w:t>a</w:t>
      </w:r>
      <w:r w:rsidR="008C5065">
        <w:t> </w:t>
      </w:r>
      <w:r w:rsidRPr="00D57731">
        <w:t>dozorové orgány tak disponovaly běžnou sadou oprávnění, jako např.</w:t>
      </w:r>
      <w:r w:rsidR="008C5065">
        <w:t> </w:t>
      </w:r>
      <w:r w:rsidRPr="00D57731">
        <w:t>vstupovat do staveb, dopravních prostředků, na</w:t>
      </w:r>
      <w:r w:rsidR="007337CD">
        <w:t xml:space="preserve"> pozemky a do dalších prostor s </w:t>
      </w:r>
      <w:r w:rsidRPr="00D57731">
        <w:t xml:space="preserve">výjimkou obydlí, jež vlastní nebo užívá kontrolovaná osoba anebo jinak přímo souvisí s </w:t>
      </w:r>
      <w:r>
        <w:t>výkonem a </w:t>
      </w:r>
      <w:r w:rsidRPr="00D57731">
        <w:t>předmětem kontroly, bylo-li to</w:t>
      </w:r>
      <w:r w:rsidR="005A6B38">
        <w:t xml:space="preserve"> nezbytné k výkonu kontroly. Do </w:t>
      </w:r>
      <w:r w:rsidRPr="00D57731">
        <w:t xml:space="preserve">obydlí byl kontrolující oprávněn vstoupit jen </w:t>
      </w:r>
      <w:r w:rsidR="006C1388">
        <w:t>tehdy, bylo-li obydlí užívané k </w:t>
      </w:r>
      <w:r w:rsidRPr="00D57731">
        <w:t xml:space="preserve">podnikání nebo provozování jiné hospodářské činnosti nebo v případě, kdy se měly prostřednictvím kontroly odstranit pochybnosti o tom, zda je obydlí užívané k těmto účelům a nelze-li dosáhnout splnění účelu kontroly jinak. Vlastníci nebo uživatelé těchto prostor byli povinni kontrolujícímu vstup umožnit. Dále pak byly dozorové orgány oprávněny požadovat prokázání totožnosti fyzické osoby, jež </w:t>
      </w:r>
      <w:r>
        <w:t>byla</w:t>
      </w:r>
      <w:r w:rsidRPr="00D57731">
        <w:t xml:space="preserve"> přítomna na místě kontroly, </w:t>
      </w:r>
      <w:r w:rsidR="007337CD">
        <w:t>jednalo</w:t>
      </w:r>
      <w:r w:rsidRPr="00D57731">
        <w:t xml:space="preserve">-li </w:t>
      </w:r>
      <w:r>
        <w:t xml:space="preserve">se </w:t>
      </w:r>
      <w:r w:rsidRPr="00D57731">
        <w:t>o osobu, která pln</w:t>
      </w:r>
      <w:r>
        <w:t>ila</w:t>
      </w:r>
      <w:r w:rsidRPr="00D57731">
        <w:t xml:space="preserve"> úkoly kontrolované osoby, nebo osobu, která m</w:t>
      </w:r>
      <w:r>
        <w:t>ohla</w:t>
      </w:r>
      <w:r w:rsidRPr="00D57731">
        <w:t xml:space="preserve"> přispět ke splnění účelu kontroly, provádět kontrolní nákupy, odebírat vzorky, provádět potřebná měření, sledování, prohlídky a zkoušky, požadovat poskytnutí údajů, dokumentů a věcí vztahujících se k předmětu kontroly nebo k činnosti kontrolov</w:t>
      </w:r>
      <w:r>
        <w:t>ané osoby (dále jen „podklady“). V odůvodněných případech mohl</w:t>
      </w:r>
      <w:r w:rsidRPr="00D57731">
        <w:t xml:space="preserve"> kontrolující zajišťovat originální podklady, pořizovat obrazové nebo zvukové záznamy, v míře nezbytné pro průběh kontroly užívat technických prostředků kontrolované osoby, a to po předchozím proj</w:t>
      </w:r>
      <w:r w:rsidR="006C1388">
        <w:t>ednání s kontrolovanou osobou a </w:t>
      </w:r>
      <w:r w:rsidRPr="00D57731">
        <w:t>vyžadovat od kontrolované osoby a povinné oso</w:t>
      </w:r>
      <w:r w:rsidR="006C1388">
        <w:t>by další součinnost potřebnou k </w:t>
      </w:r>
      <w:r w:rsidRPr="00D57731">
        <w:t>výkonu kontroly.</w:t>
      </w:r>
    </w:p>
    <w:p w14:paraId="289A390F" w14:textId="3BADAC3F" w:rsidR="000B15C0" w:rsidRPr="00D57731" w:rsidRDefault="000B15C0" w:rsidP="00C334E0">
      <w:pPr>
        <w:rPr>
          <w:rFonts w:eastAsia="Times New Roman"/>
          <w:lang w:eastAsia="cs-CZ"/>
        </w:rPr>
      </w:pPr>
      <w:r w:rsidRPr="00D57731">
        <w:rPr>
          <w:rFonts w:eastAsia="Times New Roman"/>
          <w:lang w:eastAsia="cs-CZ"/>
        </w:rPr>
        <w:t>Zákon</w:t>
      </w:r>
      <w:r w:rsidR="00C15D9B">
        <w:rPr>
          <w:rFonts w:eastAsia="Times New Roman"/>
          <w:lang w:eastAsia="cs-CZ"/>
        </w:rPr>
        <w:t>em</w:t>
      </w:r>
      <w:r w:rsidRPr="00D57731">
        <w:rPr>
          <w:rFonts w:eastAsia="Times New Roman"/>
          <w:lang w:eastAsia="cs-CZ"/>
        </w:rPr>
        <w:t xml:space="preserve"> o loteriích</w:t>
      </w:r>
      <w:r>
        <w:rPr>
          <w:rFonts w:eastAsia="Times New Roman"/>
          <w:lang w:eastAsia="cs-CZ"/>
        </w:rPr>
        <w:t xml:space="preserve"> (</w:t>
      </w:r>
      <w:r w:rsidRPr="00D57731">
        <w:rPr>
          <w:rFonts w:eastAsia="Times New Roman"/>
          <w:lang w:eastAsia="cs-CZ"/>
        </w:rPr>
        <w:t xml:space="preserve">resp. </w:t>
      </w:r>
      <w:r>
        <w:rPr>
          <w:rFonts w:eastAsia="Times New Roman"/>
          <w:lang w:eastAsia="cs-CZ"/>
        </w:rPr>
        <w:t>podmínk</w:t>
      </w:r>
      <w:r w:rsidR="00C15D9B">
        <w:rPr>
          <w:rFonts w:eastAsia="Times New Roman"/>
          <w:lang w:eastAsia="cs-CZ"/>
        </w:rPr>
        <w:t>ou</w:t>
      </w:r>
      <w:r>
        <w:rPr>
          <w:rFonts w:eastAsia="Times New Roman"/>
          <w:lang w:eastAsia="cs-CZ"/>
        </w:rPr>
        <w:t xml:space="preserve"> uveden</w:t>
      </w:r>
      <w:r w:rsidR="00C15D9B">
        <w:rPr>
          <w:rFonts w:eastAsia="Times New Roman"/>
          <w:lang w:eastAsia="cs-CZ"/>
        </w:rPr>
        <w:t>ou</w:t>
      </w:r>
      <w:r>
        <w:rPr>
          <w:rFonts w:eastAsia="Times New Roman"/>
          <w:lang w:eastAsia="cs-CZ"/>
        </w:rPr>
        <w:t xml:space="preserve"> v </w:t>
      </w:r>
      <w:r w:rsidRPr="00D57731">
        <w:rPr>
          <w:rFonts w:eastAsia="Times New Roman"/>
          <w:lang w:eastAsia="cs-CZ"/>
        </w:rPr>
        <w:t>p</w:t>
      </w:r>
      <w:r w:rsidR="005A6B38">
        <w:rPr>
          <w:rFonts w:eastAsia="Times New Roman"/>
          <w:lang w:eastAsia="cs-CZ"/>
        </w:rPr>
        <w:t>ovolení k provozování loterií a </w:t>
      </w:r>
      <w:r w:rsidRPr="00D57731">
        <w:rPr>
          <w:rFonts w:eastAsia="Times New Roman"/>
          <w:lang w:eastAsia="cs-CZ"/>
        </w:rPr>
        <w:t>jiných podobných her</w:t>
      </w:r>
      <w:r>
        <w:rPr>
          <w:rFonts w:eastAsia="Times New Roman"/>
          <w:lang w:eastAsia="cs-CZ"/>
        </w:rPr>
        <w:t>)</w:t>
      </w:r>
      <w:r w:rsidRPr="00D57731">
        <w:rPr>
          <w:rFonts w:eastAsia="Times New Roman"/>
          <w:lang w:eastAsia="cs-CZ"/>
        </w:rPr>
        <w:t xml:space="preserve"> </w:t>
      </w:r>
      <w:r w:rsidR="00C15D9B">
        <w:rPr>
          <w:rFonts w:eastAsia="Times New Roman"/>
          <w:lang w:eastAsia="cs-CZ"/>
        </w:rPr>
        <w:t xml:space="preserve">byla </w:t>
      </w:r>
      <w:r w:rsidRPr="00D57731">
        <w:rPr>
          <w:rFonts w:eastAsia="Times New Roman"/>
          <w:lang w:eastAsia="cs-CZ"/>
        </w:rPr>
        <w:t>stanov</w:t>
      </w:r>
      <w:r w:rsidR="00C15D9B">
        <w:rPr>
          <w:rFonts w:eastAsia="Times New Roman"/>
          <w:lang w:eastAsia="cs-CZ"/>
        </w:rPr>
        <w:t>ena</w:t>
      </w:r>
      <w:r w:rsidRPr="00D57731">
        <w:rPr>
          <w:rFonts w:eastAsia="Times New Roman"/>
          <w:lang w:eastAsia="cs-CZ"/>
        </w:rPr>
        <w:t xml:space="preserve"> provozovatelům některých technických zařízení </w:t>
      </w:r>
      <w:r>
        <w:rPr>
          <w:rFonts w:eastAsia="Times New Roman"/>
          <w:lang w:eastAsia="cs-CZ"/>
        </w:rPr>
        <w:t>(např. interaktivní</w:t>
      </w:r>
      <w:r w:rsidR="00C15D9B">
        <w:rPr>
          <w:rFonts w:eastAsia="Times New Roman"/>
          <w:lang w:eastAsia="cs-CZ"/>
        </w:rPr>
        <w:t>ch</w:t>
      </w:r>
      <w:r>
        <w:rPr>
          <w:rFonts w:eastAsia="Times New Roman"/>
          <w:lang w:eastAsia="cs-CZ"/>
        </w:rPr>
        <w:t xml:space="preserve"> videoloterní</w:t>
      </w:r>
      <w:r w:rsidR="00C15D9B">
        <w:rPr>
          <w:rFonts w:eastAsia="Times New Roman"/>
          <w:lang w:eastAsia="cs-CZ"/>
        </w:rPr>
        <w:t>ch</w:t>
      </w:r>
      <w:r>
        <w:rPr>
          <w:rFonts w:eastAsia="Times New Roman"/>
          <w:lang w:eastAsia="cs-CZ"/>
        </w:rPr>
        <w:t xml:space="preserve"> terminál</w:t>
      </w:r>
      <w:r w:rsidR="00C15D9B">
        <w:rPr>
          <w:rFonts w:eastAsia="Times New Roman"/>
          <w:lang w:eastAsia="cs-CZ"/>
        </w:rPr>
        <w:t>ů</w:t>
      </w:r>
      <w:r>
        <w:rPr>
          <w:rFonts w:eastAsia="Times New Roman"/>
          <w:lang w:eastAsia="cs-CZ"/>
        </w:rPr>
        <w:t xml:space="preserve">) </w:t>
      </w:r>
      <w:r w:rsidRPr="00D57731">
        <w:rPr>
          <w:rFonts w:eastAsia="Times New Roman"/>
          <w:lang w:eastAsia="cs-CZ"/>
        </w:rPr>
        <w:t xml:space="preserve">povinnost poskytovat </w:t>
      </w:r>
      <w:r w:rsidR="00C46FF8">
        <w:rPr>
          <w:rFonts w:eastAsia="Times New Roman"/>
          <w:lang w:eastAsia="cs-CZ"/>
        </w:rPr>
        <w:t>dozorujícím</w:t>
      </w:r>
      <w:r w:rsidR="00C46FF8" w:rsidRPr="00D57731">
        <w:rPr>
          <w:rFonts w:eastAsia="Times New Roman"/>
          <w:lang w:eastAsia="cs-CZ"/>
        </w:rPr>
        <w:t xml:space="preserve"> </w:t>
      </w:r>
      <w:r w:rsidRPr="00D57731">
        <w:rPr>
          <w:rFonts w:eastAsia="Times New Roman"/>
          <w:lang w:eastAsia="cs-CZ"/>
        </w:rPr>
        <w:t xml:space="preserve">orgánům </w:t>
      </w:r>
      <w:r>
        <w:rPr>
          <w:rFonts w:eastAsia="Times New Roman"/>
          <w:lang w:eastAsia="cs-CZ"/>
        </w:rPr>
        <w:t xml:space="preserve">(formou pasivního přístupu) </w:t>
      </w:r>
      <w:r w:rsidRPr="00D57731">
        <w:rPr>
          <w:rFonts w:eastAsia="Times New Roman"/>
          <w:lang w:eastAsia="cs-CZ"/>
        </w:rPr>
        <w:t xml:space="preserve">některá finanční a herní data. Data, která bylo nutné </w:t>
      </w:r>
      <w:r w:rsidR="00C46FF8">
        <w:rPr>
          <w:rFonts w:eastAsia="Times New Roman"/>
          <w:lang w:eastAsia="cs-CZ"/>
        </w:rPr>
        <w:t>dozorujícím</w:t>
      </w:r>
      <w:r w:rsidR="00C46FF8" w:rsidRPr="00D57731">
        <w:rPr>
          <w:rFonts w:eastAsia="Times New Roman"/>
          <w:lang w:eastAsia="cs-CZ"/>
        </w:rPr>
        <w:t xml:space="preserve"> </w:t>
      </w:r>
      <w:r w:rsidRPr="00D57731">
        <w:rPr>
          <w:rFonts w:eastAsia="Times New Roman"/>
          <w:lang w:eastAsia="cs-CZ"/>
        </w:rPr>
        <w:t xml:space="preserve">orgánům předávat, však nebyla </w:t>
      </w:r>
      <w:r>
        <w:rPr>
          <w:rFonts w:eastAsia="Times New Roman"/>
          <w:lang w:eastAsia="cs-CZ"/>
        </w:rPr>
        <w:t xml:space="preserve">co do rozsahu, struktury a formy </w:t>
      </w:r>
      <w:r w:rsidRPr="00D57731">
        <w:rPr>
          <w:rFonts w:eastAsia="Times New Roman"/>
          <w:lang w:eastAsia="cs-CZ"/>
        </w:rPr>
        <w:t>stanovena jednotně pro všec</w:t>
      </w:r>
      <w:r>
        <w:rPr>
          <w:rFonts w:eastAsia="Times New Roman"/>
          <w:lang w:eastAsia="cs-CZ"/>
        </w:rPr>
        <w:t>hny druhy technických zařízení.</w:t>
      </w:r>
    </w:p>
    <w:p w14:paraId="6FC971D2" w14:textId="3BFA3F31" w:rsidR="000B15C0" w:rsidRDefault="000B15C0" w:rsidP="00C334E0">
      <w:pPr>
        <w:rPr>
          <w:rFonts w:eastAsia="Times New Roman"/>
          <w:lang w:eastAsia="cs-CZ"/>
        </w:rPr>
      </w:pPr>
      <w:r w:rsidRPr="00D57731">
        <w:rPr>
          <w:rFonts w:eastAsia="Times New Roman"/>
          <w:lang w:eastAsia="cs-CZ"/>
        </w:rPr>
        <w:t>Kromě relativně obecně vymezených přestupků</w:t>
      </w:r>
      <w:r>
        <w:rPr>
          <w:rFonts w:eastAsia="Times New Roman"/>
          <w:lang w:eastAsia="cs-CZ"/>
        </w:rPr>
        <w:t xml:space="preserve"> (resp. správních deliktů)</w:t>
      </w:r>
      <w:r w:rsidRPr="00D57731">
        <w:rPr>
          <w:rFonts w:eastAsia="Times New Roman"/>
          <w:lang w:eastAsia="cs-CZ"/>
        </w:rPr>
        <w:t>, kterých se mohl provozovatel v souvislosti s provozování loterií a jiných podobných her dopustit (tj. subjekt provozoval loterii nebo jinou podobnou sázkovou hru bez povolení, které by byla oprávněna tato obec vydat, nebo ji provozoval v r</w:t>
      </w:r>
      <w:r w:rsidR="00014CAE">
        <w:rPr>
          <w:rFonts w:eastAsia="Times New Roman"/>
          <w:lang w:eastAsia="cs-CZ"/>
        </w:rPr>
        <w:t>ozporu se zákonem o </w:t>
      </w:r>
      <w:r>
        <w:rPr>
          <w:rFonts w:eastAsia="Times New Roman"/>
          <w:lang w:eastAsia="cs-CZ"/>
        </w:rPr>
        <w:t>loteriích a </w:t>
      </w:r>
      <w:r w:rsidRPr="00D57731">
        <w:rPr>
          <w:rFonts w:eastAsia="Times New Roman"/>
          <w:lang w:eastAsia="cs-CZ"/>
        </w:rPr>
        <w:t xml:space="preserve">jiných podobných hrách, herním plánem nebo s podmínkami, které jí byly </w:t>
      </w:r>
      <w:r w:rsidRPr="00D57731">
        <w:rPr>
          <w:rFonts w:eastAsia="Times New Roman"/>
          <w:lang w:eastAsia="cs-CZ"/>
        </w:rPr>
        <w:lastRenderedPageBreak/>
        <w:t>v povolení uloženy)</w:t>
      </w:r>
      <w:r>
        <w:rPr>
          <w:rFonts w:eastAsia="Times New Roman"/>
          <w:lang w:eastAsia="cs-CZ"/>
        </w:rPr>
        <w:t>,</w:t>
      </w:r>
      <w:r w:rsidRPr="00D57731">
        <w:rPr>
          <w:rFonts w:eastAsia="Times New Roman"/>
          <w:lang w:eastAsia="cs-CZ"/>
        </w:rPr>
        <w:t xml:space="preserve"> mohly </w:t>
      </w:r>
      <w:r w:rsidRPr="008B7D7F">
        <w:rPr>
          <w:rFonts w:eastAsia="Times New Roman"/>
          <w:lang w:eastAsia="cs-CZ"/>
        </w:rPr>
        <w:t>přestupek</w:t>
      </w:r>
      <w:r w:rsidRPr="00D57731">
        <w:rPr>
          <w:rFonts w:eastAsia="Times New Roman"/>
          <w:lang w:eastAsia="cs-CZ"/>
        </w:rPr>
        <w:t xml:space="preserve"> spáchat také fyzické osoby, a to pokud tyto fyzické osoby byly k provozovateli v pracovněprávním, členském nebo obdobném poměru, a</w:t>
      </w:r>
      <w:r>
        <w:rPr>
          <w:rFonts w:eastAsia="Times New Roman"/>
          <w:lang w:eastAsia="cs-CZ"/>
        </w:rPr>
        <w:t> účastníci</w:t>
      </w:r>
      <w:r w:rsidRPr="00D57731">
        <w:rPr>
          <w:rFonts w:eastAsia="Times New Roman"/>
          <w:lang w:eastAsia="cs-CZ"/>
        </w:rPr>
        <w:t xml:space="preserve"> kursových sázek a sázkovýc</w:t>
      </w:r>
      <w:r w:rsidR="00014CAE">
        <w:rPr>
          <w:rFonts w:eastAsia="Times New Roman"/>
          <w:lang w:eastAsia="cs-CZ"/>
        </w:rPr>
        <w:t>h her v kasinu, pokud jednaly v </w:t>
      </w:r>
      <w:r w:rsidRPr="00D57731">
        <w:rPr>
          <w:rFonts w:eastAsia="Times New Roman"/>
          <w:lang w:eastAsia="cs-CZ"/>
        </w:rPr>
        <w:t>rozporu</w:t>
      </w:r>
      <w:r>
        <w:rPr>
          <w:rFonts w:eastAsia="Times New Roman"/>
          <w:lang w:eastAsia="cs-CZ"/>
        </w:rPr>
        <w:t xml:space="preserve"> s </w:t>
      </w:r>
      <w:r w:rsidRPr="00D57731">
        <w:rPr>
          <w:rFonts w:eastAsia="Times New Roman"/>
          <w:lang w:eastAsia="cs-CZ"/>
        </w:rPr>
        <w:t xml:space="preserve">tímto zákonem nebo povolením k provozování nebo herním plánem. </w:t>
      </w:r>
      <w:r w:rsidRPr="008B7D7F">
        <w:rPr>
          <w:rFonts w:eastAsia="Times New Roman"/>
          <w:lang w:eastAsia="cs-CZ"/>
        </w:rPr>
        <w:t>Přestupku se mohly dopustit také v přípa</w:t>
      </w:r>
      <w:r w:rsidR="005A6B38">
        <w:rPr>
          <w:rFonts w:eastAsia="Times New Roman"/>
          <w:lang w:eastAsia="cs-CZ"/>
        </w:rPr>
        <w:t>dě, kdy jako osoby odpovědné za </w:t>
      </w:r>
      <w:r w:rsidRPr="008B7D7F">
        <w:rPr>
          <w:rFonts w:eastAsia="Times New Roman"/>
          <w:lang w:eastAsia="cs-CZ"/>
        </w:rPr>
        <w:t>dodržování zákazu hry osob mladších 18 let tuto svou povinnost porušily. Přestupkem bylo</w:t>
      </w:r>
      <w:r w:rsidRPr="00D57731">
        <w:rPr>
          <w:rFonts w:eastAsia="Times New Roman"/>
          <w:lang w:eastAsia="cs-CZ"/>
        </w:rPr>
        <w:t xml:space="preserve"> dále jednání fyzické osoby – účastníka loterie nebo jiné podobné hry – která se účastnila sázek v zahraničí, při nichž byly sázky placeny do zahraničí, a sbírek sázek pro sázkové hry provozované v zahraničí nebo zprostředkování sázek na sázkové hry provozované v zahraničí.</w:t>
      </w:r>
    </w:p>
    <w:p w14:paraId="7607926E" w14:textId="4E0A6082" w:rsidR="00B67E82" w:rsidRPr="000B01A0" w:rsidRDefault="00DF5C96" w:rsidP="00C334E0">
      <w:r w:rsidRPr="000B01A0">
        <w:rPr>
          <w:rFonts w:eastAsia="Times New Roman"/>
          <w:lang w:eastAsia="cs-CZ"/>
        </w:rPr>
        <w:t xml:space="preserve">Zásadním nedostatkem byl </w:t>
      </w:r>
      <w:r w:rsidRPr="009B7DBC">
        <w:rPr>
          <w:rFonts w:eastAsia="Times New Roman"/>
          <w:b/>
          <w:lang w:eastAsia="cs-CZ"/>
        </w:rPr>
        <w:t>nedostatek informací</w:t>
      </w:r>
      <w:r w:rsidRPr="000B01A0">
        <w:rPr>
          <w:rFonts w:eastAsia="Times New Roman"/>
          <w:lang w:eastAsia="cs-CZ"/>
        </w:rPr>
        <w:t xml:space="preserve"> a dat nutných</w:t>
      </w:r>
      <w:r w:rsidRPr="00966AF9">
        <w:rPr>
          <w:rFonts w:eastAsia="Times New Roman"/>
          <w:lang w:eastAsia="cs-CZ"/>
        </w:rPr>
        <w:t xml:space="preserve"> pro efektivní výkon dozoru.</w:t>
      </w:r>
      <w:r w:rsidR="00B67E82" w:rsidRPr="00966AF9">
        <w:rPr>
          <w:rFonts w:eastAsia="Times New Roman"/>
          <w:lang w:eastAsia="cs-CZ"/>
        </w:rPr>
        <w:t xml:space="preserve"> </w:t>
      </w:r>
      <w:r w:rsidR="00B67E82" w:rsidRPr="00966AF9">
        <w:rPr>
          <w:rFonts w:eastAsia="Calibri"/>
        </w:rPr>
        <w:t>Za účinnosti zákona o loteriích nebyla oblast rozsahu a parametrů informací a dat evidovaných provozovateli hazardní hry a způsobu jejich předávání příslušným správním orgánům stanovena jednotně. Ačkoli provozovatelé údaje zpravidla evidovali, panovala v této evid</w:t>
      </w:r>
      <w:r w:rsidR="00B67E82" w:rsidRPr="000B01A0">
        <w:rPr>
          <w:rFonts w:eastAsia="Calibri"/>
        </w:rPr>
        <w:t>enci nejednotnost, což způsobovalo komplikace při výkonu dozoru v oblasti provozování hazardních her. V</w:t>
      </w:r>
      <w:r w:rsidR="00B67E82" w:rsidRPr="000B01A0">
        <w:t> minulosti měli provozovatelé hazardních her, resp. loterií a jiných podobných her, v povolení uloženou podmínku poskytovat chronologický přehled o herních a finančních datech, nicméně tato podmínka byla uložena pouze některým provo</w:t>
      </w:r>
      <w:r w:rsidR="005A6B38">
        <w:t>zovatelům, resp. </w:t>
      </w:r>
      <w:r w:rsidR="00B67E82" w:rsidRPr="000B01A0">
        <w:t>se vztahovala pouze na některé druhy h</w:t>
      </w:r>
      <w:r w:rsidR="005A6B38">
        <w:t>azardních her (technickou hru a </w:t>
      </w:r>
      <w:r w:rsidR="00B67E82" w:rsidRPr="000B01A0">
        <w:t>internetovou hru, zákon o loteriích a jiných podobných hrách však s touto terminologií nepracoval). Dozorové orgány tak měly pouze omezené možnosti, jak herní a finanční data zpracovávat a kontrolovat.</w:t>
      </w:r>
      <w:r w:rsidR="0094557C">
        <w:t xml:space="preserve"> </w:t>
      </w:r>
    </w:p>
    <w:p w14:paraId="061DA8BC" w14:textId="7F252BD9" w:rsidR="00B67E82" w:rsidRPr="000B01A0" w:rsidRDefault="00B67E82" w:rsidP="00C334E0">
      <w:pPr>
        <w:rPr>
          <w:rFonts w:eastAsia="Calibri"/>
        </w:rPr>
      </w:pPr>
      <w:r w:rsidRPr="000B01A0">
        <w:rPr>
          <w:rFonts w:eastAsia="Calibri"/>
        </w:rPr>
        <w:t xml:space="preserve">Ministerstvo financí evidovalo informace o vydaných povoleních v informačním systému Státní dozor nad sázkami a loteriemi (dále jen „IS SDSL“), ani v tomto ohledu nebyly údaje evidovány komplexně (např. chyběly údaje o povoleních, která byla vydána obecními úřady, rovněž také informace o některých vydaných povolení z let předcházejících spuštění IS SDSL). Údaje o dozorové činnosti vykonávané </w:t>
      </w:r>
      <w:r w:rsidR="007337CD">
        <w:rPr>
          <w:rFonts w:eastAsia="Calibri"/>
        </w:rPr>
        <w:t>F</w:t>
      </w:r>
      <w:r w:rsidRPr="000B01A0">
        <w:rPr>
          <w:rFonts w:eastAsia="Calibri"/>
        </w:rPr>
        <w:t>inanční správou sice byly do IS SDSL předávány, nicméně ani rozsah evidovaných údajů nebyl vyhovující, což bylo způsobeno také nastavení</w:t>
      </w:r>
      <w:r w:rsidR="00C15D9B">
        <w:rPr>
          <w:rFonts w:eastAsia="Calibri"/>
        </w:rPr>
        <w:t>m</w:t>
      </w:r>
      <w:r w:rsidRPr="000B01A0">
        <w:rPr>
          <w:rFonts w:eastAsia="Calibri"/>
        </w:rPr>
        <w:t xml:space="preserve"> tohoto informačního systému. Současně nebyly žádným způs</w:t>
      </w:r>
      <w:r w:rsidR="00014CAE">
        <w:rPr>
          <w:rFonts w:eastAsia="Calibri"/>
        </w:rPr>
        <w:t>obem evidovány informace o </w:t>
      </w:r>
      <w:r w:rsidRPr="000B01A0">
        <w:rPr>
          <w:rFonts w:eastAsia="Calibri"/>
        </w:rPr>
        <w:t>dozorové činnosti obcí.</w:t>
      </w:r>
    </w:p>
    <w:p w14:paraId="60A564D5" w14:textId="6C059D88" w:rsidR="000B15C0" w:rsidRPr="00D57731" w:rsidRDefault="000B15C0" w:rsidP="00474584">
      <w:pPr>
        <w:pStyle w:val="Nadpis4"/>
      </w:pPr>
      <w:bookmarkStart w:id="50" w:name="_Toc72999547"/>
      <w:r w:rsidRPr="00D57731">
        <w:t>Daň</w:t>
      </w:r>
      <w:r>
        <w:t xml:space="preserve"> z hazardních her</w:t>
      </w:r>
      <w:r w:rsidR="000B58A2">
        <w:t>, resp. odvody z loterií a jiných podobných her</w:t>
      </w:r>
      <w:bookmarkEnd w:id="50"/>
      <w:r w:rsidR="000B58A2">
        <w:t xml:space="preserve">  </w:t>
      </w:r>
    </w:p>
    <w:p w14:paraId="441A2522" w14:textId="6107ECE2" w:rsidR="000B15C0" w:rsidRPr="00D57731" w:rsidRDefault="000B15C0" w:rsidP="00C334E0">
      <w:r>
        <w:t>P</w:t>
      </w:r>
      <w:r w:rsidRPr="00D57731">
        <w:t xml:space="preserve">rovozovatelům </w:t>
      </w:r>
      <w:r>
        <w:t xml:space="preserve">nebyla do roku 2017 </w:t>
      </w:r>
      <w:r w:rsidRPr="00D57731">
        <w:t xml:space="preserve">stanovena povinnost odvádět daně z provozování loterií a jiných podobných her. Provozovatelé měli </w:t>
      </w:r>
      <w:r>
        <w:t>do roku</w:t>
      </w:r>
      <w:r w:rsidR="001C7F8C">
        <w:t> </w:t>
      </w:r>
      <w:r>
        <w:t>2012</w:t>
      </w:r>
      <w:r w:rsidR="001C7F8C">
        <w:t> </w:t>
      </w:r>
      <w:r>
        <w:t xml:space="preserve"> </w:t>
      </w:r>
      <w:r w:rsidRPr="00D57731">
        <w:t xml:space="preserve">povinnost použít část výtěžku na sociální, zdravotní, sportovní, ekologický, kulturní nebo jinak veřejně prospěšný účel. </w:t>
      </w:r>
      <w:r w:rsidR="00C15D9B">
        <w:t>Výše byla stanovena procentem z výtěžku tak, že se jednalo nejméně o 6</w:t>
      </w:r>
      <w:r w:rsidR="00C15D9B" w:rsidRPr="00D57731">
        <w:t xml:space="preserve"> až 20 % z rozdílu, o</w:t>
      </w:r>
      <w:r w:rsidR="00C15D9B">
        <w:t> </w:t>
      </w:r>
      <w:r w:rsidR="00C15D9B" w:rsidRPr="00D57731">
        <w:t xml:space="preserve">který </w:t>
      </w:r>
      <w:r w:rsidR="00C15D9B">
        <w:t>příjem provozovatele</w:t>
      </w:r>
      <w:r w:rsidR="00C15D9B" w:rsidRPr="00D57731">
        <w:t xml:space="preserve"> </w:t>
      </w:r>
      <w:r w:rsidR="00C15D9B">
        <w:t>(</w:t>
      </w:r>
      <w:r w:rsidR="00C15D9B" w:rsidRPr="00D57731">
        <w:t>tvořený všemi vsazenými částkami ze všech jím provozovaných her podle §</w:t>
      </w:r>
      <w:r w:rsidR="001C7F8C">
        <w:t> </w:t>
      </w:r>
      <w:r w:rsidR="00C15D9B" w:rsidRPr="00D57731">
        <w:t>2</w:t>
      </w:r>
      <w:r w:rsidR="001C7F8C">
        <w:t> </w:t>
      </w:r>
      <w:r w:rsidR="00C15D9B" w:rsidRPr="00D57731">
        <w:t>a</w:t>
      </w:r>
      <w:r w:rsidR="001C7F8C">
        <w:t> </w:t>
      </w:r>
      <w:r w:rsidR="00C15D9B" w:rsidRPr="00D57731">
        <w:t>§</w:t>
      </w:r>
      <w:r w:rsidR="001C7F8C">
        <w:t> </w:t>
      </w:r>
      <w:r w:rsidR="00C15D9B" w:rsidRPr="00D57731">
        <w:t>50</w:t>
      </w:r>
      <w:r w:rsidR="001C7F8C">
        <w:t> </w:t>
      </w:r>
      <w:r w:rsidR="00C15D9B" w:rsidRPr="00D57731">
        <w:t>odst.</w:t>
      </w:r>
      <w:r w:rsidR="001C7F8C">
        <w:t> </w:t>
      </w:r>
      <w:r w:rsidR="00C15D9B">
        <w:t>3 zákona o loteriích, které podléhaly vyúčtování v účetním období) převýšil</w:t>
      </w:r>
      <w:r w:rsidR="00C15D9B" w:rsidRPr="00D57731">
        <w:t xml:space="preserve"> výhry vyplacené sázejícím, správní poplatky, místní poplatky a náklady státního dozoru</w:t>
      </w:r>
      <w:r w:rsidR="00C15D9B">
        <w:t xml:space="preserve">. </w:t>
      </w:r>
      <w:r w:rsidRPr="00D57731">
        <w:t xml:space="preserve">Za vsazenou částku se </w:t>
      </w:r>
      <w:r>
        <w:t xml:space="preserve">v zásadě </w:t>
      </w:r>
      <w:r w:rsidRPr="00D57731">
        <w:t>považoval souhrn přijatých plnění provozovatele</w:t>
      </w:r>
      <w:r>
        <w:t>m, který tvořila</w:t>
      </w:r>
      <w:r w:rsidR="00266D88">
        <w:t xml:space="preserve"> S</w:t>
      </w:r>
      <w:r w:rsidRPr="00D57731">
        <w:t>ázka (vklad) a</w:t>
      </w:r>
      <w:r w:rsidR="00C15D9B">
        <w:t> </w:t>
      </w:r>
      <w:r w:rsidRPr="00D57731">
        <w:t>případný poplat</w:t>
      </w:r>
      <w:r w:rsidR="0077034D">
        <w:t>ek či jiné plnění související s </w:t>
      </w:r>
      <w:r w:rsidRPr="00D57731">
        <w:t xml:space="preserve">uskutečňovanou sázkou. </w:t>
      </w:r>
    </w:p>
    <w:p w14:paraId="3A0F5674" w14:textId="093D39E7" w:rsidR="000B15C0" w:rsidRPr="00D57731" w:rsidRDefault="000B15C0" w:rsidP="00C334E0">
      <w:r>
        <w:t>Zákon o loteriích od roku 2012 upravoval</w:t>
      </w:r>
      <w:r w:rsidRPr="00D57731">
        <w:t xml:space="preserve"> oblast </w:t>
      </w:r>
      <w:r w:rsidRPr="009B7DBC">
        <w:rPr>
          <w:b/>
        </w:rPr>
        <w:t>odvodu z loterií</w:t>
      </w:r>
      <w:r w:rsidRPr="00D57731">
        <w:t xml:space="preserve"> a jiných </w:t>
      </w:r>
      <w:r>
        <w:t>podobných her. Sazby odvodu</w:t>
      </w:r>
      <w:r w:rsidRPr="00D57731">
        <w:t xml:space="preserve"> byly rozlišovány podle konkrétního druhu loterie nebo jiné podobné sázkové hry, přičemž všechny loterie a jiné podobné hry provozované </w:t>
      </w:r>
      <w:r w:rsidRPr="00D57731">
        <w:lastRenderedPageBreak/>
        <w:t xml:space="preserve">prostřednictvím technických zařízení byly zatíženy totožnou sazbou </w:t>
      </w:r>
      <w:r>
        <w:t>odvodu</w:t>
      </w:r>
      <w:r w:rsidRPr="00D57731">
        <w:t>. V těchto případech</w:t>
      </w:r>
      <w:r>
        <w:t>,</w:t>
      </w:r>
      <w:r w:rsidRPr="00D57731">
        <w:t xml:space="preserve"> nad rámec částky odvíjející se od procenta určeného z dílčího základu odvodu, který tvořila</w:t>
      </w:r>
      <w:r>
        <w:t xml:space="preserve"> částka, o </w:t>
      </w:r>
      <w:r w:rsidRPr="00D57731">
        <w:t>kterou úhrn vsazených částek převyšoval úhrn vyplacených výher, byl provozovatel dále povinen odvádět pevnou část dílčího základu odvodu</w:t>
      </w:r>
      <w:r>
        <w:t>,</w:t>
      </w:r>
      <w:r w:rsidRPr="00D57731">
        <w:t xml:space="preserve"> a to za každý den, ve kterém byl</w:t>
      </w:r>
      <w:r w:rsidR="00014CAE">
        <w:t xml:space="preserve"> každý z povolených přístrojů a </w:t>
      </w:r>
      <w:r w:rsidRPr="00D57731">
        <w:t>zařízení povolen. Odvodovým obdobím byl kalendářní rok.</w:t>
      </w:r>
      <w:r>
        <w:t xml:space="preserve"> Výše sazeb se od roku 2012 měnila, nicméně v</w:t>
      </w:r>
      <w:r w:rsidR="00C15D9B">
        <w:t> </w:t>
      </w:r>
      <w:r>
        <w:t>roce</w:t>
      </w:r>
      <w:r w:rsidR="00C15D9B">
        <w:t> </w:t>
      </w:r>
      <w:r>
        <w:t>2016 byla stanovena u v</w:t>
      </w:r>
      <w:r w:rsidR="008A16A9">
        <w:t>ýherních hracích přístrojů a </w:t>
      </w:r>
      <w:r>
        <w:t xml:space="preserve">jiných obdobných zařízení </w:t>
      </w:r>
      <w:r w:rsidR="00005302">
        <w:t>na</w:t>
      </w:r>
      <w:r>
        <w:t xml:space="preserve"> 28</w:t>
      </w:r>
      <w:r w:rsidR="004057FE">
        <w:t> </w:t>
      </w:r>
      <w:r>
        <w:t xml:space="preserve">% </w:t>
      </w:r>
      <w:r w:rsidRPr="008916B1">
        <w:t>pro poměrno</w:t>
      </w:r>
      <w:r w:rsidR="008A16A9">
        <w:t>u část dílčího základu odvodu z </w:t>
      </w:r>
      <w:r w:rsidRPr="008916B1">
        <w:t>výherních hracích přístrojů a jiný</w:t>
      </w:r>
      <w:r>
        <w:t>ch technických herních zařízení a</w:t>
      </w:r>
      <w:r w:rsidR="001C7F8C">
        <w:t> </w:t>
      </w:r>
      <w:r w:rsidR="00CC6AFD">
        <w:t>80</w:t>
      </w:r>
      <w:r w:rsidR="001C7F8C">
        <w:t> </w:t>
      </w:r>
      <w:r w:rsidR="00CC6AFD">
        <w:t>Kč pro </w:t>
      </w:r>
      <w:r w:rsidRPr="008916B1">
        <w:t>pevnou část dílčího základu odvod</w:t>
      </w:r>
      <w:r>
        <w:t>u za každé takové zařízení</w:t>
      </w:r>
      <w:r w:rsidR="00014CAE">
        <w:t>. V případě ostatních loterií a </w:t>
      </w:r>
      <w:r>
        <w:t>jiných podobných her činila 23</w:t>
      </w:r>
      <w:r w:rsidR="004057FE">
        <w:t> </w:t>
      </w:r>
      <w:r>
        <w:t xml:space="preserve">%. </w:t>
      </w:r>
    </w:p>
    <w:p w14:paraId="44C67EC5" w14:textId="019249A5" w:rsidR="000B15C0" w:rsidRPr="00E1370A" w:rsidRDefault="000B15C0" w:rsidP="00C334E0">
      <w:r w:rsidRPr="00D57731">
        <w:t>V případě dílčího odvodu z loterií a dílčího odvodu z</w:t>
      </w:r>
      <w:r>
        <w:t xml:space="preserve"> loterií a </w:t>
      </w:r>
      <w:r w:rsidRPr="00D57731">
        <w:t>kursových sázek byl provozovatel oprávněn uplatnit slevu na dílčím odvodu, a to do výše hodnoty peněžitých darů poskytnutých poplatníkem v odvodovém období Českému olympijskému výboru na účely tělovýchovné a sportovní, pokud poplatník jejich hodnotu a den předání zveřejn</w:t>
      </w:r>
      <w:r w:rsidR="004057FE">
        <w:t>il</w:t>
      </w:r>
      <w:r w:rsidRPr="00D57731">
        <w:t xml:space="preserve"> způsobem umožňující dálkový přístup. Dílčí odvod bylo možné</w:t>
      </w:r>
      <w:r>
        <w:t xml:space="preserve"> snížit nejvýše o 25 </w:t>
      </w:r>
      <w:r w:rsidRPr="00D57731">
        <w:t>% tohoto dílčího odvodu.</w:t>
      </w:r>
    </w:p>
    <w:p w14:paraId="2CA32D5C" w14:textId="50775D6F" w:rsidR="000B58A2" w:rsidRPr="00367E3E" w:rsidRDefault="007D6A29" w:rsidP="00610772">
      <w:pPr>
        <w:pStyle w:val="Nadpis3"/>
      </w:pPr>
      <w:bookmarkStart w:id="51" w:name="_Toc72999548"/>
      <w:bookmarkStart w:id="52" w:name="_Toc73613632"/>
      <w:r w:rsidRPr="00367E3E">
        <w:t>Obecný pop</w:t>
      </w:r>
      <w:r w:rsidR="00EC45AE">
        <w:t xml:space="preserve">is regulace obsažené v </w:t>
      </w:r>
      <w:r w:rsidR="00610772" w:rsidRPr="00367E3E">
        <w:t>zákoně o </w:t>
      </w:r>
      <w:r w:rsidRPr="00367E3E">
        <w:t>hazardních hrách</w:t>
      </w:r>
      <w:bookmarkEnd w:id="51"/>
      <w:bookmarkEnd w:id="52"/>
      <w:r w:rsidR="00066D81" w:rsidRPr="00367E3E">
        <w:t xml:space="preserve"> </w:t>
      </w:r>
    </w:p>
    <w:p w14:paraId="48EDE339" w14:textId="1F465C76" w:rsidR="00367E3E" w:rsidRDefault="00371C23" w:rsidP="00C334E0">
      <w:r>
        <w:t>Zákon o hazardních hrách nahrazuje zastaralou právní úpravu obsaženou v zákoně o loteriích</w:t>
      </w:r>
      <w:r w:rsidR="004057FE" w:rsidRPr="004057FE">
        <w:t xml:space="preserve"> </w:t>
      </w:r>
      <w:r w:rsidR="004057FE">
        <w:t xml:space="preserve">a </w:t>
      </w:r>
      <w:r w:rsidR="00867D44">
        <w:t>komplexně upravuje provozování</w:t>
      </w:r>
      <w:r w:rsidR="004057FE">
        <w:t xml:space="preserve"> hazardních her</w:t>
      </w:r>
      <w:r>
        <w:t>. Právní úprava</w:t>
      </w:r>
      <w:r w:rsidR="004057FE">
        <w:t xml:space="preserve"> hazardního práva</w:t>
      </w:r>
      <w:r>
        <w:t xml:space="preserve"> se skládá ze zákona o hazardních hrách, z</w:t>
      </w:r>
      <w:r w:rsidR="0077034D">
        <w:t>ákona o dani z </w:t>
      </w:r>
      <w:r w:rsidR="00367E3E">
        <w:t>hazardních her a </w:t>
      </w:r>
      <w:r>
        <w:t xml:space="preserve">podzákonných předpisů, </w:t>
      </w:r>
      <w:r w:rsidR="005479DF">
        <w:t xml:space="preserve">kterými jsou </w:t>
      </w:r>
      <w:r>
        <w:t>vyhláška o náležitostech výstupních dokumentů, tech</w:t>
      </w:r>
      <w:r w:rsidR="005479DF">
        <w:t>nická vyhláška a reportingová vyhláška</w:t>
      </w:r>
      <w:r w:rsidR="00367E3E">
        <w:t>.</w:t>
      </w:r>
    </w:p>
    <w:p w14:paraId="13A4458D" w14:textId="77777777" w:rsidR="00371C23" w:rsidRDefault="00371C23" w:rsidP="00367E3E">
      <w:pPr>
        <w:pStyle w:val="Nadpis4"/>
      </w:pPr>
      <w:bookmarkStart w:id="53" w:name="_Toc72999549"/>
      <w:r>
        <w:t>Stanovení základních principů provozování hazardních her</w:t>
      </w:r>
      <w:bookmarkEnd w:id="53"/>
    </w:p>
    <w:p w14:paraId="200CE194" w14:textId="7F2263B6" w:rsidR="00371C23" w:rsidRDefault="00371C23" w:rsidP="00C334E0">
      <w:r>
        <w:t xml:space="preserve">Obecně lze říci, že nová právní úprava přinesla zcela </w:t>
      </w:r>
      <w:r w:rsidRPr="009B7DBC">
        <w:rPr>
          <w:b/>
        </w:rPr>
        <w:t>novou koncepci v oblasti provozování hazardních her,</w:t>
      </w:r>
      <w:r>
        <w:t xml:space="preserve"> počínaje rozdělením hazardních her do jednotlivých druhů, přes možnost provozovat hazardní hry </w:t>
      </w:r>
      <w:r w:rsidR="00014CAE">
        <w:t>prostřednictvím sítě internet a </w:t>
      </w:r>
      <w:r>
        <w:t>zavedení dvojinstančního procesu povolování provozování</w:t>
      </w:r>
      <w:r w:rsidR="00367E3E">
        <w:t xml:space="preserve"> hazardních her, až po úpravu v </w:t>
      </w:r>
      <w:r>
        <w:t xml:space="preserve">oblasti dozoru nad provozováním hazardních her, kdy došlo jak ke změně dozorového orgánu z Finanční správy na Celní správu, tak i </w:t>
      </w:r>
      <w:r w:rsidR="001E76E3">
        <w:t xml:space="preserve">ke změně </w:t>
      </w:r>
      <w:r>
        <w:t xml:space="preserve">oprávnění </w:t>
      </w:r>
      <w:r w:rsidR="00C46FF8">
        <w:t xml:space="preserve">dozorujících </w:t>
      </w:r>
      <w:r>
        <w:t>orgánů, např. vstup do prostorů, kde jsou hazardní hry provozovány, i</w:t>
      </w:r>
      <w:r w:rsidR="001C7F8C">
        <w:t> </w:t>
      </w:r>
      <w:r>
        <w:t>za pomoci síly, nebo možnost zadržení věci. Zásadní postavení mají opatření zodpovědného hraní, která se skládají z jednotlivých institutů jak zákonem sta</w:t>
      </w:r>
      <w:r w:rsidR="007E3008">
        <w:t>novených, tak i dobrovolných a R</w:t>
      </w:r>
      <w:r>
        <w:t>ejstřík vyloučených osob.</w:t>
      </w:r>
    </w:p>
    <w:p w14:paraId="2936BCD0" w14:textId="65582B43" w:rsidR="00371C23" w:rsidRDefault="00371C23" w:rsidP="00C334E0">
      <w:r>
        <w:t>Struktura zákona o hazardních hrách odpovídá požadavkům na tvorbu právních předpisů</w:t>
      </w:r>
      <w:r w:rsidR="001E76E3">
        <w:t>.</w:t>
      </w:r>
      <w:r>
        <w:t xml:space="preserve"> </w:t>
      </w:r>
      <w:r w:rsidR="001E76E3">
        <w:t>Ú</w:t>
      </w:r>
      <w:r>
        <w:t>vodní část zákona obsahuje definice a upravuje obecné otázky týkající se provozování všech hazardních her. Mimo jiné § 7</w:t>
      </w:r>
      <w:r w:rsidR="001E76E3">
        <w:t xml:space="preserve"> zákona o</w:t>
      </w:r>
      <w:r w:rsidR="00CC6AFD">
        <w:t> </w:t>
      </w:r>
      <w:r w:rsidR="001E76E3">
        <w:t>hazardních hrách</w:t>
      </w:r>
      <w:r>
        <w:t xml:space="preserve"> uvádí základní zákonná omezení související s provozováním hazardních her. Kromě ochrany osob mladších 1</w:t>
      </w:r>
      <w:r w:rsidR="00CC6AFD">
        <w:t>8 let tato omezení míří dále na </w:t>
      </w:r>
      <w:r>
        <w:t>zajištění transparentnosti provozování hazardní hry (například mohou být provozovány pouze takové hazardní hry, které zaručují všem účastníkům hazardní hry rovné podm</w:t>
      </w:r>
      <w:r w:rsidR="0077034D">
        <w:t>ínky a </w:t>
      </w:r>
      <w:r w:rsidR="00077666">
        <w:t>rovnou možnost výhry) a  </w:t>
      </w:r>
      <w:r>
        <w:t xml:space="preserve">zajištění souladu s obecnými morálními hodnotami (není možné provozovat hazardní hru, která odporuje dobrým mravům nebo veřejnému pořádku). Významnou část </w:t>
      </w:r>
      <w:r w:rsidR="007F6299">
        <w:t>opatření</w:t>
      </w:r>
      <w:r>
        <w:t xml:space="preserve"> tvoří také omezení cílící na zodpovědné chování účastníků hazardních her, kdy zákon zakazuje poskytovat účastníkovi </w:t>
      </w:r>
      <w:r w:rsidR="00077666">
        <w:t xml:space="preserve">hazardní hry jakoukoli výhodu </w:t>
      </w:r>
      <w:r w:rsidR="00077666">
        <w:lastRenderedPageBreak/>
        <w:t>v </w:t>
      </w:r>
      <w:r>
        <w:t>podobě potravin, nápojů, tabákových výrobků nebo povzbuzujících látek a dále zakazuje přijímat nepeněžní vklady nebo sázky.</w:t>
      </w:r>
    </w:p>
    <w:p w14:paraId="6698958A" w14:textId="418AB18B" w:rsidR="00371C23" w:rsidRDefault="00371C23" w:rsidP="00C334E0">
      <w:r>
        <w:t>Koncepce zákon</w:t>
      </w:r>
      <w:r w:rsidR="00077666">
        <w:t>a</w:t>
      </w:r>
      <w:r>
        <w:t xml:space="preserve"> o hazardních hrách je postavena na </w:t>
      </w:r>
      <w:r w:rsidRPr="009B7DBC">
        <w:rPr>
          <w:b/>
        </w:rPr>
        <w:t>rozdělení hazardních her podle druhů</w:t>
      </w:r>
      <w:r>
        <w:t xml:space="preserve">, a to na základě společných definičních znaků. V této souvislosti hraje významnou roli tzv. princip technické neutrality, na základě kterého se veškeré hazardní hry provozované prostřednictvím technického zařízení přímo obsluhovaného sázejícím považují za technickou hru. Skutečnost, že hazardní hry se dělí do samostatných druhů, reflektuje také systematika zákona o hazardních hrách, </w:t>
      </w:r>
      <w:r w:rsidR="001E76E3">
        <w:t xml:space="preserve">podle níž </w:t>
      </w:r>
      <w:r>
        <w:t>se právní předpis v návaznos</w:t>
      </w:r>
      <w:r w:rsidR="00005302">
        <w:t>ti na základní ustanovení, která</w:t>
      </w:r>
      <w:r>
        <w:t xml:space="preserve"> obsahují obecné podmínky provozování hazardních her</w:t>
      </w:r>
      <w:r w:rsidR="00CC6AFD">
        <w:t xml:space="preserve"> a relevantní definice, dělí na </w:t>
      </w:r>
      <w:r>
        <w:t xml:space="preserve">jednotlivé části, které se zaměřují na podmínky provozování konkrétních druhů hazardních her. Podmínky provozování jednotlivých druhů hazardních her reflektují </w:t>
      </w:r>
      <w:r w:rsidR="007F6299">
        <w:t xml:space="preserve">zejména </w:t>
      </w:r>
      <w:r>
        <w:t>rizikovost jednotlivých hazardních her.</w:t>
      </w:r>
    </w:p>
    <w:p w14:paraId="06ADAFDE" w14:textId="77777777" w:rsidR="00371C23" w:rsidRDefault="00371C23" w:rsidP="00C334E0">
      <w:r>
        <w:t xml:space="preserve">Za zcela zásadní je nutné považovat dvojí </w:t>
      </w:r>
      <w:r w:rsidRPr="009B7DBC">
        <w:rPr>
          <w:b/>
        </w:rPr>
        <w:t>otevření trhu hazardní her</w:t>
      </w:r>
      <w:r>
        <w:t>. V prvé řadě došlo k umožnění provozování hazardních her subjektům mimo území České republiky, a to za předpokladu, že mají sídlo v jiném členském státě Evropské unie nebo ve státě, který je smluvní stranou Dohody o Evropském hospodářském prostoru. K druhému otevření trhu došlo v souvislosti s umožněním provozování hazardních her prostřednictvím sítě internet, přičemž zákon o hazardních hrách umožnil takto provozovat jakýkoli druh hazardní hry, s výjimkou tomboly a turnaje malého rozsahu, u kterých to není z povahy hry možné.</w:t>
      </w:r>
    </w:p>
    <w:p w14:paraId="50409E3B" w14:textId="1AAAF205" w:rsidR="00371C23" w:rsidRDefault="00371C23" w:rsidP="00C334E0">
      <w:r>
        <w:t xml:space="preserve">Hazardní hra provozována prostřednictvím sítě internet je označována jako </w:t>
      </w:r>
      <w:r w:rsidR="00266D88">
        <w:t>I</w:t>
      </w:r>
      <w:r>
        <w:t xml:space="preserve">nternetová hra. Zákon </w:t>
      </w:r>
      <w:r w:rsidR="00077666">
        <w:t xml:space="preserve">o hazardních hrách </w:t>
      </w:r>
      <w:r>
        <w:t>však</w:t>
      </w:r>
      <w:r w:rsidR="00CC6AFD">
        <w:t xml:space="preserve"> nepovažuje internetovou hru za </w:t>
      </w:r>
      <w:r>
        <w:t>samos</w:t>
      </w:r>
      <w:r w:rsidR="00077666">
        <w:t>tatný druh hazardní hry, nýbrž za</w:t>
      </w:r>
      <w:r>
        <w:t xml:space="preserve"> způsob provozování, který má nicméně řadu specifik. Samotné provozování internetových her tak podléhá jak podmínkám provozování konkrétního druhu hazardní</w:t>
      </w:r>
      <w:r w:rsidR="00CC6AFD">
        <w:t xml:space="preserve"> hry, tak obecným podmínkám pro </w:t>
      </w:r>
      <w:r>
        <w:t xml:space="preserve">provozování internetové hry. </w:t>
      </w:r>
    </w:p>
    <w:p w14:paraId="5A031B51" w14:textId="77777777" w:rsidR="00371C23" w:rsidRDefault="00371C23" w:rsidP="00077666">
      <w:pPr>
        <w:pStyle w:val="Nadpis4"/>
      </w:pPr>
      <w:bookmarkStart w:id="54" w:name="_Toc72999550"/>
      <w:r>
        <w:t>Efektivní nástroje zodpovědného hraní</w:t>
      </w:r>
      <w:bookmarkEnd w:id="54"/>
    </w:p>
    <w:p w14:paraId="443BE31E" w14:textId="1D4DECA0" w:rsidR="00371C23" w:rsidRDefault="00371C23" w:rsidP="00C334E0">
      <w:r>
        <w:t xml:space="preserve">Zákon o hazardních hrách obsahuje </w:t>
      </w:r>
      <w:r w:rsidRPr="009B7DBC">
        <w:t xml:space="preserve">robustní právní úpravu týkající se zodpovědného hraní </w:t>
      </w:r>
      <w:r>
        <w:t xml:space="preserve">tak, aby byl dosažen vytyčený cíl, tedy zajištěna </w:t>
      </w:r>
      <w:r w:rsidRPr="009B7DBC">
        <w:rPr>
          <w:b/>
        </w:rPr>
        <w:t xml:space="preserve">ochrana účastníků hazardních her a jejich blízkých před negativními dopady účasti na hazardních hrách a snížení společenských nákladů </w:t>
      </w:r>
      <w:r w:rsidR="00014CAE" w:rsidRPr="009B7DBC">
        <w:rPr>
          <w:b/>
        </w:rPr>
        <w:t>spojených s hazardním hraním</w:t>
      </w:r>
      <w:r w:rsidR="00014CAE">
        <w:t>. Z </w:t>
      </w:r>
      <w:r>
        <w:t>výše uvedeného důvodu se právní úpravou prolíná řada institutů, které výslovně míří na zodpovědné hraní, popř.</w:t>
      </w:r>
      <w:r w:rsidR="001E76E3">
        <w:t> </w:t>
      </w:r>
      <w:r>
        <w:t xml:space="preserve">stanoví další podmínky, které </w:t>
      </w:r>
      <w:r w:rsidR="00CC6AFD">
        <w:t>mají na </w:t>
      </w:r>
      <w:r>
        <w:t>zodpovědné chování účastníků hazardních her vliv.</w:t>
      </w:r>
    </w:p>
    <w:p w14:paraId="60FD8461" w14:textId="358CB00B" w:rsidR="00272425" w:rsidRDefault="00371C23" w:rsidP="00C334E0">
      <w:r>
        <w:t>V prvé řadě zákon zavádí uživatelské konto, kter</w:t>
      </w:r>
      <w:r w:rsidR="00CC6AFD">
        <w:t>é je základním předpokladem pro </w:t>
      </w:r>
      <w:r>
        <w:t xml:space="preserve">využití většiny dalších institutů zodpovědného hraní. Provozovatel je povinen zřídit uživatelské konto u všech druhů hazardních her, u kterých mu to zákon ukládá. Zákon </w:t>
      </w:r>
      <w:r w:rsidR="00077666">
        <w:t xml:space="preserve">o hazardních hrách </w:t>
      </w:r>
      <w:r>
        <w:t xml:space="preserve">povinně nepožaduje zřízení </w:t>
      </w:r>
      <w:r w:rsidR="00077666">
        <w:t>uživatelského konta</w:t>
      </w:r>
      <w:r w:rsidR="007F6299">
        <w:t xml:space="preserve"> pouze </w:t>
      </w:r>
      <w:r w:rsidR="00077666">
        <w:t>u</w:t>
      </w:r>
      <w:r w:rsidR="007F6299">
        <w:t> </w:t>
      </w:r>
      <w:r>
        <w:t>loterie</w:t>
      </w:r>
      <w:r w:rsidR="00077666">
        <w:t>, totalizátorové hry, binga a živé hry</w:t>
      </w:r>
      <w:r>
        <w:t>, pokud jsou tyto hazardní hry provozo</w:t>
      </w:r>
      <w:r w:rsidR="00077666">
        <w:t>vány formou land</w:t>
      </w:r>
      <w:r w:rsidR="006466CE">
        <w:noBreakHyphen/>
      </w:r>
      <w:r w:rsidR="00077666">
        <w:t>based</w:t>
      </w:r>
      <w:r w:rsidR="00262235">
        <w:t xml:space="preserve">. </w:t>
      </w:r>
      <w:r w:rsidR="00077666">
        <w:t xml:space="preserve">S ohledem na </w:t>
      </w:r>
      <w:r w:rsidR="00272425">
        <w:t>specifika provozování se provedení registrace nepředpokládá ani u tomboly a turnaje malého rozsahu.</w:t>
      </w:r>
    </w:p>
    <w:p w14:paraId="4884D6EE" w14:textId="06BD088D" w:rsidR="00371C23" w:rsidRDefault="00371C23" w:rsidP="00C334E0">
      <w:r>
        <w:t>Při zřízení uživatelského konta je účastník hazardní hry provozovateli povinen poskytnout identifikační a kontaktní údaje, které musí provozovatel potvrdit. Způsob tohoto potvrzení zákon o hazardních hrách nekonkretizuje, aby nebránil případnému vývoji na trhu</w:t>
      </w:r>
      <w:r w:rsidR="006F5D23">
        <w:t>.</w:t>
      </w:r>
      <w:r>
        <w:t xml:space="preserve"> </w:t>
      </w:r>
      <w:r w:rsidR="006F5D23">
        <w:t>P</w:t>
      </w:r>
      <w:r>
        <w:t>rovozovatel tak může na základě vlastního uvážení zvolit meto</w:t>
      </w:r>
      <w:r w:rsidR="00272425">
        <w:t xml:space="preserve">du </w:t>
      </w:r>
      <w:r w:rsidR="00272425">
        <w:lastRenderedPageBreak/>
        <w:t>potvrzení poskytnutých údajů</w:t>
      </w:r>
      <w:r>
        <w:t xml:space="preserve">. Kromě výše uvedeného jsou provozovatelé povinni ověřit některé z poskytnutých údajů </w:t>
      </w:r>
      <w:r w:rsidR="00B33A00">
        <w:t>(totožnost</w:t>
      </w:r>
      <w:r w:rsidR="00212DD1">
        <w:t>, věk, potenciální zápis</w:t>
      </w:r>
      <w:r w:rsidR="00B33A00">
        <w:t xml:space="preserve"> v Rejstříku vyloučených osob) </w:t>
      </w:r>
      <w:r>
        <w:t>také dálkovým způsobem prostřednictvím Ministerstva financí. Uživatelské konto může mít osoba u jednoho provozovatele právě jedno.</w:t>
      </w:r>
    </w:p>
    <w:p w14:paraId="2B364AEB" w14:textId="4AFE5059" w:rsidR="00371C23" w:rsidRDefault="00371C23" w:rsidP="00C334E0">
      <w:r>
        <w:t>Instituty zodpovědného hraní lze rozdělit na omezení, která jsou zákonem pevně stanovena a omezují tak všechny účastníky hazardních her</w:t>
      </w:r>
      <w:r w:rsidR="00272425">
        <w:t>, a dále pak na omezení, která</w:t>
      </w:r>
      <w:r>
        <w:t xml:space="preserve"> umožňují konkrétnímu účastníku hazardní hry reagovat na svou individuální situaci</w:t>
      </w:r>
      <w:r w:rsidR="00B33A00">
        <w:t xml:space="preserve"> či preference</w:t>
      </w:r>
      <w:r>
        <w:t>. Míra využití všech institutů je přímo odvislá od hodnocení rizikovosti hazardní hry.</w:t>
      </w:r>
    </w:p>
    <w:p w14:paraId="5CE4E6C5" w14:textId="39DEA5EE" w:rsidR="00371C23" w:rsidRDefault="00371C23" w:rsidP="00C334E0">
      <w:r>
        <w:t xml:space="preserve">V první skupině </w:t>
      </w:r>
      <w:r w:rsidRPr="009B7DBC">
        <w:rPr>
          <w:b/>
        </w:rPr>
        <w:t>opatření zodpovědného hraní</w:t>
      </w:r>
      <w:r>
        <w:t>, tedy pevně stanovených omezení, se nachází zejména omezení týkající se účasti osob ml</w:t>
      </w:r>
      <w:r w:rsidR="00272425">
        <w:t>adších 18 let na hazardní hře a </w:t>
      </w:r>
      <w:r>
        <w:t>omezení prostorů, ve kterých se mohou hazardní hry provozovat. V případě těchto prostorů se zákon o hazardních hrách zaměřuje z</w:t>
      </w:r>
      <w:r w:rsidR="00272425">
        <w:t>ejména na omezení provozování v </w:t>
      </w:r>
      <w:r>
        <w:t>budovách, ve kterých dochází k většímu výskytu zrani</w:t>
      </w:r>
      <w:r w:rsidR="00272425">
        <w:t>telných osob, ať již se jedná o </w:t>
      </w:r>
      <w:r>
        <w:t>osoby mladší 18 let nebo osoby ve složité zdravotní nebo sociální situaci. Pevně stanoveným omezením jsou dále omezení stanovená pro technickou hru, která je hodnocena jako nejvíce riziková hazardní hra, a to jak vzhledem ke strukturním charakteristikám, tak i prostředí, ve kterém k provozování dochází. Kromě maximálních limitů sázek, výher a hodinové prohry zákon o hazardních hrách zavádí povinnosti přerušit účast na technické hře po uplynutí 120 minut na</w:t>
      </w:r>
      <w:r w:rsidR="006E491B">
        <w:t xml:space="preserve"> dobu nejméně 15 </w:t>
      </w:r>
      <w:r>
        <w:t>minut, během které nesmí být účastníkovi hazardní hry umožněna účast na žádné technické hře.</w:t>
      </w:r>
    </w:p>
    <w:p w14:paraId="547605C2" w14:textId="77777777" w:rsidR="00371C23" w:rsidRDefault="00371C23" w:rsidP="00C334E0">
      <w:r>
        <w:t xml:space="preserve">Druhou skupinou jsou potom </w:t>
      </w:r>
      <w:r w:rsidRPr="009B7DBC">
        <w:rPr>
          <w:b/>
        </w:rPr>
        <w:t>sebeomezující opatření</w:t>
      </w:r>
      <w:r>
        <w:t>, která jsou naopak institutem zodpovědného hraní, který umožňuje účastníkům hazardní hry reflektovat svou individuální situaci, ať již se týká tendencí k rizikovému chování, nebo finančních omezení. Zákon o hazardních hrách stanoví, u kterých druhů hazardních her je provozovatel povinen nabídnout účastníkovi hazardních her možnost nastavit si sebeomezující opatření a zároveň i definuje, vůči jaké aktivitě by toto sebeomezení mělo směřovat. Jedná se o výši sázky a čisté prohry za zvolené období a v případě, že to druh hazardní hry, resp. způsob jejího provozování umožňuje, potom dále také počet přihlášení do uživatelského konta za jeden kalendářní měsíc, dobu denního přihlášení na uživatelském kontu do jeho automatického odhlášení a dobu, po kterou účastníkovi hazardní hry nebude umožněno zúčastnit se hazardní hry u tohoto provozovatele po jeho odhlášení z uživatelského konta. Zákon o hazardních hrách umožňuje v průběhu času měnit nastavení sebeomezujících opatření, nicméně účinnost případných změn je odložena v čase tak, aby bylo omezeno rizikové chování účastníků hazardních her. Zmírní-li účastník hazardní hry své sebeomezující opatření, je provozovatel povinen provést změnu nejdříve s účinností od sedmého dne ode dne změny sebeomezujícího opatření účastníkem hazardní hry. Naopak zpřísní-li účastník hazardní hry své sebeomezující opatření, je provozovatel povinen provést změnu neprodleně, nejpozději však do 24 hodin od okamžiku změny sebeomezujícího opatření účastníkem hazardní hry.</w:t>
      </w:r>
    </w:p>
    <w:p w14:paraId="4EC7B66C" w14:textId="028083A2" w:rsidR="00371C23" w:rsidRDefault="00371C23" w:rsidP="00C334E0">
      <w:r>
        <w:t>Zákon o hazardních hrách přin</w:t>
      </w:r>
      <w:r w:rsidR="007E3008">
        <w:t xml:space="preserve">áší také zcela zásadní koncept </w:t>
      </w:r>
      <w:r w:rsidR="007E3008" w:rsidRPr="009B7DBC">
        <w:rPr>
          <w:b/>
        </w:rPr>
        <w:t>R</w:t>
      </w:r>
      <w:r w:rsidRPr="009B7DBC">
        <w:rPr>
          <w:b/>
        </w:rPr>
        <w:t>ejstříku vyloučených osob</w:t>
      </w:r>
      <w:r>
        <w:t>. Jedná se o neveřejný informační systém veřejné správy, jehož sp</w:t>
      </w:r>
      <w:r w:rsidR="006E491B">
        <w:t xml:space="preserve">rávcem je Ministerstvo financí. </w:t>
      </w:r>
      <w:r w:rsidR="007E3008">
        <w:t>R</w:t>
      </w:r>
      <w:r>
        <w:t xml:space="preserve">ejstřík vyloučených osob slouží k zamezení přístupu vyloučených fyzických osob k hazardním hrám a jeho cílem je ochrana ohrožených skupin osob před negativními následky z hraní hazardu. Chrání se tak </w:t>
      </w:r>
      <w:r>
        <w:lastRenderedPageBreak/>
        <w:t xml:space="preserve">nejen samotní </w:t>
      </w:r>
      <w:r w:rsidR="00727982">
        <w:t>účastníci hazardních her</w:t>
      </w:r>
      <w:r>
        <w:t>, ale také jejich rodiny a nejbližší okolí, které ča</w:t>
      </w:r>
      <w:r w:rsidR="00014CAE">
        <w:t>sto trpí negativními důsledky s </w:t>
      </w:r>
      <w:r>
        <w:t>tím spojenými.</w:t>
      </w:r>
    </w:p>
    <w:p w14:paraId="5EAE29FE" w14:textId="04A36C6A" w:rsidR="00371C23" w:rsidRDefault="00371C23" w:rsidP="00C334E0">
      <w:r>
        <w:t>Z hlediska rozdělení nástrojů zodpovědného hra</w:t>
      </w:r>
      <w:r w:rsidR="00272425">
        <w:t>ní z pohledu dobrovolnosti se v </w:t>
      </w:r>
      <w:r w:rsidR="007E3008">
        <w:t>případě R</w:t>
      </w:r>
      <w:r>
        <w:t>ejstříku vyloučených osob jedná o kombinaci dobrovolnosti a zákonem stanovených povinností. Je tomu tak z toho důvodu, že zákon o hazardních hrách předvídá m</w:t>
      </w:r>
      <w:r w:rsidR="007E3008">
        <w:t>ožnost zápisu fyzické osoby do R</w:t>
      </w:r>
      <w:r>
        <w:t>ejstříku vyloučených osob z moci úřední nebo na základě žádosti fyzi</w:t>
      </w:r>
      <w:r w:rsidR="007E3008">
        <w:t>cké osoby. Důsledkem zápisu do R</w:t>
      </w:r>
      <w:r>
        <w:t>ejstříku vyloučených osob je skutečnost, že pro</w:t>
      </w:r>
      <w:r w:rsidR="007E3008">
        <w:t xml:space="preserve">vozovatelé musí osobám </w:t>
      </w:r>
      <w:r w:rsidR="006F5D23">
        <w:t xml:space="preserve">zapsaným </w:t>
      </w:r>
      <w:r w:rsidR="007E3008">
        <w:t>v tomto R</w:t>
      </w:r>
      <w:r>
        <w:t>ejstříku</w:t>
      </w:r>
      <w:r w:rsidR="008F4F8D">
        <w:t xml:space="preserve"> vyloučených osob</w:t>
      </w:r>
      <w:r>
        <w:t xml:space="preserve"> znemožnit </w:t>
      </w:r>
      <w:r w:rsidR="00272425">
        <w:t>zřízení či používání uživatelského konta</w:t>
      </w:r>
      <w:r>
        <w:t xml:space="preserve"> a nad rámec toho i samotný vstup do herny či kasina.</w:t>
      </w:r>
    </w:p>
    <w:p w14:paraId="64FD30BC" w14:textId="1CC98567" w:rsidR="009B7DBC" w:rsidRDefault="007E3008" w:rsidP="008B5C18">
      <w:r w:rsidRPr="008A36CC">
        <w:rPr>
          <w:b/>
        </w:rPr>
        <w:t>Do R</w:t>
      </w:r>
      <w:r w:rsidR="008B5C18" w:rsidRPr="008A36CC">
        <w:rPr>
          <w:b/>
        </w:rPr>
        <w:t>ejstříku</w:t>
      </w:r>
      <w:r w:rsidR="008F4F8D">
        <w:rPr>
          <w:b/>
        </w:rPr>
        <w:t xml:space="preserve"> vyloučených osob</w:t>
      </w:r>
      <w:r w:rsidR="008B5C18" w:rsidRPr="008A36CC">
        <w:rPr>
          <w:b/>
        </w:rPr>
        <w:t xml:space="preserve"> jsou</w:t>
      </w:r>
      <w:r w:rsidR="008B5C18">
        <w:t xml:space="preserve"> </w:t>
      </w:r>
      <w:r w:rsidR="008B5C18" w:rsidRPr="008A36CC">
        <w:rPr>
          <w:b/>
        </w:rPr>
        <w:t>zapisovány osoby</w:t>
      </w:r>
      <w:r w:rsidR="008B5C18">
        <w:t>:</w:t>
      </w:r>
      <w:r w:rsidR="00371C23">
        <w:t xml:space="preserve"> </w:t>
      </w:r>
    </w:p>
    <w:p w14:paraId="196813C0" w14:textId="2235D831" w:rsidR="009B7DBC" w:rsidRPr="008B5C18" w:rsidRDefault="008B5C18" w:rsidP="004B09B3">
      <w:pPr>
        <w:pStyle w:val="Odstavecseseznamem"/>
        <w:numPr>
          <w:ilvl w:val="0"/>
          <w:numId w:val="28"/>
        </w:numPr>
        <w:jc w:val="both"/>
        <w:rPr>
          <w:rFonts w:ascii="Arial" w:hAnsi="Arial" w:cs="Arial"/>
          <w:sz w:val="24"/>
          <w:szCs w:val="24"/>
        </w:rPr>
      </w:pPr>
      <w:r>
        <w:rPr>
          <w:rFonts w:ascii="Arial" w:hAnsi="Arial" w:cs="Arial"/>
          <w:sz w:val="24"/>
          <w:szCs w:val="24"/>
        </w:rPr>
        <w:t xml:space="preserve">které </w:t>
      </w:r>
      <w:r w:rsidR="00371C23" w:rsidRPr="008B5C18">
        <w:rPr>
          <w:rFonts w:ascii="Arial" w:hAnsi="Arial" w:cs="Arial"/>
          <w:sz w:val="24"/>
          <w:szCs w:val="24"/>
        </w:rPr>
        <w:t>pobírají</w:t>
      </w:r>
      <w:r w:rsidR="00272425" w:rsidRPr="008B5C18">
        <w:rPr>
          <w:rFonts w:ascii="Arial" w:hAnsi="Arial" w:cs="Arial"/>
          <w:sz w:val="24"/>
          <w:szCs w:val="24"/>
        </w:rPr>
        <w:t xml:space="preserve"> dávky pomoci v hmotné nouzi, s </w:t>
      </w:r>
      <w:r w:rsidR="0077034D">
        <w:rPr>
          <w:rFonts w:ascii="Arial" w:hAnsi="Arial" w:cs="Arial"/>
          <w:sz w:val="24"/>
          <w:szCs w:val="24"/>
        </w:rPr>
        <w:t>výjimkou mimořádné </w:t>
      </w:r>
      <w:r w:rsidR="00371C23" w:rsidRPr="008B5C18">
        <w:rPr>
          <w:rFonts w:ascii="Arial" w:hAnsi="Arial" w:cs="Arial"/>
          <w:sz w:val="24"/>
          <w:szCs w:val="24"/>
        </w:rPr>
        <w:t>okamžité pomoci, podle zákona upravujícího pomoc v hmotné nouzi a podle zákona upravujícího životní a existenční mi</w:t>
      </w:r>
      <w:r w:rsidR="006E491B" w:rsidRPr="008B5C18">
        <w:rPr>
          <w:rFonts w:ascii="Arial" w:hAnsi="Arial" w:cs="Arial"/>
          <w:sz w:val="24"/>
          <w:szCs w:val="24"/>
        </w:rPr>
        <w:t xml:space="preserve">nimum, </w:t>
      </w:r>
    </w:p>
    <w:p w14:paraId="291FC9E5" w14:textId="5C027988" w:rsidR="008B5C18" w:rsidRPr="008B5C18" w:rsidRDefault="008B5C18" w:rsidP="004B09B3">
      <w:pPr>
        <w:pStyle w:val="Odstavecseseznamem"/>
        <w:numPr>
          <w:ilvl w:val="0"/>
          <w:numId w:val="28"/>
        </w:numPr>
        <w:jc w:val="both"/>
        <w:rPr>
          <w:rFonts w:ascii="Arial" w:hAnsi="Arial" w:cs="Arial"/>
          <w:sz w:val="24"/>
          <w:szCs w:val="24"/>
        </w:rPr>
      </w:pPr>
      <w:r>
        <w:rPr>
          <w:rFonts w:ascii="Arial" w:hAnsi="Arial" w:cs="Arial"/>
          <w:sz w:val="24"/>
          <w:szCs w:val="24"/>
        </w:rPr>
        <w:t>které j</w:t>
      </w:r>
      <w:r w:rsidR="006E491B" w:rsidRPr="008B5C18">
        <w:rPr>
          <w:rFonts w:ascii="Arial" w:hAnsi="Arial" w:cs="Arial"/>
          <w:sz w:val="24"/>
          <w:szCs w:val="24"/>
        </w:rPr>
        <w:t>sou starší 18 let a </w:t>
      </w:r>
      <w:r w:rsidR="00371C23" w:rsidRPr="008B5C18">
        <w:rPr>
          <w:rFonts w:ascii="Arial" w:hAnsi="Arial" w:cs="Arial"/>
          <w:sz w:val="24"/>
          <w:szCs w:val="24"/>
        </w:rPr>
        <w:t xml:space="preserve">jsou s osobou podle bodu i) společně posuzovány podle zákona upravujícího pomoc v hmotné nouzi a podle zákona upravujícího životní a existenční minimum, </w:t>
      </w:r>
    </w:p>
    <w:p w14:paraId="31996F5A" w14:textId="7B2E719E" w:rsidR="008B5C18" w:rsidRPr="008B5C18" w:rsidRDefault="00371C23" w:rsidP="004B09B3">
      <w:pPr>
        <w:pStyle w:val="Odstavecseseznamem"/>
        <w:numPr>
          <w:ilvl w:val="0"/>
          <w:numId w:val="28"/>
        </w:numPr>
        <w:jc w:val="both"/>
        <w:rPr>
          <w:rFonts w:ascii="Arial" w:hAnsi="Arial" w:cs="Arial"/>
          <w:sz w:val="24"/>
          <w:szCs w:val="24"/>
        </w:rPr>
      </w:pPr>
      <w:r w:rsidRPr="008B5C18">
        <w:rPr>
          <w:rFonts w:ascii="Arial" w:hAnsi="Arial" w:cs="Arial"/>
          <w:sz w:val="24"/>
          <w:szCs w:val="24"/>
        </w:rPr>
        <w:t>vůči kterým je pravomocně zjištěn úpadek pod</w:t>
      </w:r>
      <w:r w:rsidR="00212DD1" w:rsidRPr="008B5C18">
        <w:rPr>
          <w:rFonts w:ascii="Arial" w:hAnsi="Arial" w:cs="Arial"/>
          <w:sz w:val="24"/>
          <w:szCs w:val="24"/>
        </w:rPr>
        <w:t>le zákona upravujícího úpadek a </w:t>
      </w:r>
      <w:r w:rsidRPr="008B5C18">
        <w:rPr>
          <w:rFonts w:ascii="Arial" w:hAnsi="Arial" w:cs="Arial"/>
          <w:sz w:val="24"/>
          <w:szCs w:val="24"/>
        </w:rPr>
        <w:t xml:space="preserve">způsoby jeho řešení, </w:t>
      </w:r>
    </w:p>
    <w:p w14:paraId="616C91C8" w14:textId="29A42DAA" w:rsidR="008B5C18" w:rsidRPr="008B5C18" w:rsidRDefault="00371C23" w:rsidP="008B5C18">
      <w:pPr>
        <w:pStyle w:val="Odstavecseseznamem"/>
        <w:numPr>
          <w:ilvl w:val="0"/>
          <w:numId w:val="28"/>
        </w:numPr>
        <w:rPr>
          <w:rFonts w:ascii="Arial" w:hAnsi="Arial" w:cs="Arial"/>
          <w:sz w:val="24"/>
          <w:szCs w:val="24"/>
        </w:rPr>
      </w:pPr>
      <w:r w:rsidRPr="008B5C18">
        <w:rPr>
          <w:rFonts w:ascii="Arial" w:hAnsi="Arial" w:cs="Arial"/>
          <w:sz w:val="24"/>
          <w:szCs w:val="24"/>
        </w:rPr>
        <w:t xml:space="preserve">kterým bylo uloženo </w:t>
      </w:r>
      <w:r w:rsidR="00212DD1" w:rsidRPr="008B5C18">
        <w:rPr>
          <w:rFonts w:ascii="Arial" w:hAnsi="Arial" w:cs="Arial"/>
          <w:sz w:val="24"/>
          <w:szCs w:val="24"/>
        </w:rPr>
        <w:t>předběžné opatření zákazu her a </w:t>
      </w:r>
      <w:r w:rsidRPr="008B5C18">
        <w:rPr>
          <w:rFonts w:ascii="Arial" w:hAnsi="Arial" w:cs="Arial"/>
          <w:sz w:val="24"/>
          <w:szCs w:val="24"/>
        </w:rPr>
        <w:t xml:space="preserve">sázek podle zákona upravujícího trestní řízení, </w:t>
      </w:r>
    </w:p>
    <w:p w14:paraId="2CCB32C7" w14:textId="3756DE24" w:rsidR="008B5C18" w:rsidRPr="008B5C18" w:rsidRDefault="00371C23" w:rsidP="004B09B3">
      <w:pPr>
        <w:pStyle w:val="Odstavecseseznamem"/>
        <w:numPr>
          <w:ilvl w:val="0"/>
          <w:numId w:val="28"/>
        </w:numPr>
        <w:jc w:val="both"/>
        <w:rPr>
          <w:rFonts w:ascii="Arial" w:hAnsi="Arial" w:cs="Arial"/>
          <w:sz w:val="24"/>
          <w:szCs w:val="24"/>
        </w:rPr>
      </w:pPr>
      <w:r w:rsidRPr="008B5C18">
        <w:rPr>
          <w:rFonts w:ascii="Arial" w:hAnsi="Arial" w:cs="Arial"/>
          <w:sz w:val="24"/>
          <w:szCs w:val="24"/>
        </w:rPr>
        <w:t>kterým b</w:t>
      </w:r>
      <w:r w:rsidR="006E491B" w:rsidRPr="008B5C18">
        <w:rPr>
          <w:rFonts w:ascii="Arial" w:hAnsi="Arial" w:cs="Arial"/>
          <w:sz w:val="24"/>
          <w:szCs w:val="24"/>
        </w:rPr>
        <w:t>ylo uloženo přiměřené omezení a </w:t>
      </w:r>
      <w:r w:rsidRPr="008B5C18">
        <w:rPr>
          <w:rFonts w:ascii="Arial" w:hAnsi="Arial" w:cs="Arial"/>
          <w:sz w:val="24"/>
          <w:szCs w:val="24"/>
        </w:rPr>
        <w:t xml:space="preserve">přiměřená povinnost zdržet se hazardních her, hraní na hracích přístrojích a sázek nebo ochranné léčení spočívající v léčbě závislosti na hazardních hrách podle trestního zákoníku, nebo </w:t>
      </w:r>
    </w:p>
    <w:p w14:paraId="4CFEC2FB" w14:textId="43C83FFC" w:rsidR="008B5C18" w:rsidRPr="008B5C18" w:rsidRDefault="00371C23" w:rsidP="008B5C18">
      <w:pPr>
        <w:pStyle w:val="Odstavecseseznamem"/>
        <w:numPr>
          <w:ilvl w:val="0"/>
          <w:numId w:val="28"/>
        </w:numPr>
        <w:rPr>
          <w:rFonts w:ascii="Arial" w:hAnsi="Arial" w:cs="Arial"/>
          <w:sz w:val="24"/>
          <w:szCs w:val="24"/>
        </w:rPr>
      </w:pPr>
      <w:r w:rsidRPr="008B5C18">
        <w:rPr>
          <w:rFonts w:ascii="Arial" w:hAnsi="Arial" w:cs="Arial"/>
          <w:sz w:val="24"/>
          <w:szCs w:val="24"/>
        </w:rPr>
        <w:t xml:space="preserve">které o zápis samy požádají. </w:t>
      </w:r>
    </w:p>
    <w:p w14:paraId="5A8DF087" w14:textId="17468C9C" w:rsidR="00371C23" w:rsidRDefault="00371C23" w:rsidP="00C334E0">
      <w:r>
        <w:t>S úč</w:t>
      </w:r>
      <w:r w:rsidR="00CC6AFD">
        <w:t>inností od </w:t>
      </w:r>
      <w:r w:rsidR="00212DD1">
        <w:t>1. 7. </w:t>
      </w:r>
      <w:r w:rsidR="007E3008">
        <w:t>2022 budou do R</w:t>
      </w:r>
      <w:r>
        <w:t>ejstříku</w:t>
      </w:r>
      <w:r w:rsidR="008F4F8D">
        <w:t xml:space="preserve"> vyloučených osob</w:t>
      </w:r>
      <w:r>
        <w:t xml:space="preserve"> z</w:t>
      </w:r>
      <w:r w:rsidR="00272425">
        <w:t>apisovány rovněž osoby, které mají</w:t>
      </w:r>
      <w:r w:rsidR="00212DD1">
        <w:t xml:space="preserve"> k </w:t>
      </w:r>
      <w:r>
        <w:t>nezaopatřenému dítěti vyživovací povinnost, kterou neplní, a</w:t>
      </w:r>
      <w:r w:rsidR="004B09B3">
        <w:t> </w:t>
      </w:r>
      <w:r>
        <w:t>tomuto dítěti je přiznáno náhradní výživné pro nezaopatřené dítě podle zákona o</w:t>
      </w:r>
      <w:r w:rsidR="004B09B3">
        <w:t> </w:t>
      </w:r>
      <w:r>
        <w:t>náhradním výživném. Ministerstvo financí je povinno za</w:t>
      </w:r>
      <w:r w:rsidR="007E3008">
        <w:t>jistit provozovatelům k</w:t>
      </w:r>
      <w:r w:rsidR="004B09B3">
        <w:t> </w:t>
      </w:r>
      <w:r w:rsidR="007E3008">
        <w:t>tomuto R</w:t>
      </w:r>
      <w:r>
        <w:t xml:space="preserve">ejstříku </w:t>
      </w:r>
      <w:r w:rsidR="008F4F8D">
        <w:t xml:space="preserve">vyloučených osob </w:t>
      </w:r>
      <w:r>
        <w:t>nepřetržitý dálkový přís</w:t>
      </w:r>
      <w:r w:rsidR="00212DD1">
        <w:t>tup tak, aby mohli provozovatelé vedle ověření věku a totožnosti i</w:t>
      </w:r>
      <w:r>
        <w:t xml:space="preserve"> řádně ověřit, zda se</w:t>
      </w:r>
      <w:r w:rsidR="007E3008">
        <w:t xml:space="preserve"> daný účastník hazardní hry v</w:t>
      </w:r>
      <w:r w:rsidR="008F4F8D">
        <w:t> </w:t>
      </w:r>
      <w:r w:rsidR="007E3008">
        <w:t>Re</w:t>
      </w:r>
      <w:r w:rsidR="00CC6AFD">
        <w:t>jstříku</w:t>
      </w:r>
      <w:r w:rsidR="008F4F8D">
        <w:t xml:space="preserve"> vyloučených osob</w:t>
      </w:r>
      <w:r w:rsidR="00CC6AFD">
        <w:t xml:space="preserve"> nachází či </w:t>
      </w:r>
      <w:r>
        <w:t xml:space="preserve">nikoliv. </w:t>
      </w:r>
    </w:p>
    <w:p w14:paraId="12516388" w14:textId="6361D6A6" w:rsidR="00371C23" w:rsidRDefault="00371C23" w:rsidP="00C334E0">
      <w:r>
        <w:t xml:space="preserve">Zákon o hazardních hrách obsahuje dále ještě řadu institutů, které ačkoli se netýkají přímo omezení, popř. možnosti regulace účasti na hazardní hře, mají výrazný dopad na ochranu účastníků hazardních her, popř. třetích osob. Jedná se o </w:t>
      </w:r>
      <w:r w:rsidRPr="008A36CC">
        <w:rPr>
          <w:b/>
        </w:rPr>
        <w:t>informační povinnost</w:t>
      </w:r>
      <w:r>
        <w:t xml:space="preserve">, která je v zákoně detailně upravena v části týkající se herních prostorů, technické hry a dále pak internetové hry. Provozovatel je povinen informovat účastníka hazardní hry o </w:t>
      </w:r>
      <w:r w:rsidR="004655AF">
        <w:t>všech relevantních skutečnostech (např. ukazatel délky účasti na hazardní hře, celkový přehled čistých proher nebo varování o škodlivosti hazardní hry)</w:t>
      </w:r>
      <w:r>
        <w:t xml:space="preserve">, které mohou mít význam pro jeho rozhodnutí se hazardní hry účastnit, popř. s účastí pokračovat. </w:t>
      </w:r>
    </w:p>
    <w:p w14:paraId="57640EE1" w14:textId="54093EA3" w:rsidR="00371C23" w:rsidRDefault="00371C23" w:rsidP="00C334E0">
      <w:r>
        <w:t>Další oblastí, která má pozitivní dopad na chování účastníků hazardních her a jejich případné rizikové chování</w:t>
      </w:r>
      <w:r w:rsidR="00F52FA0">
        <w:t>,</w:t>
      </w:r>
      <w:r>
        <w:t xml:space="preserve"> je právní </w:t>
      </w:r>
      <w:r w:rsidRPr="008A36CC">
        <w:rPr>
          <w:b/>
        </w:rPr>
        <w:t>úprava týkající se herních prostorů</w:t>
      </w:r>
      <w:r>
        <w:t>. V první řadě je možné provozovat technickou hru, která je považována za nejvíce rizikovou, pouze v herních prostorech, kterými mohou být pouze herna a kasino. Oba tyto druhy herních prostorů podléh</w:t>
      </w:r>
      <w:r w:rsidR="00005302">
        <w:t>ají přísným podmínkám týkajícím</w:t>
      </w:r>
      <w:r>
        <w:t xml:space="preserve"> se vstupu do herního </w:t>
      </w:r>
      <w:r w:rsidR="00005302">
        <w:lastRenderedPageBreak/>
        <w:t>prostoru</w:t>
      </w:r>
      <w:r>
        <w:t xml:space="preserve"> a</w:t>
      </w:r>
      <w:r w:rsidR="00F52FA0">
        <w:t> </w:t>
      </w:r>
      <w:r w:rsidR="004655AF">
        <w:t>jeho monitorování</w:t>
      </w:r>
      <w:r>
        <w:t>. Liší se provozní doba obou herních prostorů</w:t>
      </w:r>
      <w:r w:rsidR="006F5D23">
        <w:t>.</w:t>
      </w:r>
      <w:r>
        <w:t xml:space="preserve"> </w:t>
      </w:r>
      <w:r w:rsidR="006F5D23">
        <w:t xml:space="preserve">Zákon </w:t>
      </w:r>
      <w:r>
        <w:t>zakazuje provoz herny v době od 3:00 do 10:00 hodin</w:t>
      </w:r>
      <w:r w:rsidR="006F5D23">
        <w:t>, oproti kasinu, kde takové opatření není</w:t>
      </w:r>
      <w:r>
        <w:t>.</w:t>
      </w:r>
    </w:p>
    <w:p w14:paraId="0B9BEF4C" w14:textId="77777777" w:rsidR="00D816CB" w:rsidRPr="00273B52" w:rsidRDefault="00D816CB" w:rsidP="00F52FA0">
      <w:pPr>
        <w:pStyle w:val="Nadpis4"/>
      </w:pPr>
      <w:bookmarkStart w:id="55" w:name="_Toc72999551"/>
      <w:r w:rsidRPr="00273B52">
        <w:t>Povolovací řízení</w:t>
      </w:r>
      <w:bookmarkEnd w:id="55"/>
    </w:p>
    <w:p w14:paraId="7837F88B" w14:textId="5D1B0E59" w:rsidR="00D816CB" w:rsidRDefault="00D816CB" w:rsidP="00C334E0">
      <w:r w:rsidRPr="008A36CC">
        <w:rPr>
          <w:b/>
        </w:rPr>
        <w:t>Základním povolovacím orgánem je Ministerstvo financí</w:t>
      </w:r>
      <w:r>
        <w:t xml:space="preserve">, které </w:t>
      </w:r>
      <w:r w:rsidR="00005302">
        <w:t>posuzuje</w:t>
      </w:r>
      <w:r>
        <w:t xml:space="preserve"> osobu provozovatele a hazardní hru, která má být provozována, včetně technického vybavení</w:t>
      </w:r>
      <w:r w:rsidR="00CD4076">
        <w:t>, a na základě tohoto hodnocení vydává základní povolení k provozování hazardních her.</w:t>
      </w:r>
      <w:r>
        <w:t xml:space="preserve"> Základní povolení je nutné pro provozování všech druhů hazardních her, s výjimkou tomboly a turnaje malého rozsahu, které jsou pouze ohlášeny obecnímu úřadu. V případě provozování technické hry</w:t>
      </w:r>
      <w:r w:rsidR="00F52FA0">
        <w:t>, binga</w:t>
      </w:r>
      <w:r w:rsidR="00CC6AFD">
        <w:t xml:space="preserve"> a živé hry formou land</w:t>
      </w:r>
      <w:r w:rsidR="00CC6AFD">
        <w:noBreakHyphen/>
      </w:r>
      <w:r>
        <w:t xml:space="preserve">based zákon o hazardních hrách zavádí dvouúrovňový povolovací systém, kdy provozovatelé těchto hazardních her jsou povinni kromě základního povolení disponovat také </w:t>
      </w:r>
      <w:r w:rsidRPr="008A36CC">
        <w:rPr>
          <w:b/>
        </w:rPr>
        <w:t>povolením k umístění herního prostoru, které vydává obec</w:t>
      </w:r>
      <w:r>
        <w:t xml:space="preserve">, na jejímž území má být hazardní hra provozována.  </w:t>
      </w:r>
    </w:p>
    <w:p w14:paraId="1646E6B5" w14:textId="088CFD57" w:rsidR="00D816CB" w:rsidRDefault="00D816CB" w:rsidP="00C334E0">
      <w:r>
        <w:t>Žadatel o vydání základního povolení musí v prvé řadě splňovat základní požadavky uvedené v § 6 zákona o hazardních hrách. Zákon o hazardních hrách nečiní rozdíl mezi subjekty se sídlem v České republice nebo se sídlem v jiném členském státě Evropské unie nebo ve státě, který je smluvní stranou Dohody o Evropském hospodářském prostoru. Všechny subjekty musí v rámci správního řízení prokázat, že splňují nároky kladené na transparentnost struktury a finanční zajištění. Kromě toho je dále vyžadováno, aby i relevantní fyzické osoby, které v rámci subjektu vykonávají významné činnosti, byly důvěryhodné a dokládají proto obdobně jako žadatel dokumenty prokazující bezúhonnost a bezdlužnost.</w:t>
      </w:r>
    </w:p>
    <w:p w14:paraId="390D6B1F" w14:textId="17CA965E" w:rsidR="00D816CB" w:rsidRDefault="00D816CB" w:rsidP="00C334E0">
      <w:r>
        <w:t>Jak je uvedeno výše, základní povo</w:t>
      </w:r>
      <w:r w:rsidR="00F52FA0">
        <w:t>lení vydává Ministerstvo financ</w:t>
      </w:r>
      <w:r w:rsidR="00CC6AFD">
        <w:t>í</w:t>
      </w:r>
      <w:r w:rsidR="004B09B3">
        <w:t>,</w:t>
      </w:r>
      <w:r w:rsidR="00CC6AFD">
        <w:t xml:space="preserve"> a to po </w:t>
      </w:r>
      <w:r>
        <w:t xml:space="preserve">posouzení všech relevantních skutečností, které kromě požadavků kladených na žadatele ve smyslu transparentnosti a finanční stability zahrnují také detailní posuzování hazardní hry a zařízení, prostřednictvím kterého má být hazardní hra provozována. Základní povolení je vydáváno na období </w:t>
      </w:r>
      <w:r w:rsidR="00F52FA0">
        <w:t xml:space="preserve">nejdéle </w:t>
      </w:r>
      <w:r>
        <w:t xml:space="preserve">6 let. </w:t>
      </w:r>
    </w:p>
    <w:p w14:paraId="52D35509" w14:textId="293FCA7E" w:rsidR="00D816CB" w:rsidRDefault="00D816CB" w:rsidP="00C334E0">
      <w:r>
        <w:t>Případné navazující správní řízení o vydání povolení k umístění herního prostoru se dále zaměřuje na skutečnosti související výlučně s prostorem, ve kterém mají být hazardní hry provozovány. Povolení k umístění herního prostoru se vydává na dobu trvání právních účinků základního povolení, nejdéle však na dobu 3 let.</w:t>
      </w:r>
    </w:p>
    <w:p w14:paraId="10720CC5" w14:textId="2633164A" w:rsidR="00D816CB" w:rsidRDefault="00D816CB" w:rsidP="00C334E0">
      <w:r>
        <w:t>Kromě předložení žádosti o vydání základního povolení, která splňuje veškeré náležitosti stanovené zákonem o hazardních hrách, je žadatel povinen p</w:t>
      </w:r>
      <w:r w:rsidRPr="001E1B88">
        <w:t xml:space="preserve">oskytnout </w:t>
      </w:r>
      <w:r w:rsidRPr="008A36CC">
        <w:rPr>
          <w:b/>
        </w:rPr>
        <w:t>kauci za každý druh hazardní hry</w:t>
      </w:r>
      <w:r w:rsidRPr="001E1B88">
        <w:t xml:space="preserve"> a za každý druh internetové hry</w:t>
      </w:r>
      <w:r>
        <w:t>. Kauci je možné složit dvojím způsobem, a to složením peněžních prostředků na zvláštní účet Ministerstva financí, nebo bankovní zárukou, kterou přijme Ministerstvo financí. Kauce je požadována za každý druh hazardní hry a za každý druh internetové hry a</w:t>
      </w:r>
      <w:r w:rsidR="00014CAE">
        <w:t> </w:t>
      </w:r>
      <w:r>
        <w:t>liší se ve své výši. V případě kursové sázky</w:t>
      </w:r>
      <w:r w:rsidR="00590069">
        <w:t>, totaliz</w:t>
      </w:r>
      <w:r w:rsidR="004B58F0">
        <w:t>á</w:t>
      </w:r>
      <w:r w:rsidR="00590069">
        <w:t>t</w:t>
      </w:r>
      <w:r w:rsidR="004B58F0">
        <w:t>o</w:t>
      </w:r>
      <w:r w:rsidR="00590069">
        <w:t xml:space="preserve">rové hry provozovaných </w:t>
      </w:r>
      <w:r w:rsidR="006F5D23">
        <w:t xml:space="preserve">formou </w:t>
      </w:r>
      <w:r w:rsidR="00590069">
        <w:t xml:space="preserve">land-based a také kursové sázky, totalizátorové </w:t>
      </w:r>
      <w:r w:rsidR="00266D88">
        <w:t>hry a binga provozovaných jako I</w:t>
      </w:r>
      <w:r w:rsidR="00590069">
        <w:t>nternetová hra činí kauce 30 </w:t>
      </w:r>
      <w:r w:rsidR="006F5D23">
        <w:t> mil.</w:t>
      </w:r>
      <w:r w:rsidR="00590069">
        <w:t xml:space="preserve"> Kč. N</w:t>
      </w:r>
      <w:r>
        <w:t xml:space="preserve">ejnižší kauce je nutná v případě provozování </w:t>
      </w:r>
      <w:r w:rsidRPr="00E97E7F">
        <w:t>kursových sázek na zvířecí dostihy a totalizátorových her na zvířecí dostihy</w:t>
      </w:r>
      <w:r w:rsidR="00F52FA0">
        <w:t>, a to ve výši 5</w:t>
      </w:r>
      <w:r w:rsidR="00590069">
        <w:t> </w:t>
      </w:r>
      <w:r w:rsidR="006F5D23">
        <w:t> mil.</w:t>
      </w:r>
      <w:r w:rsidR="00590069">
        <w:t xml:space="preserve"> Kč. Naopak nejvyšší</w:t>
      </w:r>
      <w:r>
        <w:t xml:space="preserve"> </w:t>
      </w:r>
      <w:r w:rsidR="00005302">
        <w:t xml:space="preserve">kauce </w:t>
      </w:r>
      <w:r>
        <w:t>ve výši 50 </w:t>
      </w:r>
      <w:r w:rsidR="006F5D23">
        <w:t> mil.</w:t>
      </w:r>
      <w:r>
        <w:t xml:space="preserve"> Kč je vyžadována v případě provozování loterie formou land-based</w:t>
      </w:r>
      <w:r w:rsidR="00590069">
        <w:t xml:space="preserve"> a loterie, </w:t>
      </w:r>
      <w:r w:rsidR="00014CAE">
        <w:t>technické a </w:t>
      </w:r>
      <w:r>
        <w:t xml:space="preserve">živé hry </w:t>
      </w:r>
      <w:r w:rsidR="00590069">
        <w:t xml:space="preserve">provozovaných jako </w:t>
      </w:r>
      <w:r w:rsidR="00266D88">
        <w:t>I</w:t>
      </w:r>
      <w:r w:rsidR="00590069">
        <w:t>nternetová hra</w:t>
      </w:r>
      <w:r>
        <w:t xml:space="preserve">. </w:t>
      </w:r>
      <w:r w:rsidR="00CD4076">
        <w:t>Částečně o</w:t>
      </w:r>
      <w:r>
        <w:t xml:space="preserve">dlišnému režimu podléhají hazardní hry, které je možné provozovat pouze v herních prostorech, a to živá </w:t>
      </w:r>
      <w:r w:rsidR="00014CAE">
        <w:t xml:space="preserve">hra, </w:t>
      </w:r>
      <w:r w:rsidR="00014CAE">
        <w:lastRenderedPageBreak/>
        <w:t>bingo a </w:t>
      </w:r>
      <w:r w:rsidR="00590069">
        <w:t>technická hra provozované</w:t>
      </w:r>
      <w:r>
        <w:t xml:space="preserve"> formou land-based. V těchto případech je výše kauce stanovena v závislosti na počtu herních prostorů, 1 000 000 Kč za každou hernu, nejméně však 10 </w:t>
      </w:r>
      <w:r w:rsidR="006F5D23">
        <w:t> mil.</w:t>
      </w:r>
      <w:r>
        <w:t xml:space="preserve"> Kč a nejvýše 50 </w:t>
      </w:r>
      <w:r w:rsidR="006F5D23">
        <w:t> mil.</w:t>
      </w:r>
      <w:r>
        <w:t xml:space="preserve"> Kč za všechny</w:t>
      </w:r>
      <w:r w:rsidR="00846EAB">
        <w:t xml:space="preserve"> herny jednoho provozovatele, a </w:t>
      </w:r>
      <w:r>
        <w:t xml:space="preserve">dále pak 10 </w:t>
      </w:r>
      <w:r w:rsidR="006F5D23">
        <w:t> mil.</w:t>
      </w:r>
      <w:r>
        <w:t xml:space="preserve"> Kč z</w:t>
      </w:r>
      <w:r w:rsidR="004C633C">
        <w:t>a každé kasino, nejméně však 20 </w:t>
      </w:r>
      <w:r w:rsidR="006F5D23">
        <w:t> mil.</w:t>
      </w:r>
      <w:r w:rsidR="003750F8">
        <w:t> </w:t>
      </w:r>
      <w:r w:rsidR="00CC6AFD">
        <w:t>Kč a </w:t>
      </w:r>
      <w:r w:rsidR="00846EAB">
        <w:t>nejvýše 50 </w:t>
      </w:r>
      <w:r w:rsidR="006F5D23">
        <w:t> mil.</w:t>
      </w:r>
      <w:r>
        <w:t xml:space="preserve"> Kč za všechna kasina jednoho provozovatele.</w:t>
      </w:r>
    </w:p>
    <w:p w14:paraId="2BC521A3" w14:textId="5AB8E720" w:rsidR="008D4CD9" w:rsidRPr="008D4CD9" w:rsidRDefault="008D4CD9" w:rsidP="00C334E0">
      <w:r w:rsidRPr="008D4CD9">
        <w:t xml:space="preserve">Zákon o hazardních hrách omezuje </w:t>
      </w:r>
      <w:r w:rsidRPr="008A36CC">
        <w:rPr>
          <w:b/>
        </w:rPr>
        <w:t>využití kauce</w:t>
      </w:r>
      <w:r w:rsidRPr="008D4CD9">
        <w:t>, a to jak co do okamžiku, kdy je možné z kauce uspokojit pohledávky, tak co do povahy pohledávky. Rozhodným okamžikem je pravomocné zrušení základního povolení</w:t>
      </w:r>
      <w:r w:rsidRPr="008D4CD9">
        <w:rPr>
          <w:rStyle w:val="upd"/>
        </w:rPr>
        <w:t xml:space="preserve">, popř. jeho pravomocná změna, která má vliv na určení výše kauce (tj. snížení počtu herních prostorů nebo zrušení povolení v části týkající se jednoho způsobu provozování), nebo jeho zánik. V tento okamžik se stávají </w:t>
      </w:r>
      <w:r w:rsidRPr="008D4CD9">
        <w:t>složené peněžní prostředky</w:t>
      </w:r>
      <w:r w:rsidRPr="008D4CD9">
        <w:rPr>
          <w:rStyle w:val="upd"/>
        </w:rPr>
        <w:t xml:space="preserve"> v příslušném rozsahu</w:t>
      </w:r>
      <w:r w:rsidRPr="008D4CD9">
        <w:t xml:space="preserve"> přeplatkem provozovatele a je možné jej použít na </w:t>
      </w:r>
      <w:r w:rsidRPr="007E1882">
        <w:rPr>
          <w:b/>
        </w:rPr>
        <w:t>úhradu daně</w:t>
      </w:r>
      <w:r w:rsidRPr="008D4CD9">
        <w:t xml:space="preserve"> z hazardních her a jejího příslušenství, </w:t>
      </w:r>
      <w:r w:rsidRPr="007E1882">
        <w:rPr>
          <w:b/>
        </w:rPr>
        <w:t>pokuty</w:t>
      </w:r>
      <w:r w:rsidRPr="008D4CD9">
        <w:t xml:space="preserve"> uložené za </w:t>
      </w:r>
      <w:r>
        <w:t>přestupek podle tohoto zákona a </w:t>
      </w:r>
      <w:r w:rsidRPr="007E1882">
        <w:rPr>
          <w:b/>
        </w:rPr>
        <w:t>nevyplacené výhry sázejícímu</w:t>
      </w:r>
      <w:r w:rsidRPr="008D4CD9">
        <w:t>, o které bylo příslušným orgánem veřejné moci pravomocně rozhodnuto, že má být vyplacena, a kt</w:t>
      </w:r>
      <w:r>
        <w:t>erá byla sázejícím přihlášena u </w:t>
      </w:r>
      <w:r w:rsidRPr="008D4CD9">
        <w:t>Ministerstva financí k uhrazení z kauce.</w:t>
      </w:r>
      <w:r>
        <w:t xml:space="preserve"> Obdobně použitelná je i kauce složení bankovní zárukou.</w:t>
      </w:r>
    </w:p>
    <w:p w14:paraId="4E2E7993" w14:textId="77777777" w:rsidR="00D816CB" w:rsidRDefault="00D816CB" w:rsidP="00C334E0">
      <w:r>
        <w:t>Zákon o hazardních hrách v případě hazardních her, které jsou považovány za méně rizikové, dále umožňuje provozovat hazardní hry i bez základního povolení. Jedná se o tombolu, u níž výše herní jistiny činí více než 100 000 Kč, a turnaj malého rozsahu. Hazardní hry se ohlašují obecnímu úřadu obce, na jejímž území má být hazardní hra provozována, a to nejméně 30 dní přede dnem předpokládaného zahájení provozování hazardní hry. Zákon o hazardních hrách nepředpokládá aktivní úkon obce v případě, že ohlašovaná hazardní hra splňuje obecné náležitosti, nicméně obecní úřad je oprávněn zakázat provozování ohlašované hazardní hry, nesplňuje-li podmínky stanovené zákonem o hazardních hrách. O případném zákazu však musí rozhodnout bezodkladně, nejpozději do 15 dnů ode dne ohlášení.</w:t>
      </w:r>
    </w:p>
    <w:p w14:paraId="67FACC47" w14:textId="3185977B" w:rsidR="00D816CB" w:rsidRDefault="00590069" w:rsidP="00590069">
      <w:pPr>
        <w:pStyle w:val="Nadpis4"/>
      </w:pPr>
      <w:bookmarkStart w:id="56" w:name="_Toc72999552"/>
      <w:r>
        <w:t>Odborné posuzování a osvědčování</w:t>
      </w:r>
      <w:bookmarkEnd w:id="56"/>
    </w:p>
    <w:p w14:paraId="3EF58E42" w14:textId="12DE2BDF" w:rsidR="00AA6B32" w:rsidRDefault="00D816CB" w:rsidP="00C334E0">
      <w:r>
        <w:t>Zákon o hazardních hrách upravuje činnost pověřených osob, které vykonávají činnost odborného posuzování a osvědčování technic</w:t>
      </w:r>
      <w:r w:rsidR="00590069">
        <w:t>kých parametrů hazardních her a </w:t>
      </w:r>
      <w:r>
        <w:t>zařízení, prostřednictvím kterých jsou hazardní hry provozovány</w:t>
      </w:r>
      <w:r w:rsidR="006748EB" w:rsidRPr="006748EB">
        <w:t xml:space="preserve"> </w:t>
      </w:r>
      <w:r w:rsidR="006748EB">
        <w:t>(dále jen „</w:t>
      </w:r>
      <w:r w:rsidR="006748EB" w:rsidRPr="00C76F32">
        <w:rPr>
          <w:b/>
        </w:rPr>
        <w:t>pověřená osoba</w:t>
      </w:r>
      <w:r w:rsidR="006748EB">
        <w:t>“)</w:t>
      </w:r>
      <w:r>
        <w:t xml:space="preserve">. K této činnosti jsou </w:t>
      </w:r>
      <w:r w:rsidRPr="00C76F32">
        <w:rPr>
          <w:b/>
        </w:rPr>
        <w:t>pověřeny Ministerstvem financí</w:t>
      </w:r>
      <w:r>
        <w:t>, a to nejdéle na dobu 5 let. V průběhu své činnosti mají povinnost oznamovat Ministerstvu financí relevant</w:t>
      </w:r>
      <w:r w:rsidR="00AA6B32">
        <w:t>ní změny a mají možnost žádat o </w:t>
      </w:r>
      <w:r>
        <w:t>změnu povolení</w:t>
      </w:r>
      <w:r w:rsidR="00E30B2C">
        <w:t>. Zároveň je nad jejich činností</w:t>
      </w:r>
      <w:r>
        <w:t xml:space="preserve"> vykonáván ze strany Ministerstva financí dozor a v případě, že jsou zjištěny nedostatky, může jim být uložena sankce za spáchání přestupku nebo jim být pověření zcela odeb</w:t>
      </w:r>
      <w:r w:rsidR="00AA6B32">
        <w:t>ráno.</w:t>
      </w:r>
    </w:p>
    <w:p w14:paraId="7111FE64" w14:textId="7D3DD471" w:rsidR="00D816CB" w:rsidRDefault="00D816CB" w:rsidP="00C334E0">
      <w:r>
        <w:t>Pověřené osoby při této činnosti postupují podle metodiky, která je posuzována v rámci správ</w:t>
      </w:r>
      <w:r w:rsidR="00AA6B32">
        <w:t xml:space="preserve">ního řízení o vydání pověření. </w:t>
      </w:r>
      <w:r>
        <w:t xml:space="preserve">Náplní </w:t>
      </w:r>
      <w:r w:rsidR="00AA6B32">
        <w:t>činnosti odborného posuzování a </w:t>
      </w:r>
      <w:r>
        <w:t>osvědčování je ověření, že hazardní hra nebo zařízení, prostřednictvím kterého má být hazardní hra provozována odpovídá technickým parametrům stanoveným v zákoně o hazardních hrách nebo podzákonných předpisech. V případě, že jsou technické parametry naplněny, vydává pověřená osoba kladné odborné posouzení, které je nutnou náležitostí žádosti o vydání základního povolení.</w:t>
      </w:r>
    </w:p>
    <w:p w14:paraId="5A592C47" w14:textId="6A1475DA" w:rsidR="00D816CB" w:rsidRDefault="00D816CB" w:rsidP="00C334E0">
      <w:r w:rsidRPr="00C76F32">
        <w:rPr>
          <w:b/>
        </w:rPr>
        <w:t>Odborné posouzení</w:t>
      </w:r>
      <w:r>
        <w:t xml:space="preserve"> je jedním z výstupních dokumentů, které pověřená osoba vydává. Dalším dokumentem je </w:t>
      </w:r>
      <w:r w:rsidRPr="00C76F32">
        <w:rPr>
          <w:b/>
        </w:rPr>
        <w:t>osvědčení</w:t>
      </w:r>
      <w:r w:rsidR="00014CAE" w:rsidRPr="00C76F32">
        <w:rPr>
          <w:b/>
        </w:rPr>
        <w:t xml:space="preserve"> o provozuschopnosti</w:t>
      </w:r>
      <w:r w:rsidR="00014CAE">
        <w:t xml:space="preserve"> a zpráva </w:t>
      </w:r>
      <w:r w:rsidR="00014CAE">
        <w:lastRenderedPageBreak/>
        <w:t>o </w:t>
      </w:r>
      <w:r>
        <w:t xml:space="preserve">provedení změn. Výstupní dokumenty mají pevně stanovené minimální obsahové náležitosti, a to v podzákonném předpisu. Kromě skutečnosti, že </w:t>
      </w:r>
      <w:r w:rsidR="00262235">
        <w:t>odborné posouzení a osvědčení o </w:t>
      </w:r>
      <w:r>
        <w:t>provozuschopnosti je povinně předkládanou přílohou žádosti o vydání základního povolení</w:t>
      </w:r>
      <w:r w:rsidR="00AA6B32">
        <w:t xml:space="preserve"> a v některých případech i o vydání povolení k umístění herního prostoru</w:t>
      </w:r>
      <w:r>
        <w:t>, jsou tyto dokumenty pro dozorové a pov</w:t>
      </w:r>
      <w:r w:rsidR="00CC6AFD">
        <w:t>olovací orgány dále umístěny do </w:t>
      </w:r>
      <w:r>
        <w:t>úložiště pověřené osoby.</w:t>
      </w:r>
    </w:p>
    <w:p w14:paraId="2A0473A4" w14:textId="23DFB3B8" w:rsidR="00D816CB" w:rsidRDefault="00D816CB" w:rsidP="00C334E0">
      <w:r>
        <w:t xml:space="preserve">Dále pověřená osoba vydává </w:t>
      </w:r>
      <w:r w:rsidRPr="00C76F32">
        <w:rPr>
          <w:b/>
        </w:rPr>
        <w:t>registrační známky</w:t>
      </w:r>
      <w:r>
        <w:t xml:space="preserve">, </w:t>
      </w:r>
      <w:r w:rsidR="00CC6AFD">
        <w:t>které musí naplnit požadavky na </w:t>
      </w:r>
      <w:r>
        <w:t>zabezpečení stanovené v pověření k </w:t>
      </w:r>
      <w:r w:rsidR="0077034D">
        <w:t>činnosti odborného posuzování a </w:t>
      </w:r>
      <w:r>
        <w:t>osvědčování. Jedná se o zabezpečení registračních z</w:t>
      </w:r>
      <w:r w:rsidR="00AA6B32">
        <w:t>námek formou využití minimálně čtyř ochranných</w:t>
      </w:r>
      <w:r>
        <w:t xml:space="preserve"> prvků, které jsou využívané na bankovkách a dále jsou neodstranitelné, resp. neodstranitelné bez poškození. Registrační známky jsou pro potřeby </w:t>
      </w:r>
      <w:r w:rsidR="00C46FF8">
        <w:t>dozorující</w:t>
      </w:r>
      <w:r>
        <w:t>ch orgánů umísťovány na koncová zařízení,</w:t>
      </w:r>
      <w:r w:rsidR="004926A8">
        <w:t xml:space="preserve"> popř. samostatně stojící RNG a </w:t>
      </w:r>
      <w:r>
        <w:t>servery, přičemž provozovatel umístěním</w:t>
      </w:r>
      <w:r w:rsidR="00AA6B32">
        <w:t xml:space="preserve"> registrační</w:t>
      </w:r>
      <w:r>
        <w:t xml:space="preserve"> známky deklaruje, že zařízení nebo jeho část odpovídá zařízení nebo jeho části ověřené v rámci odborného posouzení. </w:t>
      </w:r>
    </w:p>
    <w:p w14:paraId="07D517E0" w14:textId="755DFDFB" w:rsidR="00D816CB" w:rsidRDefault="00D816CB" w:rsidP="00C334E0">
      <w:r>
        <w:t>Odborné posouzení a osvědčení o provozuschopnosti jsou výstupní dokumenty, které popisují pro potřeby správního řízení hazardní hru nebo zařízení, prostřednictvím kterého jsou hazardní hry provozovány</w:t>
      </w:r>
      <w:r w:rsidR="00AA6B32">
        <w:t>,</w:t>
      </w:r>
      <w:r>
        <w:t xml:space="preserve"> a dále deklarují, že splňují veškeré technické parametry stanovené v právních předpisech. Da</w:t>
      </w:r>
      <w:r w:rsidR="00AA6B32">
        <w:t>lší výstupní dokument, zpráva o </w:t>
      </w:r>
      <w:r>
        <w:t>provedení změn je pak jakýmsi aud</w:t>
      </w:r>
      <w:r w:rsidR="00E30B2C">
        <w:t>item hazardní hry nebo zařízení</w:t>
      </w:r>
      <w:r>
        <w:t>, prostřednictvím kterého jsou hazardní h</w:t>
      </w:r>
      <w:r w:rsidR="00CC6AFD">
        <w:t>ry provozovány v tom smyslu, že </w:t>
      </w:r>
      <w:r>
        <w:t>v průběhu provozování nedošlo k zásahu do tě</w:t>
      </w:r>
      <w:r w:rsidR="00CC6AFD">
        <w:t>chto prvků a jejich nastavení i </w:t>
      </w:r>
      <w:r>
        <w:t>nadále odpovídá technickým parametrům stanovený</w:t>
      </w:r>
      <w:r w:rsidR="004926A8">
        <w:t>m v zákoně o hazardních hrách a </w:t>
      </w:r>
      <w:r>
        <w:t>ostatních podzákonných předpisech. Tento aud</w:t>
      </w:r>
      <w:r w:rsidR="00CC6AFD">
        <w:t>it je prováděn pravidelně po </w:t>
      </w:r>
      <w:r w:rsidR="004926A8">
        <w:t>12 </w:t>
      </w:r>
      <w:r>
        <w:t xml:space="preserve">měsících od vydání odborného posouzení. </w:t>
      </w:r>
    </w:p>
    <w:p w14:paraId="15018FD2" w14:textId="5993362C" w:rsidR="00D816CB" w:rsidRDefault="00D816CB" w:rsidP="00AA6B32">
      <w:pPr>
        <w:pStyle w:val="Nadpis4"/>
      </w:pPr>
      <w:bookmarkStart w:id="57" w:name="_Toc72999553"/>
      <w:r w:rsidRPr="00AB139F">
        <w:t>Dozor</w:t>
      </w:r>
      <w:r w:rsidR="00AA6B32">
        <w:t xml:space="preserve"> </w:t>
      </w:r>
      <w:r w:rsidR="00E30B2C">
        <w:t xml:space="preserve">nad </w:t>
      </w:r>
      <w:r w:rsidR="00AA6B32">
        <w:t>dodržováním zákona o hazardních hrách</w:t>
      </w:r>
      <w:bookmarkEnd w:id="57"/>
    </w:p>
    <w:p w14:paraId="77F71B8A" w14:textId="33C0B908" w:rsidR="00D816CB" w:rsidRDefault="00D816CB" w:rsidP="00C334E0">
      <w:r w:rsidRPr="00AB139F">
        <w:t xml:space="preserve">Podle zákona o hazardních hrách vykonává </w:t>
      </w:r>
      <w:r w:rsidRPr="00C76F32">
        <w:rPr>
          <w:b/>
        </w:rPr>
        <w:t>dozor nad provozování</w:t>
      </w:r>
      <w:r w:rsidR="00E30B2C" w:rsidRPr="00C76F32">
        <w:rPr>
          <w:b/>
        </w:rPr>
        <w:t>m</w:t>
      </w:r>
      <w:r w:rsidRPr="00C76F32">
        <w:rPr>
          <w:b/>
        </w:rPr>
        <w:t xml:space="preserve"> hazardních her Ministerstvo financí a celní úřady</w:t>
      </w:r>
      <w:r w:rsidRPr="00AB139F">
        <w:t>. V případě uk</w:t>
      </w:r>
      <w:r w:rsidR="00CC6AFD">
        <w:t xml:space="preserve">ládání </w:t>
      </w:r>
      <w:r w:rsidR="00CC6AFD" w:rsidRPr="00C76F32">
        <w:rPr>
          <w:b/>
        </w:rPr>
        <w:t>sankcí</w:t>
      </w:r>
      <w:r w:rsidR="00CC6AFD">
        <w:t xml:space="preserve"> provozovatelům za </w:t>
      </w:r>
      <w:r w:rsidRPr="00AB139F">
        <w:t xml:space="preserve">porušení zákona o hazardních hrách, podzákonných předpisů, podmínek řádného provozování uvedených v základním povolení nebo herního plánu jsou příslušné pouze </w:t>
      </w:r>
      <w:r w:rsidRPr="00C76F32">
        <w:rPr>
          <w:b/>
        </w:rPr>
        <w:t>celní úřady</w:t>
      </w:r>
      <w:r w:rsidRPr="00AB139F">
        <w:t xml:space="preserve">. Naopak v případě ukládání </w:t>
      </w:r>
      <w:r>
        <w:t xml:space="preserve">sankcí </w:t>
      </w:r>
      <w:r>
        <w:rPr>
          <w:rStyle w:val="upd"/>
        </w:rPr>
        <w:t>pověřeným osobám, poskytovatelům připojení k internetu na území České republiky a poskytovatelům platebních služeb</w:t>
      </w:r>
      <w:r>
        <w:t>,</w:t>
      </w:r>
      <w:r w:rsidRPr="00AB139F">
        <w:t xml:space="preserve"> </w:t>
      </w:r>
      <w:r>
        <w:t>projednává přestupky Ministerstvo financí.</w:t>
      </w:r>
    </w:p>
    <w:p w14:paraId="5DE87C6F" w14:textId="61565BAE" w:rsidR="00D816CB" w:rsidRDefault="00AA6B32" w:rsidP="00C334E0">
      <w:r>
        <w:t>Dozorové orgány</w:t>
      </w:r>
      <w:r w:rsidR="00D816CB">
        <w:t xml:space="preserve"> postupují podle kontrolního řádu, nicméně zákon o hazardních hrách jim přiznává řadu dalších, speciálních, </w:t>
      </w:r>
      <w:r w:rsidR="00D816CB" w:rsidRPr="00C76F32">
        <w:rPr>
          <w:b/>
        </w:rPr>
        <w:t>oprávnění</w:t>
      </w:r>
      <w:r w:rsidR="00D816CB">
        <w:t>. Mezi nejzásadnější patří právo vstupu do prostorů, do kterých jsou</w:t>
      </w:r>
      <w:r w:rsidR="00D816CB" w:rsidRPr="005D072E">
        <w:t xml:space="preserve"> v souvislosti s výkonem </w:t>
      </w:r>
      <w:r w:rsidR="00D816CB">
        <w:t>dozoru oprávněni</w:t>
      </w:r>
      <w:r w:rsidR="00D816CB" w:rsidRPr="005D072E">
        <w:t xml:space="preserve"> vstupovat podle kontrolního řádu,</w:t>
      </w:r>
      <w:r w:rsidR="00D816CB">
        <w:t xml:space="preserve"> i za použití síly a zadržení věci, je-li zde důvodné podezření, že v souvislosti s jejím užíváním dochází k porušování tohoto zákona.</w:t>
      </w:r>
    </w:p>
    <w:p w14:paraId="3AFA9F8B" w14:textId="1DC420E6" w:rsidR="00D816CB" w:rsidRDefault="00D816CB" w:rsidP="00C334E0">
      <w:r>
        <w:t xml:space="preserve">Dalším významným nástrojem, který zajišťuje efektivní dozor nad provozováním hazardních her, resp. jeho nelegálním provozováním prostřednictvím sítě internet, je možnost </w:t>
      </w:r>
      <w:r w:rsidRPr="00C76F32">
        <w:rPr>
          <w:b/>
        </w:rPr>
        <w:t>blokace internetových stránek</w:t>
      </w:r>
      <w:r>
        <w:t xml:space="preserve">, </w:t>
      </w:r>
      <w:r w:rsidR="00E30B2C">
        <w:t>prostřednictvím</w:t>
      </w:r>
      <w:r>
        <w:t xml:space="preserve"> kterýc</w:t>
      </w:r>
      <w:r w:rsidR="00AA6B32">
        <w:t>h je hazardní hra provozována a </w:t>
      </w:r>
      <w:r>
        <w:t>blokace platebních transakcí ve prospěch ani k tíži platebních účtů uvedených na seznamu nepovolených inter</w:t>
      </w:r>
      <w:r w:rsidR="00AA6B32">
        <w:t>netov</w:t>
      </w:r>
      <w:r w:rsidR="00CC6AFD">
        <w:t>ých her. O případné zařazení na </w:t>
      </w:r>
      <w:r w:rsidR="00AA6B32">
        <w:t>tento seznam</w:t>
      </w:r>
      <w:r>
        <w:t xml:space="preserve"> rozhoduje Ministerstvo financí v rámci správního řízení.</w:t>
      </w:r>
    </w:p>
    <w:p w14:paraId="3BC75C95" w14:textId="32D68EFA" w:rsidR="00D816CB" w:rsidRDefault="00D816CB" w:rsidP="00C334E0">
      <w:r>
        <w:t xml:space="preserve">Důležitým předpokladem pro efektivní výkon dozoru je </w:t>
      </w:r>
      <w:r w:rsidRPr="00C76F32">
        <w:rPr>
          <w:b/>
        </w:rPr>
        <w:t>povinnost provozovatelů zasílat herní a finanční data</w:t>
      </w:r>
      <w:r>
        <w:t xml:space="preserve"> související s provozováním hazardních her. Tato data </w:t>
      </w:r>
      <w:r>
        <w:lastRenderedPageBreak/>
        <w:t xml:space="preserve">jsou zasílána do </w:t>
      </w:r>
      <w:r w:rsidR="00AA6B32">
        <w:t>Analytické</w:t>
      </w:r>
      <w:r w:rsidR="004926A8">
        <w:t>ho modulu</w:t>
      </w:r>
      <w:r w:rsidR="00AA6B32">
        <w:t xml:space="preserve"> </w:t>
      </w:r>
      <w:r>
        <w:t>AISG. Dozorové orgány jsou na základě těchto dat schopny ověřit nejen plnění povinností</w:t>
      </w:r>
      <w:r w:rsidR="00CC6AFD">
        <w:t xml:space="preserve"> provozovatelů souvisejících se </w:t>
      </w:r>
      <w:r>
        <w:t xml:space="preserve">zodpovědným hraním (např. dodržování povinné přestávky u technické hry nebo nepřekročení nastavených sebeomezujících opatření), ale také data související s plněním daňové povinnosti. </w:t>
      </w:r>
      <w:r w:rsidR="004926A8">
        <w:t xml:space="preserve">Získávají i podstatná </w:t>
      </w:r>
      <w:r w:rsidR="004926A8" w:rsidRPr="00C76F32">
        <w:rPr>
          <w:b/>
        </w:rPr>
        <w:t>data pro analýzy</w:t>
      </w:r>
      <w:r w:rsidR="006748EB">
        <w:t>,</w:t>
      </w:r>
      <w:r w:rsidR="004926A8">
        <w:t xml:space="preserve"> celkový přehled a monitoring trhu s hazardními hrami.</w:t>
      </w:r>
    </w:p>
    <w:p w14:paraId="6A3785BC" w14:textId="48FEF30D" w:rsidR="00D816CB" w:rsidRDefault="00D816CB" w:rsidP="00C334E0">
      <w:r>
        <w:t>V případě, že dozorové orgány zjistí porušení právních předpisů, jsou oprávněny relevantním subjektům udělit sankci. Povaha sankce se odvíjí od druhů sankcí uvedených v zákoně o přestupcích. Sankce se pohybují od výše 500</w:t>
      </w:r>
      <w:r w:rsidR="006748EB">
        <w:t> </w:t>
      </w:r>
      <w:r>
        <w:t>000</w:t>
      </w:r>
      <w:r w:rsidR="006748EB">
        <w:t> </w:t>
      </w:r>
      <w:r w:rsidR="00CC6AFD">
        <w:t>Kč, resp. </w:t>
      </w:r>
      <w:r>
        <w:t>40</w:t>
      </w:r>
      <w:r w:rsidR="006748EB">
        <w:t> </w:t>
      </w:r>
      <w:r>
        <w:t>000</w:t>
      </w:r>
      <w:r w:rsidR="006748EB">
        <w:t> </w:t>
      </w:r>
      <w:r>
        <w:t>Kč pokud je ukládána příkazem na místě, do výše 50 </w:t>
      </w:r>
      <w:r w:rsidR="006748EB">
        <w:t> mil. </w:t>
      </w:r>
      <w:r>
        <w:t xml:space="preserve">Kč. V souvislosti se spácháním přestupku může být odebráno základní povolení, nebo pověření k odbornému posuzování a osvědčování. </w:t>
      </w:r>
    </w:p>
    <w:p w14:paraId="0C236541" w14:textId="77777777" w:rsidR="00755B08" w:rsidRPr="00BD153C" w:rsidRDefault="00755B08" w:rsidP="00BD153C">
      <w:pPr>
        <w:pStyle w:val="Nadpis4"/>
      </w:pPr>
      <w:bookmarkStart w:id="58" w:name="_Toc72999554"/>
      <w:r>
        <w:t>Infomační systém provozování hazardních her</w:t>
      </w:r>
      <w:bookmarkEnd w:id="58"/>
    </w:p>
    <w:p w14:paraId="44F02456" w14:textId="56C5BC76" w:rsidR="00755B08" w:rsidRPr="002E13BB" w:rsidRDefault="00755B08" w:rsidP="00C334E0">
      <w:r w:rsidRPr="002E13BB">
        <w:t xml:space="preserve">Souběžným záměrem Ministerstva financí v rámci rekodifikace oblasti hazardních her bylo i vybudování informačního systému provozování hazardních her spravujícího veškerá data a údaje v oblasti hazardních her. Vznik tohoto </w:t>
      </w:r>
      <w:r w:rsidRPr="00C76F32">
        <w:rPr>
          <w:b/>
        </w:rPr>
        <w:t>Informačního systému provoz</w:t>
      </w:r>
      <w:r w:rsidR="00244A60" w:rsidRPr="00C76F32">
        <w:rPr>
          <w:b/>
        </w:rPr>
        <w:t>ování hazardních her (AISG</w:t>
      </w:r>
      <w:r w:rsidRPr="00C76F32">
        <w:rPr>
          <w:b/>
        </w:rPr>
        <w:t>)</w:t>
      </w:r>
      <w:r w:rsidRPr="002E13BB">
        <w:t xml:space="preserve"> předpo</w:t>
      </w:r>
      <w:r w:rsidR="00244A60">
        <w:t>kládá §</w:t>
      </w:r>
      <w:r w:rsidR="003750F8">
        <w:t> </w:t>
      </w:r>
      <w:r w:rsidR="00244A60">
        <w:t>131 zákona o </w:t>
      </w:r>
      <w:r w:rsidRPr="002E13BB">
        <w:t xml:space="preserve">hazardních hrách. AISG má </w:t>
      </w:r>
      <w:r w:rsidR="006748EB">
        <w:t xml:space="preserve">podle § 130a zákona o hazardních hrách </w:t>
      </w:r>
      <w:r w:rsidR="00CC6AFD">
        <w:t>obsahovat a </w:t>
      </w:r>
      <w:r w:rsidRPr="002E13BB">
        <w:t xml:space="preserve">zpracovávat </w:t>
      </w:r>
      <w:r>
        <w:t>zejména údaje o provozovatelích, hazardních hrách, účastnících hazardních her,</w:t>
      </w:r>
      <w:r w:rsidR="007E3008">
        <w:t xml:space="preserve"> osobách zapsaných v</w:t>
      </w:r>
      <w:r w:rsidR="008F4F8D">
        <w:t> </w:t>
      </w:r>
      <w:r w:rsidR="007E3008">
        <w:t>R</w:t>
      </w:r>
      <w:r>
        <w:t>ejstříku</w:t>
      </w:r>
      <w:r w:rsidR="008F4F8D">
        <w:t xml:space="preserve"> vyloučených osob</w:t>
      </w:r>
      <w:r>
        <w:t xml:space="preserve"> podle §</w:t>
      </w:r>
      <w:r w:rsidR="003750F8">
        <w:t> </w:t>
      </w:r>
      <w:r>
        <w:t>16</w:t>
      </w:r>
      <w:r w:rsidR="006748EB">
        <w:t xml:space="preserve"> zákona o hazardních hrách</w:t>
      </w:r>
      <w:r>
        <w:t>, technických z</w:t>
      </w:r>
      <w:r w:rsidR="004926A8">
        <w:t>ařízeních, herních prostorech a </w:t>
      </w:r>
      <w:r>
        <w:t>dozorové činnosti.</w:t>
      </w:r>
    </w:p>
    <w:p w14:paraId="4BAEDA26" w14:textId="7ADBE6E9" w:rsidR="00755B08" w:rsidRDefault="00755B08" w:rsidP="00C334E0">
      <w:r w:rsidRPr="00091708">
        <w:t xml:space="preserve">Ministerstvo financí vydalo </w:t>
      </w:r>
      <w:r w:rsidR="00244A60" w:rsidRPr="00C76F32">
        <w:rPr>
          <w:b/>
        </w:rPr>
        <w:t>reportingovou vyhlášku</w:t>
      </w:r>
      <w:r w:rsidRPr="00091708">
        <w:t xml:space="preserve">, která </w:t>
      </w:r>
      <w:r w:rsidRPr="00E02EAD">
        <w:t xml:space="preserve">navazuje na zákonné zmocnění vyplývající z § 133 odst. 1 písm. a) zákona </w:t>
      </w:r>
      <w:r w:rsidRPr="00091708">
        <w:t>o hazardních hrách.</w:t>
      </w:r>
      <w:r w:rsidR="00441501">
        <w:t xml:space="preserve"> Komplexní regulace v této oblasti byla doplněna zákonem </w:t>
      </w:r>
      <w:r w:rsidR="00441501" w:rsidRPr="00372887">
        <w:rPr>
          <w:rFonts w:eastAsia="SimSun" w:cs="Arial"/>
          <w:color w:val="000000"/>
          <w:szCs w:val="24"/>
          <w:lang w:eastAsia="zh-CN"/>
        </w:rPr>
        <w:t>č. 527/2020 Sb., který mění mimo jiné i zákon o hazardních hrách</w:t>
      </w:r>
      <w:r w:rsidR="00441501">
        <w:rPr>
          <w:rFonts w:eastAsia="SimSun" w:cs="Arial"/>
          <w:color w:val="000000"/>
          <w:szCs w:val="24"/>
          <w:lang w:eastAsia="zh-CN"/>
        </w:rPr>
        <w:t>, a to v částech,</w:t>
      </w:r>
      <w:r w:rsidR="008D17F6">
        <w:rPr>
          <w:rFonts w:eastAsia="SimSun" w:cs="Arial"/>
          <w:color w:val="000000"/>
          <w:szCs w:val="24"/>
          <w:lang w:eastAsia="zh-CN"/>
        </w:rPr>
        <w:t xml:space="preserve"> které se týkají</w:t>
      </w:r>
      <w:r w:rsidR="00441501">
        <w:rPr>
          <w:rFonts w:eastAsia="SimSun" w:cs="Arial"/>
          <w:color w:val="000000"/>
          <w:szCs w:val="24"/>
          <w:lang w:eastAsia="zh-CN"/>
        </w:rPr>
        <w:t xml:space="preserve"> reportingu. Touto novelou nedošlo k žádné zásadní věcné změně reportingu, ale k formálnějšímu ukotvení v rámci právní úpravy a stanovení jednoznačného a</w:t>
      </w:r>
      <w:r w:rsidR="00244A60">
        <w:rPr>
          <w:rFonts w:eastAsia="SimSun" w:cs="Arial"/>
          <w:color w:val="000000"/>
          <w:szCs w:val="24"/>
          <w:lang w:eastAsia="zh-CN"/>
        </w:rPr>
        <w:t> </w:t>
      </w:r>
      <w:r w:rsidR="00441501">
        <w:rPr>
          <w:rFonts w:eastAsia="SimSun" w:cs="Arial"/>
          <w:color w:val="000000"/>
          <w:szCs w:val="24"/>
          <w:lang w:eastAsia="zh-CN"/>
        </w:rPr>
        <w:t>transparentnějšího právní</w:t>
      </w:r>
      <w:r w:rsidR="00E30B2C">
        <w:rPr>
          <w:rFonts w:eastAsia="SimSun" w:cs="Arial"/>
          <w:color w:val="000000"/>
          <w:szCs w:val="24"/>
          <w:lang w:eastAsia="zh-CN"/>
        </w:rPr>
        <w:t>ho</w:t>
      </w:r>
      <w:r w:rsidR="00441501">
        <w:rPr>
          <w:rFonts w:eastAsia="SimSun" w:cs="Arial"/>
          <w:color w:val="000000"/>
          <w:szCs w:val="24"/>
          <w:lang w:eastAsia="zh-CN"/>
        </w:rPr>
        <w:t xml:space="preserve"> rámce pro předávání dat, jejich zpracování</w:t>
      </w:r>
      <w:r w:rsidR="008D17F6">
        <w:rPr>
          <w:rFonts w:eastAsia="SimSun" w:cs="Arial"/>
          <w:color w:val="000000"/>
          <w:szCs w:val="24"/>
          <w:lang w:eastAsia="zh-CN"/>
        </w:rPr>
        <w:t xml:space="preserve"> a ochrany,</w:t>
      </w:r>
      <w:r w:rsidR="00441501">
        <w:rPr>
          <w:rFonts w:eastAsia="SimSun" w:cs="Arial"/>
          <w:color w:val="000000"/>
          <w:szCs w:val="24"/>
          <w:lang w:eastAsia="zh-CN"/>
        </w:rPr>
        <w:t xml:space="preserve"> včetně jednoznačného vymezení mlčenlivosti atd</w:t>
      </w:r>
      <w:r w:rsidR="00441501" w:rsidRPr="00372887">
        <w:rPr>
          <w:rFonts w:eastAsia="SimSun" w:cs="Arial"/>
          <w:color w:val="000000"/>
          <w:szCs w:val="24"/>
          <w:lang w:eastAsia="zh-CN"/>
        </w:rPr>
        <w:t>.</w:t>
      </w:r>
      <w:r w:rsidRPr="00091708">
        <w:t xml:space="preserve"> </w:t>
      </w:r>
      <w:r w:rsidR="00244A60">
        <w:t>Podle</w:t>
      </w:r>
      <w:r w:rsidRPr="00E02EAD">
        <w:t xml:space="preserve"> </w:t>
      </w:r>
      <w:r w:rsidR="00CC6AFD">
        <w:t>§ 133 odst. 1 </w:t>
      </w:r>
      <w:r w:rsidR="008D17F6" w:rsidRPr="00E02EAD">
        <w:t xml:space="preserve">písm. a) zákona </w:t>
      </w:r>
      <w:r w:rsidR="008D17F6" w:rsidRPr="00091708">
        <w:t>o hazardních hrách</w:t>
      </w:r>
      <w:r w:rsidR="008D17F6" w:rsidRPr="00E02EAD">
        <w:t xml:space="preserve"> </w:t>
      </w:r>
      <w:r w:rsidRPr="00E02EAD">
        <w:t>Ministerstvo financí stanov</w:t>
      </w:r>
      <w:r>
        <w:t>í vyhláškou způsob oznamování a </w:t>
      </w:r>
      <w:r w:rsidRPr="00E02EAD">
        <w:t xml:space="preserve">zasílání informací a přenosu dat provozovatelem orgánům vykonávajícím státní správu v oblasti provozování hazardních her podle tohoto zákona, rozsah přenášených dat a jiné technické parametry přenosu dat </w:t>
      </w:r>
      <w:r w:rsidRPr="00091708">
        <w:t>a formát a strukturu denního herního výkaznictví</w:t>
      </w:r>
      <w:r w:rsidRPr="00E02EAD">
        <w:t>.</w:t>
      </w:r>
      <w:r>
        <w:t xml:space="preserve"> Provozovatelé hazardních her jsou povinni herní a finanční data poskytovat prostřednictvím automatizovaného výstupu pro vzdálený přístup, denní herní výkaznictví a denní herní zápis. Povinnost poskytnout vzdálený přístup byla již od účinnosti zákona o hazardních hrách ukládána provozovatelům všech druhů hazardních her dle § 3 </w:t>
      </w:r>
      <w:r w:rsidR="00244A60">
        <w:t>odst. 2 písm. a) až f) zákona o </w:t>
      </w:r>
      <w:r>
        <w:t xml:space="preserve">hazardních hrách, s výjimkou živé hry a binga provozované </w:t>
      </w:r>
      <w:r w:rsidR="006748EB">
        <w:t xml:space="preserve">formou </w:t>
      </w:r>
      <w:r>
        <w:t>land-based. V případě těchto hazardních her není s přihlédnutím k jejich povaze provozování mož</w:t>
      </w:r>
      <w:r w:rsidR="004926A8">
        <w:t>né požadovat vzdálený přístup a </w:t>
      </w:r>
      <w:r>
        <w:t xml:space="preserve">zároveň je možnost dozoru zajištěna předáváním denního herního výkaznictví, resp. denního herního zápisu. </w:t>
      </w:r>
    </w:p>
    <w:p w14:paraId="0DF3B4A8" w14:textId="01396E78" w:rsidR="00755B08" w:rsidRDefault="00755B08" w:rsidP="00C334E0">
      <w:r w:rsidRPr="00CB3C09">
        <w:t xml:space="preserve">Samotná povinnost </w:t>
      </w:r>
      <w:r w:rsidRPr="00CC053B">
        <w:t xml:space="preserve">zajistit a předat orgánům vykonávajícím dozor vzdálený přístup </w:t>
      </w:r>
      <w:r>
        <w:t>byla</w:t>
      </w:r>
      <w:r w:rsidRPr="00CB3C09">
        <w:t xml:space="preserve"> </w:t>
      </w:r>
      <w:r>
        <w:t xml:space="preserve">stanovena </w:t>
      </w:r>
      <w:r w:rsidRPr="00CB3C09">
        <w:t xml:space="preserve">základním povolením, </w:t>
      </w:r>
      <w:r>
        <w:t>které lze</w:t>
      </w:r>
      <w:r w:rsidRPr="00CB3C09">
        <w:t xml:space="preserve"> v souladu s</w:t>
      </w:r>
      <w:r w:rsidR="006748EB">
        <w:t> </w:t>
      </w:r>
      <w:r w:rsidRPr="00CB3C09">
        <w:t>§</w:t>
      </w:r>
      <w:r w:rsidR="006748EB">
        <w:t> </w:t>
      </w:r>
      <w:r w:rsidRPr="00CB3C09">
        <w:t>87</w:t>
      </w:r>
      <w:r w:rsidR="006748EB">
        <w:t> </w:t>
      </w:r>
      <w:r w:rsidRPr="00CB3C09">
        <w:t>odst.</w:t>
      </w:r>
      <w:r w:rsidR="006748EB">
        <w:t> 1 </w:t>
      </w:r>
      <w:r w:rsidRPr="00CB3C09">
        <w:t>písm.</w:t>
      </w:r>
      <w:r w:rsidR="006748EB">
        <w:t> </w:t>
      </w:r>
      <w:r w:rsidRPr="00CB3C09">
        <w:t>e)</w:t>
      </w:r>
      <w:r w:rsidR="006748EB">
        <w:t> </w:t>
      </w:r>
      <w:r w:rsidRPr="00CB3C09">
        <w:t>zákona o hazardních hrách vydat pouze, je-li (mimo jiné) zaručeno řádné provozování hazardní hry a zajištěno řádné technické vybavení</w:t>
      </w:r>
      <w:r w:rsidR="00CC6AFD">
        <w:t>, a </w:t>
      </w:r>
      <w:r>
        <w:t>jímž se stanoví podmínky pro provozování hazardní hry</w:t>
      </w:r>
      <w:r w:rsidRPr="00CB3C09">
        <w:t xml:space="preserve">. </w:t>
      </w:r>
      <w:r>
        <w:t xml:space="preserve">Zajištění a předání </w:t>
      </w:r>
      <w:r>
        <w:lastRenderedPageBreak/>
        <w:t>vzdáleného přístupu</w:t>
      </w:r>
      <w:r w:rsidRPr="00E02EAD">
        <w:t xml:space="preserve"> </w:t>
      </w:r>
      <w:r>
        <w:t>bylo považováno</w:t>
      </w:r>
      <w:r w:rsidRPr="00E02EAD">
        <w:t xml:space="preserve"> za přiměřenou podmí</w:t>
      </w:r>
      <w:r>
        <w:t>nku provozování, přičemž</w:t>
      </w:r>
      <w:r w:rsidR="004926A8">
        <w:t xml:space="preserve"> Ministerstvo financí vycházelo </w:t>
      </w:r>
      <w:r>
        <w:t>i </w:t>
      </w:r>
      <w:r w:rsidRPr="00E02EAD">
        <w:t xml:space="preserve">z předchozí správní praxe, neboť i v minulosti měli provozovatelé hazardních her, resp. loterií a jiných podobných her, v povolení uloženou </w:t>
      </w:r>
      <w:r>
        <w:t>obdobnou</w:t>
      </w:r>
      <w:r w:rsidRPr="00E02EAD">
        <w:t xml:space="preserve"> podmínku</w:t>
      </w:r>
      <w:r>
        <w:t>.</w:t>
      </w:r>
    </w:p>
    <w:p w14:paraId="59664422" w14:textId="3045B0E6" w:rsidR="00755B08" w:rsidRDefault="00755B08" w:rsidP="00C334E0">
      <w:r w:rsidRPr="002E09CF">
        <w:t>Protože tyto podmínky byly roztříštěny a povinnost poskytovat výkaznictví byla nejednotně zakotvena jak výslovně v zákoně o hazardních hrách, tak i v jednotlivých základních povoleních, vyvstala naléhavá p</w:t>
      </w:r>
      <w:r>
        <w:t>otřeba tyto podmínky sjednotit, což se stalo na základě zákona č. 527/2020 Sb. K</w:t>
      </w:r>
      <w:r w:rsidRPr="002E09CF">
        <w:t xml:space="preserve"> návrhu </w:t>
      </w:r>
      <w:r>
        <w:t xml:space="preserve">Ministerstvo financí </w:t>
      </w:r>
      <w:r w:rsidRPr="002E09CF">
        <w:t>přistoupilo zejména za účelem zvýšení právní jistoty dotč</w:t>
      </w:r>
      <w:r>
        <w:t>ených subjektů, což korespondovalo</w:t>
      </w:r>
      <w:r w:rsidRPr="002E09CF">
        <w:t xml:space="preserve"> i s doporučením Pracovní komise pro veřejné právo I. Legislativní rady vlády České republiky, která se vyjadřovala k současně platné </w:t>
      </w:r>
      <w:r w:rsidR="00191662">
        <w:t xml:space="preserve">reportingové </w:t>
      </w:r>
      <w:r w:rsidRPr="002E09CF">
        <w:t xml:space="preserve">vyhlášce. Pracovní komise předložila k úvaze, zda </w:t>
      </w:r>
      <w:r w:rsidRPr="002E13BB">
        <w:rPr>
          <w:i/>
        </w:rPr>
        <w:t>de lege ferenda</w:t>
      </w:r>
      <w:r w:rsidRPr="002E09CF">
        <w:t xml:space="preserve">, za účelem zvýšení právní jistoty provozovatelů hazardních her, neupřesnit podrobněji v zákoně o hazardních hrách povinnost poskytovat výkaznictví. </w:t>
      </w:r>
      <w:r>
        <w:t>Novela</w:t>
      </w:r>
      <w:r w:rsidRPr="002E09CF">
        <w:t xml:space="preserve"> zákona </w:t>
      </w:r>
      <w:r>
        <w:t xml:space="preserve">o hazardních hrách </w:t>
      </w:r>
      <w:r w:rsidRPr="002E09CF">
        <w:t>pro</w:t>
      </w:r>
      <w:r>
        <w:t>to stanovila</w:t>
      </w:r>
      <w:r w:rsidRPr="002E09CF">
        <w:t xml:space="preserve"> základní požadavky související s poskytováním výkaznictví, přičemž dosavadní podmínky související s posky</w:t>
      </w:r>
      <w:r>
        <w:t>továním výkaznictví stanovené v reportingové vyhlášce</w:t>
      </w:r>
      <w:r w:rsidRPr="002E09CF">
        <w:t xml:space="preserve"> </w:t>
      </w:r>
      <w:r>
        <w:t>dále nerozšířila. Naopak stanovila</w:t>
      </w:r>
      <w:r w:rsidRPr="002E09CF">
        <w:t xml:space="preserve"> podrobnější zákonné mantinely pro </w:t>
      </w:r>
      <w:r>
        <w:t xml:space="preserve">reportingovou </w:t>
      </w:r>
      <w:r w:rsidRPr="002E09CF">
        <w:t>vyhlášku</w:t>
      </w:r>
      <w:r w:rsidR="008D17F6">
        <w:t xml:space="preserve"> a pro nakládání s těmito daty</w:t>
      </w:r>
      <w:r w:rsidR="00CC6AFD">
        <w:t>, aby </w:t>
      </w:r>
      <w:r w:rsidRPr="002E09CF">
        <w:t>do</w:t>
      </w:r>
      <w:r>
        <w:t> </w:t>
      </w:r>
      <w:r w:rsidRPr="002E09CF">
        <w:t xml:space="preserve">budoucna nebylo možné povinnosti v oblasti výkaznictví svévolně rozšiřovat a aby byla zajištěna </w:t>
      </w:r>
      <w:r w:rsidR="00B16116">
        <w:t xml:space="preserve">i </w:t>
      </w:r>
      <w:r w:rsidRPr="002E09CF">
        <w:t>jednotnost výkaznictví napříč všemi druhy hazardních her.</w:t>
      </w:r>
    </w:p>
    <w:p w14:paraId="4350A18C" w14:textId="12F1384A" w:rsidR="00755B08" w:rsidRDefault="00755B08" w:rsidP="00C334E0">
      <w:r>
        <w:t xml:space="preserve">Podle zákona o hazardních hrách a reportingové vyhlášky provozovatelé poskytují </w:t>
      </w:r>
      <w:r w:rsidRPr="00C76F32">
        <w:rPr>
          <w:b/>
        </w:rPr>
        <w:t>herní a finanční data</w:t>
      </w:r>
      <w:r>
        <w:t xml:space="preserve"> určeným způsobem, v</w:t>
      </w:r>
      <w:r w:rsidR="004926A8">
        <w:t>e stanoveném formátu, rozsahu a </w:t>
      </w:r>
      <w:r>
        <w:t>struktuře. Obsah automatizovaného výstupu pro vzdálený přístup se liší v závislosti na druhu hazardní hry, obecně tak platí, že se poskytuje za každý druh hazardní hry. Automatizovaný výstup obsahuje data za 8 hodin provozování hazardní hry s počátke</w:t>
      </w:r>
      <w:r w:rsidR="004926A8">
        <w:t>m vždy v 00:00, 08:00 a 16:00</w:t>
      </w:r>
      <w:r w:rsidR="00191662">
        <w:t xml:space="preserve"> hodin</w:t>
      </w:r>
      <w:r w:rsidR="004926A8">
        <w:t xml:space="preserve">. </w:t>
      </w:r>
      <w:r>
        <w:t xml:space="preserve">V případě automatizovaného výstupu pro denní herní výkaznictví a denní herní zápis obsahuje data vždy za kalendářní měsíc. Obecně provozovatelé poskytují široké množství údajů o provozování hazardních her např. údaje o přijatých sázkách, vyplacených výhrách a dalších plněních souvisejících s provozováním hazardních her. Rovněž jsou obsahem vzdáleného přístupu údaje o provozovaných hazardních hrách, herních prostorech, uživatelských kontech účastníků hazardní hry, jimi nastavených sebeomezujících opatřeních. </w:t>
      </w:r>
    </w:p>
    <w:p w14:paraId="07523F7F" w14:textId="1A607498" w:rsidR="00755B08" w:rsidRPr="002E09CF" w:rsidRDefault="00755B08" w:rsidP="00C334E0">
      <w:r>
        <w:t>Herní a finan</w:t>
      </w:r>
      <w:r w:rsidR="00312257">
        <w:t>čn</w:t>
      </w:r>
      <w:r>
        <w:t>í data jsou automatizovaně předávána a zpracovávána v tzv.</w:t>
      </w:r>
      <w:r w:rsidR="00191662">
        <w:t> </w:t>
      </w:r>
      <w:r w:rsidRPr="00C76F32">
        <w:rPr>
          <w:b/>
        </w:rPr>
        <w:t>Analytickém modulu</w:t>
      </w:r>
      <w:r>
        <w:t>, který je jednou z částí AISG v souladu s §</w:t>
      </w:r>
      <w:r w:rsidR="00191662">
        <w:t> </w:t>
      </w:r>
      <w:r>
        <w:t>130a a</w:t>
      </w:r>
      <w:r w:rsidR="00191662">
        <w:t> </w:t>
      </w:r>
      <w:r>
        <w:t>§</w:t>
      </w:r>
      <w:r w:rsidR="00191662">
        <w:t> </w:t>
      </w:r>
      <w:r>
        <w:t>131</w:t>
      </w:r>
      <w:r w:rsidR="00191662">
        <w:t> </w:t>
      </w:r>
      <w:r>
        <w:t>zákona o hazardních hrách. V případě ně</w:t>
      </w:r>
      <w:r w:rsidR="007C04A8">
        <w:t>kterých poskytovaných herních a </w:t>
      </w:r>
      <w:r>
        <w:t>finančních dat (např. ve vztahu ke každému už</w:t>
      </w:r>
      <w:r w:rsidR="007C04A8">
        <w:t>ivatelskému kontu a ve vztahu k </w:t>
      </w:r>
      <w:r>
        <w:t xml:space="preserve">účasti sázejícího na hře hazardní hry) dochází na straně orgánů vykonávajících dozor v souvislosti s plněním povinností podle reportingové vyhlášky ke zpracování pseudonymizovaných osobních údajů, jelikož zde </w:t>
      </w:r>
      <w:r w:rsidRPr="005C0E72">
        <w:t xml:space="preserve">existuje vazba </w:t>
      </w:r>
      <w:r>
        <w:t>k fyzické osobě. D</w:t>
      </w:r>
      <w:r w:rsidRPr="005C0E72">
        <w:t>ata jsou</w:t>
      </w:r>
      <w:r>
        <w:t xml:space="preserve"> do Analytického modulu</w:t>
      </w:r>
      <w:r w:rsidRPr="005C0E72">
        <w:t xml:space="preserve"> AIS</w:t>
      </w:r>
      <w:r w:rsidR="007C04A8">
        <w:t>G poskytována pouze ve vazbě na </w:t>
      </w:r>
      <w:r w:rsidRPr="005C0E72">
        <w:t>bezvýznamový identifikátor, tzv.</w:t>
      </w:r>
      <w:r>
        <w:t xml:space="preserve"> v </w:t>
      </w:r>
      <w:r w:rsidRPr="005C0E72">
        <w:t>pseudonymizované podobě. K tomuto bylo přistoupeno zejména z toho důvodu, aby byla</w:t>
      </w:r>
      <w:r>
        <w:t xml:space="preserve"> </w:t>
      </w:r>
      <w:r w:rsidRPr="005C0E72">
        <w:t>zajištěna řádná ochrana osobních údajů účastníků hazardních her, jelikož takové zpracování</w:t>
      </w:r>
      <w:r>
        <w:t xml:space="preserve"> </w:t>
      </w:r>
      <w:r w:rsidRPr="005C0E72">
        <w:t>osobních údajů významně snižuje riziko při jejich zpracování a pro dosažení účelu</w:t>
      </w:r>
      <w:r>
        <w:t xml:space="preserve"> zpracování ze strany Ministerstva financí</w:t>
      </w:r>
      <w:r w:rsidRPr="005C0E72">
        <w:t xml:space="preserve"> je postačující tato varianta</w:t>
      </w:r>
      <w:r>
        <w:t>. Ministerstvo financí, ani žádný jiný orgán státní správy, nedisponuje a ani nebude dle reportingové vyhlášky disponovat klíčem pro automatické přiřazení herních a finančních dat konkrétní osobě.</w:t>
      </w:r>
      <w:r w:rsidR="00B16116">
        <w:t xml:space="preserve"> </w:t>
      </w:r>
      <w:r w:rsidR="00B16116">
        <w:lastRenderedPageBreak/>
        <w:t xml:space="preserve">V kombinaci s dalšími prvky zabezpečení je </w:t>
      </w:r>
      <w:r w:rsidR="00EC4C1C">
        <w:t>tak</w:t>
      </w:r>
      <w:r w:rsidR="00B16116">
        <w:t xml:space="preserve"> zajištěna nadstandardní ochrana všech zpracovávaných dat. </w:t>
      </w:r>
    </w:p>
    <w:p w14:paraId="795A911F" w14:textId="6947CC47" w:rsidR="00755B08" w:rsidRDefault="00755B08" w:rsidP="00C334E0">
      <w:r w:rsidRPr="002E13BB">
        <w:rPr>
          <w:rFonts w:eastAsia="Calibri"/>
        </w:rPr>
        <w:t xml:space="preserve">Ministerstvo financí je na základě § 16c zákona o hazardních hrách </w:t>
      </w:r>
      <w:r>
        <w:t xml:space="preserve">povinno zajistit provozovatelům hazardních her při </w:t>
      </w:r>
      <w:r w:rsidRPr="00C76F32">
        <w:rPr>
          <w:b/>
        </w:rPr>
        <w:t>ověření totožnosti fyzické osoby</w:t>
      </w:r>
      <w:r>
        <w:t xml:space="preserve"> </w:t>
      </w:r>
      <w:r w:rsidR="007E3008">
        <w:t xml:space="preserve">nepřetržitý dálkový přístup do </w:t>
      </w:r>
      <w:r w:rsidR="007E3008" w:rsidRPr="00C76F32">
        <w:rPr>
          <w:b/>
        </w:rPr>
        <w:t>R</w:t>
      </w:r>
      <w:r w:rsidRPr="00C76F32">
        <w:rPr>
          <w:b/>
        </w:rPr>
        <w:t>ejstříku vyloučených osob</w:t>
      </w:r>
      <w:r>
        <w:t xml:space="preserve"> pouze k údaji o tom, zda konkrétní osoba je, </w:t>
      </w:r>
      <w:r w:rsidR="007E3008">
        <w:t>nebo není zapsána v R</w:t>
      </w:r>
      <w:r>
        <w:t>ejst</w:t>
      </w:r>
      <w:r w:rsidR="001875E6">
        <w:t>říku vyloučených osob (blíže k </w:t>
      </w:r>
      <w:r w:rsidR="007E3008">
        <w:t>R</w:t>
      </w:r>
      <w:r>
        <w:t>ejstříku vyloučených osob v</w:t>
      </w:r>
      <w:r w:rsidR="00321CD1">
        <w:t xml:space="preserve"> příloze č. 3 - </w:t>
      </w:r>
      <w:r>
        <w:t>Opatření zodpovědného hraní). Dále je povinno pro účely registrace dálkovým způsobem zajistit ověření tot</w:t>
      </w:r>
      <w:r w:rsidR="007E3008">
        <w:t>ožnosti a věku osoby žádající o </w:t>
      </w:r>
      <w:r>
        <w:t xml:space="preserve">registraci (viz § 46 odst. 1 </w:t>
      </w:r>
      <w:r w:rsidRPr="00425906">
        <w:t>a § 77 odst. 6 zákona o</w:t>
      </w:r>
      <w:r>
        <w:t> </w:t>
      </w:r>
      <w:r w:rsidRPr="00425906">
        <w:t>hazardních hrách</w:t>
      </w:r>
      <w:r>
        <w:t>). K plnění těchto povinností slouží da</w:t>
      </w:r>
      <w:r w:rsidRPr="002E13BB">
        <w:rPr>
          <w:rFonts w:eastAsia="Calibri"/>
        </w:rPr>
        <w:t>lší  Dozorová část AISG, jejíž stěžejní částí je právě Rejstřík vyloučených osob, který je neveřejným informačním systémem veřejné správy a slouží k zamezení přístupu vyloučených osob k hazardním hrám.</w:t>
      </w:r>
    </w:p>
    <w:p w14:paraId="7F64DE62" w14:textId="3E7B8023" w:rsidR="00585E81" w:rsidRPr="002E13BB" w:rsidRDefault="00755B08" w:rsidP="00C334E0">
      <w:r w:rsidRPr="00425906">
        <w:t>Ministerstvo financí v souladu s přecho</w:t>
      </w:r>
      <w:r w:rsidR="0077034D">
        <w:t xml:space="preserve">dným ustanovením § </w:t>
      </w:r>
      <w:r w:rsidR="00B344C0">
        <w:t>137 zákona o </w:t>
      </w:r>
      <w:r w:rsidRPr="00425906">
        <w:t>hazardních hrách</w:t>
      </w:r>
      <w:r>
        <w:t xml:space="preserve"> vyhlásilo</w:t>
      </w:r>
      <w:r w:rsidRPr="00425906">
        <w:t xml:space="preserve"> </w:t>
      </w:r>
      <w:r>
        <w:t xml:space="preserve">19. 12. 2020 </w:t>
      </w:r>
      <w:r w:rsidRPr="00425906">
        <w:t xml:space="preserve">kompletní technickou specifikaci </w:t>
      </w:r>
      <w:r>
        <w:t xml:space="preserve">AISG. </w:t>
      </w:r>
      <w:r w:rsidRPr="00425906">
        <w:t>Tato technická specifikace popisuje datové rozhraní</w:t>
      </w:r>
      <w:r>
        <w:t xml:space="preserve"> </w:t>
      </w:r>
      <w:r w:rsidRPr="002E13BB">
        <w:rPr>
          <w:rFonts w:cstheme="minorHAnsi"/>
        </w:rPr>
        <w:t>AISG</w:t>
      </w:r>
      <w:r w:rsidR="00B344C0">
        <w:t xml:space="preserve"> pro výměnu informací a </w:t>
      </w:r>
      <w:r w:rsidRPr="00425906">
        <w:t>dat s informačními systémy provozovatelů hazardních her zajišťující zejména dálkovým způsobem ově</w:t>
      </w:r>
      <w:r>
        <w:t>ření</w:t>
      </w:r>
      <w:r w:rsidRPr="00425906">
        <w:t xml:space="preserve"> totožnost</w:t>
      </w:r>
      <w:r>
        <w:t>i</w:t>
      </w:r>
      <w:r w:rsidRPr="00425906">
        <w:t xml:space="preserve"> a věk</w:t>
      </w:r>
      <w:r>
        <w:t>u</w:t>
      </w:r>
      <w:r w:rsidRPr="00425906">
        <w:t xml:space="preserve"> osob žádajících o registraci a</w:t>
      </w:r>
      <w:r>
        <w:t xml:space="preserve"> ověření,</w:t>
      </w:r>
      <w:r w:rsidRPr="00425906">
        <w:t xml:space="preserve"> zda konkrétní osoba je nebo není zapsána v</w:t>
      </w:r>
      <w:r>
        <w:t> </w:t>
      </w:r>
      <w:r w:rsidR="007E3008">
        <w:t>R</w:t>
      </w:r>
      <w:r w:rsidRPr="00425906">
        <w:t>ejstříku</w:t>
      </w:r>
      <w:r>
        <w:t xml:space="preserve"> vyloučených osob. Provozovatelé byli</w:t>
      </w:r>
      <w:r w:rsidRPr="00425906">
        <w:t xml:space="preserve"> povinni plnit povinnosti </w:t>
      </w:r>
      <w:r w:rsidR="00B344C0">
        <w:t>stanovené ustanoveními zákona o </w:t>
      </w:r>
      <w:r w:rsidRPr="00425906">
        <w:t xml:space="preserve">hazardních hrách, jež jsou taxativně vyjmenovány v ustanovení § 137 odst. 1 zákona o </w:t>
      </w:r>
      <w:r w:rsidR="0041134D">
        <w:t>hazardních hrách, po uplynutí 1 </w:t>
      </w:r>
      <w:r w:rsidRPr="00425906">
        <w:t>roku ode dne vyhlášení této technické sp</w:t>
      </w:r>
      <w:r>
        <w:t>ecifikace, tedy od 20. 12. 2020.</w:t>
      </w:r>
    </w:p>
    <w:p w14:paraId="4ACB1079" w14:textId="2A3DE2A4" w:rsidR="00B658DF" w:rsidRDefault="00B658DF" w:rsidP="00BD153C">
      <w:pPr>
        <w:pStyle w:val="Nadpis4"/>
        <w:ind w:left="862" w:hanging="862"/>
      </w:pPr>
      <w:bookmarkStart w:id="59" w:name="_Toc72999555"/>
      <w:r>
        <w:t>Zdanění hazardních her</w:t>
      </w:r>
      <w:bookmarkEnd w:id="59"/>
    </w:p>
    <w:p w14:paraId="77C36201" w14:textId="33EB9435" w:rsidR="00B658DF" w:rsidRDefault="00B658DF" w:rsidP="00C334E0">
      <w:r>
        <w:t>Právní úprava obsažená v zákoně o loteriích vykazovala značné množství nedostatků jak věcného, tak legislativního charakteru. S</w:t>
      </w:r>
      <w:r w:rsidRPr="00292A08">
        <w:t xml:space="preserve">ložitý systém nástrojů sloužících ke zdanění hazardu </w:t>
      </w:r>
      <w:r>
        <w:t xml:space="preserve">(odvod na státní dozor, odvod na veřejně prospěšné účely, správní poplatky aj.) </w:t>
      </w:r>
      <w:r w:rsidRPr="00292A08">
        <w:t>měl za následek nepřehlednost a netran</w:t>
      </w:r>
      <w:r>
        <w:t>sparentnost právní úpravy, která byla ještě posílena</w:t>
      </w:r>
      <w:r w:rsidRPr="00292A08">
        <w:t xml:space="preserve"> legislativně technickými nedostatky. Závažným důsledkem této skutečnosti byly nejasnosti a vznik prostoru pro n</w:t>
      </w:r>
      <w:r>
        <w:t>ežádoucí daňovou optimalizaci a </w:t>
      </w:r>
      <w:r w:rsidRPr="00292A08">
        <w:t>obcházení daňových povinností.</w:t>
      </w:r>
      <w:r>
        <w:t xml:space="preserve"> Uvedené skutečnosti vedly k přijetí zákona o dani z hazardních her, přičemž byl zachován</w:t>
      </w:r>
      <w:r w:rsidRPr="00292A08">
        <w:t xml:space="preserve"> </w:t>
      </w:r>
      <w:r>
        <w:t>valorický základ daně, kdy základem daně byla</w:t>
      </w:r>
      <w:r w:rsidRPr="00292A08">
        <w:t xml:space="preserve"> </w:t>
      </w:r>
      <w:r>
        <w:t xml:space="preserve">původně stanovena </w:t>
      </w:r>
      <w:r w:rsidRPr="00292A08">
        <w:t>částka, o kterou</w:t>
      </w:r>
      <w:r w:rsidR="00B344C0">
        <w:t xml:space="preserve"> úhrn přijatých a </w:t>
      </w:r>
      <w:r w:rsidRPr="00292A08">
        <w:t>nevrácených vkladů převyšuje úhrn vyplacených výher (tzv. princip in-out)</w:t>
      </w:r>
      <w:r>
        <w:t xml:space="preserve">. I podle nyní platné a účinné právní úpravy je tento princip zachován, nicméně od 1. 4. 2019 došlo k úpravě základu daně, který tvoří </w:t>
      </w:r>
      <w:r w:rsidRPr="00515DF9">
        <w:t xml:space="preserve">součet dílčích základů daně, které tvoří částka, o kterou </w:t>
      </w:r>
      <w:r w:rsidRPr="00821EC4">
        <w:t>úhrn přijatých vkladů převyšuje s</w:t>
      </w:r>
      <w:r w:rsidR="00B344C0">
        <w:t>oučet úhrnu vyplacených výher a </w:t>
      </w:r>
      <w:r w:rsidRPr="00821EC4">
        <w:t>úhrnu vrácených vkladů</w:t>
      </w:r>
      <w:r>
        <w:t>.</w:t>
      </w:r>
    </w:p>
    <w:p w14:paraId="1D93B062" w14:textId="4F78AA81" w:rsidR="00B658DF" w:rsidRDefault="00B658DF" w:rsidP="00C334E0">
      <w:r w:rsidRPr="00244A60">
        <w:rPr>
          <w:b/>
        </w:rPr>
        <w:t>Daň z hazardních her je jedním z</w:t>
      </w:r>
      <w:r w:rsidR="00326066" w:rsidRPr="00244A60">
        <w:rPr>
          <w:b/>
        </w:rPr>
        <w:t>e zásadních</w:t>
      </w:r>
      <w:r w:rsidRPr="00244A60">
        <w:rPr>
          <w:b/>
        </w:rPr>
        <w:t xml:space="preserve"> nástrojů, které přináší nová regulace hazardních her.</w:t>
      </w:r>
      <w:r w:rsidRPr="00CF22B7">
        <w:t xml:space="preserve"> V tomto směru je daň z hazardních her součástí celého komplexu opatření, která mají primárně sloužit k předcházení a potírání sociálně patologických jevů spojených s provozováním hazardních her a která vedou k ochraně </w:t>
      </w:r>
      <w:r w:rsidR="00727982">
        <w:t>účastníků</w:t>
      </w:r>
      <w:r w:rsidR="00727982" w:rsidRPr="00CF22B7">
        <w:t xml:space="preserve"> </w:t>
      </w:r>
      <w:r w:rsidRPr="00CF22B7">
        <w:t xml:space="preserve">hazardních her. Daň z hazardních her tedy plní </w:t>
      </w:r>
      <w:r w:rsidRPr="00CF22B7">
        <w:rPr>
          <w:b/>
        </w:rPr>
        <w:t xml:space="preserve">ochrannou </w:t>
      </w:r>
      <w:r w:rsidRPr="00CF22B7">
        <w:t>a</w:t>
      </w:r>
      <w:r w:rsidRPr="00CF22B7">
        <w:rPr>
          <w:b/>
        </w:rPr>
        <w:t> regulační funkci</w:t>
      </w:r>
      <w:r w:rsidRPr="00CF22B7">
        <w:t xml:space="preserve">, kdy smyslem je mimo jiné působit na subjekt provozující hazardní hru ve smyslu omezení nabídky hazardních her, popř. zdražením služby, s cílem odradit </w:t>
      </w:r>
      <w:r w:rsidR="00727982">
        <w:t>účastníky hazardních her</w:t>
      </w:r>
      <w:r w:rsidR="00727982" w:rsidRPr="00372887">
        <w:t xml:space="preserve"> </w:t>
      </w:r>
      <w:r w:rsidRPr="00CF22B7">
        <w:t xml:space="preserve">od určitého chování, v daném případě účasti na hazardní hře. Dále </w:t>
      </w:r>
      <w:r w:rsidRPr="00CF22B7">
        <w:rPr>
          <w:bCs/>
        </w:rPr>
        <w:t xml:space="preserve">je cílem právní úpravy </w:t>
      </w:r>
      <w:r w:rsidRPr="00CF22B7">
        <w:t xml:space="preserve">zajištění daňových výnosů, tedy </w:t>
      </w:r>
      <w:r w:rsidRPr="00CF22B7">
        <w:lastRenderedPageBreak/>
        <w:t>právní úprava má i </w:t>
      </w:r>
      <w:r w:rsidRPr="00CF22B7">
        <w:rPr>
          <w:b/>
        </w:rPr>
        <w:t>funkci fiskální</w:t>
      </w:r>
      <w:r w:rsidRPr="00CF22B7">
        <w:t xml:space="preserve">, jejíž podstatou je naplnění příjmů veřejných rozpočtů, což je ostatně funkcí každé daně. </w:t>
      </w:r>
    </w:p>
    <w:p w14:paraId="45E2685B" w14:textId="6331E709" w:rsidR="00B658DF" w:rsidRDefault="00B658DF" w:rsidP="00C334E0">
      <w:r w:rsidRPr="003316D9">
        <w:t xml:space="preserve">Sazby daně </w:t>
      </w:r>
      <w:r>
        <w:t xml:space="preserve">z hazardních her </w:t>
      </w:r>
      <w:r w:rsidRPr="003316D9">
        <w:t xml:space="preserve">jsou poměrné lineární, diferenciované podle druhu hazardní hry tak, jak jsou vymezeny v zákoně o hazardních hrách na základě společných charakteristických rysů jednotlivých druhů hazardních her. </w:t>
      </w:r>
      <w:r>
        <w:t>V</w:t>
      </w:r>
      <w:r w:rsidRPr="00312AD1">
        <w:t xml:space="preserve">ýše sazeb </w:t>
      </w:r>
      <w:r>
        <w:t>tak vedle požadavku z programového prohlášení vlády na vyšší zdanění hazardu reflektovala</w:t>
      </w:r>
      <w:r w:rsidRPr="00312AD1">
        <w:t xml:space="preserve"> hlavní cíl nové právní úpravy, a to zaj</w:t>
      </w:r>
      <w:r>
        <w:t>ištění opatření k předcházení a </w:t>
      </w:r>
      <w:r w:rsidRPr="00312AD1">
        <w:t>potírání sociálně</w:t>
      </w:r>
      <w:r>
        <w:t xml:space="preserve"> patologických jevů spojených s provozováním hazardních her a </w:t>
      </w:r>
      <w:r w:rsidRPr="00312AD1">
        <w:t xml:space="preserve">ochranu </w:t>
      </w:r>
      <w:r w:rsidR="00727982">
        <w:t>účastníků hazardních her</w:t>
      </w:r>
      <w:r>
        <w:t xml:space="preserve">. </w:t>
      </w:r>
      <w:r w:rsidRPr="001830CD">
        <w:t>Zákon o dani z hazardních her změnil kromě terminologie, kdy odvod z loterií nahradila daň z hazardních her, i způsob, kte</w:t>
      </w:r>
      <w:r>
        <w:t>rým se stanovují daňové sazby u </w:t>
      </w:r>
      <w:r w:rsidRPr="001830CD">
        <w:t>jednotlivých druhů haz</w:t>
      </w:r>
      <w:r>
        <w:t>ardních her. Přestože i zákon o </w:t>
      </w:r>
      <w:r w:rsidRPr="001830CD">
        <w:t>loteriích stanovoval sazby daně dle rizikovosti dan</w:t>
      </w:r>
      <w:r>
        <w:t>ého druhu hazardní hry, zákon o </w:t>
      </w:r>
      <w:r w:rsidRPr="001830CD">
        <w:t xml:space="preserve">dani z hazardních her </w:t>
      </w:r>
      <w:r>
        <w:t xml:space="preserve">vedle rizikovosti hazardních her, </w:t>
      </w:r>
      <w:r w:rsidRPr="001830CD">
        <w:t>dále ještě posuzuje ziskovost, která je zejména důležitá z hlediska obdobných dopadů daně na provozovatele haza</w:t>
      </w:r>
      <w:r>
        <w:t>rdních her podobné rizikovosti.</w:t>
      </w:r>
    </w:p>
    <w:p w14:paraId="19CA5336" w14:textId="0DC40F21" w:rsidR="00B658DF" w:rsidRPr="00B51B36" w:rsidRDefault="00B658DF" w:rsidP="00C334E0">
      <w:r w:rsidRPr="003316D9">
        <w:t>K samotným sazbám daně je nejprve třeba uvést, že původ</w:t>
      </w:r>
      <w:r>
        <w:t>ní vládní návrh zákona o dani z </w:t>
      </w:r>
      <w:r w:rsidRPr="003316D9">
        <w:t>hazardních her z roku 2015 předpokládal větší diferenciaci sazeb, když upravoval tři pásma sazeb. Ovšem v důsledku pozměňovacího návrhu přijatého v</w:t>
      </w:r>
      <w:r>
        <w:t> </w:t>
      </w:r>
      <w:r w:rsidRPr="003316D9">
        <w:t>Poslanecké sněmovně Parlamentu České republiky byl počet sazeb snížen ze tří na dvě. V rámci zákona o dani z</w:t>
      </w:r>
      <w:r>
        <w:t> </w:t>
      </w:r>
      <w:r w:rsidRPr="003316D9">
        <w:t>hazardních her</w:t>
      </w:r>
      <w:r>
        <w:t xml:space="preserve"> ve znění</w:t>
      </w:r>
      <w:r w:rsidRPr="003316D9">
        <w:t xml:space="preserve"> účinné</w:t>
      </w:r>
      <w:r w:rsidR="00993CED">
        <w:t>m do </w:t>
      </w:r>
      <w:r w:rsidRPr="003316D9">
        <w:t>31.</w:t>
      </w:r>
      <w:r w:rsidR="00191662">
        <w:t> </w:t>
      </w:r>
      <w:r w:rsidRPr="003316D9">
        <w:t>prosince</w:t>
      </w:r>
      <w:r w:rsidR="00191662">
        <w:t> </w:t>
      </w:r>
      <w:r w:rsidRPr="003316D9">
        <w:t xml:space="preserve">2019 byla tedy stanovena sazba </w:t>
      </w:r>
      <w:r>
        <w:t xml:space="preserve">ve výši </w:t>
      </w:r>
      <w:r w:rsidRPr="003316D9">
        <w:t>35 % v</w:t>
      </w:r>
      <w:r>
        <w:t> </w:t>
      </w:r>
      <w:r w:rsidRPr="003316D9">
        <w:t>přípa</w:t>
      </w:r>
      <w:r w:rsidR="00B344C0">
        <w:t>dě dílčí daně z</w:t>
      </w:r>
      <w:r w:rsidR="00191662">
        <w:t> </w:t>
      </w:r>
      <w:r w:rsidR="00B344C0">
        <w:t>technické hry a </w:t>
      </w:r>
      <w:r w:rsidRPr="003316D9">
        <w:t xml:space="preserve">sazba ve výši 23 %, kterou byly zatíženy ostatní druhy hazardních her. </w:t>
      </w:r>
    </w:p>
    <w:p w14:paraId="01E70488" w14:textId="6E1F37BE" w:rsidR="00B658DF" w:rsidRDefault="00B658DF" w:rsidP="00C334E0">
      <w:r w:rsidRPr="003316D9">
        <w:t>I v případě novelizace zákona o dani z haza</w:t>
      </w:r>
      <w:r>
        <w:t>rdních her provedené zákonem č. </w:t>
      </w:r>
      <w:r w:rsidRPr="003316D9">
        <w:t xml:space="preserve">364/2019 Sb., účinné od 1. ledna 2020, byly původně navrhovány tři </w:t>
      </w:r>
      <w:r>
        <w:t xml:space="preserve">pásma </w:t>
      </w:r>
      <w:r w:rsidRPr="003316D9">
        <w:t>saz</w:t>
      </w:r>
      <w:r>
        <w:t>e</w:t>
      </w:r>
      <w:r w:rsidRPr="003316D9">
        <w:t>b</w:t>
      </w:r>
      <w:r w:rsidR="00326066">
        <w:t xml:space="preserve"> (v souladu s předchozím návrhem)</w:t>
      </w:r>
      <w:r w:rsidRPr="003316D9">
        <w:t>, nicméně opět v důsledku pozměňovacího návrhu přijatého v Poslanecké sněm</w:t>
      </w:r>
      <w:r>
        <w:t xml:space="preserve">ovně </w:t>
      </w:r>
      <w:r w:rsidRPr="003316D9">
        <w:t>Parlamentu České republiky</w:t>
      </w:r>
      <w:r>
        <w:t xml:space="preserve"> byla zachována pásma dvě a </w:t>
      </w:r>
      <w:r w:rsidRPr="003316D9">
        <w:t xml:space="preserve">současně došlo k </w:t>
      </w:r>
      <w:r>
        <w:t>za</w:t>
      </w:r>
      <w:r w:rsidRPr="003316D9">
        <w:t>řazení jednoho z druhů hazardní hry do vyšší</w:t>
      </w:r>
      <w:r>
        <w:t>ho</w:t>
      </w:r>
      <w:r w:rsidRPr="003316D9">
        <w:t xml:space="preserve"> </w:t>
      </w:r>
      <w:r>
        <w:t>pásma</w:t>
      </w:r>
      <w:r w:rsidR="00BE6341">
        <w:t>, a </w:t>
      </w:r>
      <w:r w:rsidRPr="003316D9">
        <w:t xml:space="preserve">to na základě důvodů, které jsou </w:t>
      </w:r>
      <w:r>
        <w:t>uvedeny níže. S </w:t>
      </w:r>
      <w:r w:rsidRPr="003316D9">
        <w:t>účinností od 1. </w:t>
      </w:r>
      <w:r w:rsidR="003750F8">
        <w:t>l</w:t>
      </w:r>
      <w:r w:rsidRPr="003316D9">
        <w:t>edna</w:t>
      </w:r>
      <w:r w:rsidR="003750F8">
        <w:t> </w:t>
      </w:r>
      <w:r w:rsidRPr="003316D9">
        <w:t xml:space="preserve">2020 byla tedy sazba </w:t>
      </w:r>
      <w:r>
        <w:t>ve výši 35 </w:t>
      </w:r>
      <w:r w:rsidRPr="003316D9">
        <w:t>% v případě dílčí daně z</w:t>
      </w:r>
      <w:r>
        <w:t> </w:t>
      </w:r>
      <w:r w:rsidRPr="003316D9">
        <w:t>technických her a</w:t>
      </w:r>
      <w:r w:rsidR="003750F8">
        <w:t> </w:t>
      </w:r>
      <w:r w:rsidRPr="003316D9">
        <w:t xml:space="preserve"> </w:t>
      </w:r>
      <w:r w:rsidR="00B344C0">
        <w:t>nově i </w:t>
      </w:r>
      <w:r w:rsidRPr="003316D9">
        <w:t>dílčí daně z loterií a sazba ve výši 23 %, kterou jsou zatíženy ostatní druhy hazardních her.</w:t>
      </w:r>
    </w:p>
    <w:p w14:paraId="16A57494" w14:textId="7DBCEE3C" w:rsidR="00B658DF" w:rsidRPr="009C2307" w:rsidRDefault="00B658DF" w:rsidP="00C334E0">
      <w:r w:rsidRPr="009C2307">
        <w:rPr>
          <w:b/>
        </w:rPr>
        <w:t>Diferencovanost sazeb daně z hazardních her podle druhu hazardní hry je dána charakteristickými rysy jednotlivých druhů hazardních her</w:t>
      </w:r>
      <w:r w:rsidRPr="00CF22B7">
        <w:t>. Zákon o hazardních hrách přistoupil k rozdělení hazardních her podle jejic</w:t>
      </w:r>
      <w:r w:rsidR="00993CED">
        <w:t>h charakteristických rysů, a to </w:t>
      </w:r>
      <w:r w:rsidRPr="00CF22B7">
        <w:t>zejména ve snaze právně regulovat jednotlivé dr</w:t>
      </w:r>
      <w:r w:rsidR="00993CED">
        <w:t>uhy hazardních her jednotně pro </w:t>
      </w:r>
      <w:r w:rsidRPr="00CF22B7">
        <w:t>všechny jejich dílčí varianty, a tím odstranit ne</w:t>
      </w:r>
      <w:r w:rsidR="00BE6341">
        <w:t>systematičnost starého zákona o </w:t>
      </w:r>
      <w:r w:rsidRPr="00CF22B7">
        <w:t>hazardních hrách, který k právní regulaci hazardních her přistupoval kazuisticky</w:t>
      </w:r>
      <w:r>
        <w:t xml:space="preserve"> a nezakládal obecná pravidla právní regulace pro jednotlivé druhy hazardních her</w:t>
      </w:r>
      <w:r w:rsidRPr="003316D9">
        <w:t>.</w:t>
      </w:r>
    </w:p>
    <w:p w14:paraId="64761AD2" w14:textId="362C5F18" w:rsidR="00B658DF" w:rsidRDefault="00B658DF" w:rsidP="00C334E0">
      <w:r w:rsidRPr="001830CD">
        <w:t>Zákon o dani z hazardních her také zavedl minimální dílčí daň z technických her, která nahradila pevnou sazbu pro technickou hru podle zákona o loteriích. Minimální dílčí daň z technických her je v porovnání s pevnou sazbou</w:t>
      </w:r>
      <w:r w:rsidR="008315E5">
        <w:t>, která představovala částku 80 </w:t>
      </w:r>
      <w:r w:rsidRPr="001830CD">
        <w:t>Kč odváděnou za přístroj a za den, institutem, jehož primárním cílem není fiskální funkce, ale funkce preventivní a koncentrační. Má tedy bránit vyhýbání se zdaně</w:t>
      </w:r>
      <w:r>
        <w:t>ní dílčí daně z technické hry a </w:t>
      </w:r>
      <w:r w:rsidRPr="001830CD">
        <w:t>předevší</w:t>
      </w:r>
      <w:r w:rsidR="00993CED">
        <w:t>m má provozovatele motivovat ke </w:t>
      </w:r>
      <w:r w:rsidRPr="001830CD">
        <w:t xml:space="preserve">koncentraci technické hry do míst, kde by dosahovala lepších hospodářských </w:t>
      </w:r>
      <w:r w:rsidRPr="001830CD">
        <w:lastRenderedPageBreak/>
        <w:t>výsledků. Institut minimální dílčí daně z technických her by tak měl přispívat k nižší dostupnosti technické hry.</w:t>
      </w:r>
    </w:p>
    <w:p w14:paraId="21EFDEF4" w14:textId="4F1C71E6" w:rsidR="00B658DF" w:rsidRDefault="00B658DF" w:rsidP="00C334E0">
      <w:r>
        <w:t>D</w:t>
      </w:r>
      <w:r w:rsidRPr="00B92A13">
        <w:t xml:space="preserve">ílčí změnou, kterou </w:t>
      </w:r>
      <w:r>
        <w:t>nová právní úprava přinesla</w:t>
      </w:r>
      <w:r w:rsidR="00993CED">
        <w:t>, je vynětí některých tombol ze </w:t>
      </w:r>
      <w:r w:rsidRPr="00B92A13">
        <w:t>zdanění daní z hazardních her. Jde o dlo</w:t>
      </w:r>
      <w:r w:rsidR="00993CED">
        <w:t>uhodobě diskutované téma, kdy s </w:t>
      </w:r>
      <w:r w:rsidRPr="00B92A13">
        <w:t>ohledem na nízkou společenskou nebezpečnost provozování tombol s relativně malou herní jistinou například při slavnostech či zábavách</w:t>
      </w:r>
      <w:r>
        <w:t xml:space="preserve"> pořádaných</w:t>
      </w:r>
      <w:r w:rsidRPr="00B92A13">
        <w:t xml:space="preserve"> obcemi, školami, různými spolky či jinými obdobnými subjekty, a s ohledem na skutečnost, že se v zásadě jedná o nepodnikatelské provozování, při kterém jsou výhry</w:t>
      </w:r>
      <w:r w:rsidR="00B344C0">
        <w:t xml:space="preserve"> získávány převážně z </w:t>
      </w:r>
      <w:r w:rsidRPr="00B92A13">
        <w:t xml:space="preserve">věcných darů nebo při kterém jejich </w:t>
      </w:r>
      <w:r w:rsidR="00993CED">
        <w:t>hodnotu pokrývá samotný výnos z </w:t>
      </w:r>
      <w:r w:rsidRPr="00B92A13">
        <w:t>tomboly, není vhodné, aby jejich provozování podléhalo dani z hazardních her. Rovněž zákon o hazardních hrách pro provozování tombol s herní jistinou ve výši 100</w:t>
      </w:r>
      <w:r w:rsidR="00191662">
        <w:t> </w:t>
      </w:r>
      <w:r w:rsidRPr="00B92A13">
        <w:t>000</w:t>
      </w:r>
      <w:r w:rsidR="00191662">
        <w:t> </w:t>
      </w:r>
      <w:r w:rsidR="00B344C0">
        <w:t>Kč a </w:t>
      </w:r>
      <w:r w:rsidRPr="00B92A13">
        <w:t>méně stanovuje mírnější podmínky než pro provozování jiných hazardních her.</w:t>
      </w:r>
    </w:p>
    <w:p w14:paraId="0A49095D" w14:textId="77777777" w:rsidR="00B658DF" w:rsidRPr="001830CD" w:rsidRDefault="00B658DF" w:rsidP="00C334E0">
      <w:r w:rsidRPr="001830CD">
        <w:t xml:space="preserve">Zásadním posunem z hlediska regulace nelegálně provozovaných hazardních her byla skutečnost, že zákon o dani z hazardních her </w:t>
      </w:r>
      <w:r w:rsidRPr="009C2307">
        <w:rPr>
          <w:b/>
        </w:rPr>
        <w:t>umožnil danění nelegálních provozovatelů</w:t>
      </w:r>
      <w:r w:rsidRPr="001830CD">
        <w:t>. Primárním cílem této změny bylo odrazování subjektů, které by v České republice chtěly provozovat hazardní hry bez základního povolení.</w:t>
      </w:r>
    </w:p>
    <w:p w14:paraId="2EF8FCA5" w14:textId="3DEB7730" w:rsidR="00B658DF" w:rsidRDefault="00B658DF" w:rsidP="00C334E0">
      <w:r w:rsidRPr="001830CD">
        <w:t>Se zákonem o dani z hazardních her došlo také ke zrušení ustanovení umožňující slevu na da</w:t>
      </w:r>
      <w:r w:rsidR="00E30B2C">
        <w:t>ni z hazardních her, kterou bylo</w:t>
      </w:r>
      <w:r w:rsidRPr="001830CD">
        <w:t xml:space="preserve"> podle zákona o loteriích možné uplatňovat až do výše 25 % z dílčího odvodu loterií a kursových sázek, pokud provozovatel poskytl odpovídající částku ve formě peněžitých darů Českému olympijskému výboru na účely tělovýchovné a sp</w:t>
      </w:r>
      <w:r>
        <w:t>ortovní.</w:t>
      </w:r>
    </w:p>
    <w:p w14:paraId="210100D6" w14:textId="6AA91431" w:rsidR="00B658DF" w:rsidRPr="00244A60" w:rsidRDefault="00B658DF" w:rsidP="00C334E0">
      <w:pPr>
        <w:rPr>
          <w:b/>
        </w:rPr>
      </w:pPr>
      <w:r w:rsidRPr="001830CD">
        <w:t xml:space="preserve">Zákon o dani z hazardních her rovněž </w:t>
      </w:r>
      <w:r w:rsidRPr="009C2307">
        <w:rPr>
          <w:b/>
        </w:rPr>
        <w:t>zkrátil zdaňovací období</w:t>
      </w:r>
      <w:r w:rsidRPr="001830CD">
        <w:t>, a to z jednoho kalendářního roku na kalendářní čtvrtletí.</w:t>
      </w:r>
      <w:r>
        <w:t xml:space="preserve"> S účinností od 1.</w:t>
      </w:r>
      <w:r w:rsidR="00191662">
        <w:t> </w:t>
      </w:r>
      <w:r>
        <w:t>4.</w:t>
      </w:r>
      <w:r w:rsidR="00191662">
        <w:t> </w:t>
      </w:r>
      <w:r>
        <w:t xml:space="preserve">2019 je pro účely správy daně z hazardních her </w:t>
      </w:r>
      <w:r w:rsidRPr="00244A60">
        <w:rPr>
          <w:b/>
        </w:rPr>
        <w:t>příslušným správcem této daně Specializovaný finanční úřad.</w:t>
      </w:r>
    </w:p>
    <w:p w14:paraId="3E89E2BD" w14:textId="77777777" w:rsidR="00B658DF" w:rsidRDefault="00B658DF" w:rsidP="00C334E0">
      <w:r w:rsidRPr="00C95B5A">
        <w:t xml:space="preserve">Daň z hazardních her je </w:t>
      </w:r>
      <w:r w:rsidRPr="00C62A51">
        <w:rPr>
          <w:b/>
        </w:rPr>
        <w:t>sdílenou daní</w:t>
      </w:r>
      <w:r>
        <w:t>.</w:t>
      </w:r>
      <w:r w:rsidRPr="00C95B5A">
        <w:t xml:space="preserve"> </w:t>
      </w:r>
      <w:r>
        <w:t xml:space="preserve">Rozpočtové určení této daně je realizováno skrze rozdělení tzv. celostátního hrubého výnosu daně – peněžní prostředky vybrané v průběhu rozpočtového roku správcem daně, které jsou snížené o vrácené prostředky. </w:t>
      </w:r>
    </w:p>
    <w:p w14:paraId="4ACC5410" w14:textId="26F514B4" w:rsidR="00B658DF" w:rsidRDefault="00B658DF" w:rsidP="00C334E0">
      <w:r>
        <w:t>V případě daně z technických her je 65 % hrubých výnosů daně příjmem obecních rozpočtů</w:t>
      </w:r>
      <w:r w:rsidR="00D75053">
        <w:t xml:space="preserve"> (pouze těch obcí, na jejichž území jsou provozovány technické hry)</w:t>
      </w:r>
      <w:r>
        <w:t xml:space="preserve"> a 35</w:t>
      </w:r>
      <w:r w:rsidR="00191662">
        <w:t> </w:t>
      </w:r>
      <w:r>
        <w:t xml:space="preserve">% příjmem státního rozpočtu. Výše podílu jednotlivé obce je odvozena od počtu herních pozic legálně provozované technické hry na jejím území. Procento z výnosu daně z technické hry, které získá konkrétní obec, se vypočítá podle </w:t>
      </w:r>
      <w:r w:rsidRPr="00C11ECB">
        <w:t>§</w:t>
      </w:r>
      <w:r w:rsidR="008315E5">
        <w:t xml:space="preserve"> 7 odst. 2 zákona o </w:t>
      </w:r>
      <w:r>
        <w:t>hazardních hrách jako poměr součtu povolených</w:t>
      </w:r>
      <w:r w:rsidR="00993CED">
        <w:t xml:space="preserve"> herních pozic technické hry na </w:t>
      </w:r>
      <w:r>
        <w:t xml:space="preserve">území dané obce a celkového počtu povolených herních pozic v České republice. Dle takto získaných koeficientů obcí se rozdělují i daně získané z internetových technických her. </w:t>
      </w:r>
      <w:r w:rsidRPr="00C95B5A">
        <w:t xml:space="preserve">Oproti dani z technických her se výnosy </w:t>
      </w:r>
      <w:r>
        <w:t xml:space="preserve">daně u ostatních hazardních her </w:t>
      </w:r>
      <w:r w:rsidRPr="00C95B5A">
        <w:t>rozdělují v jiném poměru – 30 % ku 70 % ve prospěch státního rozpočtu.</w:t>
      </w:r>
      <w:r>
        <w:t xml:space="preserve"> Liší se také způsob rozdělení, jelikož výnosy daně z ostatních hazardních her se rozdělují způsobem obdobným rozdělování výnosů daně z příjmů právnických osob, nikoliv dle výše uvedeného koeficientu.</w:t>
      </w:r>
    </w:p>
    <w:p w14:paraId="294D80A7" w14:textId="73ACB38D" w:rsidR="00B658DF" w:rsidRPr="00B658DF" w:rsidRDefault="00B658DF" w:rsidP="00C334E0">
      <w:r w:rsidRPr="009C2307">
        <w:rPr>
          <w:b/>
        </w:rPr>
        <w:t>Danění výher</w:t>
      </w:r>
      <w:r w:rsidRPr="001830CD">
        <w:t xml:space="preserve"> zákon o dani z hazardních her neupravuje, stejně tak nebylo upraveno zákonem o loteriích. Příslušným právním předpisem je zákon o daních z příjmu, podle kterého se výhry </w:t>
      </w:r>
      <w:r>
        <w:t xml:space="preserve">z hazardních her </w:t>
      </w:r>
      <w:r w:rsidR="000D01F0">
        <w:t xml:space="preserve">do konce roku 2019 vůbec nedanily. </w:t>
      </w:r>
      <w:r w:rsidR="000D01F0">
        <w:lastRenderedPageBreak/>
        <w:t>O</w:t>
      </w:r>
      <w:r w:rsidR="00B344C0">
        <w:t>d</w:t>
      </w:r>
      <w:r w:rsidR="00191662">
        <w:t> </w:t>
      </w:r>
      <w:r w:rsidR="00B344C0">
        <w:t>1. </w:t>
      </w:r>
      <w:r>
        <w:t xml:space="preserve">1. 2020 </w:t>
      </w:r>
      <w:r w:rsidR="000D01F0">
        <w:t xml:space="preserve">se již </w:t>
      </w:r>
      <w:r w:rsidRPr="001830CD">
        <w:t>daní</w:t>
      </w:r>
      <w:r w:rsidR="000D01F0">
        <w:t>, a to</w:t>
      </w:r>
      <w:r w:rsidRPr="001830CD">
        <w:t xml:space="preserve"> 15% sazbou</w:t>
      </w:r>
      <w:r>
        <w:t>,</w:t>
      </w:r>
      <w:r w:rsidRPr="001830CD">
        <w:t xml:space="preserve"> pokud výše výhry přesáhne u loterie nebo tomboly 1 mil. Kč, či v případě ostatních druhů hazardních her je stejnou sazbou daněn rozdíl mezi úhrnem výher a úhrnem vkladů, který přesahuje 1 mil. Kč.</w:t>
      </w:r>
    </w:p>
    <w:p w14:paraId="43CBE654" w14:textId="71BB9C3C" w:rsidR="000B15C0" w:rsidRDefault="000B15C0" w:rsidP="000B15C0">
      <w:pPr>
        <w:pStyle w:val="Nadpis3"/>
      </w:pPr>
      <w:bookmarkStart w:id="60" w:name="_Toc72999556"/>
      <w:bookmarkStart w:id="61" w:name="_Toc73613633"/>
      <w:r w:rsidRPr="002E6EC3">
        <w:t>Obecné zhodnocení</w:t>
      </w:r>
      <w:r w:rsidR="00807112">
        <w:t xml:space="preserve"> a naplnění cílů nové právní úpravy</w:t>
      </w:r>
      <w:bookmarkEnd w:id="60"/>
      <w:bookmarkEnd w:id="61"/>
    </w:p>
    <w:p w14:paraId="028E2604" w14:textId="090FD006" w:rsidR="00367E3E" w:rsidRDefault="00367E3E" w:rsidP="00C334E0">
      <w:r>
        <w:t xml:space="preserve">Cílem nových právních předpisů regulujících provozování hazardních her bylo vytvořit transparentní právní úpravu, která by odpovídala technické vyspělosti trhu, právním předpisů Evropské unie, zajišťovala vysokou úroveň ochrany účastníků hazardních her i dalších osob. Cílem právní úpravy bylo také umožnit řádný výkon dozoru v oblasti provozování hazardních her a zajistit efektivní výběr daně.  </w:t>
      </w:r>
    </w:p>
    <w:p w14:paraId="225509B3" w14:textId="77777777" w:rsidR="00367E3E" w:rsidRDefault="00367E3E" w:rsidP="00C334E0">
      <w:r>
        <w:t>Souběžným záměrem Ministerstva financí v rámci rekodifikace oblasti hazardních her bylo i vybudování informačního systému provozování hazardních her spravujícího veškerá data a údaje v oblasti hazardních her. Tento systém pracuje na bázi zajišťující nejvyšší míru ochrany dat poskytovaných provozovatelem regulátorovi.</w:t>
      </w:r>
    </w:p>
    <w:p w14:paraId="467AA70F" w14:textId="1D92512C" w:rsidR="009D57AA" w:rsidRDefault="00B01C1B" w:rsidP="00C334E0">
      <w:pPr>
        <w:rPr>
          <w:rFonts w:cs="Arial"/>
          <w:szCs w:val="24"/>
        </w:rPr>
      </w:pPr>
      <w:r>
        <w:rPr>
          <w:rFonts w:cs="Arial"/>
          <w:szCs w:val="24"/>
        </w:rPr>
        <w:t xml:space="preserve">V následující části ex post </w:t>
      </w:r>
      <w:r w:rsidR="007D4ED3">
        <w:rPr>
          <w:rFonts w:cs="Arial"/>
          <w:szCs w:val="24"/>
        </w:rPr>
        <w:t xml:space="preserve">RIA </w:t>
      </w:r>
      <w:r>
        <w:rPr>
          <w:rFonts w:cs="Arial"/>
          <w:szCs w:val="24"/>
        </w:rPr>
        <w:t xml:space="preserve">je na základě konkrétních dat vyhodnoceno, zda </w:t>
      </w:r>
      <w:r w:rsidR="007D4ED3">
        <w:rPr>
          <w:rFonts w:cs="Arial"/>
          <w:szCs w:val="24"/>
        </w:rPr>
        <w:t xml:space="preserve">a jak </w:t>
      </w:r>
      <w:r>
        <w:rPr>
          <w:rFonts w:cs="Arial"/>
          <w:szCs w:val="24"/>
        </w:rPr>
        <w:t>byly výše specifikované cíle nové a komplexní regulace hazardních her naplněny a jaká byla účinnost přijatých opatření.</w:t>
      </w:r>
    </w:p>
    <w:p w14:paraId="6F752560" w14:textId="2092CEEE" w:rsidR="00B01C1B" w:rsidRPr="00FC213E" w:rsidRDefault="00B01C1B" w:rsidP="00B01C1B">
      <w:pPr>
        <w:pStyle w:val="Nadpis4"/>
      </w:pPr>
      <w:bookmarkStart w:id="62" w:name="_Toc72999557"/>
      <w:r w:rsidRPr="00FC213E">
        <w:t>Ochrana sázejících a jejich okolí</w:t>
      </w:r>
      <w:r>
        <w:t xml:space="preserve"> a zajištění opatření k </w:t>
      </w:r>
      <w:r w:rsidRPr="00EA6178">
        <w:t>předcházení a potírání sociálně patologických jevů spojených s provozováním hazardních her</w:t>
      </w:r>
      <w:bookmarkEnd w:id="62"/>
    </w:p>
    <w:p w14:paraId="261AFF52" w14:textId="23028A9B" w:rsidR="00B344C0" w:rsidRPr="00B41B2B" w:rsidRDefault="00B01C1B" w:rsidP="00B344C0">
      <w:pPr>
        <w:rPr>
          <w:rFonts w:cs="Arial"/>
          <w:szCs w:val="24"/>
        </w:rPr>
      </w:pPr>
      <w:r w:rsidRPr="00C334E0">
        <w:t xml:space="preserve">Ke zcela zásadnímu posunu došlo v oblasti </w:t>
      </w:r>
      <w:r w:rsidRPr="007F075B">
        <w:rPr>
          <w:b/>
        </w:rPr>
        <w:t>ochrany účastníků hazardních her</w:t>
      </w:r>
      <w:r w:rsidRPr="00C334E0">
        <w:t>. Ačkoli i zákon o loteriích obsahoval několik ustanovení</w:t>
      </w:r>
      <w:r w:rsidR="007D4ED3" w:rsidRPr="00C334E0">
        <w:t xml:space="preserve"> resp. nástrojů</w:t>
      </w:r>
      <w:r w:rsidRPr="00C334E0">
        <w:t>, které se týkaly jejich ochrany, jednalo se zejména o ochranu mladistvých, resp. stanovení podmínek, jakými měl provozovatel zamezit jejich účasti na hazardní hře. Těmito opatřeními byl především zákaz vstupu osob mladších 18 let do heren či kasin. V rámci právní úpravy obsažené v zákoně o hazardních hrách dochází k podstatnému rozšíření institutů, které mají pozitivní vliv nejen na chování účastníků hazardních her, ale také na ochranu skupin, které jsou účastí na hazardní hře nejvíce ohroženi.</w:t>
      </w:r>
      <w:r w:rsidR="005E1892" w:rsidRPr="00C334E0">
        <w:t xml:space="preserve"> Nejedná se pouze o ochranu samotných </w:t>
      </w:r>
      <w:r w:rsidR="00727982">
        <w:t>účastníků hazardních her</w:t>
      </w:r>
      <w:r w:rsidR="005E1892" w:rsidRPr="00C334E0">
        <w:t>, ale i jejich blízkých, na které potenciální negativní důsledky hazardního hraní mohou mít stejné negativní dopady.</w:t>
      </w:r>
      <w:r w:rsidRPr="00C334E0">
        <w:t xml:space="preserve"> Tato opatření zahrnují </w:t>
      </w:r>
      <w:r w:rsidRPr="007F075B">
        <w:rPr>
          <w:b/>
        </w:rPr>
        <w:t>celou škálu institutů</w:t>
      </w:r>
      <w:r w:rsidRPr="00C334E0">
        <w:t xml:space="preserve"> od pevně stanovených limitů maximálních sázek, maximální doby účasti na technické hře, po možnost individuálního omezení konkrétního </w:t>
      </w:r>
      <w:r w:rsidR="00727982">
        <w:t>účastníka hazardní hry</w:t>
      </w:r>
      <w:r w:rsidR="00727982" w:rsidRPr="00372887">
        <w:t xml:space="preserve"> </w:t>
      </w:r>
      <w:r w:rsidRPr="00C334E0">
        <w:t>prostřednictvím nastavení sebeomezujících opatření</w:t>
      </w:r>
      <w:r w:rsidR="00993CED">
        <w:t xml:space="preserve"> či zápisu do </w:t>
      </w:r>
      <w:r w:rsidRPr="00C334E0">
        <w:t>Rejstříku vyloučených osob</w:t>
      </w:r>
      <w:r w:rsidR="00014CAE" w:rsidRPr="00C334E0">
        <w:t xml:space="preserve">. </w:t>
      </w:r>
      <w:r w:rsidR="00B344C0" w:rsidRPr="00C334E0">
        <w:t>Předpokladem k využití těchto institutů je zřízení uživatelského konta, které je u</w:t>
      </w:r>
      <w:r w:rsidR="003750F8">
        <w:t> </w:t>
      </w:r>
      <w:r w:rsidR="00B344C0" w:rsidRPr="00C334E0">
        <w:t>naprosté většiny druhů hazardních her povinné. Dalšími pilíři v této oblasti jsou úprava</w:t>
      </w:r>
      <w:r w:rsidR="00B344C0">
        <w:rPr>
          <w:rFonts w:cs="Arial"/>
          <w:szCs w:val="24"/>
        </w:rPr>
        <w:t xml:space="preserve"> informační povinnosti a regulovaná reklama</w:t>
      </w:r>
      <w:r w:rsidR="00993CED">
        <w:rPr>
          <w:rFonts w:cs="Arial"/>
          <w:szCs w:val="24"/>
        </w:rPr>
        <w:t xml:space="preserve"> na </w:t>
      </w:r>
      <w:r w:rsidR="00B344C0">
        <w:rPr>
          <w:rFonts w:cs="Arial"/>
          <w:szCs w:val="24"/>
        </w:rPr>
        <w:t xml:space="preserve">hazardní hru. </w:t>
      </w:r>
    </w:p>
    <w:p w14:paraId="1B879D0D" w14:textId="77777777" w:rsidR="00B01C1B" w:rsidRPr="008E31B4" w:rsidRDefault="00B01C1B" w:rsidP="00C55173">
      <w:pPr>
        <w:pStyle w:val="Nadpis6"/>
      </w:pPr>
      <w:bookmarkStart w:id="63" w:name="_Toc72999558"/>
      <w:r w:rsidRPr="008E31B4">
        <w:t>Rejstřík vyloučených osob</w:t>
      </w:r>
      <w:bookmarkEnd w:id="63"/>
    </w:p>
    <w:p w14:paraId="3CA0C42E" w14:textId="46852F34" w:rsidR="00B01C1B" w:rsidRDefault="00B01C1B" w:rsidP="00C334E0">
      <w:r>
        <w:t xml:space="preserve">Jedním z nových a rovněž </w:t>
      </w:r>
      <w:r w:rsidRPr="004B5B1C">
        <w:rPr>
          <w:b/>
        </w:rPr>
        <w:t>základních pilířů opatření pro zodpovědné hraní</w:t>
      </w:r>
      <w:r>
        <w:t xml:space="preserve"> v zákoně o hazardních hrách je zavedení Rejstříku vyloučených osob. Ministerstvo financí tento </w:t>
      </w:r>
      <w:r w:rsidR="007E3008">
        <w:t>R</w:t>
      </w:r>
      <w:r>
        <w:t>ejstřík spustilo v září 2020 a provozovatelé hazardních her mají povi</w:t>
      </w:r>
      <w:r w:rsidR="00AF64B2">
        <w:t>nnost od 20. 12. </w:t>
      </w:r>
      <w:r>
        <w:t>2020 nevpustit osobu v něm uvedenou do herního prostoru, nesmí jí umožnit zřídit nebo používat uživatelské konto.</w:t>
      </w:r>
    </w:p>
    <w:p w14:paraId="7E92E4FC" w14:textId="7B46F084" w:rsidR="00B01C1B" w:rsidRDefault="00B01C1B" w:rsidP="00C334E0">
      <w:pPr>
        <w:rPr>
          <w:rFonts w:ascii="TimesNewRomanPSMT" w:hAnsi="TimesNewRomanPSMT" w:cs="TimesNewRomanPSMT"/>
        </w:rPr>
      </w:pPr>
      <w:r w:rsidRPr="00B41B2B">
        <w:lastRenderedPageBreak/>
        <w:t xml:space="preserve">V případě </w:t>
      </w:r>
      <w:r w:rsidRPr="004B5B1C">
        <w:rPr>
          <w:b/>
        </w:rPr>
        <w:t>Rejstříku vyloučených osob</w:t>
      </w:r>
      <w:r>
        <w:t xml:space="preserve"> </w:t>
      </w:r>
      <w:r w:rsidRPr="00B41B2B">
        <w:t>jsou kromě oso</w:t>
      </w:r>
      <w:r w:rsidR="007E3008">
        <w:t>b, které se zapisují do tohoto R</w:t>
      </w:r>
      <w:r w:rsidRPr="00B41B2B">
        <w:t xml:space="preserve">ejstříku </w:t>
      </w:r>
      <w:r w:rsidRPr="004B5B1C">
        <w:rPr>
          <w:b/>
        </w:rPr>
        <w:t>z vlastní iniciativy</w:t>
      </w:r>
      <w:r w:rsidRPr="00B41B2B">
        <w:t xml:space="preserve"> a u kterých lze předpo</w:t>
      </w:r>
      <w:r w:rsidR="00993CED">
        <w:t>kládat, že tak činí vzhledem ke </w:t>
      </w:r>
      <w:r w:rsidRPr="00B41B2B">
        <w:t xml:space="preserve">svému potencionálně </w:t>
      </w:r>
      <w:r w:rsidRPr="004B5B1C">
        <w:rPr>
          <w:b/>
        </w:rPr>
        <w:t>rizikovému chování</w:t>
      </w:r>
      <w:r w:rsidRPr="00B41B2B">
        <w:t xml:space="preserve">, vedeny také osoby </w:t>
      </w:r>
      <w:r w:rsidRPr="004B5B1C">
        <w:rPr>
          <w:b/>
        </w:rPr>
        <w:t>preventivně vyloučené</w:t>
      </w:r>
      <w:r w:rsidRPr="007F075B">
        <w:t xml:space="preserve"> z účasti na hazardních hrách z moci úřední vycházející z nejnižšího možného posouzení majetkových poměrů osob.</w:t>
      </w:r>
      <w:r w:rsidR="005A3711" w:rsidRPr="007F075B">
        <w:t xml:space="preserve"> Nejedná se tedy o „Rejstřík patologických hráčů“.</w:t>
      </w:r>
      <w:r w:rsidRPr="007F075B">
        <w:t xml:space="preserve"> </w:t>
      </w:r>
      <w:r>
        <w:t xml:space="preserve">Údaje pro zápis do Rejstříku vyloučených osob u osob zapisovaných </w:t>
      </w:r>
      <w:r w:rsidRPr="004B5B1C">
        <w:rPr>
          <w:b/>
        </w:rPr>
        <w:t>z moci úřední</w:t>
      </w:r>
      <w:r>
        <w:t xml:space="preserve"> čerpá Ministerstvo financí z příslušných databází spravovaných Ministerst</w:t>
      </w:r>
      <w:r w:rsidR="007E3008">
        <w:t>vem spravedlnosti (Insolvenční R</w:t>
      </w:r>
      <w:r>
        <w:t>ejstřík – ISIR) a Ministerstvem práce a sociálních věcí (Informační systém pro vedení agendy dávek pro občany v hmotné nouzi OKNouze), nebo je získává přímo od příslušných soudů. U těchto osob provádí Ministerstvo financí zápis a výmaz údajů v Rejstříku vyloučených osob z moci úřední na základě zákona neprodleně poté</w:t>
      </w:r>
      <w:r w:rsidR="00191662">
        <w:t>,</w:t>
      </w:r>
      <w:r w:rsidR="00993CED">
        <w:t xml:space="preserve"> co se dozví, že </w:t>
      </w:r>
      <w:r>
        <w:t>nastaly nebo pominuly důvody zápisu dané osoby do Rejstříku vyloučených osob.</w:t>
      </w:r>
    </w:p>
    <w:p w14:paraId="6467944D" w14:textId="338C2165" w:rsidR="00B01C1B" w:rsidRPr="00F86E44" w:rsidRDefault="00B01C1B" w:rsidP="00C334E0">
      <w:r w:rsidRPr="0057379B">
        <w:t xml:space="preserve">Ke dni </w:t>
      </w:r>
      <w:r w:rsidRPr="002C73AB">
        <w:t xml:space="preserve">1. 4. 2021 evidovalo Ministerstvo financí </w:t>
      </w:r>
      <w:r w:rsidRPr="004B5B1C">
        <w:rPr>
          <w:b/>
        </w:rPr>
        <w:t>205 923 osob</w:t>
      </w:r>
      <w:r w:rsidRPr="002C73AB">
        <w:t xml:space="preserve"> zapsaných v  </w:t>
      </w:r>
      <w:r w:rsidR="007E3008">
        <w:t>R</w:t>
      </w:r>
      <w:r w:rsidRPr="002C73AB">
        <w:t>ejstříku</w:t>
      </w:r>
      <w:r w:rsidR="008F4F8D">
        <w:t xml:space="preserve"> vyloučených osob</w:t>
      </w:r>
      <w:r w:rsidRPr="002C73AB">
        <w:t xml:space="preserve"> s alespoň jedním aktuálně platným dův</w:t>
      </w:r>
      <w:r w:rsidRPr="0057379B">
        <w:t>odem vyloučení. Především v období po spuštění Rejstříku vyloučených osob evidovalo Ministerstvo financí zvýše</w:t>
      </w:r>
      <w:r w:rsidR="007E3008">
        <w:t>né množství žádostí o zápis do R</w:t>
      </w:r>
      <w:r w:rsidRPr="0057379B">
        <w:t>ejstříku</w:t>
      </w:r>
      <w:r w:rsidR="008F4F8D">
        <w:t xml:space="preserve"> vyloučených osob</w:t>
      </w:r>
      <w:r w:rsidRPr="0057379B">
        <w:t>. Ke dni 1.</w:t>
      </w:r>
      <w:r w:rsidR="003750F8">
        <w:t> </w:t>
      </w:r>
      <w:r w:rsidRPr="0057379B">
        <w:t>4.</w:t>
      </w:r>
      <w:r w:rsidR="003750F8">
        <w:t> </w:t>
      </w:r>
      <w:r w:rsidRPr="0057379B">
        <w:t xml:space="preserve">2021 </w:t>
      </w:r>
      <w:r w:rsidR="007E3008">
        <w:t>Ministerstvo financí do tohoto R</w:t>
      </w:r>
      <w:r w:rsidRPr="0057379B">
        <w:t>ejstříku zapsalo na vlastní žádost 889</w:t>
      </w:r>
      <w:r w:rsidR="003750F8">
        <w:t> </w:t>
      </w:r>
      <w:r w:rsidRPr="0057379B">
        <w:t xml:space="preserve">osob. </w:t>
      </w:r>
    </w:p>
    <w:p w14:paraId="74B13871" w14:textId="25DA24B4" w:rsidR="00B01C1B" w:rsidRDefault="00B01C1B" w:rsidP="00C334E0">
      <w:r w:rsidRPr="00B41B2B">
        <w:t xml:space="preserve">Rozložení jednotlivých kategorií osob zapsaných do </w:t>
      </w:r>
      <w:r>
        <w:t>R</w:t>
      </w:r>
      <w:r w:rsidRPr="00B41B2B">
        <w:t xml:space="preserve">ejstříku vyloučených </w:t>
      </w:r>
      <w:r w:rsidR="00E30B2C">
        <w:t>osob</w:t>
      </w:r>
      <w:r w:rsidRPr="00B41B2B">
        <w:t xml:space="preserve"> znázorňují následující grafy.</w:t>
      </w:r>
    </w:p>
    <w:p w14:paraId="67EDEBC4" w14:textId="7C91062F" w:rsidR="008315E5" w:rsidRDefault="008315E5" w:rsidP="008315E5">
      <w:pPr>
        <w:pStyle w:val="Titulek"/>
        <w:keepNext/>
      </w:pPr>
      <w:bookmarkStart w:id="64" w:name="_Toc73611429"/>
      <w:r>
        <w:t xml:space="preserve">Graf č. </w:t>
      </w:r>
      <w:fldSimple w:instr=" SEQ Graf_č. \* ARABIC ">
        <w:r w:rsidR="00A860B8">
          <w:rPr>
            <w:noProof/>
          </w:rPr>
          <w:t>1</w:t>
        </w:r>
      </w:fldSimple>
      <w:r>
        <w:t xml:space="preserve">: </w:t>
      </w:r>
      <w:r w:rsidRPr="00691D51">
        <w:t>Osoby zapsané do Rejstříku vyloučených os</w:t>
      </w:r>
      <w:r w:rsidR="00AF64B2">
        <w:t>ob podle důvodu vyloučení (k 1. </w:t>
      </w:r>
      <w:r w:rsidRPr="00691D51">
        <w:t>4. 2021)</w:t>
      </w:r>
      <w:bookmarkEnd w:id="64"/>
    </w:p>
    <w:p w14:paraId="249132EA" w14:textId="77777777" w:rsidR="00B01C1B" w:rsidRDefault="00B01C1B" w:rsidP="00B01C1B">
      <w:r>
        <w:rPr>
          <w:noProof/>
          <w:lang w:eastAsia="cs-CZ"/>
        </w:rPr>
        <w:drawing>
          <wp:inline distT="0" distB="0" distL="0" distR="0" wp14:anchorId="323988B3" wp14:editId="643E14CA">
            <wp:extent cx="6343650" cy="2371725"/>
            <wp:effectExtent l="0" t="0" r="0" b="9525"/>
            <wp:docPr id="37" name="Obrázek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3819" cy="2371788"/>
                    </a:xfrm>
                    <a:prstGeom prst="rect">
                      <a:avLst/>
                    </a:prstGeom>
                    <a:noFill/>
                  </pic:spPr>
                </pic:pic>
              </a:graphicData>
            </a:graphic>
          </wp:inline>
        </w:drawing>
      </w:r>
    </w:p>
    <w:p w14:paraId="2C8A6DB8" w14:textId="0B0E4A3F" w:rsidR="00B01C1B" w:rsidRDefault="00B01C1B" w:rsidP="00B01C1B">
      <w:pPr>
        <w:rPr>
          <w:rFonts w:cs="Arial"/>
          <w:i/>
          <w:sz w:val="20"/>
          <w:szCs w:val="20"/>
        </w:rPr>
      </w:pPr>
      <w:r w:rsidRPr="00FC6DD5">
        <w:rPr>
          <w:rFonts w:cs="Arial"/>
          <w:i/>
          <w:sz w:val="20"/>
          <w:szCs w:val="20"/>
        </w:rPr>
        <w:t>Zdroj: Ministerstvo fin</w:t>
      </w:r>
      <w:r w:rsidR="008315E5">
        <w:rPr>
          <w:rFonts w:cs="Arial"/>
          <w:i/>
          <w:sz w:val="20"/>
          <w:szCs w:val="20"/>
        </w:rPr>
        <w:t>ancí – Rejstřík vyloučených osob.</w:t>
      </w:r>
    </w:p>
    <w:p w14:paraId="55A00049" w14:textId="21E9E54D" w:rsidR="00B01C1B" w:rsidRDefault="00B01C1B" w:rsidP="00C334E0">
      <w:r>
        <w:t>Z výše uvedeného grafu je patrné, že největš</w:t>
      </w:r>
      <w:r w:rsidR="00993CED">
        <w:t>í skupinou, která je zapsána do </w:t>
      </w:r>
      <w:r>
        <w:t>Rejstříku vyloučených osob, jsou osoby, vůči kterým byl pravom</w:t>
      </w:r>
      <w:r w:rsidR="00E30B2C">
        <w:t>ocně zjištěn úpadek, následují</w:t>
      </w:r>
      <w:r>
        <w:t xml:space="preserve"> osoby, které pobírají vybrané dávky pomoci </w:t>
      </w:r>
      <w:r w:rsidR="007E3008">
        <w:t>v hmotné nouzi. Řada osob je v</w:t>
      </w:r>
      <w:r w:rsidR="008F4F8D">
        <w:t> </w:t>
      </w:r>
      <w:r w:rsidR="007E3008">
        <w:t>R</w:t>
      </w:r>
      <w:r>
        <w:t>ejstříku</w:t>
      </w:r>
      <w:r w:rsidR="008F4F8D">
        <w:t xml:space="preserve"> vyloučených osob</w:t>
      </w:r>
      <w:r>
        <w:t xml:space="preserve"> zapsána z více důvodů.</w:t>
      </w:r>
    </w:p>
    <w:p w14:paraId="2E466400" w14:textId="1DDABF29" w:rsidR="008315E5" w:rsidRDefault="008315E5" w:rsidP="008315E5">
      <w:pPr>
        <w:pStyle w:val="Titulek"/>
        <w:keepNext/>
      </w:pPr>
      <w:bookmarkStart w:id="65" w:name="_Toc73611430"/>
      <w:r>
        <w:lastRenderedPageBreak/>
        <w:t xml:space="preserve">Graf č. </w:t>
      </w:r>
      <w:fldSimple w:instr=" SEQ Graf_č. \* ARABIC ">
        <w:r w:rsidR="00A860B8">
          <w:rPr>
            <w:noProof/>
          </w:rPr>
          <w:t>2</w:t>
        </w:r>
      </w:fldSimple>
      <w:r>
        <w:t xml:space="preserve">: </w:t>
      </w:r>
      <w:r w:rsidRPr="007723BB">
        <w:t>Počet osob zapsaných do Rejstříku vyloučených osob na vlastní žádost – podíl mužů a žen (stav k 1. 4.2021)</w:t>
      </w:r>
      <w:bookmarkEnd w:id="65"/>
    </w:p>
    <w:p w14:paraId="596E6E26" w14:textId="77777777" w:rsidR="00B01C1B" w:rsidRDefault="00B01C1B" w:rsidP="00B01C1B">
      <w:pPr>
        <w:rPr>
          <w:rFonts w:cs="Arial"/>
          <w:szCs w:val="24"/>
        </w:rPr>
      </w:pPr>
      <w:r w:rsidRPr="00555515">
        <w:rPr>
          <w:rFonts w:cs="Arial"/>
          <w:noProof/>
          <w:szCs w:val="24"/>
          <w:lang w:eastAsia="cs-CZ"/>
        </w:rPr>
        <w:drawing>
          <wp:inline distT="0" distB="0" distL="0" distR="0" wp14:anchorId="635EC3BB" wp14:editId="4587D292">
            <wp:extent cx="5760720" cy="2988945"/>
            <wp:effectExtent l="0" t="0" r="0" b="1905"/>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988945"/>
                    </a:xfrm>
                    <a:prstGeom prst="rect">
                      <a:avLst/>
                    </a:prstGeom>
                  </pic:spPr>
                </pic:pic>
              </a:graphicData>
            </a:graphic>
          </wp:inline>
        </w:drawing>
      </w:r>
    </w:p>
    <w:p w14:paraId="7C84817E" w14:textId="5926C6DB" w:rsidR="00B01C1B" w:rsidRPr="00065ED3"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0268A8E0" w14:textId="7DE0631B" w:rsidR="00B01C1B" w:rsidRDefault="00B01C1B" w:rsidP="00C334E0">
      <w:r>
        <w:t>Následující znázornění jasně poukazuje na významn</w:t>
      </w:r>
      <w:r w:rsidR="00191662">
        <w:t>ě</w:t>
      </w:r>
      <w:r>
        <w:t xml:space="preserve"> převyšující podíl mužů.  </w:t>
      </w:r>
    </w:p>
    <w:p w14:paraId="48A5244A" w14:textId="0E93F1E1" w:rsidR="008315E5" w:rsidRDefault="008315E5" w:rsidP="008315E5">
      <w:pPr>
        <w:pStyle w:val="Titulek"/>
        <w:keepNext/>
      </w:pPr>
      <w:bookmarkStart w:id="66" w:name="_Toc73611431"/>
      <w:r>
        <w:t xml:space="preserve">Graf č. </w:t>
      </w:r>
      <w:fldSimple w:instr=" SEQ Graf_č. \* ARABIC ">
        <w:r w:rsidR="00A860B8">
          <w:rPr>
            <w:noProof/>
          </w:rPr>
          <w:t>3</w:t>
        </w:r>
      </w:fldSimple>
      <w:r>
        <w:t xml:space="preserve">: </w:t>
      </w:r>
      <w:r w:rsidRPr="00B55B9C">
        <w:t>Obdržené žádosti o vyloučení na vlastní žádost s rozdělením dle věkových kategorií po 5 le</w:t>
      </w:r>
      <w:r>
        <w:t>tech (stav k 1. 4. 2021)</w:t>
      </w:r>
      <w:bookmarkEnd w:id="66"/>
    </w:p>
    <w:p w14:paraId="5A730B6B" w14:textId="77777777" w:rsidR="00B01C1B" w:rsidRPr="004B03BF" w:rsidRDefault="00B01C1B" w:rsidP="00B01C1B">
      <w:pPr>
        <w:rPr>
          <w:rFonts w:cs="Arial"/>
          <w:bCs/>
          <w:szCs w:val="24"/>
        </w:rPr>
      </w:pPr>
      <w:r>
        <w:rPr>
          <w:noProof/>
          <w:lang w:eastAsia="cs-CZ"/>
        </w:rPr>
        <w:drawing>
          <wp:inline distT="0" distB="0" distL="0" distR="0" wp14:anchorId="06A60BA0" wp14:editId="2B18B1C6">
            <wp:extent cx="5760720" cy="2167255"/>
            <wp:effectExtent l="0" t="0" r="11430" b="4445"/>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89F1AA" w14:textId="06729539" w:rsidR="00B01C1B"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6908BD3A" w14:textId="77777777" w:rsidR="00B01C1B" w:rsidRDefault="00B01C1B" w:rsidP="00C334E0">
      <w:r>
        <w:t xml:space="preserve">Na základě uvedených dat je patrné, že největší podíl na celkovém počtu obdržených žádostí o vyloučení na vlastní žádost, mají osoby ve věkovém rozmezí 26 – 40 let. Se zvyšujícím se věkem žadatelů se počet žádostí snižuje.  </w:t>
      </w:r>
    </w:p>
    <w:p w14:paraId="0F505C4D" w14:textId="2446FEBE" w:rsidR="00B01C1B" w:rsidRPr="00CE0A3B" w:rsidRDefault="00B01C1B" w:rsidP="00C334E0">
      <w:r w:rsidRPr="00CE0A3B">
        <w:t>Dva následují</w:t>
      </w:r>
      <w:r>
        <w:t>cí</w:t>
      </w:r>
      <w:r w:rsidRPr="00CE0A3B">
        <w:t xml:space="preserve"> grafy </w:t>
      </w:r>
      <w:r>
        <w:t>znázorňují počty osob zapsaných do Rejstříku vyloučených osob na vlastní žádost, a to dle místa bydliště těchto osob. V porovnání obou grafů je nesporné, že Moravskoslezský kraj má zároveň nejvě</w:t>
      </w:r>
      <w:r w:rsidR="008315E5">
        <w:t>tší počet zapsaných osob, tak i </w:t>
      </w:r>
      <w:r>
        <w:t xml:space="preserve">největší podíl osob v přepočtu na počet obyvatel tohoto kraje. Naopak nejnižší počet zapsaných osob, a zároveň nejnižší podíl v přepočtu na počet obyvatel kraje, má kraj Karlovarský. Zajímavé hodnoty lze pozorovat u Libereckého kraje, kde je </w:t>
      </w:r>
      <w:r>
        <w:lastRenderedPageBreak/>
        <w:t>počet osob zapsaných v Rejstříku vyloučených osob</w:t>
      </w:r>
      <w:r w:rsidR="004C2514" w:rsidRPr="004C2514">
        <w:t xml:space="preserve"> </w:t>
      </w:r>
      <w:r w:rsidR="004C2514">
        <w:t>průměrný</w:t>
      </w:r>
      <w:r>
        <w:t>, avšak podíl osob v přepočtu na počet obyvatel kraje je druhý nejvyšší.</w:t>
      </w:r>
    </w:p>
    <w:p w14:paraId="5E7EB574" w14:textId="62E250BA" w:rsidR="008315E5" w:rsidRDefault="0077034D" w:rsidP="008315E5">
      <w:pPr>
        <w:pStyle w:val="Titulek"/>
        <w:keepNext/>
      </w:pPr>
      <w:bookmarkStart w:id="67" w:name="_Toc73611432"/>
      <w:r>
        <w:t xml:space="preserve">Graf č. </w:t>
      </w:r>
      <w:fldSimple w:instr=" SEQ Graf_č. \* ARABIC ">
        <w:r w:rsidR="00A860B8">
          <w:rPr>
            <w:noProof/>
          </w:rPr>
          <w:t>4</w:t>
        </w:r>
      </w:fldSimple>
      <w:r w:rsidR="008315E5">
        <w:t xml:space="preserve">: </w:t>
      </w:r>
      <w:r w:rsidR="008315E5" w:rsidRPr="00375E13">
        <w:t>Osoby zapsané na vlastní žádost do Rejstříku vyloučených osob dle bydliště osob v kraji (stav k 1. 4. 2021)</w:t>
      </w:r>
      <w:bookmarkEnd w:id="67"/>
    </w:p>
    <w:p w14:paraId="083846E3" w14:textId="77777777" w:rsidR="00B01C1B" w:rsidRDefault="00B01C1B" w:rsidP="00B01C1B">
      <w:pPr>
        <w:rPr>
          <w:rFonts w:cs="Arial"/>
          <w:szCs w:val="24"/>
        </w:rPr>
      </w:pPr>
      <w:r>
        <w:rPr>
          <w:noProof/>
          <w:lang w:eastAsia="cs-CZ"/>
        </w:rPr>
        <w:drawing>
          <wp:inline distT="0" distB="0" distL="0" distR="0" wp14:anchorId="6D68B8B1" wp14:editId="65824E3E">
            <wp:extent cx="5760720" cy="2830195"/>
            <wp:effectExtent l="0" t="0" r="11430" b="8255"/>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042470" w14:textId="20B8EF63" w:rsidR="00B01C1B"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52ACCC02" w14:textId="76F10574" w:rsidR="008315E5" w:rsidRDefault="008315E5" w:rsidP="008315E5">
      <w:pPr>
        <w:pStyle w:val="Titulek"/>
        <w:keepNext/>
      </w:pPr>
      <w:bookmarkStart w:id="68" w:name="_Toc73611433"/>
      <w:r>
        <w:t xml:space="preserve">Graf č. </w:t>
      </w:r>
      <w:fldSimple w:instr=" SEQ Graf_č. \* ARABIC ">
        <w:r w:rsidR="00A860B8">
          <w:rPr>
            <w:noProof/>
          </w:rPr>
          <w:t>5</w:t>
        </w:r>
      </w:fldSimple>
      <w:r>
        <w:t xml:space="preserve">: </w:t>
      </w:r>
      <w:r w:rsidRPr="00931707">
        <w:t>Procento, jakým se jednotlivé kraje po</w:t>
      </w:r>
      <w:r w:rsidR="00993CED">
        <w:t>dílí v přepočtu na obyvatele na </w:t>
      </w:r>
      <w:r w:rsidRPr="00931707">
        <w:t>osobách dobrovolně zapsaných v Rejstříku vyloučených osob (stav k 1. 4. 2021)</w:t>
      </w:r>
      <w:bookmarkEnd w:id="68"/>
    </w:p>
    <w:p w14:paraId="1D98BCFF" w14:textId="77777777" w:rsidR="00B01C1B" w:rsidRDefault="00B01C1B" w:rsidP="00B01C1B">
      <w:pPr>
        <w:rPr>
          <w:rFonts w:cs="Arial"/>
          <w:szCs w:val="24"/>
        </w:rPr>
      </w:pPr>
      <w:r>
        <w:rPr>
          <w:noProof/>
          <w:lang w:eastAsia="cs-CZ"/>
        </w:rPr>
        <w:drawing>
          <wp:inline distT="0" distB="0" distL="0" distR="0" wp14:anchorId="530088BF" wp14:editId="568AFAA0">
            <wp:extent cx="5978106" cy="3666227"/>
            <wp:effectExtent l="0" t="0" r="3810" b="10795"/>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7973FDB" w14:textId="5A4A9950" w:rsidR="00B01C1B" w:rsidRPr="00153EF2"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50797765" w14:textId="250E8AFF" w:rsidR="00B01C1B" w:rsidRDefault="00B01C1B" w:rsidP="00C334E0">
      <w:pPr>
        <w:rPr>
          <w:b/>
          <w:bCs/>
          <w:szCs w:val="24"/>
        </w:rPr>
      </w:pPr>
      <w:r w:rsidRPr="00931C93">
        <w:rPr>
          <w:bCs/>
          <w:szCs w:val="24"/>
        </w:rPr>
        <w:lastRenderedPageBreak/>
        <w:t xml:space="preserve">Ministerstvo financí </w:t>
      </w:r>
      <w:r w:rsidRPr="00931C93">
        <w:t>v souladu</w:t>
      </w:r>
      <w:r>
        <w:t xml:space="preserve"> s § 16 odst. 9, § 46 odst. 1 a § 77 odst. 6 zákona o hazardních hrách zajišťuje provozovatelům nepřetržitým dálkovým způsobem ověření totožnosti a věku osob a ověření, zda konkrétní osoba je nebo není zapsána v Rejstříku vyloučených osob, a to při registraci osob, vstupu osob do herních prostorů a přihlašování osob k uživatelským kontům.</w:t>
      </w:r>
      <w:r>
        <w:rPr>
          <w:b/>
          <w:bCs/>
          <w:szCs w:val="24"/>
        </w:rPr>
        <w:t xml:space="preserve"> </w:t>
      </w:r>
    </w:p>
    <w:p w14:paraId="5EE6386E" w14:textId="4EF5FB46" w:rsidR="00B01C1B" w:rsidRDefault="00B01C1B" w:rsidP="00C334E0">
      <w:pPr>
        <w:rPr>
          <w:rFonts w:cs="Arial"/>
          <w:szCs w:val="24"/>
        </w:rPr>
      </w:pPr>
      <w:r>
        <w:rPr>
          <w:rFonts w:cs="Arial"/>
          <w:szCs w:val="24"/>
        </w:rPr>
        <w:t xml:space="preserve">Následující tabulky prezentují počty požadavků dle jednotlivých </w:t>
      </w:r>
      <w:r w:rsidR="003F387B">
        <w:rPr>
          <w:rFonts w:cs="Arial"/>
          <w:szCs w:val="24"/>
        </w:rPr>
        <w:t>důvodů ověření a </w:t>
      </w:r>
      <w:r>
        <w:rPr>
          <w:rFonts w:cs="Arial"/>
          <w:szCs w:val="24"/>
        </w:rPr>
        <w:t>také počty ohledně zabránění účasti na hazardní hře. Tyto</w:t>
      </w:r>
      <w:r w:rsidR="00AF64B2">
        <w:rPr>
          <w:rFonts w:cs="Arial"/>
          <w:szCs w:val="24"/>
        </w:rPr>
        <w:t xml:space="preserve"> data jsou za období od</w:t>
      </w:r>
      <w:r w:rsidR="004C2514">
        <w:rPr>
          <w:rFonts w:cs="Arial"/>
          <w:szCs w:val="24"/>
        </w:rPr>
        <w:t> </w:t>
      </w:r>
      <w:r w:rsidR="00AF64B2">
        <w:rPr>
          <w:rFonts w:cs="Arial"/>
          <w:szCs w:val="24"/>
        </w:rPr>
        <w:t>20. 12. </w:t>
      </w:r>
      <w:r>
        <w:rPr>
          <w:rFonts w:cs="Arial"/>
          <w:szCs w:val="24"/>
        </w:rPr>
        <w:t xml:space="preserve">2020 do 1. 4. 2021. </w:t>
      </w:r>
    </w:p>
    <w:p w14:paraId="08D088E8" w14:textId="0F3C9123" w:rsidR="008315E5" w:rsidRDefault="0077034D" w:rsidP="008315E5">
      <w:pPr>
        <w:pStyle w:val="Titulek"/>
        <w:keepNext/>
      </w:pPr>
      <w:bookmarkStart w:id="69" w:name="_Toc73524678"/>
      <w:r>
        <w:t xml:space="preserve">Tabulka č. </w:t>
      </w:r>
      <w:fldSimple w:instr=" SEQ Tabulka_č. \* ARABIC ">
        <w:r w:rsidR="00B0565F">
          <w:rPr>
            <w:noProof/>
          </w:rPr>
          <w:t>1</w:t>
        </w:r>
      </w:fldSimple>
      <w:r w:rsidR="008315E5">
        <w:t xml:space="preserve">: </w:t>
      </w:r>
      <w:r w:rsidR="007E3008">
        <w:t>Počty požadavků na ověření v R</w:t>
      </w:r>
      <w:r w:rsidR="008315E5" w:rsidRPr="00C87288">
        <w:t>ejs</w:t>
      </w:r>
      <w:r w:rsidR="003F387B">
        <w:t>tříku vyloučených osob (20. 12. </w:t>
      </w:r>
      <w:r w:rsidR="008315E5" w:rsidRPr="00C87288">
        <w:t>2020 – 1. 4. 2021)</w:t>
      </w:r>
      <w:bookmarkEnd w:id="69"/>
    </w:p>
    <w:tbl>
      <w:tblPr>
        <w:tblW w:w="9072" w:type="dxa"/>
        <w:tblInd w:w="-5" w:type="dxa"/>
        <w:tblCellMar>
          <w:left w:w="70" w:type="dxa"/>
          <w:right w:w="70" w:type="dxa"/>
        </w:tblCellMar>
        <w:tblLook w:val="04A0" w:firstRow="1" w:lastRow="0" w:firstColumn="1" w:lastColumn="0" w:noHBand="0" w:noVBand="1"/>
      </w:tblPr>
      <w:tblGrid>
        <w:gridCol w:w="7738"/>
        <w:gridCol w:w="1334"/>
      </w:tblGrid>
      <w:tr w:rsidR="00B01C1B" w:rsidRPr="00690F6C" w14:paraId="7F297527" w14:textId="77777777" w:rsidTr="007C268C">
        <w:trPr>
          <w:trHeight w:val="270"/>
        </w:trPr>
        <w:tc>
          <w:tcPr>
            <w:tcW w:w="77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A8559" w14:textId="77777777"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Celkový počet vyřízených požadavků na registraci nebo přihlášení k uživatelskému kontu</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14:paraId="58BA53B0" w14:textId="77777777"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cca 118 mil.</w:t>
            </w:r>
          </w:p>
        </w:tc>
      </w:tr>
      <w:tr w:rsidR="00B01C1B" w:rsidRPr="00690F6C" w14:paraId="3EB78E75" w14:textId="77777777" w:rsidTr="007C268C">
        <w:trPr>
          <w:trHeight w:val="270"/>
        </w:trPr>
        <w:tc>
          <w:tcPr>
            <w:tcW w:w="7738" w:type="dxa"/>
            <w:tcBorders>
              <w:top w:val="nil"/>
              <w:left w:val="single" w:sz="4" w:space="0" w:color="auto"/>
              <w:bottom w:val="single" w:sz="4" w:space="0" w:color="auto"/>
              <w:right w:val="single" w:sz="4" w:space="0" w:color="auto"/>
            </w:tcBorders>
            <w:shd w:val="clear" w:color="auto" w:fill="auto"/>
            <w:vAlign w:val="center"/>
            <w:hideMark/>
          </w:tcPr>
          <w:p w14:paraId="748060C9" w14:textId="77777777"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Celkový počet osob zapsaných v Rejstříku vyloučených osob</w:t>
            </w:r>
          </w:p>
        </w:tc>
        <w:tc>
          <w:tcPr>
            <w:tcW w:w="1334" w:type="dxa"/>
            <w:tcBorders>
              <w:top w:val="nil"/>
              <w:left w:val="nil"/>
              <w:bottom w:val="single" w:sz="4" w:space="0" w:color="auto"/>
              <w:right w:val="single" w:sz="4" w:space="0" w:color="auto"/>
            </w:tcBorders>
            <w:shd w:val="clear" w:color="auto" w:fill="auto"/>
            <w:vAlign w:val="center"/>
            <w:hideMark/>
          </w:tcPr>
          <w:p w14:paraId="7C0DF687" w14:textId="77777777"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cca 206 tis.</w:t>
            </w:r>
          </w:p>
        </w:tc>
      </w:tr>
      <w:tr w:rsidR="00B01C1B" w:rsidRPr="00690F6C" w14:paraId="55C2BE86" w14:textId="77777777" w:rsidTr="007C268C">
        <w:trPr>
          <w:trHeight w:val="270"/>
        </w:trPr>
        <w:tc>
          <w:tcPr>
            <w:tcW w:w="7738" w:type="dxa"/>
            <w:tcBorders>
              <w:top w:val="nil"/>
              <w:left w:val="single" w:sz="4" w:space="0" w:color="auto"/>
              <w:bottom w:val="single" w:sz="4" w:space="0" w:color="auto"/>
              <w:right w:val="single" w:sz="4" w:space="0" w:color="auto"/>
            </w:tcBorders>
            <w:shd w:val="clear" w:color="auto" w:fill="auto"/>
            <w:vAlign w:val="center"/>
            <w:hideMark/>
          </w:tcPr>
          <w:p w14:paraId="22E0EA42" w14:textId="61434653"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 xml:space="preserve">Počet osob, jimž kvůli </w:t>
            </w:r>
            <w:r w:rsidR="002D389C" w:rsidRPr="008315E5">
              <w:rPr>
                <w:rFonts w:eastAsia="Times New Roman" w:cs="Arial"/>
                <w:bCs/>
                <w:color w:val="000000"/>
                <w:sz w:val="22"/>
                <w:szCs w:val="20"/>
                <w:lang w:eastAsia="cs-CZ"/>
              </w:rPr>
              <w:t xml:space="preserve">zápisu v </w:t>
            </w:r>
            <w:r w:rsidRPr="008315E5">
              <w:rPr>
                <w:rFonts w:eastAsia="Times New Roman" w:cs="Arial"/>
                <w:bCs/>
                <w:color w:val="000000"/>
                <w:sz w:val="22"/>
                <w:szCs w:val="20"/>
                <w:lang w:eastAsia="cs-CZ"/>
              </w:rPr>
              <w:t xml:space="preserve">Rejstříku vyloučených osob byla zamezena registrace nebo přihlášení k uživatelskému kontu </w:t>
            </w:r>
          </w:p>
        </w:tc>
        <w:tc>
          <w:tcPr>
            <w:tcW w:w="1334" w:type="dxa"/>
            <w:tcBorders>
              <w:top w:val="nil"/>
              <w:left w:val="nil"/>
              <w:bottom w:val="single" w:sz="4" w:space="0" w:color="auto"/>
              <w:right w:val="single" w:sz="4" w:space="0" w:color="auto"/>
            </w:tcBorders>
            <w:shd w:val="clear" w:color="auto" w:fill="auto"/>
            <w:vAlign w:val="center"/>
            <w:hideMark/>
          </w:tcPr>
          <w:p w14:paraId="2987B1F5" w14:textId="77777777" w:rsidR="00B01C1B" w:rsidRPr="008315E5" w:rsidRDefault="00B01C1B" w:rsidP="007C268C">
            <w:pPr>
              <w:spacing w:after="0"/>
              <w:jc w:val="left"/>
              <w:rPr>
                <w:rFonts w:eastAsia="Times New Roman" w:cs="Arial"/>
                <w:bCs/>
                <w:color w:val="000000"/>
                <w:sz w:val="22"/>
                <w:szCs w:val="20"/>
                <w:lang w:eastAsia="cs-CZ"/>
              </w:rPr>
            </w:pPr>
            <w:r w:rsidRPr="008315E5">
              <w:rPr>
                <w:rFonts w:eastAsia="Times New Roman" w:cs="Arial"/>
                <w:bCs/>
                <w:color w:val="000000"/>
                <w:sz w:val="22"/>
                <w:szCs w:val="20"/>
                <w:lang w:eastAsia="cs-CZ"/>
              </w:rPr>
              <w:t>cca 32 tis.</w:t>
            </w:r>
          </w:p>
        </w:tc>
      </w:tr>
    </w:tbl>
    <w:p w14:paraId="2B13EF33" w14:textId="1F67A6D6" w:rsidR="00B01C1B"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36CC4D2C" w14:textId="475AE612" w:rsidR="00B01C1B" w:rsidRDefault="00B01C1B" w:rsidP="00C334E0">
      <w:r>
        <w:t xml:space="preserve">Z výše uvedené tabulky vyplývá, že </w:t>
      </w:r>
      <w:r w:rsidRPr="004B5B1C">
        <w:rPr>
          <w:b/>
        </w:rPr>
        <w:t>procentuální podíl osob, jimž bylo odepřeno přihlášení k uživ</w:t>
      </w:r>
      <w:r w:rsidR="008315E5" w:rsidRPr="004B5B1C">
        <w:rPr>
          <w:b/>
        </w:rPr>
        <w:t xml:space="preserve">atelskému kontu, </w:t>
      </w:r>
      <w:r w:rsidRPr="004B5B1C">
        <w:rPr>
          <w:b/>
        </w:rPr>
        <w:t>nebo nebyla umožněna registrace</w:t>
      </w:r>
      <w:r>
        <w:t>,</w:t>
      </w:r>
      <w:r w:rsidRPr="008571BD">
        <w:t xml:space="preserve"> vůči celkovému počtu osob zapsaných v</w:t>
      </w:r>
      <w:r>
        <w:t> </w:t>
      </w:r>
      <w:r w:rsidRPr="008571BD">
        <w:t>Rejstříku</w:t>
      </w:r>
      <w:r w:rsidR="008315E5">
        <w:t xml:space="preserve"> vyloučených osob je </w:t>
      </w:r>
      <w:r w:rsidR="008315E5" w:rsidRPr="004B5B1C">
        <w:rPr>
          <w:b/>
        </w:rPr>
        <w:t>15,</w:t>
      </w:r>
      <w:r w:rsidRPr="004B5B1C">
        <w:rPr>
          <w:b/>
        </w:rPr>
        <w:t>4 %.</w:t>
      </w:r>
      <w:r>
        <w:t xml:space="preserve"> </w:t>
      </w:r>
    </w:p>
    <w:p w14:paraId="4536CA41" w14:textId="7F5E8D75" w:rsidR="002D389C" w:rsidRDefault="002D389C" w:rsidP="00C334E0">
      <w:r w:rsidRPr="00F86E44">
        <w:rPr>
          <w:u w:val="single"/>
        </w:rPr>
        <w:t>Pozn.</w:t>
      </w:r>
      <w:r>
        <w:t xml:space="preserve"> V důsledku opatření proti </w:t>
      </w:r>
      <w:r w:rsidR="004B5B1C">
        <w:t>C</w:t>
      </w:r>
      <w:r w:rsidR="00E60D16">
        <w:t>ovid-</w:t>
      </w:r>
      <w:r>
        <w:t>19 jsou uzavřeny i všechny herny a</w:t>
      </w:r>
      <w:r w:rsidR="00E60D16">
        <w:t> </w:t>
      </w:r>
      <w:r>
        <w:t>kasina, proto v době od spuštění Rejstříku vyloučených osob do vyhotovení této analýzy nedochází k ověřování z důvodu vstupu do herního prostoru. Výše uvedený počet osob i jejich podíl</w:t>
      </w:r>
      <w:r w:rsidR="000F26C0">
        <w:t xml:space="preserve"> a tím i efektivita tohoto nástroje</w:t>
      </w:r>
      <w:r>
        <w:t xml:space="preserve"> tak zcela jistě ještě </w:t>
      </w:r>
      <w:r w:rsidRPr="004B5B1C">
        <w:rPr>
          <w:b/>
        </w:rPr>
        <w:t>významně naroste</w:t>
      </w:r>
      <w:r>
        <w:t xml:space="preserve"> po otevření heren a kasin.</w:t>
      </w:r>
    </w:p>
    <w:p w14:paraId="6C04011D" w14:textId="0F28E547" w:rsidR="008315E5" w:rsidRDefault="008315E5" w:rsidP="008315E5">
      <w:pPr>
        <w:pStyle w:val="Titulek"/>
        <w:keepNext/>
      </w:pPr>
      <w:bookmarkStart w:id="70" w:name="_Toc73524679"/>
      <w:r>
        <w:t xml:space="preserve">Tabulka č. </w:t>
      </w:r>
      <w:fldSimple w:instr=" SEQ Tabulka_č. \* ARABIC ">
        <w:r w:rsidR="00B0565F">
          <w:rPr>
            <w:noProof/>
          </w:rPr>
          <w:t>2</w:t>
        </w:r>
      </w:fldSimple>
      <w:r>
        <w:t xml:space="preserve">: </w:t>
      </w:r>
      <w:r w:rsidRPr="00FD44A4">
        <w:t>Celkové počty požadavků na ověření osoby dle jednotlivých důvodů (2</w:t>
      </w:r>
      <w:r w:rsidR="00AF64B2">
        <w:t>0. </w:t>
      </w:r>
      <w:r w:rsidRPr="00FD44A4">
        <w:t>12. 2020 – 1. 4. 2021)</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4"/>
        <w:gridCol w:w="1938"/>
        <w:gridCol w:w="3740"/>
      </w:tblGrid>
      <w:tr w:rsidR="00B01C1B" w:rsidRPr="00736021" w14:paraId="79C9AE44" w14:textId="77777777" w:rsidTr="007C268C">
        <w:trPr>
          <w:trHeight w:val="260"/>
        </w:trPr>
        <w:tc>
          <w:tcPr>
            <w:tcW w:w="1918" w:type="pct"/>
            <w:shd w:val="clear" w:color="auto" w:fill="auto"/>
            <w:noWrap/>
            <w:vAlign w:val="center"/>
          </w:tcPr>
          <w:p w14:paraId="200DABCE" w14:textId="77777777" w:rsidR="00B01C1B" w:rsidRPr="00736021" w:rsidRDefault="00B01C1B" w:rsidP="007C268C">
            <w:pPr>
              <w:spacing w:after="0"/>
              <w:jc w:val="left"/>
              <w:rPr>
                <w:rFonts w:eastAsia="Times New Roman" w:cs="Arial"/>
                <w:color w:val="000000"/>
                <w:sz w:val="22"/>
                <w:lang w:eastAsia="cs-CZ"/>
              </w:rPr>
            </w:pPr>
            <w:r>
              <w:rPr>
                <w:rFonts w:eastAsia="Times New Roman" w:cs="Arial"/>
                <w:color w:val="000000"/>
                <w:sz w:val="22"/>
                <w:lang w:eastAsia="cs-CZ"/>
              </w:rPr>
              <w:t>Důvod ověření</w:t>
            </w:r>
          </w:p>
        </w:tc>
        <w:tc>
          <w:tcPr>
            <w:tcW w:w="1052" w:type="pct"/>
            <w:shd w:val="clear" w:color="auto" w:fill="auto"/>
            <w:noWrap/>
            <w:vAlign w:val="center"/>
          </w:tcPr>
          <w:p w14:paraId="4784B715" w14:textId="77777777" w:rsidR="00B01C1B" w:rsidRPr="00690F6C" w:rsidRDefault="00B01C1B" w:rsidP="007C268C">
            <w:pPr>
              <w:spacing w:after="0"/>
              <w:jc w:val="left"/>
              <w:rPr>
                <w:rFonts w:eastAsia="Times New Roman" w:cs="Arial"/>
                <w:color w:val="000000"/>
                <w:sz w:val="22"/>
                <w:lang w:eastAsia="cs-CZ"/>
              </w:rPr>
            </w:pPr>
            <w:r>
              <w:rPr>
                <w:rFonts w:eastAsia="Times New Roman" w:cs="Arial"/>
                <w:color w:val="000000"/>
                <w:sz w:val="22"/>
                <w:lang w:eastAsia="cs-CZ"/>
              </w:rPr>
              <w:t>Počet požadavků na ověření osoby</w:t>
            </w:r>
          </w:p>
        </w:tc>
        <w:tc>
          <w:tcPr>
            <w:tcW w:w="2030" w:type="pct"/>
          </w:tcPr>
          <w:p w14:paraId="497071C7" w14:textId="77777777" w:rsidR="00B01C1B" w:rsidRPr="00690F6C" w:rsidRDefault="00B01C1B" w:rsidP="007C268C">
            <w:pPr>
              <w:spacing w:after="0"/>
              <w:jc w:val="left"/>
              <w:rPr>
                <w:rFonts w:eastAsia="Times New Roman" w:cs="Arial"/>
                <w:color w:val="000000"/>
                <w:sz w:val="22"/>
                <w:lang w:eastAsia="cs-CZ"/>
              </w:rPr>
            </w:pPr>
            <w:r>
              <w:rPr>
                <w:rFonts w:eastAsia="Times New Roman" w:cs="Arial"/>
                <w:color w:val="000000"/>
                <w:sz w:val="22"/>
                <w:lang w:eastAsia="cs-CZ"/>
              </w:rPr>
              <w:t>Počet požadavků u osob, které byly zapsány v Rejstříku vyloučených osob</w:t>
            </w:r>
          </w:p>
        </w:tc>
      </w:tr>
      <w:tr w:rsidR="00B01C1B" w:rsidRPr="00736021" w14:paraId="49ED8ED7" w14:textId="77777777" w:rsidTr="007C268C">
        <w:trPr>
          <w:trHeight w:val="260"/>
        </w:trPr>
        <w:tc>
          <w:tcPr>
            <w:tcW w:w="1918" w:type="pct"/>
            <w:shd w:val="clear" w:color="auto" w:fill="auto"/>
            <w:noWrap/>
            <w:vAlign w:val="center"/>
            <w:hideMark/>
          </w:tcPr>
          <w:p w14:paraId="492F51C7" w14:textId="77777777" w:rsidR="00B01C1B" w:rsidRPr="00690F6C" w:rsidRDefault="00B01C1B" w:rsidP="007C268C">
            <w:pPr>
              <w:spacing w:after="0"/>
              <w:jc w:val="left"/>
              <w:rPr>
                <w:rFonts w:eastAsia="Times New Roman" w:cs="Arial"/>
                <w:color w:val="000000"/>
                <w:sz w:val="22"/>
                <w:lang w:eastAsia="cs-CZ"/>
              </w:rPr>
            </w:pPr>
            <w:r w:rsidRPr="00736021">
              <w:rPr>
                <w:rFonts w:eastAsia="Times New Roman" w:cs="Arial"/>
                <w:color w:val="000000"/>
                <w:sz w:val="22"/>
                <w:lang w:eastAsia="cs-CZ"/>
              </w:rPr>
              <w:t>P</w:t>
            </w:r>
            <w:r w:rsidRPr="00690F6C">
              <w:rPr>
                <w:rFonts w:eastAsia="Times New Roman" w:cs="Arial"/>
                <w:color w:val="000000"/>
                <w:sz w:val="22"/>
                <w:lang w:eastAsia="cs-CZ"/>
              </w:rPr>
              <w:t>řihlášení</w:t>
            </w:r>
            <w:r w:rsidRPr="00736021">
              <w:rPr>
                <w:rFonts w:eastAsia="Times New Roman" w:cs="Arial"/>
                <w:color w:val="000000"/>
                <w:sz w:val="22"/>
                <w:lang w:eastAsia="cs-CZ"/>
              </w:rPr>
              <w:t xml:space="preserve"> k uživatelskému kontu</w:t>
            </w:r>
          </w:p>
        </w:tc>
        <w:tc>
          <w:tcPr>
            <w:tcW w:w="1052" w:type="pct"/>
            <w:shd w:val="clear" w:color="auto" w:fill="auto"/>
            <w:noWrap/>
            <w:vAlign w:val="center"/>
            <w:hideMark/>
          </w:tcPr>
          <w:p w14:paraId="37610880" w14:textId="77777777" w:rsidR="00B01C1B" w:rsidRPr="00690F6C" w:rsidRDefault="00B01C1B" w:rsidP="007C268C">
            <w:pPr>
              <w:spacing w:after="0"/>
              <w:jc w:val="left"/>
              <w:rPr>
                <w:rFonts w:eastAsia="Times New Roman" w:cs="Arial"/>
                <w:color w:val="000000"/>
                <w:sz w:val="22"/>
                <w:lang w:eastAsia="cs-CZ"/>
              </w:rPr>
            </w:pPr>
            <w:r w:rsidRPr="00690F6C">
              <w:rPr>
                <w:rFonts w:eastAsia="Times New Roman" w:cs="Arial"/>
                <w:color w:val="000000"/>
                <w:sz w:val="22"/>
                <w:lang w:eastAsia="cs-CZ"/>
              </w:rPr>
              <w:t>116 905 851</w:t>
            </w:r>
          </w:p>
        </w:tc>
        <w:tc>
          <w:tcPr>
            <w:tcW w:w="2030" w:type="pct"/>
            <w:vAlign w:val="center"/>
          </w:tcPr>
          <w:p w14:paraId="208FDBBC" w14:textId="77777777" w:rsidR="00B01C1B" w:rsidRPr="00690F6C" w:rsidRDefault="00B01C1B" w:rsidP="007C268C">
            <w:pPr>
              <w:spacing w:after="0"/>
              <w:jc w:val="left"/>
              <w:rPr>
                <w:rFonts w:eastAsia="Times New Roman" w:cs="Arial"/>
                <w:color w:val="000000"/>
                <w:sz w:val="22"/>
                <w:lang w:eastAsia="cs-CZ"/>
              </w:rPr>
            </w:pPr>
            <w:r w:rsidRPr="00690F6C">
              <w:rPr>
                <w:rFonts w:eastAsia="Times New Roman" w:cs="Arial"/>
                <w:color w:val="000000"/>
                <w:sz w:val="22"/>
                <w:lang w:eastAsia="cs-CZ"/>
              </w:rPr>
              <w:t>16 704</w:t>
            </w:r>
          </w:p>
        </w:tc>
      </w:tr>
      <w:tr w:rsidR="00B01C1B" w:rsidRPr="00736021" w14:paraId="63657A46" w14:textId="77777777" w:rsidTr="007C268C">
        <w:trPr>
          <w:trHeight w:val="260"/>
        </w:trPr>
        <w:tc>
          <w:tcPr>
            <w:tcW w:w="1918" w:type="pct"/>
            <w:shd w:val="clear" w:color="auto" w:fill="auto"/>
            <w:noWrap/>
            <w:vAlign w:val="center"/>
            <w:hideMark/>
          </w:tcPr>
          <w:p w14:paraId="398DBC40" w14:textId="77777777" w:rsidR="00B01C1B" w:rsidRPr="00690F6C" w:rsidRDefault="00B01C1B" w:rsidP="007C268C">
            <w:pPr>
              <w:spacing w:after="0"/>
              <w:jc w:val="left"/>
              <w:rPr>
                <w:rFonts w:eastAsia="Times New Roman" w:cs="Arial"/>
                <w:color w:val="000000"/>
                <w:sz w:val="22"/>
                <w:lang w:eastAsia="cs-CZ"/>
              </w:rPr>
            </w:pPr>
            <w:r w:rsidRPr="00736021">
              <w:rPr>
                <w:rFonts w:eastAsia="Times New Roman" w:cs="Arial"/>
                <w:color w:val="000000"/>
                <w:sz w:val="22"/>
                <w:lang w:eastAsia="cs-CZ"/>
              </w:rPr>
              <w:t>R</w:t>
            </w:r>
            <w:r w:rsidRPr="00690F6C">
              <w:rPr>
                <w:rFonts w:eastAsia="Times New Roman" w:cs="Arial"/>
                <w:color w:val="000000"/>
                <w:sz w:val="22"/>
                <w:lang w:eastAsia="cs-CZ"/>
              </w:rPr>
              <w:t>egistrace</w:t>
            </w:r>
          </w:p>
        </w:tc>
        <w:tc>
          <w:tcPr>
            <w:tcW w:w="1052" w:type="pct"/>
            <w:shd w:val="clear" w:color="auto" w:fill="auto"/>
            <w:noWrap/>
            <w:vAlign w:val="center"/>
            <w:hideMark/>
          </w:tcPr>
          <w:p w14:paraId="0D7BBD8B" w14:textId="2971A5A3" w:rsidR="00B01C1B" w:rsidRPr="00690F6C" w:rsidRDefault="00F86E44" w:rsidP="007C268C">
            <w:pPr>
              <w:spacing w:after="0"/>
              <w:jc w:val="left"/>
              <w:rPr>
                <w:rFonts w:eastAsia="Times New Roman" w:cs="Arial"/>
                <w:color w:val="000000"/>
                <w:sz w:val="22"/>
                <w:lang w:eastAsia="cs-CZ"/>
              </w:rPr>
            </w:pPr>
            <w:r>
              <w:rPr>
                <w:rFonts w:eastAsia="Times New Roman" w:cs="Arial"/>
                <w:color w:val="000000"/>
                <w:sz w:val="22"/>
                <w:lang w:eastAsia="cs-CZ"/>
              </w:rPr>
              <w:t xml:space="preserve">       </w:t>
            </w:r>
            <w:r w:rsidR="00B01C1B" w:rsidRPr="00690F6C">
              <w:rPr>
                <w:rFonts w:eastAsia="Times New Roman" w:cs="Arial"/>
                <w:color w:val="000000"/>
                <w:sz w:val="22"/>
                <w:lang w:eastAsia="cs-CZ"/>
              </w:rPr>
              <w:t>901 653</w:t>
            </w:r>
          </w:p>
        </w:tc>
        <w:tc>
          <w:tcPr>
            <w:tcW w:w="2030" w:type="pct"/>
            <w:vAlign w:val="center"/>
          </w:tcPr>
          <w:p w14:paraId="5F232C40" w14:textId="77777777" w:rsidR="00B01C1B" w:rsidRPr="00690F6C" w:rsidRDefault="00B01C1B" w:rsidP="007C268C">
            <w:pPr>
              <w:spacing w:after="0"/>
              <w:jc w:val="left"/>
              <w:rPr>
                <w:rFonts w:eastAsia="Times New Roman" w:cs="Arial"/>
                <w:color w:val="000000"/>
                <w:sz w:val="22"/>
                <w:lang w:eastAsia="cs-CZ"/>
              </w:rPr>
            </w:pPr>
            <w:r w:rsidRPr="00690F6C">
              <w:rPr>
                <w:rFonts w:eastAsia="Times New Roman" w:cs="Arial"/>
                <w:color w:val="000000"/>
                <w:sz w:val="22"/>
                <w:lang w:eastAsia="cs-CZ"/>
              </w:rPr>
              <w:t>15 163</w:t>
            </w:r>
          </w:p>
        </w:tc>
      </w:tr>
      <w:tr w:rsidR="00B01C1B" w:rsidRPr="00736021" w14:paraId="3D5C74FC" w14:textId="77777777" w:rsidTr="007C268C">
        <w:trPr>
          <w:trHeight w:val="260"/>
        </w:trPr>
        <w:tc>
          <w:tcPr>
            <w:tcW w:w="1918" w:type="pct"/>
            <w:shd w:val="clear" w:color="auto" w:fill="auto"/>
            <w:noWrap/>
            <w:vAlign w:val="center"/>
          </w:tcPr>
          <w:p w14:paraId="214ED6D5" w14:textId="77777777" w:rsidR="00B01C1B" w:rsidRPr="00736021" w:rsidRDefault="00B01C1B" w:rsidP="007C268C">
            <w:pPr>
              <w:spacing w:after="0"/>
              <w:jc w:val="left"/>
              <w:rPr>
                <w:rFonts w:eastAsia="Times New Roman" w:cs="Arial"/>
                <w:color w:val="000000"/>
                <w:sz w:val="22"/>
                <w:lang w:eastAsia="cs-CZ"/>
              </w:rPr>
            </w:pPr>
            <w:r>
              <w:rPr>
                <w:rFonts w:eastAsia="Times New Roman" w:cs="Arial"/>
                <w:color w:val="000000"/>
                <w:sz w:val="22"/>
                <w:lang w:eastAsia="cs-CZ"/>
              </w:rPr>
              <w:t>Celkem</w:t>
            </w:r>
          </w:p>
        </w:tc>
        <w:tc>
          <w:tcPr>
            <w:tcW w:w="1052" w:type="pct"/>
            <w:shd w:val="clear" w:color="auto" w:fill="auto"/>
            <w:noWrap/>
            <w:vAlign w:val="center"/>
          </w:tcPr>
          <w:p w14:paraId="68947AD3" w14:textId="601AD5EA" w:rsidR="00B01C1B" w:rsidRPr="00350449" w:rsidRDefault="00B01C1B" w:rsidP="007C268C">
            <w:pPr>
              <w:spacing w:after="0"/>
              <w:jc w:val="left"/>
              <w:rPr>
                <w:rFonts w:eastAsia="Times New Roman" w:cs="Arial"/>
                <w:color w:val="000000"/>
                <w:sz w:val="22"/>
                <w:lang w:eastAsia="cs-CZ"/>
              </w:rPr>
            </w:pPr>
            <w:r w:rsidRPr="00350449">
              <w:rPr>
                <w:rFonts w:eastAsia="Times New Roman" w:cs="Arial"/>
                <w:color w:val="000000"/>
                <w:sz w:val="22"/>
                <w:lang w:eastAsia="cs-CZ"/>
              </w:rPr>
              <w:t>11</w:t>
            </w:r>
            <w:r w:rsidR="00DE5EC6">
              <w:rPr>
                <w:rFonts w:eastAsia="Times New Roman" w:cs="Arial"/>
                <w:color w:val="000000"/>
                <w:sz w:val="22"/>
                <w:lang w:eastAsia="cs-CZ"/>
              </w:rPr>
              <w:t>7</w:t>
            </w:r>
            <w:r w:rsidRPr="00350449">
              <w:rPr>
                <w:rFonts w:eastAsia="Times New Roman" w:cs="Arial"/>
                <w:color w:val="000000"/>
                <w:sz w:val="22"/>
                <w:lang w:eastAsia="cs-CZ"/>
              </w:rPr>
              <w:t xml:space="preserve"> </w:t>
            </w:r>
            <w:r w:rsidR="00DE5EC6">
              <w:rPr>
                <w:rFonts w:eastAsia="Times New Roman" w:cs="Arial"/>
                <w:color w:val="000000"/>
                <w:sz w:val="22"/>
                <w:lang w:eastAsia="cs-CZ"/>
              </w:rPr>
              <w:t>807</w:t>
            </w:r>
            <w:r w:rsidRPr="00350449">
              <w:rPr>
                <w:rFonts w:eastAsia="Times New Roman" w:cs="Arial"/>
                <w:color w:val="000000"/>
                <w:sz w:val="22"/>
                <w:lang w:eastAsia="cs-CZ"/>
              </w:rPr>
              <w:t> </w:t>
            </w:r>
            <w:r w:rsidR="00DE5EC6">
              <w:rPr>
                <w:rFonts w:eastAsia="Times New Roman" w:cs="Arial"/>
                <w:color w:val="000000"/>
                <w:sz w:val="22"/>
                <w:lang w:eastAsia="cs-CZ"/>
              </w:rPr>
              <w:t>504</w:t>
            </w:r>
          </w:p>
          <w:p w14:paraId="2338DB81" w14:textId="77777777" w:rsidR="00B01C1B" w:rsidRPr="00690F6C" w:rsidRDefault="00B01C1B" w:rsidP="007C268C">
            <w:pPr>
              <w:spacing w:after="0"/>
              <w:jc w:val="left"/>
              <w:rPr>
                <w:rFonts w:eastAsia="Times New Roman" w:cs="Arial"/>
                <w:color w:val="000000"/>
                <w:sz w:val="22"/>
                <w:lang w:eastAsia="cs-CZ"/>
              </w:rPr>
            </w:pPr>
          </w:p>
        </w:tc>
        <w:tc>
          <w:tcPr>
            <w:tcW w:w="2030" w:type="pct"/>
          </w:tcPr>
          <w:p w14:paraId="57499816" w14:textId="7E28F65F" w:rsidR="00B01C1B" w:rsidRPr="00690F6C" w:rsidRDefault="00B01C1B" w:rsidP="00DE5EC6">
            <w:pPr>
              <w:spacing w:after="0"/>
              <w:jc w:val="left"/>
              <w:rPr>
                <w:rFonts w:eastAsia="Times New Roman" w:cs="Arial"/>
                <w:color w:val="000000"/>
                <w:sz w:val="22"/>
                <w:lang w:eastAsia="cs-CZ"/>
              </w:rPr>
            </w:pPr>
            <w:r w:rsidRPr="00690F6C">
              <w:rPr>
                <w:rFonts w:eastAsia="Times New Roman" w:cs="Arial"/>
                <w:color w:val="000000"/>
                <w:sz w:val="22"/>
                <w:lang w:eastAsia="cs-CZ"/>
              </w:rPr>
              <w:t>3</w:t>
            </w:r>
            <w:r w:rsidR="00DE5EC6">
              <w:rPr>
                <w:rFonts w:eastAsia="Times New Roman" w:cs="Arial"/>
                <w:color w:val="000000"/>
                <w:sz w:val="22"/>
                <w:lang w:eastAsia="cs-CZ"/>
              </w:rPr>
              <w:t>1</w:t>
            </w:r>
            <w:r w:rsidRPr="00690F6C">
              <w:rPr>
                <w:rFonts w:eastAsia="Times New Roman" w:cs="Arial"/>
                <w:color w:val="000000"/>
                <w:sz w:val="22"/>
                <w:lang w:eastAsia="cs-CZ"/>
              </w:rPr>
              <w:t xml:space="preserve"> </w:t>
            </w:r>
            <w:r w:rsidR="00DE5EC6">
              <w:rPr>
                <w:rFonts w:eastAsia="Times New Roman" w:cs="Arial"/>
                <w:color w:val="000000"/>
                <w:sz w:val="22"/>
                <w:lang w:eastAsia="cs-CZ"/>
              </w:rPr>
              <w:t>76</w:t>
            </w:r>
            <w:r w:rsidRPr="00690F6C">
              <w:rPr>
                <w:rFonts w:eastAsia="Times New Roman" w:cs="Arial"/>
                <w:color w:val="000000"/>
                <w:sz w:val="22"/>
                <w:lang w:eastAsia="cs-CZ"/>
              </w:rPr>
              <w:t>1</w:t>
            </w:r>
          </w:p>
        </w:tc>
      </w:tr>
    </w:tbl>
    <w:p w14:paraId="1F00BE17" w14:textId="4ACA13C2" w:rsidR="00B01C1B" w:rsidRPr="00153EF2" w:rsidRDefault="00B01C1B" w:rsidP="00B01C1B">
      <w:pPr>
        <w:rPr>
          <w:rFonts w:cs="Arial"/>
          <w:i/>
          <w:sz w:val="20"/>
          <w:szCs w:val="20"/>
        </w:rPr>
      </w:pPr>
      <w:r w:rsidRPr="00FC6DD5">
        <w:rPr>
          <w:rFonts w:cs="Arial"/>
          <w:i/>
          <w:sz w:val="20"/>
          <w:szCs w:val="20"/>
        </w:rPr>
        <w:t>Zdroj: Ministerstvo financí – Rejstřík vyloučených osob</w:t>
      </w:r>
      <w:r w:rsidR="008315E5">
        <w:rPr>
          <w:rFonts w:cs="Arial"/>
          <w:i/>
          <w:sz w:val="20"/>
          <w:szCs w:val="20"/>
        </w:rPr>
        <w:t>.</w:t>
      </w:r>
    </w:p>
    <w:p w14:paraId="3C2F1C32" w14:textId="075C26EC" w:rsidR="00DE5EC6" w:rsidRDefault="00B01C1B" w:rsidP="00C334E0">
      <w:r w:rsidRPr="00E171DB">
        <w:t>Z výše uvedených dat vyplývá, že nejčastější důvo</w:t>
      </w:r>
      <w:r w:rsidR="00993CED">
        <w:t>dem pro ověření je kontrola při </w:t>
      </w:r>
      <w:r w:rsidRPr="00E171DB">
        <w:t xml:space="preserve">přihlášení k uživatelskému kontu, jde o zcela logický závěr. </w:t>
      </w:r>
    </w:p>
    <w:p w14:paraId="6E16FE15" w14:textId="2B7BFA7E" w:rsidR="00B60FFF" w:rsidRPr="00F86E44" w:rsidRDefault="00DE5EC6" w:rsidP="00C334E0">
      <w:r w:rsidRPr="00F86E44">
        <w:rPr>
          <w:b/>
        </w:rPr>
        <w:t>Na základě výše uvedeného lze</w:t>
      </w:r>
      <w:r w:rsidR="005A3711" w:rsidRPr="00F86E44">
        <w:rPr>
          <w:b/>
        </w:rPr>
        <w:t>,</w:t>
      </w:r>
      <w:r w:rsidRPr="00F86E44">
        <w:rPr>
          <w:b/>
        </w:rPr>
        <w:t xml:space="preserve"> i přes poměrně krátkou dobu fungování Rejstříku vyloučených osob</w:t>
      </w:r>
      <w:r w:rsidR="005A3711" w:rsidRPr="00F86E44">
        <w:rPr>
          <w:b/>
        </w:rPr>
        <w:t>,</w:t>
      </w:r>
      <w:r w:rsidRPr="00F86E44">
        <w:rPr>
          <w:b/>
        </w:rPr>
        <w:t xml:space="preserve"> </w:t>
      </w:r>
      <w:r w:rsidR="005A3711" w:rsidRPr="00F86E44">
        <w:rPr>
          <w:b/>
        </w:rPr>
        <w:t xml:space="preserve">konstatovat, </w:t>
      </w:r>
      <w:r w:rsidR="008315E5">
        <w:rPr>
          <w:b/>
        </w:rPr>
        <w:t>že se jedná o velmi efektivní a </w:t>
      </w:r>
      <w:r w:rsidR="005A3711" w:rsidRPr="00F86E44">
        <w:rPr>
          <w:b/>
        </w:rPr>
        <w:t xml:space="preserve">fungující nástroj ochrany ohrožených skupin osob před negativními důsledky účasti na hazardních hrách. </w:t>
      </w:r>
      <w:r w:rsidR="00B60FFF" w:rsidRPr="00F86E44">
        <w:t>Rejstřík</w:t>
      </w:r>
      <w:r w:rsidR="008F4F8D">
        <w:t xml:space="preserve"> vyloučených osob</w:t>
      </w:r>
      <w:r w:rsidR="00B60FFF" w:rsidRPr="00F86E44">
        <w:t xml:space="preserve"> samozřejmě není </w:t>
      </w:r>
      <w:r w:rsidR="00E14A7B">
        <w:t>„všelék“ na P</w:t>
      </w:r>
      <w:r w:rsidR="00B60FFF" w:rsidRPr="00F86E44">
        <w:t xml:space="preserve">atologické hráčství, ale </w:t>
      </w:r>
      <w:r w:rsidR="00B60FFF" w:rsidRPr="00B60FFF">
        <w:rPr>
          <w:b/>
        </w:rPr>
        <w:t>významný preventivní nástroj</w:t>
      </w:r>
      <w:r w:rsidR="00B60FFF" w:rsidRPr="00F86E44">
        <w:t>, který vhodně doplňuje další adiktologická opatření. S rizikovými skupinami či patologickými hráči je nutná další práce např. v adiktologických poradnách či odborná léčba. Významná je zde samozřejmě úloha poskytovatelů těchto služeb. U ohrožených skupin je zásadní komplexní prevence a osvěta.</w:t>
      </w:r>
    </w:p>
    <w:p w14:paraId="46E0CA87" w14:textId="39F7322D" w:rsidR="00DE5EC6" w:rsidRPr="00B60FFF" w:rsidRDefault="00B60FFF" w:rsidP="00C334E0">
      <w:r w:rsidRPr="00F86E44">
        <w:lastRenderedPageBreak/>
        <w:t xml:space="preserve">Riziko </w:t>
      </w:r>
      <w:r w:rsidR="004C3D53">
        <w:t>obcházení Rejstříku</w:t>
      </w:r>
      <w:r w:rsidR="00E60D16">
        <w:t xml:space="preserve"> vyloučených osob</w:t>
      </w:r>
      <w:r w:rsidR="004C3D53">
        <w:t xml:space="preserve"> </w:t>
      </w:r>
      <w:r w:rsidRPr="00F86E44">
        <w:t>odliv</w:t>
      </w:r>
      <w:r w:rsidR="004C3D53">
        <w:t>em</w:t>
      </w:r>
      <w:r w:rsidRPr="00F86E44">
        <w:t xml:space="preserve"> </w:t>
      </w:r>
      <w:r w:rsidR="00727982">
        <w:t>účastníků hazardních her</w:t>
      </w:r>
      <w:r w:rsidR="00727982" w:rsidRPr="00372887">
        <w:t xml:space="preserve"> </w:t>
      </w:r>
      <w:r w:rsidRPr="00F86E44">
        <w:t>k</w:t>
      </w:r>
      <w:r w:rsidR="00D04CBE">
        <w:t> </w:t>
      </w:r>
      <w:r w:rsidRPr="00F86E44">
        <w:t xml:space="preserve">nelegálním provozovatelům </w:t>
      </w:r>
      <w:r w:rsidR="004C3D53">
        <w:t>je</w:t>
      </w:r>
      <w:r w:rsidRPr="00F86E44">
        <w:t xml:space="preserve"> minimalizováno důsledným bojem s nelegálním hazardem a další prevencí. Celní správa se, ve spolupráci s Ministerstvem financí, na tuto oblast intenzivně zaměřuje.</w:t>
      </w:r>
    </w:p>
    <w:p w14:paraId="7FF54769" w14:textId="77777777" w:rsidR="00B01C1B" w:rsidRPr="00931C93" w:rsidRDefault="00B01C1B" w:rsidP="00C55173">
      <w:pPr>
        <w:pStyle w:val="Nadpis6"/>
      </w:pPr>
      <w:bookmarkStart w:id="71" w:name="_Toc72999559"/>
      <w:r>
        <w:t>Sebeomezující opatření</w:t>
      </w:r>
      <w:bookmarkEnd w:id="71"/>
    </w:p>
    <w:p w14:paraId="3880AA7D" w14:textId="7B25F3E0" w:rsidR="003F387B" w:rsidRDefault="00B01C1B" w:rsidP="00C334E0">
      <w:r w:rsidRPr="00B41B2B">
        <w:t xml:space="preserve">V případě statistik týkajících se sebeomezujících opatření lze dovodit, že účastníci hazardních her možnosti nastavit si individuální omezení využívají a tedy vzhledem k tomu, že v předchozí právní úpravě povinnost nastavit si sebeomezující opatření absentovala, má tato skutečnost </w:t>
      </w:r>
      <w:r w:rsidRPr="00F86E44">
        <w:rPr>
          <w:b/>
        </w:rPr>
        <w:t>pozitivní dopad na případné rizikové chování účastníků hazardních her.</w:t>
      </w:r>
      <w:r>
        <w:t xml:space="preserve"> </w:t>
      </w:r>
      <w:r w:rsidR="003F387B">
        <w:t>Ze znázornění některých nastavených sebeomezujících opatření, která jsou prezentována na grafech níže, však vyplývá, že ve většině případů je nastavení sebeomezujícího opatření ze strany účastníka hazardní hry odmítnuto.</w:t>
      </w:r>
    </w:p>
    <w:p w14:paraId="3D10FE84" w14:textId="77777777" w:rsidR="0077034D" w:rsidRDefault="0077034D" w:rsidP="00B01C1B">
      <w:pPr>
        <w:keepNext/>
        <w:rPr>
          <w:rFonts w:cs="Arial"/>
          <w:szCs w:val="24"/>
        </w:rPr>
      </w:pPr>
    </w:p>
    <w:p w14:paraId="2970822F" w14:textId="389B68D1" w:rsidR="008315E5" w:rsidRPr="00B41B2B" w:rsidRDefault="00AF64B2" w:rsidP="00B01C1B">
      <w:pPr>
        <w:keepNext/>
        <w:rPr>
          <w:rFonts w:cs="Arial"/>
          <w:szCs w:val="24"/>
        </w:rPr>
      </w:pPr>
      <w:r>
        <w:rPr>
          <w:noProof/>
          <w:lang w:eastAsia="cs-CZ"/>
        </w:rPr>
        <mc:AlternateContent>
          <mc:Choice Requires="wps">
            <w:drawing>
              <wp:anchor distT="0" distB="0" distL="114300" distR="114300" simplePos="0" relativeHeight="251658240" behindDoc="0" locked="0" layoutInCell="1" allowOverlap="1" wp14:anchorId="305C879D" wp14:editId="19F3D80B">
                <wp:simplePos x="0" y="0"/>
                <wp:positionH relativeFrom="margin">
                  <wp:align>left</wp:align>
                </wp:positionH>
                <wp:positionV relativeFrom="paragraph">
                  <wp:posOffset>-178919</wp:posOffset>
                </wp:positionV>
                <wp:extent cx="5781524" cy="457200"/>
                <wp:effectExtent l="0" t="0" r="0" b="0"/>
                <wp:wrapNone/>
                <wp:docPr id="27" name="Textové pole 27"/>
                <wp:cNvGraphicFramePr/>
                <a:graphic xmlns:a="http://schemas.openxmlformats.org/drawingml/2006/main">
                  <a:graphicData uri="http://schemas.microsoft.com/office/word/2010/wordprocessingShape">
                    <wps:wsp>
                      <wps:cNvSpPr txBox="1"/>
                      <wps:spPr>
                        <a:xfrm>
                          <a:off x="0" y="0"/>
                          <a:ext cx="5781524" cy="457200"/>
                        </a:xfrm>
                        <a:prstGeom prst="rect">
                          <a:avLst/>
                        </a:prstGeom>
                        <a:solidFill>
                          <a:prstClr val="white"/>
                        </a:solidFill>
                        <a:ln>
                          <a:noFill/>
                        </a:ln>
                      </wps:spPr>
                      <wps:txbx>
                        <w:txbxContent>
                          <w:p w14:paraId="64C7C37A" w14:textId="466F8A04" w:rsidR="00F17245" w:rsidRDefault="00F17245" w:rsidP="008315E5">
                            <w:pPr>
                              <w:pStyle w:val="Titulek"/>
                            </w:pPr>
                            <w:bookmarkStart w:id="72" w:name="_Toc73611434"/>
                            <w:r>
                              <w:t xml:space="preserve">Graf č. </w:t>
                            </w:r>
                            <w:fldSimple w:instr=" SEQ Graf_č. \* ARABIC ">
                              <w:r>
                                <w:rPr>
                                  <w:noProof/>
                                </w:rPr>
                                <w:t>6</w:t>
                              </w:r>
                            </w:fldSimple>
                            <w:r>
                              <w:t xml:space="preserve">: </w:t>
                            </w:r>
                            <w:r w:rsidRPr="002306B2">
                              <w:t xml:space="preserve">Nastavení sebeomezujícího opatření – </w:t>
                            </w:r>
                            <w:r>
                              <w:t>maximální výše sázek za 1 den u </w:t>
                            </w:r>
                            <w:r w:rsidRPr="002306B2">
                              <w:t>kursové sázky za rok 2020</w:t>
                            </w:r>
                            <w:bookmarkEnd w:id="72"/>
                          </w:p>
                          <w:p w14:paraId="2060FA5E" w14:textId="77777777" w:rsidR="00F17245" w:rsidRPr="008315E5" w:rsidRDefault="00F17245" w:rsidP="008315E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5C879D" id="_x0000_t202" coordsize="21600,21600" o:spt="202" path="m,l,21600r21600,l21600,xe">
                <v:stroke joinstyle="miter"/>
                <v:path gradientshapeok="t" o:connecttype="rect"/>
              </v:shapetype>
              <v:shape id="Textové pole 27" o:spid="_x0000_s1026" type="#_x0000_t202" style="position:absolute;left:0;text-align:left;margin-left:0;margin-top:-14.1pt;width:455.25pt;height:36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" stroked="f">
                <v:textbox inset="0,0,0,0">
                  <w:txbxContent>
                    <w:p w14:paraId="64C7C37A" w14:textId="466F8A04" w:rsidR="00F17245" w:rsidRDefault="00F17245" w:rsidP="008315E5">
                      <w:pPr>
                        <w:pStyle w:val="Titulek"/>
                      </w:pPr>
                      <w:bookmarkStart w:id="73" w:name="_Toc73611434"/>
                      <w:r>
                        <w:t xml:space="preserve">Graf č. </w:t>
                      </w:r>
                      <w:fldSimple w:instr=" SEQ Graf_č. \* ARABIC ">
                        <w:r>
                          <w:rPr>
                            <w:noProof/>
                          </w:rPr>
                          <w:t>6</w:t>
                        </w:r>
                      </w:fldSimple>
                      <w:r>
                        <w:t xml:space="preserve">: </w:t>
                      </w:r>
                      <w:r w:rsidRPr="002306B2">
                        <w:t xml:space="preserve">Nastavení sebeomezujícího opatření – </w:t>
                      </w:r>
                      <w:r>
                        <w:t>maximální výše sázek za 1 den u </w:t>
                      </w:r>
                      <w:r w:rsidRPr="002306B2">
                        <w:t>kursové sázky za rok 2020</w:t>
                      </w:r>
                      <w:bookmarkEnd w:id="73"/>
                    </w:p>
                    <w:p w14:paraId="2060FA5E" w14:textId="77777777" w:rsidR="00F17245" w:rsidRPr="008315E5" w:rsidRDefault="00F17245" w:rsidP="008315E5"/>
                  </w:txbxContent>
                </v:textbox>
                <w10:wrap anchorx="margin"/>
              </v:shape>
            </w:pict>
          </mc:Fallback>
        </mc:AlternateContent>
      </w:r>
    </w:p>
    <w:p w14:paraId="7679EE14" w14:textId="26E4EAC2" w:rsidR="00B01C1B" w:rsidRPr="00B41B2B" w:rsidRDefault="00846EAB" w:rsidP="00B01C1B">
      <w:pPr>
        <w:rPr>
          <w:rFonts w:cs="Arial"/>
          <w:szCs w:val="24"/>
        </w:rPr>
      </w:pPr>
      <w:r w:rsidRPr="00B41B2B">
        <w:rPr>
          <w:rFonts w:eastAsia="Times New Roman" w:cs="Arial"/>
          <w:noProof/>
          <w:color w:val="000000"/>
          <w:szCs w:val="24"/>
          <w:lang w:eastAsia="cs-CZ"/>
        </w:rPr>
        <w:drawing>
          <wp:anchor distT="0" distB="0" distL="114300" distR="114300" simplePos="0" relativeHeight="251653120" behindDoc="0" locked="0" layoutInCell="1" allowOverlap="1" wp14:anchorId="2CBDB3E7" wp14:editId="225E1E3A">
            <wp:simplePos x="0" y="0"/>
            <wp:positionH relativeFrom="column">
              <wp:posOffset>0</wp:posOffset>
            </wp:positionH>
            <wp:positionV relativeFrom="paragraph">
              <wp:posOffset>-635</wp:posOffset>
            </wp:positionV>
            <wp:extent cx="4591050" cy="2752725"/>
            <wp:effectExtent l="0" t="0" r="19050" b="9525"/>
            <wp:wrapNone/>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3EAF7060" w14:textId="54283E25" w:rsidR="00B01C1B" w:rsidRPr="00B41B2B" w:rsidRDefault="00B01C1B" w:rsidP="00B01C1B">
      <w:pPr>
        <w:rPr>
          <w:rFonts w:cs="Arial"/>
          <w:szCs w:val="24"/>
        </w:rPr>
      </w:pPr>
      <w:r w:rsidRPr="00B41B2B">
        <w:rPr>
          <w:rFonts w:cs="Arial"/>
          <w:szCs w:val="24"/>
        </w:rPr>
        <w:t xml:space="preserve"> </w:t>
      </w:r>
    </w:p>
    <w:p w14:paraId="6B76D722" w14:textId="77777777" w:rsidR="00B01C1B" w:rsidRPr="00B41B2B" w:rsidRDefault="00B01C1B" w:rsidP="00B01C1B">
      <w:pPr>
        <w:rPr>
          <w:rFonts w:cs="Arial"/>
          <w:szCs w:val="24"/>
        </w:rPr>
      </w:pPr>
    </w:p>
    <w:p w14:paraId="49281F66" w14:textId="77777777" w:rsidR="00B01C1B" w:rsidRPr="00B41B2B" w:rsidRDefault="00B01C1B" w:rsidP="00B01C1B">
      <w:pPr>
        <w:rPr>
          <w:rFonts w:cs="Arial"/>
          <w:szCs w:val="24"/>
        </w:rPr>
      </w:pPr>
    </w:p>
    <w:p w14:paraId="23496333" w14:textId="77777777" w:rsidR="00B01C1B" w:rsidRPr="00B41B2B" w:rsidRDefault="00B01C1B" w:rsidP="00B01C1B">
      <w:pPr>
        <w:rPr>
          <w:rFonts w:cs="Arial"/>
          <w:szCs w:val="24"/>
        </w:rPr>
      </w:pPr>
    </w:p>
    <w:p w14:paraId="516F5885" w14:textId="77777777" w:rsidR="00B01C1B" w:rsidRPr="00B41B2B" w:rsidRDefault="00B01C1B" w:rsidP="00B01C1B">
      <w:pPr>
        <w:rPr>
          <w:rFonts w:cs="Arial"/>
          <w:szCs w:val="24"/>
        </w:rPr>
      </w:pPr>
    </w:p>
    <w:p w14:paraId="1F3AD9C7" w14:textId="77777777" w:rsidR="00B01C1B" w:rsidRPr="00B41B2B" w:rsidRDefault="00B01C1B" w:rsidP="00B01C1B">
      <w:pPr>
        <w:rPr>
          <w:rFonts w:cs="Arial"/>
          <w:szCs w:val="24"/>
        </w:rPr>
      </w:pPr>
    </w:p>
    <w:p w14:paraId="2FC1585F" w14:textId="64A34C82" w:rsidR="00B01C1B" w:rsidRDefault="00B01C1B" w:rsidP="00B01C1B">
      <w:pPr>
        <w:rPr>
          <w:rFonts w:cs="Arial"/>
          <w:szCs w:val="24"/>
        </w:rPr>
      </w:pPr>
    </w:p>
    <w:p w14:paraId="67BB03A5" w14:textId="6F876CE2" w:rsidR="008315E5" w:rsidRDefault="008315E5" w:rsidP="00B01C1B">
      <w:pPr>
        <w:rPr>
          <w:rFonts w:cs="Arial"/>
          <w:szCs w:val="24"/>
        </w:rPr>
      </w:pPr>
    </w:p>
    <w:p w14:paraId="39690998" w14:textId="2D1D8CBC" w:rsidR="008315E5" w:rsidRDefault="008315E5" w:rsidP="00B01C1B">
      <w:pPr>
        <w:rPr>
          <w:rFonts w:cs="Arial"/>
          <w:szCs w:val="24"/>
        </w:rPr>
      </w:pPr>
    </w:p>
    <w:p w14:paraId="5DD6060C" w14:textId="095ADD1E" w:rsidR="00B01C1B" w:rsidRPr="008315E5" w:rsidRDefault="00B01C1B" w:rsidP="00B01C1B">
      <w:pPr>
        <w:rPr>
          <w:rFonts w:cs="Arial"/>
          <w:i/>
          <w:sz w:val="20"/>
          <w:szCs w:val="20"/>
        </w:rPr>
      </w:pPr>
      <w:r w:rsidRPr="008315E5">
        <w:rPr>
          <w:rFonts w:cs="Arial"/>
          <w:i/>
          <w:sz w:val="20"/>
          <w:szCs w:val="20"/>
        </w:rPr>
        <w:t>Zdroj: Ministerstvo financí – data poskytnutá provozovateli hazardních her z</w:t>
      </w:r>
      <w:r w:rsidR="008315E5" w:rsidRPr="008315E5">
        <w:rPr>
          <w:rFonts w:cs="Arial"/>
          <w:i/>
          <w:sz w:val="20"/>
          <w:szCs w:val="20"/>
        </w:rPr>
        <w:t> </w:t>
      </w:r>
      <w:r w:rsidRPr="008315E5">
        <w:rPr>
          <w:rFonts w:cs="Arial"/>
          <w:i/>
          <w:sz w:val="20"/>
          <w:szCs w:val="20"/>
        </w:rPr>
        <w:t>výkaznictví</w:t>
      </w:r>
      <w:r w:rsidR="008315E5" w:rsidRPr="008315E5">
        <w:rPr>
          <w:rFonts w:cs="Arial"/>
          <w:i/>
          <w:sz w:val="20"/>
          <w:szCs w:val="20"/>
        </w:rPr>
        <w:t>.</w:t>
      </w:r>
    </w:p>
    <w:p w14:paraId="6B7D7F65" w14:textId="3600C420" w:rsidR="008315E5" w:rsidRDefault="008315E5" w:rsidP="00B01C1B">
      <w:pPr>
        <w:rPr>
          <w:rFonts w:cs="Arial"/>
          <w:szCs w:val="24"/>
        </w:rPr>
      </w:pPr>
      <w:r>
        <w:rPr>
          <w:noProof/>
          <w:lang w:eastAsia="cs-CZ"/>
        </w:rPr>
        <mc:AlternateContent>
          <mc:Choice Requires="wps">
            <w:drawing>
              <wp:anchor distT="0" distB="0" distL="114300" distR="114300" simplePos="0" relativeHeight="251661312" behindDoc="0" locked="0" layoutInCell="1" allowOverlap="1" wp14:anchorId="582DCD6D" wp14:editId="21972830">
                <wp:simplePos x="0" y="0"/>
                <wp:positionH relativeFrom="margin">
                  <wp:align>right</wp:align>
                </wp:positionH>
                <wp:positionV relativeFrom="paragraph">
                  <wp:posOffset>40428</wp:posOffset>
                </wp:positionV>
                <wp:extent cx="5762171" cy="609600"/>
                <wp:effectExtent l="0" t="0" r="0" b="0"/>
                <wp:wrapNone/>
                <wp:docPr id="28" name="Textové pole 28"/>
                <wp:cNvGraphicFramePr/>
                <a:graphic xmlns:a="http://schemas.openxmlformats.org/drawingml/2006/main">
                  <a:graphicData uri="http://schemas.microsoft.com/office/word/2010/wordprocessingShape">
                    <wps:wsp>
                      <wps:cNvSpPr txBox="1"/>
                      <wps:spPr>
                        <a:xfrm>
                          <a:off x="0" y="0"/>
                          <a:ext cx="5762171" cy="609600"/>
                        </a:xfrm>
                        <a:prstGeom prst="rect">
                          <a:avLst/>
                        </a:prstGeom>
                        <a:solidFill>
                          <a:prstClr val="white"/>
                        </a:solidFill>
                        <a:ln>
                          <a:noFill/>
                        </a:ln>
                      </wps:spPr>
                      <wps:txbx>
                        <w:txbxContent>
                          <w:p w14:paraId="460EF081" w14:textId="384DE649" w:rsidR="00F17245" w:rsidRPr="00625965" w:rsidRDefault="00F17245" w:rsidP="008315E5">
                            <w:pPr>
                              <w:pStyle w:val="Titulek"/>
                              <w:rPr>
                                <w:rFonts w:eastAsia="Times New Roman" w:cs="Arial"/>
                                <w:noProof/>
                                <w:color w:val="000000"/>
                                <w:szCs w:val="24"/>
                              </w:rPr>
                            </w:pPr>
                            <w:bookmarkStart w:id="74" w:name="_Toc73611435"/>
                            <w:r>
                              <w:t xml:space="preserve">Graf č. </w:t>
                            </w:r>
                            <w:fldSimple w:instr=" SEQ Graf_č. \* ARABIC ">
                              <w:r>
                                <w:rPr>
                                  <w:noProof/>
                                </w:rPr>
                                <w:t>7</w:t>
                              </w:r>
                            </w:fldSimple>
                            <w:r>
                              <w:t xml:space="preserve">: </w:t>
                            </w:r>
                            <w:r w:rsidRPr="00D743D5">
                              <w:t>Nastavení sebeomezujícího opatření – maximální doba denního přihlášení na uživatelském kontu do jeho automatického odhlášení u kursové sázky za rok 2020</w:t>
                            </w:r>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DCD6D" id="Textové pole 28" o:spid="_x0000_s1027" type="#_x0000_t202" style="position:absolute;left:0;text-align:left;margin-left:402.5pt;margin-top:3.2pt;width:453.7pt;height:4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" stroked="f">
                <v:textbox inset="0,0,0,0">
                  <w:txbxContent>
                    <w:p w14:paraId="460EF081" w14:textId="384DE649" w:rsidR="00F17245" w:rsidRPr="00625965" w:rsidRDefault="00F17245" w:rsidP="008315E5">
                      <w:pPr>
                        <w:pStyle w:val="Titulek"/>
                        <w:rPr>
                          <w:rFonts w:eastAsia="Times New Roman" w:cs="Arial"/>
                          <w:noProof/>
                          <w:color w:val="000000"/>
                          <w:szCs w:val="24"/>
                        </w:rPr>
                      </w:pPr>
                      <w:bookmarkStart w:id="75" w:name="_Toc73611435"/>
                      <w:r>
                        <w:t xml:space="preserve">Graf č. </w:t>
                      </w:r>
                      <w:fldSimple w:instr=" SEQ Graf_č. \* ARABIC ">
                        <w:r>
                          <w:rPr>
                            <w:noProof/>
                          </w:rPr>
                          <w:t>7</w:t>
                        </w:r>
                      </w:fldSimple>
                      <w:r>
                        <w:t xml:space="preserve">: </w:t>
                      </w:r>
                      <w:r w:rsidRPr="00D743D5">
                        <w:t>Nastavení sebeomezujícího opatření – maximální doba denního přihlášení na uživatelském kontu do jeho automatického odhlášení u kursové sázky za rok 2020</w:t>
                      </w:r>
                      <w:bookmarkEnd w:id="75"/>
                    </w:p>
                  </w:txbxContent>
                </v:textbox>
                <w10:wrap anchorx="margin"/>
              </v:shape>
            </w:pict>
          </mc:Fallback>
        </mc:AlternateContent>
      </w:r>
    </w:p>
    <w:p w14:paraId="05285126" w14:textId="77777777" w:rsidR="008315E5" w:rsidRDefault="008315E5" w:rsidP="00B01C1B">
      <w:pPr>
        <w:rPr>
          <w:rFonts w:cs="Arial"/>
          <w:szCs w:val="24"/>
        </w:rPr>
      </w:pPr>
    </w:p>
    <w:p w14:paraId="47B9C0B9" w14:textId="07E7B10B" w:rsidR="00B01C1B" w:rsidRPr="00B41B2B" w:rsidRDefault="00B01C1B" w:rsidP="00B01C1B">
      <w:pPr>
        <w:rPr>
          <w:rFonts w:cs="Arial"/>
          <w:szCs w:val="24"/>
        </w:rPr>
      </w:pPr>
      <w:r w:rsidRPr="00B41B2B">
        <w:rPr>
          <w:rFonts w:eastAsia="Times New Roman" w:cs="Arial"/>
          <w:noProof/>
          <w:color w:val="000000"/>
          <w:szCs w:val="24"/>
          <w:lang w:eastAsia="cs-CZ"/>
        </w:rPr>
        <w:drawing>
          <wp:anchor distT="0" distB="0" distL="114300" distR="114300" simplePos="0" relativeHeight="251655168" behindDoc="0" locked="0" layoutInCell="1" allowOverlap="1" wp14:anchorId="3FB52679" wp14:editId="3F99B07C">
            <wp:simplePos x="0" y="0"/>
            <wp:positionH relativeFrom="margin">
              <wp:align>left</wp:align>
            </wp:positionH>
            <wp:positionV relativeFrom="paragraph">
              <wp:posOffset>29698</wp:posOffset>
            </wp:positionV>
            <wp:extent cx="4581525" cy="2752725"/>
            <wp:effectExtent l="0" t="0" r="9525" b="9525"/>
            <wp:wrapNone/>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3C234C74" w14:textId="2D266BC2" w:rsidR="00B01C1B" w:rsidRPr="00B41B2B" w:rsidRDefault="00B01C1B" w:rsidP="00B01C1B">
      <w:pPr>
        <w:rPr>
          <w:rFonts w:cs="Arial"/>
          <w:szCs w:val="24"/>
        </w:rPr>
      </w:pPr>
    </w:p>
    <w:p w14:paraId="3138D06A" w14:textId="77777777" w:rsidR="00B01C1B" w:rsidRPr="00B41B2B" w:rsidRDefault="00B01C1B" w:rsidP="00B01C1B">
      <w:pPr>
        <w:rPr>
          <w:rFonts w:cs="Arial"/>
          <w:szCs w:val="24"/>
        </w:rPr>
      </w:pPr>
    </w:p>
    <w:p w14:paraId="6BA036EA" w14:textId="77777777" w:rsidR="00B01C1B" w:rsidRPr="00B41B2B" w:rsidRDefault="00B01C1B" w:rsidP="00B01C1B">
      <w:pPr>
        <w:rPr>
          <w:rFonts w:cs="Arial"/>
          <w:szCs w:val="24"/>
        </w:rPr>
      </w:pPr>
    </w:p>
    <w:p w14:paraId="7C67A8FD" w14:textId="77777777" w:rsidR="00B01C1B" w:rsidRPr="00B41B2B" w:rsidRDefault="00B01C1B" w:rsidP="00B01C1B">
      <w:pPr>
        <w:rPr>
          <w:rFonts w:cs="Arial"/>
          <w:szCs w:val="24"/>
        </w:rPr>
      </w:pPr>
    </w:p>
    <w:p w14:paraId="2FCAE706" w14:textId="77777777" w:rsidR="00B01C1B" w:rsidRPr="00B41B2B" w:rsidRDefault="00B01C1B" w:rsidP="00B01C1B">
      <w:pPr>
        <w:rPr>
          <w:rFonts w:cs="Arial"/>
          <w:szCs w:val="24"/>
        </w:rPr>
      </w:pPr>
    </w:p>
    <w:p w14:paraId="160DA76D" w14:textId="36C55899" w:rsidR="00B01C1B" w:rsidRDefault="00B01C1B" w:rsidP="00B01C1B">
      <w:pPr>
        <w:rPr>
          <w:rFonts w:cs="Arial"/>
          <w:szCs w:val="24"/>
        </w:rPr>
      </w:pPr>
      <w:r w:rsidRPr="00935072">
        <w:rPr>
          <w:rFonts w:cs="Arial"/>
          <w:szCs w:val="24"/>
          <w:highlight w:val="yellow"/>
        </w:rPr>
        <w:t>Zdroj:</w:t>
      </w:r>
    </w:p>
    <w:p w14:paraId="4BE4AA24" w14:textId="7707CCD9" w:rsidR="00FF7102" w:rsidRDefault="00FF7102" w:rsidP="00B01C1B">
      <w:pPr>
        <w:rPr>
          <w:rFonts w:cs="Arial"/>
          <w:szCs w:val="24"/>
        </w:rPr>
      </w:pPr>
    </w:p>
    <w:p w14:paraId="3E438F12" w14:textId="4D0A6E13" w:rsidR="00B01C1B" w:rsidRDefault="00B01C1B" w:rsidP="00B01C1B">
      <w:pPr>
        <w:rPr>
          <w:rFonts w:cs="Arial"/>
          <w:i/>
          <w:sz w:val="20"/>
          <w:szCs w:val="20"/>
        </w:rPr>
      </w:pPr>
      <w:r w:rsidRPr="00E042DF">
        <w:rPr>
          <w:rFonts w:cs="Arial"/>
          <w:i/>
          <w:sz w:val="20"/>
          <w:szCs w:val="20"/>
        </w:rPr>
        <w:lastRenderedPageBreak/>
        <w:t>Zdroj: Ministerstvo financí – data poskytnutá provozovateli hazardních her z</w:t>
      </w:r>
      <w:r w:rsidR="008315E5">
        <w:rPr>
          <w:rFonts w:cs="Arial"/>
          <w:i/>
          <w:sz w:val="20"/>
          <w:szCs w:val="20"/>
        </w:rPr>
        <w:t> </w:t>
      </w:r>
      <w:r w:rsidRPr="00E042DF">
        <w:rPr>
          <w:rFonts w:cs="Arial"/>
          <w:i/>
          <w:sz w:val="20"/>
          <w:szCs w:val="20"/>
        </w:rPr>
        <w:t>výkaznictví</w:t>
      </w:r>
      <w:r w:rsidR="008315E5">
        <w:rPr>
          <w:rFonts w:cs="Arial"/>
          <w:i/>
          <w:sz w:val="20"/>
          <w:szCs w:val="20"/>
        </w:rPr>
        <w:t>.</w:t>
      </w:r>
    </w:p>
    <w:p w14:paraId="18EF149E" w14:textId="64014A0A" w:rsidR="00972B08" w:rsidRDefault="00972B08" w:rsidP="00972B08">
      <w:pPr>
        <w:pStyle w:val="Titulek"/>
        <w:keepNext/>
      </w:pPr>
      <w:bookmarkStart w:id="76" w:name="_Toc73611436"/>
      <w:r>
        <w:t xml:space="preserve">Graf č. </w:t>
      </w:r>
      <w:fldSimple w:instr=" SEQ Graf_č. \* ARABIC ">
        <w:r w:rsidR="00A860B8">
          <w:rPr>
            <w:noProof/>
          </w:rPr>
          <w:t>8</w:t>
        </w:r>
      </w:fldSimple>
      <w:r>
        <w:t xml:space="preserve">: </w:t>
      </w:r>
      <w:r w:rsidRPr="00CB299A">
        <w:t>Nast</w:t>
      </w:r>
      <w:r w:rsidR="00102FAA">
        <w:t>avení sebeomezujícího opatření</w:t>
      </w:r>
      <w:r w:rsidRPr="00CB299A">
        <w:t xml:space="preserve"> – </w:t>
      </w:r>
      <w:r w:rsidR="004C633C">
        <w:t>maximální výše sázek za 1 den u </w:t>
      </w:r>
      <w:r w:rsidRPr="00CB299A">
        <w:t>technické hry za rok 2020</w:t>
      </w:r>
      <w:bookmarkEnd w:id="76"/>
    </w:p>
    <w:p w14:paraId="337CDAEE" w14:textId="29A7C085" w:rsidR="00972B08" w:rsidRDefault="00972B08" w:rsidP="00B01C1B">
      <w:pPr>
        <w:rPr>
          <w:rFonts w:cs="Arial"/>
          <w:i/>
          <w:sz w:val="20"/>
          <w:szCs w:val="20"/>
        </w:rPr>
      </w:pPr>
      <w:r>
        <w:rPr>
          <w:noProof/>
          <w:lang w:eastAsia="cs-CZ"/>
        </w:rPr>
        <w:drawing>
          <wp:inline distT="0" distB="0" distL="0" distR="0" wp14:anchorId="1FD8B132" wp14:editId="08051415">
            <wp:extent cx="4905375" cy="2743200"/>
            <wp:effectExtent l="0" t="0" r="9525" b="19050"/>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F06F199" w14:textId="77777777" w:rsidR="00972B08" w:rsidRDefault="00972B08" w:rsidP="00972B08">
      <w:pPr>
        <w:rPr>
          <w:rFonts w:cs="Arial"/>
          <w:i/>
          <w:sz w:val="20"/>
          <w:szCs w:val="20"/>
        </w:rPr>
      </w:pPr>
      <w:r w:rsidRPr="00E042DF">
        <w:rPr>
          <w:rFonts w:cs="Arial"/>
          <w:i/>
          <w:sz w:val="20"/>
          <w:szCs w:val="20"/>
        </w:rPr>
        <w:t>Zdroj: Ministerstvo financí – data poskytnutá provozovateli hazardních her z</w:t>
      </w:r>
      <w:r>
        <w:rPr>
          <w:rFonts w:cs="Arial"/>
          <w:i/>
          <w:sz w:val="20"/>
          <w:szCs w:val="20"/>
        </w:rPr>
        <w:t> </w:t>
      </w:r>
      <w:r w:rsidRPr="00E042DF">
        <w:rPr>
          <w:rFonts w:cs="Arial"/>
          <w:i/>
          <w:sz w:val="20"/>
          <w:szCs w:val="20"/>
        </w:rPr>
        <w:t>výkaznictví</w:t>
      </w:r>
      <w:r>
        <w:rPr>
          <w:rFonts w:cs="Arial"/>
          <w:i/>
          <w:sz w:val="20"/>
          <w:szCs w:val="20"/>
        </w:rPr>
        <w:t>.</w:t>
      </w:r>
    </w:p>
    <w:p w14:paraId="615EA844" w14:textId="01F5FD43" w:rsidR="00972B08" w:rsidRDefault="00972B08" w:rsidP="00972B08">
      <w:pPr>
        <w:pStyle w:val="Titulek"/>
        <w:keepNext/>
      </w:pPr>
      <w:bookmarkStart w:id="77" w:name="_Toc73611437"/>
      <w:r>
        <w:t xml:space="preserve">Graf č. </w:t>
      </w:r>
      <w:fldSimple w:instr=" SEQ Graf_č. \* ARABIC ">
        <w:r w:rsidR="00A860B8">
          <w:rPr>
            <w:noProof/>
          </w:rPr>
          <w:t>9</w:t>
        </w:r>
      </w:fldSimple>
      <w:r>
        <w:t>: N</w:t>
      </w:r>
      <w:r w:rsidRPr="00644681">
        <w:t>ast</w:t>
      </w:r>
      <w:r w:rsidR="00102FAA">
        <w:t xml:space="preserve">avení sebeomezujícího opatření </w:t>
      </w:r>
      <w:r w:rsidRPr="00644681">
        <w:t>– maximální doba denního přihlášení na uživatelském kontu do jeho automatického odhlášení u technické hry za rok 2020</w:t>
      </w:r>
      <w:bookmarkEnd w:id="77"/>
    </w:p>
    <w:p w14:paraId="239175CD" w14:textId="76B7343D" w:rsidR="00972B08" w:rsidRDefault="00972B08" w:rsidP="00B01C1B">
      <w:pPr>
        <w:rPr>
          <w:rFonts w:cs="Arial"/>
          <w:i/>
          <w:sz w:val="20"/>
          <w:szCs w:val="20"/>
        </w:rPr>
      </w:pPr>
      <w:r>
        <w:rPr>
          <w:noProof/>
          <w:lang w:eastAsia="cs-CZ"/>
        </w:rPr>
        <w:drawing>
          <wp:inline distT="0" distB="0" distL="0" distR="0" wp14:anchorId="697C8573" wp14:editId="45E01A68">
            <wp:extent cx="4905375" cy="2743200"/>
            <wp:effectExtent l="0" t="0" r="9525" b="19050"/>
            <wp:docPr id="36"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9299E5" w14:textId="77777777" w:rsidR="00972B08" w:rsidRDefault="00972B08" w:rsidP="00972B08">
      <w:pPr>
        <w:rPr>
          <w:rFonts w:cs="Arial"/>
          <w:i/>
          <w:sz w:val="20"/>
          <w:szCs w:val="20"/>
        </w:rPr>
      </w:pPr>
      <w:r w:rsidRPr="00E042DF">
        <w:rPr>
          <w:rFonts w:cs="Arial"/>
          <w:i/>
          <w:sz w:val="20"/>
          <w:szCs w:val="20"/>
        </w:rPr>
        <w:t>Zdroj: Ministerstvo financí – data poskytnutá provozovateli hazardních her z</w:t>
      </w:r>
      <w:r>
        <w:rPr>
          <w:rFonts w:cs="Arial"/>
          <w:i/>
          <w:sz w:val="20"/>
          <w:szCs w:val="20"/>
        </w:rPr>
        <w:t> </w:t>
      </w:r>
      <w:r w:rsidRPr="00E042DF">
        <w:rPr>
          <w:rFonts w:cs="Arial"/>
          <w:i/>
          <w:sz w:val="20"/>
          <w:szCs w:val="20"/>
        </w:rPr>
        <w:t>výkaznictví</w:t>
      </w:r>
      <w:r>
        <w:rPr>
          <w:rFonts w:cs="Arial"/>
          <w:i/>
          <w:sz w:val="20"/>
          <w:szCs w:val="20"/>
        </w:rPr>
        <w:t>.</w:t>
      </w:r>
    </w:p>
    <w:p w14:paraId="40D46920" w14:textId="77777777" w:rsidR="00B01C1B" w:rsidRPr="00931C93" w:rsidRDefault="00B01C1B" w:rsidP="00C55173">
      <w:pPr>
        <w:pStyle w:val="Nadpis6"/>
      </w:pPr>
      <w:bookmarkStart w:id="78" w:name="_Toc72999560"/>
      <w:r>
        <w:t>Snížení dostupnosti technické hry</w:t>
      </w:r>
      <w:bookmarkEnd w:id="78"/>
    </w:p>
    <w:p w14:paraId="2FD1C452" w14:textId="70B85514" w:rsidR="00B01C1B" w:rsidRDefault="00B01C1B" w:rsidP="00C334E0">
      <w:pPr>
        <w:rPr>
          <w:rFonts w:ascii="Calibri" w:hAnsi="Calibri"/>
          <w:color w:val="1F497D"/>
          <w:sz w:val="22"/>
        </w:rPr>
      </w:pPr>
      <w:r w:rsidRPr="00B41B2B">
        <w:t xml:space="preserve">Následkem zastaralé a nekoncepční právní úpravy byla jak nízká ochrana účastníků hazardních her, tak i poměrně oslabená právní jistota provozovatelů. Zároveň právní regulace umožňovala velmi snadnou dostupnost loterií a jiných podobných her provozovaných </w:t>
      </w:r>
      <w:r>
        <w:t xml:space="preserve">formou </w:t>
      </w:r>
      <w:r w:rsidRPr="00B41B2B">
        <w:t>land-based.</w:t>
      </w:r>
      <w:r>
        <w:t xml:space="preserve"> Následující graf zobrazuje srovnání počtu technických zařízení</w:t>
      </w:r>
      <w:r w:rsidR="00AE65EC">
        <w:t>.</w:t>
      </w:r>
      <w:r>
        <w:t xml:space="preserve"> </w:t>
      </w:r>
      <w:r w:rsidR="00AE65EC" w:rsidRPr="00AE65EC">
        <w:rPr>
          <w:b/>
        </w:rPr>
        <w:t>V</w:t>
      </w:r>
      <w:r w:rsidR="008315E5">
        <w:rPr>
          <w:b/>
        </w:rPr>
        <w:t xml:space="preserve"> roce 2013 </w:t>
      </w:r>
      <w:r w:rsidR="00ED1F79">
        <w:rPr>
          <w:b/>
        </w:rPr>
        <w:t xml:space="preserve">v České republice připadalo </w:t>
      </w:r>
      <w:r w:rsidR="008315E5">
        <w:rPr>
          <w:b/>
        </w:rPr>
        <w:t>7,47 </w:t>
      </w:r>
      <w:r w:rsidRPr="002D502D">
        <w:rPr>
          <w:b/>
        </w:rPr>
        <w:t>technického zařízení na 1000 obyvatel. V roce 2021 (stav k 15.</w:t>
      </w:r>
      <w:r w:rsidR="00B9656A">
        <w:rPr>
          <w:b/>
        </w:rPr>
        <w:t> </w:t>
      </w:r>
      <w:r w:rsidRPr="002D502D">
        <w:rPr>
          <w:b/>
        </w:rPr>
        <w:t>4.</w:t>
      </w:r>
      <w:r w:rsidR="00B9656A">
        <w:rPr>
          <w:b/>
        </w:rPr>
        <w:t> </w:t>
      </w:r>
      <w:r w:rsidRPr="002D502D">
        <w:rPr>
          <w:b/>
        </w:rPr>
        <w:t xml:space="preserve">2021) je v České republice </w:t>
      </w:r>
      <w:r w:rsidRPr="002D502D">
        <w:rPr>
          <w:b/>
        </w:rPr>
        <w:lastRenderedPageBreak/>
        <w:t>povoleno na 1000</w:t>
      </w:r>
      <w:r w:rsidR="00B9656A">
        <w:rPr>
          <w:b/>
        </w:rPr>
        <w:t> </w:t>
      </w:r>
      <w:r w:rsidRPr="002D502D">
        <w:rPr>
          <w:b/>
        </w:rPr>
        <w:t>obyvatel 1,89</w:t>
      </w:r>
      <w:r w:rsidR="00B9656A">
        <w:rPr>
          <w:b/>
        </w:rPr>
        <w:t> </w:t>
      </w:r>
      <w:r w:rsidRPr="002D502D">
        <w:rPr>
          <w:b/>
        </w:rPr>
        <w:t>technického zařízení.</w:t>
      </w:r>
      <w:r>
        <w:t xml:space="preserve"> Uvedená statistika je </w:t>
      </w:r>
      <w:r w:rsidR="004C3D53">
        <w:t xml:space="preserve">částečně </w:t>
      </w:r>
      <w:r w:rsidR="00993CED">
        <w:t>ovlivněna tím, že </w:t>
      </w:r>
      <w:r>
        <w:t>v průběhu prvního čtvrtletí došlo k významnému poklesu povolených technických zařízení, čímž provozovatelé reagují na zavření herních prostorů na základě vládních opatření souvisejících s </w:t>
      </w:r>
      <w:r w:rsidR="00B9656A">
        <w:t>covid</w:t>
      </w:r>
      <w:r>
        <w:t>-19</w:t>
      </w:r>
      <w:r w:rsidR="004C3D53">
        <w:t xml:space="preserve">, nicméně toto nikterak nedevalvuje jednoznačný </w:t>
      </w:r>
      <w:r w:rsidR="00C66301">
        <w:t xml:space="preserve">pozitivní dopad nové regulace na zamýšlené snížení dostupnosti hazardních her. </w:t>
      </w:r>
    </w:p>
    <w:p w14:paraId="24DC45B4" w14:textId="722B5B2D" w:rsidR="00007B49" w:rsidRDefault="00007B49" w:rsidP="00007B49">
      <w:pPr>
        <w:pStyle w:val="Titulek"/>
        <w:keepNext/>
      </w:pPr>
      <w:bookmarkStart w:id="79" w:name="_Toc73611438"/>
      <w:r>
        <w:t xml:space="preserve">Graf č. </w:t>
      </w:r>
      <w:fldSimple w:instr=" SEQ Graf_č. \* ARABIC ">
        <w:r w:rsidR="00A860B8">
          <w:rPr>
            <w:noProof/>
          </w:rPr>
          <w:t>10</w:t>
        </w:r>
      </w:fldSimple>
      <w:r>
        <w:t xml:space="preserve">: </w:t>
      </w:r>
      <w:r w:rsidRPr="002011CE">
        <w:t>Počet technických zařízení na 1000 obyvatel ve vybraných zemích v</w:t>
      </w:r>
      <w:r w:rsidR="00B9656A">
        <w:t> </w:t>
      </w:r>
      <w:r w:rsidRPr="002011CE">
        <w:t>roce</w:t>
      </w:r>
      <w:r w:rsidR="00B9656A">
        <w:t> </w:t>
      </w:r>
      <w:r w:rsidRPr="002011CE">
        <w:t>2013</w:t>
      </w:r>
      <w:bookmarkEnd w:id="79"/>
    </w:p>
    <w:p w14:paraId="53417446" w14:textId="77777777" w:rsidR="00B01C1B" w:rsidRPr="00B41B2B" w:rsidRDefault="00B01C1B" w:rsidP="00B01C1B">
      <w:pPr>
        <w:rPr>
          <w:rFonts w:cs="Arial"/>
          <w:szCs w:val="24"/>
        </w:rPr>
      </w:pPr>
      <w:r w:rsidRPr="00B41B2B">
        <w:rPr>
          <w:rFonts w:cs="Arial"/>
          <w:noProof/>
          <w:szCs w:val="24"/>
          <w:lang w:eastAsia="cs-CZ"/>
        </w:rPr>
        <w:drawing>
          <wp:inline distT="0" distB="0" distL="0" distR="0" wp14:anchorId="282BA8FC" wp14:editId="4161EB23">
            <wp:extent cx="5591175" cy="4772714"/>
            <wp:effectExtent l="0" t="0" r="0" b="889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1836" cy="4790350"/>
                    </a:xfrm>
                    <a:prstGeom prst="rect">
                      <a:avLst/>
                    </a:prstGeom>
                  </pic:spPr>
                </pic:pic>
              </a:graphicData>
            </a:graphic>
          </wp:inline>
        </w:drawing>
      </w:r>
    </w:p>
    <w:p w14:paraId="1116774D" w14:textId="7091023B" w:rsidR="00B01C1B" w:rsidRPr="006003CE" w:rsidRDefault="00B01C1B" w:rsidP="00B01C1B">
      <w:pPr>
        <w:rPr>
          <w:rFonts w:cs="Arial"/>
          <w:i/>
          <w:sz w:val="20"/>
          <w:szCs w:val="20"/>
        </w:rPr>
      </w:pPr>
      <w:r w:rsidRPr="002D12DE">
        <w:rPr>
          <w:rFonts w:cs="Arial"/>
          <w:i/>
          <w:sz w:val="20"/>
          <w:szCs w:val="20"/>
        </w:rPr>
        <w:t>Zdroj:</w:t>
      </w:r>
      <w:r w:rsidRPr="002D12DE">
        <w:t xml:space="preserve"> </w:t>
      </w:r>
      <w:r w:rsidRPr="002D12DE">
        <w:rPr>
          <w:rFonts w:cs="Arial"/>
          <w:i/>
          <w:sz w:val="20"/>
          <w:szCs w:val="20"/>
        </w:rPr>
        <w:t>Mravčík a kol.: Hazardní hraní v České republice a jeho dopady, kap. 4.2 Odhady míry výskytu problémového hráčství v ČR, str. 26</w:t>
      </w:r>
      <w:r w:rsidR="00007B49">
        <w:rPr>
          <w:rFonts w:cs="Arial"/>
          <w:i/>
          <w:sz w:val="20"/>
          <w:szCs w:val="20"/>
        </w:rPr>
        <w:t>.</w:t>
      </w:r>
    </w:p>
    <w:p w14:paraId="25EB7E98" w14:textId="4615603D" w:rsidR="00B01C1B" w:rsidRPr="00B41B2B" w:rsidRDefault="00B01C1B" w:rsidP="00080B69">
      <w:r w:rsidRPr="00F86E44">
        <w:rPr>
          <w:b/>
        </w:rPr>
        <w:t>Výrazný dopad na ochranu účastníků hazardních her mělo omezení prostorů, ve kterých lze provozovat technickou hru</w:t>
      </w:r>
      <w:r>
        <w:t>, která byla v době tvorby nové právní úpravy</w:t>
      </w:r>
      <w:r w:rsidRPr="00B41B2B">
        <w:t xml:space="preserve"> obecně považována za nejrizikovější hazar</w:t>
      </w:r>
      <w:r w:rsidR="003F387B">
        <w:t>dní hru. Na rozdíl od zákona o </w:t>
      </w:r>
      <w:r>
        <w:t>loteriích</w:t>
      </w:r>
      <w:r w:rsidRPr="00B41B2B">
        <w:t xml:space="preserve"> byla odstraněna možnost provozovat hazardní hry ve zvláštním provozním režimu</w:t>
      </w:r>
      <w:r w:rsidR="000C38C0">
        <w:t xml:space="preserve"> (např. hospody</w:t>
      </w:r>
      <w:r w:rsidRPr="00B41B2B">
        <w:t>,</w:t>
      </w:r>
      <w:r w:rsidR="000C38C0">
        <w:t xml:space="preserve"> benzínové pumpy atd.),</w:t>
      </w:r>
      <w:r w:rsidRPr="00B41B2B">
        <w:t xml:space="preserve"> který byl hodnocen jako nejvíce rizikový. </w:t>
      </w:r>
      <w:r w:rsidR="00B9656A" w:rsidRPr="00B41B2B">
        <w:t>Z</w:t>
      </w:r>
      <w:r w:rsidR="00B9656A">
        <w:t>ákon o hazardních hrách</w:t>
      </w:r>
      <w:r w:rsidR="00B9656A" w:rsidRPr="00B41B2B">
        <w:t xml:space="preserve"> </w:t>
      </w:r>
      <w:r w:rsidRPr="00B41B2B">
        <w:t xml:space="preserve">zvýšil nároky na podmínky provozování hazardních her, zejména pak počtu provozovaných </w:t>
      </w:r>
      <w:r>
        <w:t>technických zařízení, kdy zákon o </w:t>
      </w:r>
      <w:r w:rsidRPr="00B41B2B">
        <w:t xml:space="preserve">loteriích žádné omezení nestanovil. Zároveň byl zachován zákaz provozování hazardních her v určitých prostorech, zejména souvisejících se zvýšeným </w:t>
      </w:r>
      <w:r w:rsidR="003F387B">
        <w:t>výskytem osob mladších 18 let a </w:t>
      </w:r>
      <w:r w:rsidRPr="00B41B2B">
        <w:t xml:space="preserve">osob, které jsou obecně znevýhodněny svým zdravotním stavem nebo sociální situací. </w:t>
      </w:r>
      <w:r w:rsidRPr="00F86E44">
        <w:rPr>
          <w:b/>
        </w:rPr>
        <w:t xml:space="preserve">Důsledkem byl výrazný pokles počtu herních </w:t>
      </w:r>
      <w:r w:rsidRPr="00F86E44">
        <w:rPr>
          <w:b/>
        </w:rPr>
        <w:lastRenderedPageBreak/>
        <w:t>prostorů a s tím i snížení dostupnosti technické hry a</w:t>
      </w:r>
      <w:r w:rsidR="00993CED">
        <w:rPr>
          <w:b/>
        </w:rPr>
        <w:t xml:space="preserve"> zároveň i živé hry a </w:t>
      </w:r>
      <w:r w:rsidRPr="00F86E44">
        <w:rPr>
          <w:b/>
        </w:rPr>
        <w:t>binga.</w:t>
      </w:r>
      <w:r w:rsidR="00A87951" w:rsidRPr="00F86E44">
        <w:rPr>
          <w:b/>
        </w:rPr>
        <w:t xml:space="preserve"> </w:t>
      </w:r>
      <w:r w:rsidR="00A87951">
        <w:t xml:space="preserve">V roce 2021 Ministerstvo financí zaznamenalo </w:t>
      </w:r>
      <w:r w:rsidR="002D502D">
        <w:t xml:space="preserve">další </w:t>
      </w:r>
      <w:r w:rsidR="00A87951">
        <w:t>významný pokles po</w:t>
      </w:r>
      <w:r w:rsidR="003F387B">
        <w:t>volených technických zařízení a </w:t>
      </w:r>
      <w:r w:rsidR="00A87951">
        <w:t>herních prostorů</w:t>
      </w:r>
      <w:r w:rsidR="002D502D">
        <w:t xml:space="preserve"> ještě nad rámec dlouhodobého trendu</w:t>
      </w:r>
      <w:r w:rsidR="00A87951">
        <w:t xml:space="preserve">, tento jev lze přisuzovat zavření heren a kasin v souvislosti s pandemií </w:t>
      </w:r>
      <w:r w:rsidR="00B9656A">
        <w:t>covid</w:t>
      </w:r>
      <w:r w:rsidR="00E17489">
        <w:t xml:space="preserve">-19. Z tohoto důvodu Ministerstvo financí očekává, že poté, co budou moci provozovatelé hazardních her herní prostory opětovně otevřít, </w:t>
      </w:r>
      <w:r w:rsidR="00B9656A">
        <w:t>dojde</w:t>
      </w:r>
      <w:r w:rsidR="00E17489">
        <w:t xml:space="preserve"> </w:t>
      </w:r>
      <w:r w:rsidR="00536221">
        <w:t>k</w:t>
      </w:r>
      <w:r w:rsidR="00B9656A">
        <w:t>e</w:t>
      </w:r>
      <w:r w:rsidR="00536221">
        <w:t> </w:t>
      </w:r>
      <w:r w:rsidR="002D502D">
        <w:t>zpětnému návratu na hodnoty před pandemií</w:t>
      </w:r>
      <w:r w:rsidR="00E17489">
        <w:t xml:space="preserve"> jak </w:t>
      </w:r>
      <w:r w:rsidR="002D502D">
        <w:t xml:space="preserve">u </w:t>
      </w:r>
      <w:r w:rsidR="00E17489">
        <w:t>povolen</w:t>
      </w:r>
      <w:r w:rsidR="0077034D">
        <w:t>ých technických zařízení, tak i </w:t>
      </w:r>
      <w:r w:rsidR="00E17489">
        <w:t xml:space="preserve">herních prostorů. </w:t>
      </w:r>
      <w:r w:rsidR="002D502D">
        <w:t>Tyto hodno</w:t>
      </w:r>
      <w:r w:rsidR="00993CED">
        <w:t>ty jsou i tak násobně nižší než </w:t>
      </w:r>
      <w:r w:rsidR="002D502D">
        <w:t>před</w:t>
      </w:r>
      <w:r w:rsidR="00B9656A">
        <w:t> </w:t>
      </w:r>
      <w:r w:rsidR="002D502D">
        <w:t>zavedením nové regulace.</w:t>
      </w:r>
    </w:p>
    <w:p w14:paraId="637D294A" w14:textId="1F0DB08A" w:rsidR="00536221" w:rsidRDefault="00536221" w:rsidP="00536221">
      <w:pPr>
        <w:pStyle w:val="Titulek"/>
        <w:keepNext/>
      </w:pPr>
      <w:bookmarkStart w:id="80" w:name="_Toc73611439"/>
      <w:r>
        <w:t xml:space="preserve">Graf č. </w:t>
      </w:r>
      <w:fldSimple w:instr=" SEQ Graf_č. \* ARABIC ">
        <w:r w:rsidR="00A860B8">
          <w:rPr>
            <w:noProof/>
          </w:rPr>
          <w:t>11</w:t>
        </w:r>
      </w:fldSimple>
      <w:r>
        <w:t xml:space="preserve">: </w:t>
      </w:r>
      <w:r w:rsidRPr="00FC4E46">
        <w:t>Vývoj počtu míst s technickou hrou</w:t>
      </w:r>
      <w:bookmarkEnd w:id="80"/>
    </w:p>
    <w:p w14:paraId="62FDF133" w14:textId="4062797D" w:rsidR="00B01C1B" w:rsidRPr="00B41B2B" w:rsidRDefault="002A6FEA" w:rsidP="00B01C1B">
      <w:pPr>
        <w:rPr>
          <w:rFonts w:cs="Arial"/>
          <w:szCs w:val="24"/>
        </w:rPr>
      </w:pPr>
      <w:r>
        <w:rPr>
          <w:rFonts w:cs="Arial"/>
          <w:noProof/>
          <w:szCs w:val="24"/>
          <w:lang w:eastAsia="cs-CZ"/>
        </w:rPr>
        <w:drawing>
          <wp:inline distT="0" distB="0" distL="0" distR="0" wp14:anchorId="687A80F1" wp14:editId="64867202">
            <wp:extent cx="4543425" cy="1952625"/>
            <wp:effectExtent l="0" t="0" r="9525"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3425" cy="1952625"/>
                    </a:xfrm>
                    <a:prstGeom prst="rect">
                      <a:avLst/>
                    </a:prstGeom>
                    <a:noFill/>
                    <a:ln>
                      <a:noFill/>
                    </a:ln>
                  </pic:spPr>
                </pic:pic>
              </a:graphicData>
            </a:graphic>
          </wp:inline>
        </w:drawing>
      </w:r>
    </w:p>
    <w:p w14:paraId="431B1E79" w14:textId="6DE756CE" w:rsidR="00B01C1B" w:rsidRPr="00E042DF" w:rsidRDefault="00B01C1B" w:rsidP="00B01C1B">
      <w:pPr>
        <w:rPr>
          <w:rFonts w:cs="Arial"/>
          <w:i/>
          <w:sz w:val="20"/>
          <w:szCs w:val="20"/>
        </w:rPr>
      </w:pPr>
      <w:r w:rsidRPr="00E042DF">
        <w:rPr>
          <w:rFonts w:cs="Arial"/>
          <w:i/>
          <w:sz w:val="20"/>
          <w:szCs w:val="20"/>
        </w:rPr>
        <w:t xml:space="preserve">Zdroj: Ministerstvo financí – </w:t>
      </w:r>
      <w:r w:rsidR="001C6DA4">
        <w:rPr>
          <w:rFonts w:cs="Arial"/>
          <w:i/>
          <w:sz w:val="20"/>
          <w:szCs w:val="20"/>
        </w:rPr>
        <w:t>IS</w:t>
      </w:r>
      <w:r w:rsidRPr="00E042DF">
        <w:rPr>
          <w:rFonts w:cs="Arial"/>
          <w:i/>
          <w:sz w:val="20"/>
          <w:szCs w:val="20"/>
        </w:rPr>
        <w:t xml:space="preserve"> SDSL</w:t>
      </w:r>
      <w:r w:rsidR="00536221">
        <w:rPr>
          <w:rFonts w:cs="Arial"/>
          <w:i/>
          <w:sz w:val="20"/>
          <w:szCs w:val="20"/>
        </w:rPr>
        <w:t>.</w:t>
      </w:r>
    </w:p>
    <w:p w14:paraId="0A2FDFFD" w14:textId="4462B660" w:rsidR="00536221" w:rsidRDefault="00536221" w:rsidP="00536221">
      <w:pPr>
        <w:pStyle w:val="Titulek"/>
        <w:keepNext/>
      </w:pPr>
      <w:bookmarkStart w:id="81" w:name="_Toc73611440"/>
      <w:r>
        <w:t xml:space="preserve">Graf č. </w:t>
      </w:r>
      <w:fldSimple w:instr=" SEQ Graf_č. \* ARABIC ">
        <w:r w:rsidR="00A860B8">
          <w:rPr>
            <w:noProof/>
          </w:rPr>
          <w:t>12</w:t>
        </w:r>
      </w:fldSimple>
      <w:r>
        <w:t xml:space="preserve">: </w:t>
      </w:r>
      <w:r w:rsidRPr="00E02104">
        <w:t>Počet technických zařízení</w:t>
      </w:r>
      <w:bookmarkEnd w:id="81"/>
    </w:p>
    <w:p w14:paraId="430B59AF" w14:textId="60FD91BA" w:rsidR="002A6FEA" w:rsidRDefault="002A6FEA" w:rsidP="00B01C1B">
      <w:pPr>
        <w:rPr>
          <w:rFonts w:cs="Arial"/>
          <w:szCs w:val="24"/>
        </w:rPr>
      </w:pPr>
      <w:r>
        <w:rPr>
          <w:rFonts w:cs="Arial"/>
          <w:noProof/>
          <w:szCs w:val="24"/>
          <w:lang w:eastAsia="cs-CZ"/>
        </w:rPr>
        <w:drawing>
          <wp:inline distT="0" distB="0" distL="0" distR="0" wp14:anchorId="287951F1" wp14:editId="14D09DD5">
            <wp:extent cx="5762625" cy="2876550"/>
            <wp:effectExtent l="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2876550"/>
                    </a:xfrm>
                    <a:prstGeom prst="rect">
                      <a:avLst/>
                    </a:prstGeom>
                    <a:noFill/>
                    <a:ln>
                      <a:noFill/>
                    </a:ln>
                  </pic:spPr>
                </pic:pic>
              </a:graphicData>
            </a:graphic>
          </wp:inline>
        </w:drawing>
      </w:r>
    </w:p>
    <w:p w14:paraId="5613C825" w14:textId="5EFA0177" w:rsidR="00B01C1B" w:rsidRPr="00E042DF" w:rsidRDefault="00B01C1B" w:rsidP="00B01C1B">
      <w:pPr>
        <w:rPr>
          <w:rFonts w:cs="Arial"/>
          <w:i/>
          <w:sz w:val="20"/>
          <w:szCs w:val="20"/>
        </w:rPr>
      </w:pPr>
      <w:r w:rsidRPr="00E042DF">
        <w:rPr>
          <w:rFonts w:cs="Arial"/>
          <w:i/>
          <w:sz w:val="20"/>
          <w:szCs w:val="20"/>
        </w:rPr>
        <w:t xml:space="preserve">Zdroj: Ministerstvo financí – </w:t>
      </w:r>
      <w:r w:rsidR="001C6DA4">
        <w:rPr>
          <w:rFonts w:cs="Arial"/>
          <w:i/>
          <w:sz w:val="20"/>
          <w:szCs w:val="20"/>
        </w:rPr>
        <w:t>IS</w:t>
      </w:r>
      <w:r w:rsidRPr="00E042DF">
        <w:rPr>
          <w:rFonts w:cs="Arial"/>
          <w:i/>
          <w:sz w:val="20"/>
          <w:szCs w:val="20"/>
        </w:rPr>
        <w:t xml:space="preserve"> SDSL</w:t>
      </w:r>
      <w:r w:rsidR="00536221">
        <w:rPr>
          <w:rFonts w:cs="Arial"/>
          <w:i/>
          <w:sz w:val="20"/>
          <w:szCs w:val="20"/>
        </w:rPr>
        <w:t>.</w:t>
      </w:r>
    </w:p>
    <w:p w14:paraId="2A299EAC" w14:textId="0EC062CB" w:rsidR="00536221" w:rsidRDefault="00536221" w:rsidP="00536221">
      <w:pPr>
        <w:pStyle w:val="Titulek"/>
        <w:keepNext/>
      </w:pPr>
      <w:bookmarkStart w:id="82" w:name="_Toc73524680"/>
      <w:r>
        <w:t xml:space="preserve">Tabulka č. </w:t>
      </w:r>
      <w:fldSimple w:instr=" SEQ Tabulka_č. \* ARABIC ">
        <w:r w:rsidR="00B0565F">
          <w:rPr>
            <w:noProof/>
          </w:rPr>
          <w:t>3</w:t>
        </w:r>
      </w:fldSimple>
      <w:r w:rsidRPr="00971660">
        <w:t>: Místa, na kterých lze provozovat technické hry</w:t>
      </w:r>
      <w:bookmarkEnd w:id="82"/>
    </w:p>
    <w:tbl>
      <w:tblPr>
        <w:tblStyle w:val="Mkatabulky"/>
        <w:tblW w:w="0" w:type="auto"/>
        <w:tblLook w:val="04A0" w:firstRow="1" w:lastRow="0" w:firstColumn="1" w:lastColumn="0" w:noHBand="0" w:noVBand="1"/>
      </w:tblPr>
      <w:tblGrid>
        <w:gridCol w:w="1812"/>
        <w:gridCol w:w="1812"/>
        <w:gridCol w:w="1812"/>
        <w:gridCol w:w="1813"/>
        <w:gridCol w:w="1813"/>
      </w:tblGrid>
      <w:tr w:rsidR="00A87951" w14:paraId="3BC15B36" w14:textId="77777777" w:rsidTr="00A87951">
        <w:tc>
          <w:tcPr>
            <w:tcW w:w="1812" w:type="dxa"/>
          </w:tcPr>
          <w:p w14:paraId="182EA348" w14:textId="7667695A" w:rsidR="00A87951" w:rsidRDefault="00A87951" w:rsidP="00B01C1B">
            <w:pPr>
              <w:rPr>
                <w:rFonts w:cs="Arial"/>
                <w:szCs w:val="24"/>
              </w:rPr>
            </w:pPr>
            <w:r>
              <w:rPr>
                <w:rFonts w:cs="Arial"/>
                <w:szCs w:val="24"/>
              </w:rPr>
              <w:t>Období</w:t>
            </w:r>
          </w:p>
        </w:tc>
        <w:tc>
          <w:tcPr>
            <w:tcW w:w="1812" w:type="dxa"/>
          </w:tcPr>
          <w:p w14:paraId="503AB2E8" w14:textId="1503D0C9" w:rsidR="00A87951" w:rsidRDefault="00A87951" w:rsidP="00B01C1B">
            <w:pPr>
              <w:rPr>
                <w:rFonts w:cs="Arial"/>
                <w:szCs w:val="24"/>
              </w:rPr>
            </w:pPr>
            <w:r>
              <w:rPr>
                <w:rFonts w:cs="Arial"/>
                <w:szCs w:val="24"/>
              </w:rPr>
              <w:t>Počet ZPR</w:t>
            </w:r>
          </w:p>
        </w:tc>
        <w:tc>
          <w:tcPr>
            <w:tcW w:w="1812" w:type="dxa"/>
          </w:tcPr>
          <w:p w14:paraId="76EE5F7F" w14:textId="4008F30D" w:rsidR="00A87951" w:rsidRDefault="00A87951" w:rsidP="00B01C1B">
            <w:pPr>
              <w:rPr>
                <w:rFonts w:cs="Arial"/>
                <w:szCs w:val="24"/>
              </w:rPr>
            </w:pPr>
            <w:r>
              <w:rPr>
                <w:rFonts w:cs="Arial"/>
                <w:szCs w:val="24"/>
              </w:rPr>
              <w:t>Počet heren</w:t>
            </w:r>
          </w:p>
        </w:tc>
        <w:tc>
          <w:tcPr>
            <w:tcW w:w="1813" w:type="dxa"/>
          </w:tcPr>
          <w:p w14:paraId="31D27696" w14:textId="27554035" w:rsidR="00A87951" w:rsidRDefault="00A87951" w:rsidP="00B01C1B">
            <w:pPr>
              <w:rPr>
                <w:rFonts w:cs="Arial"/>
                <w:szCs w:val="24"/>
              </w:rPr>
            </w:pPr>
            <w:r>
              <w:rPr>
                <w:rFonts w:cs="Arial"/>
                <w:szCs w:val="24"/>
              </w:rPr>
              <w:t>Počet kasin</w:t>
            </w:r>
          </w:p>
        </w:tc>
        <w:tc>
          <w:tcPr>
            <w:tcW w:w="1813" w:type="dxa"/>
          </w:tcPr>
          <w:p w14:paraId="721C1E3F" w14:textId="4DC61549" w:rsidR="00A87951" w:rsidRDefault="00A87951" w:rsidP="00B01C1B">
            <w:pPr>
              <w:rPr>
                <w:rFonts w:cs="Arial"/>
                <w:szCs w:val="24"/>
              </w:rPr>
            </w:pPr>
            <w:r>
              <w:rPr>
                <w:rFonts w:cs="Arial"/>
                <w:szCs w:val="24"/>
              </w:rPr>
              <w:t>Celkem</w:t>
            </w:r>
          </w:p>
        </w:tc>
      </w:tr>
      <w:tr w:rsidR="00A87951" w14:paraId="2DAC07CD" w14:textId="77777777" w:rsidTr="00A87951">
        <w:tc>
          <w:tcPr>
            <w:tcW w:w="1812" w:type="dxa"/>
          </w:tcPr>
          <w:p w14:paraId="03D4F811" w14:textId="235DFFC1" w:rsidR="00A87951" w:rsidRDefault="00A87951" w:rsidP="00B01C1B">
            <w:pPr>
              <w:rPr>
                <w:rFonts w:cs="Arial"/>
                <w:szCs w:val="24"/>
              </w:rPr>
            </w:pPr>
            <w:r>
              <w:rPr>
                <w:rFonts w:cs="Arial"/>
                <w:szCs w:val="24"/>
              </w:rPr>
              <w:t>leden 2016</w:t>
            </w:r>
          </w:p>
        </w:tc>
        <w:tc>
          <w:tcPr>
            <w:tcW w:w="1812" w:type="dxa"/>
          </w:tcPr>
          <w:p w14:paraId="1C3D68AA" w14:textId="03F2A798" w:rsidR="00A87951" w:rsidRDefault="00A87951" w:rsidP="00B01C1B">
            <w:pPr>
              <w:rPr>
                <w:rFonts w:cs="Arial"/>
                <w:szCs w:val="24"/>
              </w:rPr>
            </w:pPr>
            <w:r>
              <w:rPr>
                <w:rFonts w:cs="Arial"/>
                <w:szCs w:val="24"/>
              </w:rPr>
              <w:t>737</w:t>
            </w:r>
          </w:p>
        </w:tc>
        <w:tc>
          <w:tcPr>
            <w:tcW w:w="1812" w:type="dxa"/>
          </w:tcPr>
          <w:p w14:paraId="7AE4F5FB" w14:textId="72D85608" w:rsidR="00A87951" w:rsidRDefault="00A87951" w:rsidP="00B01C1B">
            <w:pPr>
              <w:rPr>
                <w:rFonts w:cs="Arial"/>
                <w:szCs w:val="24"/>
              </w:rPr>
            </w:pPr>
            <w:r>
              <w:rPr>
                <w:rFonts w:cs="Arial"/>
                <w:szCs w:val="24"/>
              </w:rPr>
              <w:t>3 368</w:t>
            </w:r>
          </w:p>
        </w:tc>
        <w:tc>
          <w:tcPr>
            <w:tcW w:w="1813" w:type="dxa"/>
          </w:tcPr>
          <w:p w14:paraId="3CBD8F2D" w14:textId="6EB19BB3" w:rsidR="00A87951" w:rsidRDefault="00A87951" w:rsidP="00B01C1B">
            <w:pPr>
              <w:rPr>
                <w:rFonts w:cs="Arial"/>
                <w:szCs w:val="24"/>
              </w:rPr>
            </w:pPr>
            <w:r>
              <w:rPr>
                <w:rFonts w:cs="Arial"/>
                <w:szCs w:val="24"/>
              </w:rPr>
              <w:t>557</w:t>
            </w:r>
          </w:p>
        </w:tc>
        <w:tc>
          <w:tcPr>
            <w:tcW w:w="1813" w:type="dxa"/>
          </w:tcPr>
          <w:p w14:paraId="4F2A87E4" w14:textId="2BFA7CB5" w:rsidR="00A87951" w:rsidRDefault="00A87951" w:rsidP="00B01C1B">
            <w:pPr>
              <w:rPr>
                <w:rFonts w:cs="Arial"/>
                <w:szCs w:val="24"/>
              </w:rPr>
            </w:pPr>
            <w:r>
              <w:rPr>
                <w:rFonts w:cs="Arial"/>
                <w:szCs w:val="24"/>
              </w:rPr>
              <w:t>4 662</w:t>
            </w:r>
          </w:p>
        </w:tc>
      </w:tr>
      <w:tr w:rsidR="00A87951" w14:paraId="5AAFAFBA" w14:textId="77777777" w:rsidTr="00A87951">
        <w:tc>
          <w:tcPr>
            <w:tcW w:w="1812" w:type="dxa"/>
          </w:tcPr>
          <w:p w14:paraId="3BB4125F" w14:textId="35AF7026" w:rsidR="00A87951" w:rsidRDefault="00A87951" w:rsidP="00B01C1B">
            <w:pPr>
              <w:rPr>
                <w:rFonts w:cs="Arial"/>
                <w:szCs w:val="24"/>
              </w:rPr>
            </w:pPr>
            <w:r>
              <w:rPr>
                <w:rFonts w:cs="Arial"/>
                <w:szCs w:val="24"/>
              </w:rPr>
              <w:t>duben 2021</w:t>
            </w:r>
          </w:p>
        </w:tc>
        <w:tc>
          <w:tcPr>
            <w:tcW w:w="1812" w:type="dxa"/>
          </w:tcPr>
          <w:p w14:paraId="0631AA9F" w14:textId="266E3D4B" w:rsidR="00A87951" w:rsidRDefault="00A87951" w:rsidP="00B01C1B">
            <w:pPr>
              <w:rPr>
                <w:rFonts w:cs="Arial"/>
                <w:szCs w:val="24"/>
              </w:rPr>
            </w:pPr>
            <w:r>
              <w:rPr>
                <w:rFonts w:cs="Arial"/>
                <w:szCs w:val="24"/>
              </w:rPr>
              <w:t>-</w:t>
            </w:r>
          </w:p>
        </w:tc>
        <w:tc>
          <w:tcPr>
            <w:tcW w:w="1812" w:type="dxa"/>
          </w:tcPr>
          <w:p w14:paraId="3A6B3CA6" w14:textId="627B325B" w:rsidR="00A87951" w:rsidRDefault="00A87951" w:rsidP="00B01C1B">
            <w:pPr>
              <w:rPr>
                <w:rFonts w:cs="Arial"/>
                <w:szCs w:val="24"/>
              </w:rPr>
            </w:pPr>
            <w:r>
              <w:rPr>
                <w:rFonts w:cs="Arial"/>
                <w:szCs w:val="24"/>
              </w:rPr>
              <w:t>231</w:t>
            </w:r>
          </w:p>
        </w:tc>
        <w:tc>
          <w:tcPr>
            <w:tcW w:w="1813" w:type="dxa"/>
          </w:tcPr>
          <w:p w14:paraId="3F02908F" w14:textId="0CDABEF7" w:rsidR="00A87951" w:rsidRDefault="00A87951" w:rsidP="00B01C1B">
            <w:pPr>
              <w:rPr>
                <w:rFonts w:cs="Arial"/>
                <w:szCs w:val="24"/>
              </w:rPr>
            </w:pPr>
            <w:r>
              <w:rPr>
                <w:rFonts w:cs="Arial"/>
                <w:szCs w:val="24"/>
              </w:rPr>
              <w:t>471</w:t>
            </w:r>
          </w:p>
        </w:tc>
        <w:tc>
          <w:tcPr>
            <w:tcW w:w="1813" w:type="dxa"/>
          </w:tcPr>
          <w:p w14:paraId="60709923" w14:textId="7E2ABEDA" w:rsidR="00A87951" w:rsidRDefault="00A87951" w:rsidP="00B01C1B">
            <w:pPr>
              <w:rPr>
                <w:rFonts w:cs="Arial"/>
                <w:szCs w:val="24"/>
              </w:rPr>
            </w:pPr>
            <w:r>
              <w:rPr>
                <w:rFonts w:cs="Arial"/>
                <w:szCs w:val="24"/>
              </w:rPr>
              <w:t>702</w:t>
            </w:r>
          </w:p>
        </w:tc>
      </w:tr>
    </w:tbl>
    <w:p w14:paraId="05CC88E7" w14:textId="381709F9" w:rsidR="00A87951" w:rsidRPr="00536221" w:rsidRDefault="00536221" w:rsidP="00B01C1B">
      <w:pPr>
        <w:rPr>
          <w:rFonts w:cs="Arial"/>
          <w:i/>
          <w:sz w:val="20"/>
          <w:szCs w:val="24"/>
        </w:rPr>
      </w:pPr>
      <w:r w:rsidRPr="00536221">
        <w:rPr>
          <w:rFonts w:cs="Arial"/>
          <w:i/>
          <w:sz w:val="20"/>
          <w:szCs w:val="24"/>
        </w:rPr>
        <w:t>Zdroj:</w:t>
      </w:r>
      <w:r w:rsidR="00C52B93" w:rsidRPr="00C52B93">
        <w:rPr>
          <w:rFonts w:cs="Arial"/>
          <w:i/>
          <w:sz w:val="20"/>
          <w:szCs w:val="20"/>
        </w:rPr>
        <w:t xml:space="preserve"> </w:t>
      </w:r>
      <w:r w:rsidR="00C52B93" w:rsidRPr="00E042DF">
        <w:rPr>
          <w:rFonts w:cs="Arial"/>
          <w:i/>
          <w:sz w:val="20"/>
          <w:szCs w:val="20"/>
        </w:rPr>
        <w:t xml:space="preserve">Ministerstvo financí – </w:t>
      </w:r>
      <w:r w:rsidR="001C6DA4">
        <w:rPr>
          <w:rFonts w:cs="Arial"/>
          <w:i/>
          <w:sz w:val="20"/>
          <w:szCs w:val="20"/>
        </w:rPr>
        <w:t>IS</w:t>
      </w:r>
      <w:r w:rsidR="00C52B93" w:rsidRPr="00E042DF">
        <w:rPr>
          <w:rFonts w:cs="Arial"/>
          <w:i/>
          <w:sz w:val="20"/>
          <w:szCs w:val="20"/>
        </w:rPr>
        <w:t xml:space="preserve"> SDSL</w:t>
      </w:r>
      <w:r w:rsidR="00C52B93">
        <w:rPr>
          <w:rFonts w:cs="Arial"/>
          <w:i/>
          <w:sz w:val="20"/>
          <w:szCs w:val="20"/>
        </w:rPr>
        <w:t>.</w:t>
      </w:r>
    </w:p>
    <w:p w14:paraId="44D8A446" w14:textId="20A98787" w:rsidR="00F17831" w:rsidRDefault="00F17831" w:rsidP="00F17831">
      <w:pPr>
        <w:pStyle w:val="Titulek"/>
        <w:keepNext/>
      </w:pPr>
      <w:bookmarkStart w:id="83" w:name="_Toc73524689"/>
      <w:r>
        <w:lastRenderedPageBreak/>
        <w:t xml:space="preserve">Obrázek č. </w:t>
      </w:r>
      <w:fldSimple w:instr=" SEQ Obrázek_č._ \* ARABIC ">
        <w:r>
          <w:rPr>
            <w:noProof/>
          </w:rPr>
          <w:t>1</w:t>
        </w:r>
      </w:fldSimple>
      <w:r>
        <w:t xml:space="preserve">: </w:t>
      </w:r>
      <w:r w:rsidRPr="00614935">
        <w:t>Herny v České republice (3. čtvrtletí 2020)</w:t>
      </w:r>
      <w:bookmarkEnd w:id="83"/>
    </w:p>
    <w:p w14:paraId="725988B1" w14:textId="77777777" w:rsidR="005F2BF7" w:rsidRDefault="005F2BF7" w:rsidP="005F2BF7">
      <w:r>
        <w:rPr>
          <w:noProof/>
          <w:lang w:eastAsia="cs-CZ"/>
        </w:rPr>
        <w:drawing>
          <wp:inline distT="0" distB="0" distL="0" distR="0" wp14:anchorId="6FDDE19D" wp14:editId="2E2532DB">
            <wp:extent cx="5760720" cy="3471988"/>
            <wp:effectExtent l="19050" t="19050" r="11430" b="14605"/>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60720" cy="3471988"/>
                    </a:xfrm>
                    <a:prstGeom prst="rect">
                      <a:avLst/>
                    </a:prstGeom>
                    <a:ln w="3175">
                      <a:solidFill>
                        <a:schemeClr val="tx1"/>
                      </a:solidFill>
                    </a:ln>
                  </pic:spPr>
                </pic:pic>
              </a:graphicData>
            </a:graphic>
          </wp:inline>
        </w:drawing>
      </w:r>
    </w:p>
    <w:p w14:paraId="7A93E619" w14:textId="66E663D4" w:rsidR="005F2BF7" w:rsidRDefault="005F2BF7" w:rsidP="005F2BF7">
      <w:pPr>
        <w:rPr>
          <w:rFonts w:cs="Arial"/>
          <w:i/>
          <w:sz w:val="20"/>
          <w:szCs w:val="20"/>
        </w:rPr>
      </w:pPr>
      <w:r w:rsidRPr="00536221">
        <w:rPr>
          <w:rFonts w:cs="Arial"/>
          <w:i/>
          <w:sz w:val="20"/>
          <w:szCs w:val="24"/>
        </w:rPr>
        <w:t>Zdroj:</w:t>
      </w:r>
      <w:r w:rsidRPr="00C52B93">
        <w:rPr>
          <w:rFonts w:cs="Arial"/>
          <w:i/>
          <w:sz w:val="20"/>
          <w:szCs w:val="20"/>
        </w:rPr>
        <w:t xml:space="preserve"> </w:t>
      </w:r>
      <w:r w:rsidRPr="00E042DF">
        <w:rPr>
          <w:rFonts w:cs="Arial"/>
          <w:i/>
          <w:sz w:val="20"/>
          <w:szCs w:val="20"/>
        </w:rPr>
        <w:t xml:space="preserve">Ministerstvo financí – </w:t>
      </w:r>
      <w:r w:rsidR="001C6DA4">
        <w:rPr>
          <w:rFonts w:cs="Arial"/>
          <w:i/>
          <w:sz w:val="20"/>
          <w:szCs w:val="20"/>
        </w:rPr>
        <w:t>IS</w:t>
      </w:r>
      <w:r w:rsidRPr="00E042DF">
        <w:rPr>
          <w:rFonts w:cs="Arial"/>
          <w:i/>
          <w:sz w:val="20"/>
          <w:szCs w:val="20"/>
        </w:rPr>
        <w:t xml:space="preserve"> SDSL</w:t>
      </w:r>
      <w:r>
        <w:rPr>
          <w:rFonts w:cs="Arial"/>
          <w:i/>
          <w:sz w:val="20"/>
          <w:szCs w:val="20"/>
        </w:rPr>
        <w:t>.</w:t>
      </w:r>
    </w:p>
    <w:p w14:paraId="7D4251EE" w14:textId="30655574" w:rsidR="00F17831" w:rsidRDefault="00462D07" w:rsidP="00F17831">
      <w:pPr>
        <w:pStyle w:val="Titulek"/>
        <w:keepNext/>
      </w:pPr>
      <w:bookmarkStart w:id="84" w:name="_Toc73524690"/>
      <w:r>
        <w:t>Obrázek č.</w:t>
      </w:r>
      <w:r w:rsidR="00F17831">
        <w:t xml:space="preserve"> </w:t>
      </w:r>
      <w:fldSimple w:instr=" SEQ Obrázek_č._ \* ARABIC ">
        <w:r w:rsidR="00F17831">
          <w:rPr>
            <w:noProof/>
          </w:rPr>
          <w:t>2</w:t>
        </w:r>
      </w:fldSimple>
      <w:r w:rsidR="00F17831">
        <w:t xml:space="preserve">: </w:t>
      </w:r>
      <w:r w:rsidR="00F17831" w:rsidRPr="008761C4">
        <w:t>Kasina v České republice (3. čtvrtletí 2020)</w:t>
      </w:r>
      <w:bookmarkEnd w:id="84"/>
    </w:p>
    <w:p w14:paraId="7F681C4E" w14:textId="182699A3" w:rsidR="005F2BF7" w:rsidRDefault="005F2BF7" w:rsidP="00080B69">
      <w:pPr>
        <w:rPr>
          <w:b/>
        </w:rPr>
      </w:pPr>
      <w:r>
        <w:rPr>
          <w:noProof/>
          <w:lang w:eastAsia="cs-CZ"/>
        </w:rPr>
        <w:drawing>
          <wp:inline distT="0" distB="0" distL="0" distR="0" wp14:anchorId="1BE0C0EF" wp14:editId="54C10C8D">
            <wp:extent cx="5760720" cy="3569970"/>
            <wp:effectExtent l="19050" t="19050" r="11430" b="11430"/>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60720" cy="3569970"/>
                    </a:xfrm>
                    <a:prstGeom prst="rect">
                      <a:avLst/>
                    </a:prstGeom>
                    <a:ln w="3175">
                      <a:solidFill>
                        <a:schemeClr val="tx1"/>
                      </a:solidFill>
                    </a:ln>
                  </pic:spPr>
                </pic:pic>
              </a:graphicData>
            </a:graphic>
          </wp:inline>
        </w:drawing>
      </w:r>
    </w:p>
    <w:p w14:paraId="55E6210F" w14:textId="2F90BC12" w:rsidR="005F2BF7" w:rsidRPr="00536221" w:rsidRDefault="005F2BF7" w:rsidP="005F2BF7">
      <w:pPr>
        <w:rPr>
          <w:rFonts w:cs="Arial"/>
          <w:i/>
          <w:sz w:val="20"/>
          <w:szCs w:val="24"/>
        </w:rPr>
      </w:pPr>
      <w:r w:rsidRPr="00536221">
        <w:rPr>
          <w:rFonts w:cs="Arial"/>
          <w:i/>
          <w:sz w:val="20"/>
          <w:szCs w:val="24"/>
        </w:rPr>
        <w:t>Zdroj:</w:t>
      </w:r>
      <w:r w:rsidRPr="00C52B93">
        <w:rPr>
          <w:rFonts w:cs="Arial"/>
          <w:i/>
          <w:sz w:val="20"/>
          <w:szCs w:val="20"/>
        </w:rPr>
        <w:t xml:space="preserve"> </w:t>
      </w:r>
      <w:r w:rsidRPr="00E042DF">
        <w:rPr>
          <w:rFonts w:cs="Arial"/>
          <w:i/>
          <w:sz w:val="20"/>
          <w:szCs w:val="20"/>
        </w:rPr>
        <w:t xml:space="preserve">Ministerstvo financí – </w:t>
      </w:r>
      <w:r w:rsidR="001C6DA4">
        <w:rPr>
          <w:rFonts w:cs="Arial"/>
          <w:i/>
          <w:sz w:val="20"/>
          <w:szCs w:val="20"/>
        </w:rPr>
        <w:t>IS</w:t>
      </w:r>
      <w:r w:rsidRPr="00E042DF">
        <w:rPr>
          <w:rFonts w:cs="Arial"/>
          <w:i/>
          <w:sz w:val="20"/>
          <w:szCs w:val="20"/>
        </w:rPr>
        <w:t xml:space="preserve"> SDSL</w:t>
      </w:r>
      <w:r>
        <w:rPr>
          <w:rFonts w:cs="Arial"/>
          <w:i/>
          <w:sz w:val="20"/>
          <w:szCs w:val="20"/>
        </w:rPr>
        <w:t>.</w:t>
      </w:r>
    </w:p>
    <w:p w14:paraId="3AC7D2A8" w14:textId="77777777" w:rsidR="005F2BF7" w:rsidRDefault="005F2BF7" w:rsidP="00080B69">
      <w:pPr>
        <w:rPr>
          <w:b/>
        </w:rPr>
      </w:pPr>
    </w:p>
    <w:p w14:paraId="12F1A078" w14:textId="2B1B991A" w:rsidR="00B01C1B" w:rsidRDefault="00B01C1B" w:rsidP="00080B69">
      <w:r w:rsidRPr="00080B69">
        <w:rPr>
          <w:b/>
        </w:rPr>
        <w:lastRenderedPageBreak/>
        <w:t xml:space="preserve">Z výše uvedeného je patrné, že zákon o hazardních hrách </w:t>
      </w:r>
      <w:r w:rsidR="001C6DA4">
        <w:rPr>
          <w:b/>
        </w:rPr>
        <w:t xml:space="preserve">významným způsobem </w:t>
      </w:r>
      <w:r w:rsidRPr="00080B69">
        <w:rPr>
          <w:b/>
        </w:rPr>
        <w:t xml:space="preserve">naplnil jeden ze svých dílčích </w:t>
      </w:r>
      <w:r w:rsidR="002D502D" w:rsidRPr="00080B69">
        <w:rPr>
          <w:b/>
        </w:rPr>
        <w:t xml:space="preserve">byť velmi </w:t>
      </w:r>
      <w:r w:rsidR="001C6DA4">
        <w:rPr>
          <w:b/>
        </w:rPr>
        <w:t>zásadních</w:t>
      </w:r>
      <w:r w:rsidR="001C6DA4" w:rsidRPr="00080B69">
        <w:rPr>
          <w:b/>
        </w:rPr>
        <w:t xml:space="preserve"> </w:t>
      </w:r>
      <w:r w:rsidRPr="00080B69">
        <w:rPr>
          <w:b/>
        </w:rPr>
        <w:t>cílů, kterým bylo snížení dostupnosti technické hry.</w:t>
      </w:r>
      <w:r>
        <w:t xml:space="preserve"> </w:t>
      </w:r>
      <w:r w:rsidRPr="009777B1">
        <w:rPr>
          <w:color w:val="000000" w:themeColor="text1"/>
        </w:rPr>
        <w:t>Navzdory</w:t>
      </w:r>
      <w:r w:rsidR="00524E90">
        <w:rPr>
          <w:color w:val="000000" w:themeColor="text1"/>
        </w:rPr>
        <w:t xml:space="preserve"> </w:t>
      </w:r>
      <w:r w:rsidRPr="009777B1">
        <w:rPr>
          <w:color w:val="000000" w:themeColor="text1"/>
        </w:rPr>
        <w:t>veskrze pozitivním dopadům ve smyslu snížení dostupnosti nabídky hazardních her v herních prostorech došlo</w:t>
      </w:r>
      <w:r>
        <w:rPr>
          <w:color w:val="000000" w:themeColor="text1"/>
        </w:rPr>
        <w:t xml:space="preserve"> </w:t>
      </w:r>
      <w:r>
        <w:t>v</w:t>
      </w:r>
      <w:r w:rsidRPr="00294CD1">
        <w:t> období od účinnosti</w:t>
      </w:r>
      <w:r>
        <w:t xml:space="preserve"> zákona o</w:t>
      </w:r>
      <w:r w:rsidR="001C6DA4">
        <w:t> </w:t>
      </w:r>
      <w:r>
        <w:t>hazardních hrách</w:t>
      </w:r>
      <w:r w:rsidRPr="00294CD1">
        <w:t xml:space="preserve"> k enormnímu nárůstu </w:t>
      </w:r>
      <w:r w:rsidR="00A87951">
        <w:t>podílu</w:t>
      </w:r>
      <w:r w:rsidRPr="00294CD1">
        <w:t xml:space="preserve"> kasin na území České republiky</w:t>
      </w:r>
      <w:r>
        <w:t xml:space="preserve"> (viz</w:t>
      </w:r>
      <w:r w:rsidR="001C6DA4">
        <w:t> </w:t>
      </w:r>
      <w:r>
        <w:t>tabulka výše)</w:t>
      </w:r>
      <w:r w:rsidRPr="00294CD1">
        <w:t>, z nich</w:t>
      </w:r>
      <w:r w:rsidR="00536221">
        <w:t xml:space="preserve">ž významná část je tvořena tzv. </w:t>
      </w:r>
      <w:r w:rsidRPr="00294CD1">
        <w:t>pseudokasiny</w:t>
      </w:r>
      <w:r w:rsidR="00880008">
        <w:t xml:space="preserve"> (pozn.</w:t>
      </w:r>
      <w:r w:rsidR="001C6DA4">
        <w:t> </w:t>
      </w:r>
      <w:r w:rsidR="00880008">
        <w:t>potenciálními porušeními právních předpisů s tím souvisejícími se intenzivně zabývá Celní správa v rámci své dozorové činnosti)</w:t>
      </w:r>
      <w:r w:rsidRPr="00294CD1">
        <w:t>.</w:t>
      </w:r>
      <w:r w:rsidR="00880008">
        <w:t xml:space="preserve"> </w:t>
      </w:r>
      <w:r>
        <w:t xml:space="preserve"> Motivací k tomuto nárůstu mohou být zejména</w:t>
      </w:r>
      <w:r w:rsidRPr="00294CD1">
        <w:t xml:space="preserve">  benefity </w:t>
      </w:r>
      <w:r>
        <w:t xml:space="preserve">kasina jako je např. </w:t>
      </w:r>
      <w:r w:rsidRPr="00294CD1">
        <w:t>neomezená otvírací doba, zvýšená hranice max</w:t>
      </w:r>
      <w:r>
        <w:t xml:space="preserve">. sázek/výher u technických her. K tomuto tématu blíže </w:t>
      </w:r>
      <w:r w:rsidR="00321CD1">
        <w:t>v příloze č. 6 -</w:t>
      </w:r>
      <w:r>
        <w:t xml:space="preserve"> Herní prostor.</w:t>
      </w:r>
    </w:p>
    <w:p w14:paraId="5AA5E83E" w14:textId="69FD3BDF" w:rsidR="00B01C1B" w:rsidRPr="005663F3" w:rsidRDefault="00B01C1B" w:rsidP="00080B69">
      <w:r w:rsidRPr="005663F3">
        <w:t xml:space="preserve">Jak zákon o loteriích, tak i zákon o hazardních hrách kladou důraz na </w:t>
      </w:r>
      <w:r w:rsidRPr="00524E90">
        <w:rPr>
          <w:b/>
        </w:rPr>
        <w:t>možnost obcí,</w:t>
      </w:r>
      <w:r w:rsidRPr="005663F3">
        <w:t xml:space="preserve"> na jejichž území dochází k provozování hazardních her, ovlivnit podmínky tohoto provozování, popř. toto provozování zcela zakázat. V případě obou právních úprav je, resp. bylo v souladu se zaručeným právem na samosprávu, možné </w:t>
      </w:r>
      <w:r w:rsidRPr="00524E90">
        <w:rPr>
          <w:b/>
        </w:rPr>
        <w:t>omezit, popř. zakázat provozování hazardních her na území konkrétní obce</w:t>
      </w:r>
      <w:r w:rsidR="00880008">
        <w:t xml:space="preserve"> a snížit tak jejich dostupnost</w:t>
      </w:r>
      <w:r w:rsidRPr="005663F3">
        <w:t>. Této možnosti využívá stále více obcí. Uvedené je znázorněno v následujícím grafu.</w:t>
      </w:r>
    </w:p>
    <w:p w14:paraId="0FE765E2" w14:textId="7C0017F4" w:rsidR="00176A3A" w:rsidRDefault="00176A3A" w:rsidP="00176A3A">
      <w:pPr>
        <w:pStyle w:val="Titulek"/>
        <w:keepNext/>
      </w:pPr>
      <w:bookmarkStart w:id="85" w:name="_Toc73611441"/>
      <w:r>
        <w:t xml:space="preserve">Graf č. </w:t>
      </w:r>
      <w:fldSimple w:instr=" SEQ Graf_č. \* ARABIC ">
        <w:r w:rsidR="00A860B8">
          <w:rPr>
            <w:noProof/>
          </w:rPr>
          <w:t>13</w:t>
        </w:r>
      </w:fldSimple>
      <w:r>
        <w:t xml:space="preserve">: </w:t>
      </w:r>
      <w:r w:rsidRPr="004D24E8">
        <w:t>Počet obecně závazných vyhlášek regulujících provozování hazardních her v letech 2015-</w:t>
      </w:r>
      <w:r w:rsidR="001C6DA4">
        <w:t> </w:t>
      </w:r>
      <w:r w:rsidRPr="004D24E8">
        <w:t>2020</w:t>
      </w:r>
      <w:bookmarkEnd w:id="85"/>
    </w:p>
    <w:p w14:paraId="00BD6746" w14:textId="77777777" w:rsidR="00B01C1B" w:rsidRPr="00B41B2B" w:rsidRDefault="00B01C1B" w:rsidP="00B01C1B">
      <w:pPr>
        <w:rPr>
          <w:rFonts w:cs="Arial"/>
          <w:szCs w:val="24"/>
        </w:rPr>
      </w:pPr>
      <w:r w:rsidRPr="00B41B2B">
        <w:rPr>
          <w:rFonts w:cs="Arial"/>
          <w:noProof/>
          <w:szCs w:val="24"/>
          <w:lang w:eastAsia="cs-CZ"/>
        </w:rPr>
        <w:drawing>
          <wp:inline distT="0" distB="0" distL="0" distR="0" wp14:anchorId="51EC7D49" wp14:editId="2243A576">
            <wp:extent cx="4895850" cy="3123037"/>
            <wp:effectExtent l="0" t="0" r="0" b="127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22059" cy="3139756"/>
                    </a:xfrm>
                    <a:prstGeom prst="rect">
                      <a:avLst/>
                    </a:prstGeom>
                  </pic:spPr>
                </pic:pic>
              </a:graphicData>
            </a:graphic>
          </wp:inline>
        </w:drawing>
      </w:r>
    </w:p>
    <w:p w14:paraId="7D2F9B14" w14:textId="74718CEF" w:rsidR="00B01C1B" w:rsidRPr="006003CE" w:rsidRDefault="00B01C1B" w:rsidP="00B01C1B">
      <w:pPr>
        <w:rPr>
          <w:rFonts w:cs="Arial"/>
          <w:i/>
          <w:sz w:val="20"/>
          <w:szCs w:val="20"/>
        </w:rPr>
      </w:pPr>
      <w:r w:rsidRPr="00835045">
        <w:rPr>
          <w:rFonts w:cs="Arial"/>
          <w:i/>
          <w:sz w:val="20"/>
          <w:szCs w:val="20"/>
        </w:rPr>
        <w:t>Zdroj: Ministerstvo financí – evidence</w:t>
      </w:r>
      <w:r>
        <w:rPr>
          <w:rFonts w:cs="Arial"/>
          <w:i/>
          <w:sz w:val="20"/>
          <w:szCs w:val="20"/>
        </w:rPr>
        <w:t xml:space="preserve"> OZV oznámených na základě § 12 odst. 2 zákona o hazardních hrách</w:t>
      </w:r>
      <w:r w:rsidR="00176A3A">
        <w:rPr>
          <w:rFonts w:cs="Arial"/>
          <w:i/>
          <w:sz w:val="20"/>
          <w:szCs w:val="20"/>
        </w:rPr>
        <w:t>.</w:t>
      </w:r>
    </w:p>
    <w:p w14:paraId="265D4661" w14:textId="5CCD472C" w:rsidR="00B01C1B" w:rsidRPr="00B41B2B" w:rsidRDefault="00B01C1B" w:rsidP="00080B69">
      <w:r w:rsidRPr="00B41B2B">
        <w:t xml:space="preserve">Snadná dostupnost loterií a jiných podobných her ve spojení s nízkou ochranou účastníků loterií a jiných podobných her měly za následek velmi </w:t>
      </w:r>
      <w:r w:rsidRPr="00524E90">
        <w:rPr>
          <w:b/>
        </w:rPr>
        <w:t>vysoké společenské náklady</w:t>
      </w:r>
      <w:r w:rsidRPr="00B41B2B">
        <w:t xml:space="preserve">, které se za rok 2012 v České republice pohybovaly ve velmi konzervativních odhadech ve výši mezi </w:t>
      </w:r>
      <w:r w:rsidRPr="00524E90">
        <w:rPr>
          <w:b/>
        </w:rPr>
        <w:t>14,2 a 16,1 mld. Kč</w:t>
      </w:r>
      <w:r w:rsidRPr="00B41B2B">
        <w:t xml:space="preserve">. Většina nákladů vznikala v souvislosti s hraním na tzv. výherních </w:t>
      </w:r>
      <w:r>
        <w:t xml:space="preserve">hracích </w:t>
      </w:r>
      <w:r w:rsidRPr="00B41B2B">
        <w:t>automatech, resp. technických zařízení</w:t>
      </w:r>
      <w:r w:rsidR="001C6DA4">
        <w:t>ch</w:t>
      </w:r>
      <w:r w:rsidRPr="00B41B2B">
        <w:t xml:space="preserve">, jejichž dostupnost byla mimo jiné vzhledem k existenci tzv. zvláštního provozního režimu velmi vysoká. Společenské náklady na jednoho problémového </w:t>
      </w:r>
      <w:r w:rsidR="00727982">
        <w:t>účastníka hazardní hry</w:t>
      </w:r>
      <w:r w:rsidR="00727982" w:rsidRPr="00372887">
        <w:t xml:space="preserve"> </w:t>
      </w:r>
      <w:r w:rsidRPr="00B41B2B">
        <w:t xml:space="preserve">tedy byly rovny 22 909 – 23 286 Kč ročně </w:t>
      </w:r>
      <w:r w:rsidRPr="00B41B2B">
        <w:lastRenderedPageBreak/>
        <w:t xml:space="preserve">a náklady na jednoho </w:t>
      </w:r>
      <w:r w:rsidR="00E14A7B">
        <w:t>P</w:t>
      </w:r>
      <w:r w:rsidRPr="00B41B2B">
        <w:t>atologického hráče odpovídaly 307 061 – 325 740 Kč ročně.</w:t>
      </w:r>
      <w:r w:rsidR="00AB7708">
        <w:rPr>
          <w:rStyle w:val="Znakapoznpodarou"/>
          <w:rFonts w:cs="Arial"/>
          <w:szCs w:val="24"/>
        </w:rPr>
        <w:footnoteReference w:id="4"/>
      </w:r>
      <w:r w:rsidRPr="00B41B2B">
        <w:t xml:space="preserve"> Tyto náklady v celé v</w:t>
      </w:r>
      <w:r w:rsidR="00993CED">
        <w:t>ýši nenesl pouze daný hráč, ale </w:t>
      </w:r>
      <w:r w:rsidRPr="00B41B2B">
        <w:t>také další lidé, jako je jeho nejbližší rodina a potažmo celá společnost.</w:t>
      </w:r>
    </w:p>
    <w:p w14:paraId="6361BCD8" w14:textId="4E9226AC" w:rsidR="00B01C1B" w:rsidRPr="00B41B2B" w:rsidRDefault="00B01C1B" w:rsidP="00080B69">
      <w:r w:rsidRPr="00B41B2B">
        <w:t xml:space="preserve">Zákon o hazardních hrách obsahuje </w:t>
      </w:r>
      <w:r w:rsidRPr="00524E90">
        <w:rPr>
          <w:b/>
        </w:rPr>
        <w:t>komplexní právní úpravu v oblasti zodpovědného hraní</w:t>
      </w:r>
      <w:r w:rsidRPr="00B41B2B">
        <w:t xml:space="preserve">, která </w:t>
      </w:r>
      <w:r w:rsidR="001C6DA4">
        <w:t>by fakticky měla vést k tomu, že</w:t>
      </w:r>
      <w:r w:rsidRPr="00B41B2B">
        <w:t xml:space="preserve"> </w:t>
      </w:r>
      <w:r w:rsidRPr="00524E90">
        <w:rPr>
          <w:b/>
        </w:rPr>
        <w:t>náklady</w:t>
      </w:r>
      <w:r w:rsidR="006D14B2" w:rsidRPr="00524E90">
        <w:rPr>
          <w:b/>
        </w:rPr>
        <w:t xml:space="preserve"> na problémového a patologického hráče</w:t>
      </w:r>
      <w:r w:rsidRPr="00524E90">
        <w:rPr>
          <w:b/>
        </w:rPr>
        <w:t xml:space="preserve"> kles</w:t>
      </w:r>
      <w:r w:rsidR="006D14B2" w:rsidRPr="00524E90">
        <w:rPr>
          <w:b/>
        </w:rPr>
        <w:t>nou</w:t>
      </w:r>
      <w:r w:rsidRPr="00B41B2B">
        <w:t xml:space="preserve">. Konkrétní data budou nicméně k dispozici až v návaznosti na analýzu </w:t>
      </w:r>
      <w:r w:rsidRPr="006003CE">
        <w:t>Úřadu vlády</w:t>
      </w:r>
      <w:r w:rsidR="00880008">
        <w:t>, která by měla být k dispozici až po vyhodnocení ex post RIA</w:t>
      </w:r>
      <w:r w:rsidRPr="006003CE">
        <w:t>.</w:t>
      </w:r>
    </w:p>
    <w:p w14:paraId="3796A0DB" w14:textId="3D8EBA6E" w:rsidR="00B01C1B" w:rsidRDefault="00B01C1B" w:rsidP="00080B69">
      <w:r w:rsidRPr="00D025DC">
        <w:t xml:space="preserve">Kombinace institutů opatření pro zodpovědné hraní zajišťuje vysokou úroveň ochrany účastníků hazardních her a </w:t>
      </w:r>
      <w:r w:rsidR="006D14B2" w:rsidRPr="00D025DC">
        <w:t xml:space="preserve">vede </w:t>
      </w:r>
      <w:r w:rsidRPr="00D025DC">
        <w:t xml:space="preserve">i </w:t>
      </w:r>
      <w:r w:rsidR="006D14B2" w:rsidRPr="00D025DC">
        <w:t xml:space="preserve">ke </w:t>
      </w:r>
      <w:r w:rsidRPr="00D025DC">
        <w:t>snižování rizika vzniku problémového hráčského chování a vzniku dalších nákladů souvisejících s tímto chováním. Důvodová zpráva k zákonu o hazardních hrách pro vyhodnocení cílů v rámci přezkumu účinnosti regulace stanovila jako základní a konzervativní měřítko úspěchu regulace snížení počtu patologických hráčů o 10 % v období po zavedení regulace. Výroční zpráva k hazardnímu hraní v České republice v roce 2019 uvádí, že počty osob s problémovým hráčským chováním postupně klesají. Konkrétně v letech 2017</w:t>
      </w:r>
      <w:r w:rsidR="006D14B2" w:rsidRPr="00D025DC">
        <w:t> </w:t>
      </w:r>
      <w:r w:rsidRPr="00D025DC">
        <w:noBreakHyphen/>
      </w:r>
      <w:r w:rsidR="006D14B2" w:rsidRPr="00D025DC">
        <w:t> </w:t>
      </w:r>
      <w:r w:rsidRPr="00D025DC">
        <w:t>2019 odpovídal podí</w:t>
      </w:r>
      <w:r w:rsidR="00993CED" w:rsidRPr="00D025DC">
        <w:t>l osob v riziku v </w:t>
      </w:r>
      <w:r w:rsidR="003F387B" w:rsidRPr="00D025DC">
        <w:t>souvislosti s </w:t>
      </w:r>
      <w:r w:rsidRPr="00D025DC">
        <w:t xml:space="preserve">hraním hazardních her přibližně 144 – 168 tis. </w:t>
      </w:r>
      <w:r w:rsidR="003F387B" w:rsidRPr="00D025DC">
        <w:t>osob, přičemž odh</w:t>
      </w:r>
      <w:r w:rsidR="00102FAA" w:rsidRPr="00D025DC">
        <w:t>ady z let 2013 a </w:t>
      </w:r>
      <w:r w:rsidRPr="00D025DC">
        <w:t>2014 dosahovaly přibližně 320 – 350 tis. osob. Ve vysokém riziku problémového hráčství se v letech 2013</w:t>
      </w:r>
      <w:r w:rsidR="006D14B2" w:rsidRPr="00D025DC">
        <w:t> </w:t>
      </w:r>
      <w:r w:rsidRPr="00D025DC">
        <w:t>–</w:t>
      </w:r>
      <w:r w:rsidR="006D14B2" w:rsidRPr="00D025DC">
        <w:t> </w:t>
      </w:r>
      <w:r w:rsidRPr="00D025DC">
        <w:t xml:space="preserve">2014 nacházelo </w:t>
      </w:r>
      <w:r w:rsidR="006D14B2" w:rsidRPr="00D025DC">
        <w:t xml:space="preserve">přibližně </w:t>
      </w:r>
      <w:r w:rsidRPr="00D025DC">
        <w:t>115</w:t>
      </w:r>
      <w:r w:rsidR="005168C0" w:rsidRPr="00D025DC">
        <w:t> </w:t>
      </w:r>
      <w:r w:rsidR="005168C0" w:rsidRPr="00D025DC">
        <w:noBreakHyphen/>
        <w:t> </w:t>
      </w:r>
      <w:r w:rsidRPr="00D025DC">
        <w:t>130 tis. osob, v letech 2017</w:t>
      </w:r>
      <w:r w:rsidR="006D14B2" w:rsidRPr="00D025DC">
        <w:t> </w:t>
      </w:r>
      <w:r w:rsidRPr="00D025DC">
        <w:t>–</w:t>
      </w:r>
      <w:r w:rsidR="006D14B2" w:rsidRPr="00D025DC">
        <w:t> </w:t>
      </w:r>
      <w:r w:rsidRPr="00D025DC">
        <w:t>2019 se odhaduj</w:t>
      </w:r>
      <w:r w:rsidR="006D14B2" w:rsidRPr="00D025DC">
        <w:t>e</w:t>
      </w:r>
      <w:r w:rsidRPr="00D025DC">
        <w:t xml:space="preserve"> přibližně 60 – 74 tis osob. </w:t>
      </w:r>
      <w:r w:rsidRPr="00524E90">
        <w:rPr>
          <w:b/>
        </w:rPr>
        <w:t>Pokles počtu osob v riziku v souvislosti s hraním hazardních her</w:t>
      </w:r>
      <w:r w:rsidRPr="00D025DC">
        <w:t xml:space="preserve"> znázorňuje</w:t>
      </w:r>
      <w:r>
        <w:t xml:space="preserve"> následující tabulka. Z uvedeného je patrné, že se odhady počtu osob v riziku v souvislosti s hraním hazardních her v porovnání s lety 2013</w:t>
      </w:r>
      <w:r w:rsidR="006D14B2">
        <w:t> </w:t>
      </w:r>
      <w:r>
        <w:t>-</w:t>
      </w:r>
      <w:r w:rsidR="006D14B2">
        <w:t> </w:t>
      </w:r>
      <w:r w:rsidR="00993CED">
        <w:t>2014 snížil téměř na </w:t>
      </w:r>
      <w:r>
        <w:t>polovinu.</w:t>
      </w:r>
    </w:p>
    <w:p w14:paraId="609C2C05" w14:textId="4A5282FC" w:rsidR="00176A3A" w:rsidRDefault="00176A3A" w:rsidP="00176A3A">
      <w:pPr>
        <w:pStyle w:val="Titulek"/>
        <w:keepNext/>
      </w:pPr>
      <w:bookmarkStart w:id="86" w:name="_Toc73524681"/>
      <w:r>
        <w:t xml:space="preserve">Tabulka č. </w:t>
      </w:r>
      <w:fldSimple w:instr=" SEQ Tabulka_č. \* ARABIC ">
        <w:r w:rsidR="00B0565F">
          <w:rPr>
            <w:noProof/>
          </w:rPr>
          <w:t>4</w:t>
        </w:r>
      </w:fldSimple>
      <w:r w:rsidR="00845F94">
        <w:t>:</w:t>
      </w:r>
      <w:r>
        <w:t xml:space="preserve"> </w:t>
      </w:r>
      <w:r w:rsidRPr="00174B2E">
        <w:t>Odhadovaný počet osob v riz</w:t>
      </w:r>
      <w:r w:rsidR="00993CED">
        <w:t>iku problémového hráčství podle </w:t>
      </w:r>
      <w:r w:rsidRPr="00174B2E">
        <w:t>screeningové škály Lie/bet v I. 2013</w:t>
      </w:r>
      <w:r w:rsidR="00900041">
        <w:t> </w:t>
      </w:r>
      <w:r w:rsidRPr="00174B2E">
        <w:t>–</w:t>
      </w:r>
      <w:r w:rsidR="00900041">
        <w:t> </w:t>
      </w:r>
      <w:r w:rsidRPr="00174B2E">
        <w:t>2019 – extrapolace výsledků na počet obyvatel ČR</w:t>
      </w:r>
      <w:bookmarkEnd w:id="86"/>
    </w:p>
    <w:p w14:paraId="2D2BE666" w14:textId="77777777" w:rsidR="00B01C1B" w:rsidRDefault="00B01C1B" w:rsidP="00B01C1B">
      <w:pPr>
        <w:rPr>
          <w:rFonts w:cs="Arial"/>
          <w:noProof/>
          <w:szCs w:val="24"/>
          <w:lang w:eastAsia="cs-CZ"/>
        </w:rPr>
      </w:pPr>
      <w:r w:rsidRPr="00B41B2B">
        <w:rPr>
          <w:rFonts w:cs="Arial"/>
          <w:noProof/>
          <w:szCs w:val="24"/>
          <w:lang w:eastAsia="cs-CZ"/>
        </w:rPr>
        <w:drawing>
          <wp:inline distT="0" distB="0" distL="0" distR="0" wp14:anchorId="2C191AE9" wp14:editId="182F525F">
            <wp:extent cx="5878918" cy="1714500"/>
            <wp:effectExtent l="0" t="0" r="762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 t="15215" r="14142" b="24405"/>
                    <a:stretch/>
                  </pic:blipFill>
                  <pic:spPr bwMode="auto">
                    <a:xfrm>
                      <a:off x="0" y="0"/>
                      <a:ext cx="5889255" cy="1717515"/>
                    </a:xfrm>
                    <a:prstGeom prst="rect">
                      <a:avLst/>
                    </a:prstGeom>
                    <a:ln>
                      <a:noFill/>
                    </a:ln>
                    <a:extLst>
                      <a:ext uri="{53640926-AAD7-44D8-BBD7-CCE9431645EC}">
                        <a14:shadowObscured xmlns:a14="http://schemas.microsoft.com/office/drawing/2010/main"/>
                      </a:ext>
                    </a:extLst>
                  </pic:spPr>
                </pic:pic>
              </a:graphicData>
            </a:graphic>
          </wp:inline>
        </w:drawing>
      </w:r>
    </w:p>
    <w:p w14:paraId="0832A3DC" w14:textId="38AF8426" w:rsidR="00B01C1B" w:rsidRPr="006003CE" w:rsidRDefault="00176A3A" w:rsidP="00B01C1B">
      <w:pPr>
        <w:rPr>
          <w:rFonts w:cs="Arial"/>
          <w:i/>
          <w:sz w:val="20"/>
          <w:szCs w:val="20"/>
        </w:rPr>
      </w:pPr>
      <w:r>
        <w:rPr>
          <w:rFonts w:cs="Arial"/>
          <w:i/>
          <w:sz w:val="20"/>
          <w:szCs w:val="20"/>
        </w:rPr>
        <w:t xml:space="preserve">Zdroj: </w:t>
      </w:r>
      <w:r w:rsidR="00B01C1B" w:rsidRPr="006003CE">
        <w:rPr>
          <w:rFonts w:cs="Arial"/>
          <w:i/>
          <w:sz w:val="20"/>
          <w:szCs w:val="20"/>
        </w:rPr>
        <w:t>Národní monitorovací středisko pro drogy a závislosti a INRES-SONES (2014); Národní monitorovací středisko pro drogy a závislosti a INRES-SONES (2015)</w:t>
      </w:r>
      <w:r w:rsidR="00900041">
        <w:rPr>
          <w:rFonts w:cs="Arial"/>
          <w:i/>
          <w:sz w:val="20"/>
          <w:szCs w:val="20"/>
        </w:rPr>
        <w:t>;</w:t>
      </w:r>
      <w:r w:rsidR="00B01C1B" w:rsidRPr="006003CE">
        <w:rPr>
          <w:rFonts w:cs="Arial"/>
          <w:i/>
          <w:sz w:val="20"/>
          <w:szCs w:val="20"/>
        </w:rPr>
        <w:t xml:space="preserve"> Národní monitorovací středisko pro drogy a závislosti a Mindridge Consulting (2016); Národní mon</w:t>
      </w:r>
      <w:r>
        <w:rPr>
          <w:rFonts w:cs="Arial"/>
          <w:i/>
          <w:sz w:val="20"/>
          <w:szCs w:val="20"/>
        </w:rPr>
        <w:t>itorovací středisko pro drogy a </w:t>
      </w:r>
      <w:r w:rsidR="00B01C1B" w:rsidRPr="006003CE">
        <w:rPr>
          <w:rFonts w:cs="Arial"/>
          <w:i/>
          <w:sz w:val="20"/>
          <w:szCs w:val="20"/>
        </w:rPr>
        <w:t>závislosti a INRES-SONES (2018); Národní monitorovací středisko pro drogy a</w:t>
      </w:r>
      <w:r w:rsidR="00993CED">
        <w:rPr>
          <w:rFonts w:cs="Arial"/>
          <w:i/>
          <w:sz w:val="20"/>
          <w:szCs w:val="20"/>
        </w:rPr>
        <w:t xml:space="preserve"> závislosti a INRES</w:t>
      </w:r>
      <w:r w:rsidR="00993CED">
        <w:rPr>
          <w:rFonts w:cs="Arial"/>
          <w:i/>
          <w:sz w:val="20"/>
          <w:szCs w:val="20"/>
        </w:rPr>
        <w:noBreakHyphen/>
      </w:r>
      <w:r w:rsidR="00B01C1B" w:rsidRPr="006003CE">
        <w:rPr>
          <w:rFonts w:cs="Arial"/>
          <w:i/>
          <w:sz w:val="20"/>
          <w:szCs w:val="20"/>
        </w:rPr>
        <w:t>SONES (2019); Národní monitorovací středisko pro drogy a závislosti a INTRES-SONES (2020)</w:t>
      </w:r>
      <w:r>
        <w:rPr>
          <w:rFonts w:cs="Arial"/>
          <w:i/>
          <w:sz w:val="20"/>
          <w:szCs w:val="20"/>
        </w:rPr>
        <w:t>.</w:t>
      </w:r>
    </w:p>
    <w:p w14:paraId="43FA84FC" w14:textId="7F5A5D53" w:rsidR="00102FAA" w:rsidRPr="00080B69" w:rsidRDefault="00102FAA" w:rsidP="00080B69">
      <w:pPr>
        <w:rPr>
          <w:b/>
        </w:rPr>
      </w:pPr>
      <w:r w:rsidRPr="00080B69">
        <w:rPr>
          <w:b/>
        </w:rPr>
        <w:t>Z výše uvedeného lze dovodit, že v tomto ohledu byla nově přijatá regulace hazardních her velice úspěšná a plní svůj cíl. S ohledem na RIA stanovené indikátory, je dokonce násobně efek</w:t>
      </w:r>
      <w:r w:rsidR="0077034D">
        <w:rPr>
          <w:b/>
        </w:rPr>
        <w:t xml:space="preserve">tivnější oproti předpokladům.  </w:t>
      </w:r>
      <w:r w:rsidRPr="00080B69">
        <w:rPr>
          <w:b/>
        </w:rPr>
        <w:t xml:space="preserve">Lze shrnout, </w:t>
      </w:r>
      <w:r w:rsidRPr="00080B69">
        <w:rPr>
          <w:b/>
        </w:rPr>
        <w:lastRenderedPageBreak/>
        <w:t xml:space="preserve">že nastavená opatření pro zodpovědné hraní obecně plní svou funkci, a to zejména ve vzájemné kombinaci zákonných limitů spolu s možností sebeomezení dle konkrétní situace účastníka hazardní hry. Významným je v tomto ohledu také Rejstřík vyloučených osob. V rámci hodnocení funkčnosti opatření zodpovědného hraní bylo identifikováno několik oblastí, na které by bylo vhodné se dále zaměřit, přičemž se jedná zejména o otázku implementace zákonných podmínek tak, aby byl posílen pozitivní efekt opatření zodpovědného hraní na účastníky hazardních her (k tomu blíže </w:t>
      </w:r>
      <w:r w:rsidR="00321CD1">
        <w:rPr>
          <w:b/>
        </w:rPr>
        <w:t>v příloze č. 3 -</w:t>
      </w:r>
      <w:r w:rsidRPr="00080B69">
        <w:rPr>
          <w:b/>
        </w:rPr>
        <w:t xml:space="preserve">Opatření zodpovědného hraní a </w:t>
      </w:r>
      <w:r w:rsidR="00321CD1">
        <w:rPr>
          <w:b/>
        </w:rPr>
        <w:t xml:space="preserve">v příloze č. 6 - </w:t>
      </w:r>
      <w:r w:rsidRPr="00080B69">
        <w:rPr>
          <w:b/>
        </w:rPr>
        <w:t>Herní prostor). Důležitou oblastí, na kterou je nutné se dále zaměřit, je dostupnost hazardních her na internetu.</w:t>
      </w:r>
    </w:p>
    <w:p w14:paraId="4EBE96F7" w14:textId="74C7A538" w:rsidR="00102FAA" w:rsidRPr="00080B69" w:rsidRDefault="00102FAA" w:rsidP="00080B69">
      <w:pPr>
        <w:rPr>
          <w:b/>
        </w:rPr>
      </w:pPr>
      <w:r w:rsidRPr="00080B69">
        <w:rPr>
          <w:b/>
        </w:rPr>
        <w:t xml:space="preserve">Z hlediska </w:t>
      </w:r>
      <w:r w:rsidR="00900041" w:rsidRPr="00080B69">
        <w:rPr>
          <w:b/>
        </w:rPr>
        <w:t xml:space="preserve">provozování hazardních her </w:t>
      </w:r>
      <w:r w:rsidR="00900041">
        <w:rPr>
          <w:b/>
        </w:rPr>
        <w:t xml:space="preserve">formou </w:t>
      </w:r>
      <w:r w:rsidRPr="00080B69">
        <w:rPr>
          <w:b/>
        </w:rPr>
        <w:t>land</w:t>
      </w:r>
      <w:r w:rsidR="00FF7102">
        <w:rPr>
          <w:b/>
        </w:rPr>
        <w:t>-</w:t>
      </w:r>
      <w:r w:rsidRPr="00080B69">
        <w:rPr>
          <w:b/>
        </w:rPr>
        <w:t>based je dalším nezanedbatelným efektem snížení dostupnosti hazardních her a koncentrace menšího počtu větších provozoven pozitivní dopad na kultivaci veřejného prostoru i společenského života. Úbytkem heren a provozoven se zvláštním provozním režimem,</w:t>
      </w:r>
      <w:r w:rsidR="00993CED">
        <w:rPr>
          <w:b/>
        </w:rPr>
        <w:t xml:space="preserve"> se vytvořil prostor pro jiné a </w:t>
      </w:r>
      <w:r w:rsidRPr="00080B69">
        <w:rPr>
          <w:b/>
        </w:rPr>
        <w:t>ze společenského hlediska užitečnější formy podnikání či služeb, která zaplnila tato místa. Herny tak byly nahrazeny n</w:t>
      </w:r>
      <w:r w:rsidR="00993CED">
        <w:rPr>
          <w:b/>
        </w:rPr>
        <w:t>apř. kavárnami, společenskými a </w:t>
      </w:r>
      <w:r w:rsidRPr="00080B69">
        <w:rPr>
          <w:b/>
        </w:rPr>
        <w:t>komunitními prostory pro děti, kadeřnictvími, obchody atd. Omezení dostupnosti hazard</w:t>
      </w:r>
      <w:r w:rsidR="00FF7102">
        <w:rPr>
          <w:b/>
        </w:rPr>
        <w:t>ních her ve veřejném prostoru s </w:t>
      </w:r>
      <w:r w:rsidRPr="00080B69">
        <w:rPr>
          <w:b/>
        </w:rPr>
        <w:t xml:space="preserve">sebou samozřejmě přineslo i omezení dalších negativních jevů, které s hazardním hraním souvisejí a doprovází jej (např. kriminalita). </w:t>
      </w:r>
    </w:p>
    <w:p w14:paraId="797FABCF" w14:textId="77777777" w:rsidR="009D57AA" w:rsidRDefault="009D57AA" w:rsidP="002E0DEB">
      <w:pPr>
        <w:pStyle w:val="Nadpis4"/>
      </w:pPr>
      <w:bookmarkStart w:id="87" w:name="_Toc72999561"/>
      <w:r>
        <w:t>Vyhodnocení rizikovosti hazardních her</w:t>
      </w:r>
      <w:bookmarkEnd w:id="87"/>
    </w:p>
    <w:p w14:paraId="31EF2ED1" w14:textId="63186319" w:rsidR="009D57AA" w:rsidRPr="00B41B2B" w:rsidRDefault="009D57AA" w:rsidP="00080B69">
      <w:r w:rsidRPr="00B41B2B">
        <w:t>V prvé řadě je nutné vyzdvihnout novou koncep</w:t>
      </w:r>
      <w:r w:rsidR="00993CED">
        <w:t>ci zákona o hazardních hrách ve </w:t>
      </w:r>
      <w:r w:rsidRPr="00B41B2B">
        <w:t>smyslu rozdělení hazardních her do jednotlivých druhů, kdy jednotlivé podmínky provozování jsou specificky nastaveny přímo pro tento druh hazardní hry. Nastavení podmínek provozování zároveň reflektuje rizikovost jednotlivých druhů hazardních her. Pozitivní dopady tohoto dělení zákona o hazardních hrách jsou umocněny strukturou tohoto zákona</w:t>
      </w:r>
      <w:r w:rsidR="00900041">
        <w:t>.</w:t>
      </w:r>
      <w:r w:rsidRPr="00B41B2B">
        <w:t xml:space="preserve"> </w:t>
      </w:r>
      <w:r w:rsidR="00900041">
        <w:t>Z</w:t>
      </w:r>
      <w:r w:rsidRPr="00B41B2B">
        <w:t>ákon o hazardních</w:t>
      </w:r>
      <w:r w:rsidR="003F387B">
        <w:t xml:space="preserve"> hrách je na rozdíl od zákona o </w:t>
      </w:r>
      <w:r w:rsidRPr="00B41B2B">
        <w:t xml:space="preserve">loteriích srozumitelně a přehledně členěn na jednotlivé části. Významné změny doznala právní úprava také v oblasti provozování </w:t>
      </w:r>
      <w:r w:rsidR="00993CED">
        <w:t>spotřebitelských soutěží, neboť </w:t>
      </w:r>
      <w:r w:rsidR="004C73E1">
        <w:t>ne</w:t>
      </w:r>
      <w:r w:rsidRPr="00B41B2B">
        <w:t xml:space="preserve">byla </w:t>
      </w:r>
      <w:r w:rsidR="004C73E1">
        <w:t>přejata</w:t>
      </w:r>
      <w:r w:rsidRPr="00B41B2B">
        <w:t xml:space="preserve"> zcela nekoncepční právní úprava těchto soutěží ze </w:t>
      </w:r>
      <w:r w:rsidR="003F387B">
        <w:t>zákona o </w:t>
      </w:r>
      <w:r>
        <w:t>loteriích</w:t>
      </w:r>
      <w:r w:rsidRPr="00B41B2B">
        <w:t>.</w:t>
      </w:r>
    </w:p>
    <w:p w14:paraId="3FE3E344" w14:textId="630B5182" w:rsidR="009D57AA" w:rsidRDefault="00900041" w:rsidP="00080B69">
      <w:r>
        <w:t>N</w:t>
      </w:r>
      <w:r w:rsidR="009D57AA" w:rsidRPr="00B41B2B">
        <w:t>a rozdíl od zákona o loteriích, zákon o hazardních hrách obsahuje taxativní výčet hazardních her a absentuje zde možnost povolit další druh hazardních hry dle uvážení správního orgánu, která byl</w:t>
      </w:r>
      <w:r w:rsidR="003F387B">
        <w:t>a obsahem § 50 odst. 3 zákona o </w:t>
      </w:r>
      <w:r w:rsidR="009D57AA" w:rsidRPr="00B41B2B">
        <w:t xml:space="preserve">loteriích. Tato skutečnost </w:t>
      </w:r>
      <w:r w:rsidR="009D57AA" w:rsidRPr="00F45C14">
        <w:rPr>
          <w:b/>
        </w:rPr>
        <w:t xml:space="preserve">má významný </w:t>
      </w:r>
      <w:r w:rsidR="00993CED">
        <w:rPr>
          <w:b/>
        </w:rPr>
        <w:t>vliv na předvídatelnost práva, a </w:t>
      </w:r>
      <w:r w:rsidR="009D57AA" w:rsidRPr="00F45C14">
        <w:rPr>
          <w:b/>
        </w:rPr>
        <w:t>te</w:t>
      </w:r>
      <w:r w:rsidR="00993CED">
        <w:rPr>
          <w:b/>
        </w:rPr>
        <w:t>dy </w:t>
      </w:r>
      <w:r w:rsidR="003F387B">
        <w:rPr>
          <w:b/>
        </w:rPr>
        <w:t>i </w:t>
      </w:r>
      <w:r w:rsidR="009D57AA" w:rsidRPr="00F45C14">
        <w:rPr>
          <w:b/>
        </w:rPr>
        <w:t>na jistotu provozovatelů hazardních her</w:t>
      </w:r>
      <w:r w:rsidR="00993CED">
        <w:t>. Zároveň však zákon o </w:t>
      </w:r>
      <w:r w:rsidR="009D57AA" w:rsidRPr="00B41B2B">
        <w:t xml:space="preserve">hazardních hrách umožňuje dostatečnou flexibilitu tak, aby bylo Ministerstvo financí jakožto povolovací orgán schopno reagovat na technologický vývoj, neboť zavádí koncept tzv. technické neutrality. </w:t>
      </w:r>
      <w:r>
        <w:t>Oproti</w:t>
      </w:r>
      <w:r w:rsidR="009D57AA" w:rsidRPr="00B41B2B">
        <w:t xml:space="preserve"> zákon</w:t>
      </w:r>
      <w:r>
        <w:t>u</w:t>
      </w:r>
      <w:r w:rsidR="009D57AA" w:rsidRPr="00B41B2B">
        <w:t xml:space="preserve"> o loteriích, který svou nedokonalou úpravou spočívající v povolování loterií a jiných podobných her v souvislosti s výše uvedeným §</w:t>
      </w:r>
      <w:r w:rsidR="00295E01">
        <w:t> </w:t>
      </w:r>
      <w:r w:rsidR="009D57AA" w:rsidRPr="00B41B2B">
        <w:t>50</w:t>
      </w:r>
      <w:r w:rsidR="00295E01">
        <w:t> </w:t>
      </w:r>
      <w:r w:rsidR="009D57AA" w:rsidRPr="00B41B2B">
        <w:t>odst.</w:t>
      </w:r>
      <w:r w:rsidR="00295E01">
        <w:t> </w:t>
      </w:r>
      <w:r w:rsidR="009D57AA" w:rsidRPr="00B41B2B">
        <w:t>3 tohoto zákona činil mezi provozováním různých technických zařízení nedůvodné rozdíly a způsoboval roztříštěnost správní praxe, princip technické neutrality zajišťuje možnost stanovení koncepčních podmínek provozování, neboť povaha samotného koncového zařízení nemá významný vliv na dopady účasti na hazardní hře na účastníka hazardních hry.</w:t>
      </w:r>
    </w:p>
    <w:p w14:paraId="095BACDC" w14:textId="01EE7967" w:rsidR="004A26E6" w:rsidRDefault="009D57AA" w:rsidP="00080B69">
      <w:pPr>
        <w:rPr>
          <w:bCs/>
        </w:rPr>
      </w:pPr>
      <w:r w:rsidRPr="004C73E1">
        <w:rPr>
          <w:b/>
        </w:rPr>
        <w:t>Ministerstvo financí</w:t>
      </w:r>
      <w:r w:rsidRPr="00A018F4">
        <w:t xml:space="preserve"> v rámci své činnosti v oblasti regulace hazardu během </w:t>
      </w:r>
      <w:r>
        <w:t xml:space="preserve">roku 2020 </w:t>
      </w:r>
      <w:r w:rsidRPr="00F45C14">
        <w:rPr>
          <w:b/>
        </w:rPr>
        <w:t xml:space="preserve">uskutečnilo analýzu rizikového potenciálu jednotlivých hazardních her </w:t>
      </w:r>
      <w:r w:rsidRPr="00F45C14">
        <w:rPr>
          <w:b/>
        </w:rPr>
        <w:lastRenderedPageBreak/>
        <w:t>provozovaných na území České republiky</w:t>
      </w:r>
      <w:r w:rsidRPr="00A018F4">
        <w:t>. K mapování míry rizikovosti hazardních her, ve smyslu negativních dopadů na úč</w:t>
      </w:r>
      <w:r w:rsidR="00EF4A67">
        <w:t>astníky hazardních her a tedy i </w:t>
      </w:r>
      <w:r w:rsidRPr="00A018F4">
        <w:t>možný rozvoj maladaptivní</w:t>
      </w:r>
      <w:r>
        <w:t>ho</w:t>
      </w:r>
      <w:r w:rsidRPr="00A018F4">
        <w:t xml:space="preserve"> modelu h</w:t>
      </w:r>
      <w:r>
        <w:t>ráčského chování</w:t>
      </w:r>
      <w:r w:rsidRPr="00A018F4">
        <w:t xml:space="preserve">, </w:t>
      </w:r>
      <w:r>
        <w:t>využilo</w:t>
      </w:r>
      <w:r w:rsidRPr="00A018F4">
        <w:t xml:space="preserve"> Ministerstvo financí hodnotící nástroj ASTERIG</w:t>
      </w:r>
      <w:r w:rsidR="004A26E6">
        <w:rPr>
          <w:rStyle w:val="Znakapoznpodarou"/>
        </w:rPr>
        <w:footnoteReference w:id="5"/>
      </w:r>
      <w:r w:rsidRPr="00A018F4">
        <w:t>. Tento nástroj j</w:t>
      </w:r>
      <w:r w:rsidRPr="00441E75">
        <w:rPr>
          <w:bCs/>
        </w:rPr>
        <w:t xml:space="preserve">ednak umožňuje vykreslit srovnání mezi návykovým potenciálem různých hazardních her, jednak specifikuje oblast rizikového potenciálu každého konkrétního </w:t>
      </w:r>
      <w:r w:rsidRPr="0004780D">
        <w:rPr>
          <w:bCs/>
        </w:rPr>
        <w:t xml:space="preserve">hazardního produktu </w:t>
      </w:r>
      <w:r w:rsidRPr="006E0411">
        <w:rPr>
          <w:bCs/>
        </w:rPr>
        <w:t xml:space="preserve">tj. </w:t>
      </w:r>
      <w:r w:rsidRPr="00F87A9E">
        <w:rPr>
          <w:bCs/>
        </w:rPr>
        <w:t>hazardní hry</w:t>
      </w:r>
      <w:r w:rsidRPr="00A018F4">
        <w:rPr>
          <w:bCs/>
        </w:rPr>
        <w:t xml:space="preserve">. </w:t>
      </w:r>
    </w:p>
    <w:p w14:paraId="1D6D0155" w14:textId="1244F6BC" w:rsidR="004A26E6" w:rsidRDefault="004A26E6" w:rsidP="0029437B">
      <w:pPr>
        <w:rPr>
          <w:bCs/>
        </w:rPr>
      </w:pPr>
      <w:r w:rsidRPr="0029437B">
        <w:rPr>
          <w:bCs/>
        </w:rPr>
        <w:t xml:space="preserve">Nástroj ASTERIG používá numerická skóre k měření toho, jak vysoký může být potenciál rizika závislostí u daného produktu hazardní hry a zároveň zdůrazňuje, v které oblasti se potenciál specifického rizika nachází. Z tohoto důvodu je zvažováno deset vzájemně korelačních parametrů, které jsou dále odstupňovány podle síly jejich vlivu. Tento přístup umožňuje matematicko-objektivní srovnání možných potenciálů rizika závislosti mezi různými, případně i podobnými produkty hazardních her. Navíc nástroj ASTERIG zdůrazňuje, kde přesně se toto riziko nachází, u kterých vlastností nebo charakteristik příslušné hazardní hry lze potenciál rizika závislosti podpořit nebo snížit. Posuzované parametry hazardních her (kritéria potenciálního rizika) dosahují různých maximálních hodnot - tyto maximální hodnoty se u jednotlivých parametrů odvíjí od jejich důležitosti při posuzování rizikového potenciálu, odvíjí se tedy od jejich váhy. Tyto údaje představuje níže uvedená tabulka. </w:t>
      </w:r>
    </w:p>
    <w:p w14:paraId="3EF89113" w14:textId="0F776A9A" w:rsidR="0077034D" w:rsidRDefault="0077034D" w:rsidP="0077034D">
      <w:pPr>
        <w:pStyle w:val="Titulek"/>
        <w:keepNext/>
      </w:pPr>
      <w:bookmarkStart w:id="88" w:name="_Toc73524682"/>
      <w:r>
        <w:t xml:space="preserve">Tabulka č. </w:t>
      </w:r>
      <w:fldSimple w:instr=" SEQ Tabulka_č. \* ARABIC ">
        <w:r w:rsidR="00B0565F">
          <w:rPr>
            <w:noProof/>
          </w:rPr>
          <w:t>5</w:t>
        </w:r>
      </w:fldSimple>
      <w:r>
        <w:t xml:space="preserve">: </w:t>
      </w:r>
      <w:r w:rsidRPr="005B56F6">
        <w:t>Parametry a jejich hodnoty</w:t>
      </w:r>
      <w:bookmarkEnd w:id="88"/>
    </w:p>
    <w:tbl>
      <w:tblPr>
        <w:tblW w:w="5560" w:type="dxa"/>
        <w:tblInd w:w="60" w:type="dxa"/>
        <w:tblCellMar>
          <w:left w:w="70" w:type="dxa"/>
          <w:right w:w="70" w:type="dxa"/>
        </w:tblCellMar>
        <w:tblLook w:val="04A0" w:firstRow="1" w:lastRow="0" w:firstColumn="1" w:lastColumn="0" w:noHBand="0" w:noVBand="1"/>
      </w:tblPr>
      <w:tblGrid>
        <w:gridCol w:w="3260"/>
        <w:gridCol w:w="940"/>
        <w:gridCol w:w="1360"/>
      </w:tblGrid>
      <w:tr w:rsidR="0029437B" w:rsidRPr="006969E6" w14:paraId="3FBF1B0A" w14:textId="77777777" w:rsidTr="0029437B">
        <w:trPr>
          <w:trHeight w:val="900"/>
        </w:trPr>
        <w:tc>
          <w:tcPr>
            <w:tcW w:w="32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6638BCE"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Kritéria potenciálního rizika</w:t>
            </w:r>
          </w:p>
        </w:tc>
        <w:tc>
          <w:tcPr>
            <w:tcW w:w="940" w:type="dxa"/>
            <w:tcBorders>
              <w:top w:val="single" w:sz="8" w:space="0" w:color="auto"/>
              <w:left w:val="nil"/>
              <w:bottom w:val="single" w:sz="4" w:space="0" w:color="auto"/>
              <w:right w:val="single" w:sz="4" w:space="0" w:color="auto"/>
            </w:tcBorders>
            <w:shd w:val="clear" w:color="auto" w:fill="auto"/>
            <w:noWrap/>
            <w:vAlign w:val="center"/>
            <w:hideMark/>
          </w:tcPr>
          <w:p w14:paraId="23F72026"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Váha</w:t>
            </w:r>
          </w:p>
        </w:tc>
        <w:tc>
          <w:tcPr>
            <w:tcW w:w="1360" w:type="dxa"/>
            <w:tcBorders>
              <w:top w:val="single" w:sz="8" w:space="0" w:color="auto"/>
              <w:left w:val="nil"/>
              <w:bottom w:val="single" w:sz="4" w:space="0" w:color="auto"/>
              <w:right w:val="single" w:sz="8" w:space="0" w:color="auto"/>
            </w:tcBorders>
            <w:shd w:val="clear" w:color="auto" w:fill="auto"/>
            <w:vAlign w:val="center"/>
            <w:hideMark/>
          </w:tcPr>
          <w:p w14:paraId="5A992220"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Maximální možná hodnota</w:t>
            </w:r>
          </w:p>
        </w:tc>
      </w:tr>
      <w:tr w:rsidR="0029437B" w:rsidRPr="006969E6" w14:paraId="5DA157A4"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217D1A50"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Frekvence události</w:t>
            </w:r>
          </w:p>
        </w:tc>
        <w:tc>
          <w:tcPr>
            <w:tcW w:w="940" w:type="dxa"/>
            <w:tcBorders>
              <w:top w:val="nil"/>
              <w:left w:val="nil"/>
              <w:bottom w:val="single" w:sz="4" w:space="0" w:color="auto"/>
              <w:right w:val="single" w:sz="4" w:space="0" w:color="auto"/>
            </w:tcBorders>
            <w:shd w:val="clear" w:color="auto" w:fill="auto"/>
            <w:noWrap/>
            <w:vAlign w:val="center"/>
            <w:hideMark/>
          </w:tcPr>
          <w:p w14:paraId="57673412"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8</w:t>
            </w:r>
          </w:p>
        </w:tc>
        <w:tc>
          <w:tcPr>
            <w:tcW w:w="1360" w:type="dxa"/>
            <w:tcBorders>
              <w:top w:val="nil"/>
              <w:left w:val="nil"/>
              <w:bottom w:val="single" w:sz="4" w:space="0" w:color="auto"/>
              <w:right w:val="single" w:sz="8" w:space="0" w:color="auto"/>
            </w:tcBorders>
            <w:shd w:val="clear" w:color="auto" w:fill="auto"/>
            <w:vAlign w:val="center"/>
            <w:hideMark/>
          </w:tcPr>
          <w:p w14:paraId="2D457B8B"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80</w:t>
            </w:r>
          </w:p>
        </w:tc>
      </w:tr>
      <w:tr w:rsidR="0029437B" w:rsidRPr="006969E6" w14:paraId="6B9F2BDD"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11AC07BF"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Interval návratnosti</w:t>
            </w:r>
          </w:p>
        </w:tc>
        <w:tc>
          <w:tcPr>
            <w:tcW w:w="940" w:type="dxa"/>
            <w:tcBorders>
              <w:top w:val="nil"/>
              <w:left w:val="nil"/>
              <w:bottom w:val="single" w:sz="4" w:space="0" w:color="auto"/>
              <w:right w:val="single" w:sz="4" w:space="0" w:color="auto"/>
            </w:tcBorders>
            <w:shd w:val="clear" w:color="auto" w:fill="auto"/>
            <w:noWrap/>
            <w:vAlign w:val="center"/>
            <w:hideMark/>
          </w:tcPr>
          <w:p w14:paraId="0FB1E3B6"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36796EDF"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29437B" w:rsidRPr="006969E6" w14:paraId="7525A2A7"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5462A8BB"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Jackpot</w:t>
            </w:r>
          </w:p>
        </w:tc>
        <w:tc>
          <w:tcPr>
            <w:tcW w:w="940" w:type="dxa"/>
            <w:tcBorders>
              <w:top w:val="nil"/>
              <w:left w:val="nil"/>
              <w:bottom w:val="single" w:sz="4" w:space="0" w:color="auto"/>
              <w:right w:val="single" w:sz="4" w:space="0" w:color="auto"/>
            </w:tcBorders>
            <w:shd w:val="clear" w:color="auto" w:fill="auto"/>
            <w:noWrap/>
            <w:vAlign w:val="center"/>
            <w:hideMark/>
          </w:tcPr>
          <w:p w14:paraId="67EFFA0E"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5</w:t>
            </w:r>
          </w:p>
        </w:tc>
        <w:tc>
          <w:tcPr>
            <w:tcW w:w="1360" w:type="dxa"/>
            <w:tcBorders>
              <w:top w:val="nil"/>
              <w:left w:val="nil"/>
              <w:bottom w:val="single" w:sz="4" w:space="0" w:color="auto"/>
              <w:right w:val="single" w:sz="8" w:space="0" w:color="auto"/>
            </w:tcBorders>
            <w:shd w:val="clear" w:color="auto" w:fill="auto"/>
            <w:vAlign w:val="center"/>
            <w:hideMark/>
          </w:tcPr>
          <w:p w14:paraId="7C58C90B"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50</w:t>
            </w:r>
          </w:p>
        </w:tc>
      </w:tr>
      <w:tr w:rsidR="0029437B" w:rsidRPr="006969E6" w14:paraId="31C96A5D"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3FDDE405"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Kontinuita hraní</w:t>
            </w:r>
          </w:p>
        </w:tc>
        <w:tc>
          <w:tcPr>
            <w:tcW w:w="940" w:type="dxa"/>
            <w:tcBorders>
              <w:top w:val="nil"/>
              <w:left w:val="nil"/>
              <w:bottom w:val="single" w:sz="4" w:space="0" w:color="auto"/>
              <w:right w:val="single" w:sz="4" w:space="0" w:color="auto"/>
            </w:tcBorders>
            <w:shd w:val="clear" w:color="auto" w:fill="auto"/>
            <w:noWrap/>
            <w:vAlign w:val="center"/>
            <w:hideMark/>
          </w:tcPr>
          <w:p w14:paraId="3E815754"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8</w:t>
            </w:r>
          </w:p>
        </w:tc>
        <w:tc>
          <w:tcPr>
            <w:tcW w:w="1360" w:type="dxa"/>
            <w:tcBorders>
              <w:top w:val="nil"/>
              <w:left w:val="nil"/>
              <w:bottom w:val="single" w:sz="4" w:space="0" w:color="auto"/>
              <w:right w:val="single" w:sz="8" w:space="0" w:color="auto"/>
            </w:tcBorders>
            <w:shd w:val="clear" w:color="auto" w:fill="auto"/>
            <w:vAlign w:val="center"/>
            <w:hideMark/>
          </w:tcPr>
          <w:p w14:paraId="02FFFE3F"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80</w:t>
            </w:r>
          </w:p>
        </w:tc>
      </w:tr>
      <w:tr w:rsidR="0029437B" w:rsidRPr="006969E6" w14:paraId="40208C0F"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17024376"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Šance na získání zisku</w:t>
            </w:r>
          </w:p>
        </w:tc>
        <w:tc>
          <w:tcPr>
            <w:tcW w:w="940" w:type="dxa"/>
            <w:tcBorders>
              <w:top w:val="nil"/>
              <w:left w:val="nil"/>
              <w:bottom w:val="single" w:sz="4" w:space="0" w:color="auto"/>
              <w:right w:val="single" w:sz="4" w:space="0" w:color="auto"/>
            </w:tcBorders>
            <w:shd w:val="clear" w:color="auto" w:fill="auto"/>
            <w:noWrap/>
            <w:vAlign w:val="center"/>
            <w:hideMark/>
          </w:tcPr>
          <w:p w14:paraId="4CE2CFE5"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344E6FB7"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29437B" w:rsidRPr="006969E6" w14:paraId="06AC9056"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3BA9E75A"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Dostupnost</w:t>
            </w:r>
          </w:p>
        </w:tc>
        <w:tc>
          <w:tcPr>
            <w:tcW w:w="940" w:type="dxa"/>
            <w:tcBorders>
              <w:top w:val="nil"/>
              <w:left w:val="nil"/>
              <w:bottom w:val="single" w:sz="4" w:space="0" w:color="auto"/>
              <w:right w:val="single" w:sz="4" w:space="0" w:color="auto"/>
            </w:tcBorders>
            <w:shd w:val="clear" w:color="auto" w:fill="auto"/>
            <w:noWrap/>
            <w:vAlign w:val="center"/>
            <w:hideMark/>
          </w:tcPr>
          <w:p w14:paraId="001D419D"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7</w:t>
            </w:r>
          </w:p>
        </w:tc>
        <w:tc>
          <w:tcPr>
            <w:tcW w:w="1360" w:type="dxa"/>
            <w:tcBorders>
              <w:top w:val="nil"/>
              <w:left w:val="nil"/>
              <w:bottom w:val="single" w:sz="4" w:space="0" w:color="auto"/>
              <w:right w:val="single" w:sz="8" w:space="0" w:color="auto"/>
            </w:tcBorders>
            <w:shd w:val="clear" w:color="auto" w:fill="auto"/>
            <w:vAlign w:val="center"/>
            <w:hideMark/>
          </w:tcPr>
          <w:p w14:paraId="7D6AD64F"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70</w:t>
            </w:r>
          </w:p>
        </w:tc>
      </w:tr>
      <w:tr w:rsidR="0029437B" w:rsidRPr="006969E6" w14:paraId="206BA5B6"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2529E9DE"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Více možností hraní / sázek</w:t>
            </w:r>
          </w:p>
        </w:tc>
        <w:tc>
          <w:tcPr>
            <w:tcW w:w="940" w:type="dxa"/>
            <w:tcBorders>
              <w:top w:val="nil"/>
              <w:left w:val="nil"/>
              <w:bottom w:val="single" w:sz="4" w:space="0" w:color="auto"/>
              <w:right w:val="single" w:sz="4" w:space="0" w:color="auto"/>
            </w:tcBorders>
            <w:shd w:val="clear" w:color="auto" w:fill="auto"/>
            <w:noWrap/>
            <w:vAlign w:val="center"/>
            <w:hideMark/>
          </w:tcPr>
          <w:p w14:paraId="53FDAD15"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45E5EAC0"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29437B" w:rsidRPr="006969E6" w14:paraId="79254157"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5CC1086A"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Proměnlivá výše vkladu</w:t>
            </w:r>
          </w:p>
        </w:tc>
        <w:tc>
          <w:tcPr>
            <w:tcW w:w="940" w:type="dxa"/>
            <w:tcBorders>
              <w:top w:val="nil"/>
              <w:left w:val="nil"/>
              <w:bottom w:val="single" w:sz="4" w:space="0" w:color="auto"/>
              <w:right w:val="single" w:sz="4" w:space="0" w:color="auto"/>
            </w:tcBorders>
            <w:shd w:val="clear" w:color="auto" w:fill="auto"/>
            <w:noWrap/>
            <w:vAlign w:val="center"/>
            <w:hideMark/>
          </w:tcPr>
          <w:p w14:paraId="746CA76B"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4" w:space="0" w:color="auto"/>
              <w:right w:val="single" w:sz="8" w:space="0" w:color="auto"/>
            </w:tcBorders>
            <w:shd w:val="clear" w:color="auto" w:fill="auto"/>
            <w:vAlign w:val="center"/>
            <w:hideMark/>
          </w:tcPr>
          <w:p w14:paraId="075F96B5"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r w:rsidR="0029437B" w:rsidRPr="006969E6" w14:paraId="37B4D692" w14:textId="77777777" w:rsidTr="0029437B">
        <w:trPr>
          <w:trHeight w:val="300"/>
        </w:trPr>
        <w:tc>
          <w:tcPr>
            <w:tcW w:w="3260" w:type="dxa"/>
            <w:tcBorders>
              <w:top w:val="nil"/>
              <w:left w:val="single" w:sz="8" w:space="0" w:color="auto"/>
              <w:bottom w:val="single" w:sz="4" w:space="0" w:color="auto"/>
              <w:right w:val="single" w:sz="4" w:space="0" w:color="auto"/>
            </w:tcBorders>
            <w:shd w:val="clear" w:color="auto" w:fill="auto"/>
            <w:noWrap/>
            <w:vAlign w:val="center"/>
            <w:hideMark/>
          </w:tcPr>
          <w:p w14:paraId="2548B186"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Smyslový design výrobku</w:t>
            </w:r>
          </w:p>
        </w:tc>
        <w:tc>
          <w:tcPr>
            <w:tcW w:w="940" w:type="dxa"/>
            <w:tcBorders>
              <w:top w:val="nil"/>
              <w:left w:val="nil"/>
              <w:bottom w:val="single" w:sz="4" w:space="0" w:color="auto"/>
              <w:right w:val="single" w:sz="4" w:space="0" w:color="auto"/>
            </w:tcBorders>
            <w:shd w:val="clear" w:color="auto" w:fill="auto"/>
            <w:noWrap/>
            <w:vAlign w:val="center"/>
            <w:hideMark/>
          </w:tcPr>
          <w:p w14:paraId="70CF3286"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4</w:t>
            </w:r>
          </w:p>
        </w:tc>
        <w:tc>
          <w:tcPr>
            <w:tcW w:w="1360" w:type="dxa"/>
            <w:tcBorders>
              <w:top w:val="nil"/>
              <w:left w:val="nil"/>
              <w:bottom w:val="single" w:sz="4" w:space="0" w:color="auto"/>
              <w:right w:val="single" w:sz="8" w:space="0" w:color="auto"/>
            </w:tcBorders>
            <w:shd w:val="clear" w:color="auto" w:fill="auto"/>
            <w:vAlign w:val="center"/>
            <w:hideMark/>
          </w:tcPr>
          <w:p w14:paraId="57D23E82"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40</w:t>
            </w:r>
          </w:p>
        </w:tc>
      </w:tr>
      <w:tr w:rsidR="0029437B" w:rsidRPr="006969E6" w14:paraId="540C8470" w14:textId="77777777" w:rsidTr="0029437B">
        <w:trPr>
          <w:trHeight w:val="315"/>
        </w:trPr>
        <w:tc>
          <w:tcPr>
            <w:tcW w:w="3260" w:type="dxa"/>
            <w:tcBorders>
              <w:top w:val="nil"/>
              <w:left w:val="single" w:sz="8" w:space="0" w:color="auto"/>
              <w:bottom w:val="single" w:sz="8" w:space="0" w:color="auto"/>
              <w:right w:val="single" w:sz="4" w:space="0" w:color="auto"/>
            </w:tcBorders>
            <w:shd w:val="clear" w:color="auto" w:fill="auto"/>
            <w:noWrap/>
            <w:vAlign w:val="center"/>
            <w:hideMark/>
          </w:tcPr>
          <w:p w14:paraId="2F98749C" w14:textId="77777777" w:rsidR="0029437B" w:rsidRPr="006969E6" w:rsidRDefault="0029437B" w:rsidP="0029437B">
            <w:pPr>
              <w:spacing w:after="0"/>
              <w:jc w:val="left"/>
              <w:rPr>
                <w:rFonts w:eastAsia="Times New Roman" w:cs="Arial"/>
                <w:color w:val="000000"/>
                <w:szCs w:val="24"/>
                <w:lang w:eastAsia="cs-CZ"/>
              </w:rPr>
            </w:pPr>
            <w:r w:rsidRPr="006969E6">
              <w:rPr>
                <w:rFonts w:eastAsia="Times New Roman" w:cs="Arial"/>
                <w:color w:val="000000"/>
                <w:szCs w:val="24"/>
                <w:lang w:eastAsia="cs-CZ"/>
              </w:rPr>
              <w:t>V blízkosti vítězství</w:t>
            </w:r>
          </w:p>
        </w:tc>
        <w:tc>
          <w:tcPr>
            <w:tcW w:w="940" w:type="dxa"/>
            <w:tcBorders>
              <w:top w:val="nil"/>
              <w:left w:val="nil"/>
              <w:bottom w:val="single" w:sz="8" w:space="0" w:color="auto"/>
              <w:right w:val="single" w:sz="4" w:space="0" w:color="auto"/>
            </w:tcBorders>
            <w:shd w:val="clear" w:color="auto" w:fill="auto"/>
            <w:noWrap/>
            <w:vAlign w:val="center"/>
            <w:hideMark/>
          </w:tcPr>
          <w:p w14:paraId="06BE48C9" w14:textId="77777777" w:rsidR="0029437B" w:rsidRPr="006969E6" w:rsidRDefault="0029437B" w:rsidP="0029437B">
            <w:pPr>
              <w:spacing w:after="0"/>
              <w:jc w:val="center"/>
              <w:rPr>
                <w:rFonts w:eastAsia="Times New Roman" w:cs="Arial"/>
                <w:color w:val="000000"/>
                <w:szCs w:val="24"/>
                <w:lang w:eastAsia="cs-CZ"/>
              </w:rPr>
            </w:pPr>
            <w:r w:rsidRPr="006969E6">
              <w:rPr>
                <w:rFonts w:eastAsia="Times New Roman" w:cs="Arial"/>
                <w:color w:val="000000"/>
                <w:szCs w:val="24"/>
                <w:lang w:eastAsia="cs-CZ"/>
              </w:rPr>
              <w:t>6</w:t>
            </w:r>
          </w:p>
        </w:tc>
        <w:tc>
          <w:tcPr>
            <w:tcW w:w="1360" w:type="dxa"/>
            <w:tcBorders>
              <w:top w:val="nil"/>
              <w:left w:val="nil"/>
              <w:bottom w:val="single" w:sz="8" w:space="0" w:color="auto"/>
              <w:right w:val="single" w:sz="8" w:space="0" w:color="auto"/>
            </w:tcBorders>
            <w:shd w:val="clear" w:color="auto" w:fill="auto"/>
            <w:vAlign w:val="center"/>
            <w:hideMark/>
          </w:tcPr>
          <w:p w14:paraId="4CFAFEC4" w14:textId="77777777" w:rsidR="0029437B" w:rsidRPr="006969E6" w:rsidRDefault="0029437B" w:rsidP="0029437B">
            <w:pPr>
              <w:keepNext/>
              <w:spacing w:after="0"/>
              <w:jc w:val="center"/>
              <w:rPr>
                <w:rFonts w:eastAsia="Times New Roman" w:cs="Arial"/>
                <w:color w:val="000000"/>
                <w:szCs w:val="24"/>
                <w:lang w:eastAsia="cs-CZ"/>
              </w:rPr>
            </w:pPr>
            <w:r w:rsidRPr="006969E6">
              <w:rPr>
                <w:rFonts w:eastAsia="Times New Roman" w:cs="Arial"/>
                <w:color w:val="000000"/>
                <w:szCs w:val="24"/>
                <w:lang w:eastAsia="cs-CZ"/>
              </w:rPr>
              <w:t>60</w:t>
            </w:r>
          </w:p>
        </w:tc>
      </w:tr>
    </w:tbl>
    <w:p w14:paraId="79D8DA3D" w14:textId="2806A30B" w:rsidR="004A26E6" w:rsidRPr="008A1B2E" w:rsidRDefault="0029437B" w:rsidP="008A1B2E">
      <w:pPr>
        <w:pStyle w:val="Titulek"/>
        <w:rPr>
          <w:bCs/>
          <w:sz w:val="20"/>
        </w:rPr>
      </w:pPr>
      <w:r w:rsidRPr="006B6318">
        <w:rPr>
          <w:sz w:val="20"/>
        </w:rPr>
        <w:t>Zdroj: http://asterig.org/</w:t>
      </w:r>
      <w:r>
        <w:rPr>
          <w:sz w:val="20"/>
        </w:rPr>
        <w:t>.</w:t>
      </w:r>
    </w:p>
    <w:p w14:paraId="24926B4A" w14:textId="1D0329F3" w:rsidR="009D57AA" w:rsidRPr="0092753A" w:rsidRDefault="009D57AA" w:rsidP="00080B69">
      <w:r w:rsidRPr="0029437B">
        <w:rPr>
          <w:b/>
          <w:bCs/>
        </w:rPr>
        <w:t>ASTERIG je vědecky podložená</w:t>
      </w:r>
      <w:r w:rsidRPr="00A018F4">
        <w:rPr>
          <w:bCs/>
        </w:rPr>
        <w:t xml:space="preserve"> klasifikace produktů hazardních her (</w:t>
      </w:r>
      <w:r w:rsidRPr="00A018F4">
        <w:t>se srovnatelně hodnotitelnou stupnicí</w:t>
      </w:r>
      <w:r w:rsidRPr="00441E75">
        <w:rPr>
          <w:bCs/>
        </w:rPr>
        <w:t xml:space="preserve">), a to i v mezinárodním kontextu. Díky tomu je tento hodnotící nástroj </w:t>
      </w:r>
      <w:r w:rsidRPr="0029437B">
        <w:rPr>
          <w:b/>
          <w:bCs/>
        </w:rPr>
        <w:t>celosvětově uznávaným</w:t>
      </w:r>
      <w:r w:rsidRPr="00441E75">
        <w:rPr>
          <w:bCs/>
        </w:rPr>
        <w:t>, a to jak v legislativní, tak i v soudní</w:t>
      </w:r>
      <w:r>
        <w:rPr>
          <w:bCs/>
        </w:rPr>
        <w:t xml:space="preserve"> a správní oblasti</w:t>
      </w:r>
      <w:r w:rsidRPr="0092753A">
        <w:rPr>
          <w:bCs/>
        </w:rPr>
        <w:t xml:space="preserve"> v zemích, </w:t>
      </w:r>
      <w:r>
        <w:rPr>
          <w:bCs/>
        </w:rPr>
        <w:t xml:space="preserve">ve </w:t>
      </w:r>
      <w:r w:rsidRPr="0092753A">
        <w:rPr>
          <w:bCs/>
        </w:rPr>
        <w:t>kterých jsou povolovány a nabízeny hazardní hry.</w:t>
      </w:r>
    </w:p>
    <w:p w14:paraId="16D649C7" w14:textId="037CA349" w:rsidR="00142CC9" w:rsidRDefault="009D57AA" w:rsidP="00080B69">
      <w:r w:rsidRPr="00A018F4">
        <w:t xml:space="preserve">Hodnoceno bylo celkem </w:t>
      </w:r>
      <w:r>
        <w:t>dvacet</w:t>
      </w:r>
      <w:r w:rsidRPr="00A018F4">
        <w:t xml:space="preserve"> konkrétních hazardních her</w:t>
      </w:r>
      <w:r w:rsidRPr="00A018F4">
        <w:rPr>
          <w:rStyle w:val="Znakapoznpodarou"/>
          <w:rFonts w:cs="Arial"/>
        </w:rPr>
        <w:footnoteReference w:id="6"/>
      </w:r>
      <w:r w:rsidRPr="00A018F4">
        <w:t xml:space="preserve"> </w:t>
      </w:r>
      <w:r>
        <w:t>napříč v</w:t>
      </w:r>
      <w:r w:rsidRPr="00441E75">
        <w:t>šemi povolenými druhy hazar</w:t>
      </w:r>
      <w:r w:rsidRPr="0004780D">
        <w:t>dních her</w:t>
      </w:r>
      <w:r w:rsidR="00EF4A67">
        <w:t xml:space="preserve"> </w:t>
      </w:r>
      <w:r>
        <w:t>v České republice</w:t>
      </w:r>
      <w:r w:rsidRPr="0004780D">
        <w:t xml:space="preserve">, </w:t>
      </w:r>
      <w:r>
        <w:t xml:space="preserve">provozovaných jak </w:t>
      </w:r>
      <w:r w:rsidR="00900041">
        <w:t xml:space="preserve">formou </w:t>
      </w:r>
      <w:r>
        <w:t>land</w:t>
      </w:r>
      <w:r w:rsidR="00FF7102">
        <w:t>-</w:t>
      </w:r>
      <w:r w:rsidR="00EF4A67">
        <w:t>based, tak i </w:t>
      </w:r>
      <w:r w:rsidRPr="0004780D">
        <w:t xml:space="preserve">prostřednictvím internetu. Při výběru hazardních her pro jednotlivé druhy </w:t>
      </w:r>
      <w:r w:rsidRPr="0004780D">
        <w:lastRenderedPageBreak/>
        <w:t xml:space="preserve">byl kladen důraz především na </w:t>
      </w:r>
      <w:r w:rsidRPr="008A1B2E">
        <w:rPr>
          <w:b/>
        </w:rPr>
        <w:t>vyváženost posuzovaných her</w:t>
      </w:r>
      <w:r>
        <w:t>,</w:t>
      </w:r>
      <w:r w:rsidRPr="0004780D">
        <w:t xml:space="preserve"> a to ve smyslu</w:t>
      </w:r>
      <w:r>
        <w:t xml:space="preserve"> zařazení jak hazardních her s </w:t>
      </w:r>
      <w:r w:rsidRPr="0092753A">
        <w:t>četnějším výskytem (t</w:t>
      </w:r>
      <w:r w:rsidRPr="00A018F4">
        <w:t xml:space="preserve">ypická hazardní hra na trhu), tak zároveň, pokud to nabídka trhu umožnila, hry atypické (vymykající se průměru provozovaných </w:t>
      </w:r>
      <w:r>
        <w:t xml:space="preserve">hazardních </w:t>
      </w:r>
      <w:r w:rsidRPr="00A018F4">
        <w:t xml:space="preserve">her). Stejný přístup </w:t>
      </w:r>
      <w:r>
        <w:t>M</w:t>
      </w:r>
      <w:r w:rsidRPr="00A018F4">
        <w:t>inisterstvo</w:t>
      </w:r>
      <w:r>
        <w:t xml:space="preserve"> financí</w:t>
      </w:r>
      <w:r w:rsidRPr="00A018F4">
        <w:t xml:space="preserve"> uplatnilo i </w:t>
      </w:r>
      <w:r>
        <w:t>při výběru hazardních her podle</w:t>
      </w:r>
      <w:r w:rsidRPr="00A018F4">
        <w:t xml:space="preserve"> způsobu provozování hazardních her tj. </w:t>
      </w:r>
      <w:r w:rsidRPr="008A1B2E">
        <w:t>vyvážený výběr hazardníc</w:t>
      </w:r>
      <w:r w:rsidR="00FF7102" w:rsidRPr="008A1B2E">
        <w:t>h her</w:t>
      </w:r>
      <w:r w:rsidR="00FF7102">
        <w:t xml:space="preserve"> provozovaných formou land-</w:t>
      </w:r>
      <w:r w:rsidRPr="00A018F4">
        <w:t>based a prostřednictvím internetu. V neposlední řadě byl kladen důraz na to, aby výběr zahrnoval pokud možno veškeré provozovatele hazardních her na současném českém trhu.</w:t>
      </w:r>
      <w:r w:rsidR="00B661B9">
        <w:t xml:space="preserve"> </w:t>
      </w:r>
      <w:r w:rsidR="00B661B9" w:rsidRPr="003152CE">
        <w:t xml:space="preserve">Názvy hodnocených hazardních her byly pro účel tohoto dokumentu anonymizovány. </w:t>
      </w:r>
      <w:r w:rsidRPr="00A018F4">
        <w:t xml:space="preserve"> </w:t>
      </w:r>
    </w:p>
    <w:p w14:paraId="2484087C" w14:textId="660D44F3" w:rsidR="009D57AA" w:rsidRDefault="009D57AA" w:rsidP="00080B69">
      <w:r w:rsidRPr="0092753A">
        <w:t>Výsledky</w:t>
      </w:r>
      <w:r w:rsidRPr="00A018F4">
        <w:t xml:space="preserve"> analýzy ukazují, že regulace zákona o hazardních hrách byla v některých ohledech úspěšná, v některých méně. </w:t>
      </w:r>
      <w:r w:rsidRPr="008A1B2E">
        <w:t>Úspěšnost je přitom nutné vnímat ve dvou oblastech, jednak zaměření nové regulace na nejvíce rizikové hazardní hry (např. vytvoření přísnějších omezení pro technickou hru), jednak vhodnost přísnější regulace ostatních her, které byly při vzniku právní úpravy považovány za méně rizikové.</w:t>
      </w:r>
    </w:p>
    <w:p w14:paraId="6CA24B92" w14:textId="77777777" w:rsidR="00A51575" w:rsidRPr="00A51575" w:rsidRDefault="00A51575" w:rsidP="00A51575">
      <w:r w:rsidRPr="00A018F4">
        <w:t xml:space="preserve">Výsledné hodnoty uvedené </w:t>
      </w:r>
      <w:r>
        <w:t xml:space="preserve">v </w:t>
      </w:r>
      <w:r w:rsidRPr="00C85A38">
        <w:t>tabulce č. 6</w:t>
      </w:r>
      <w:r w:rsidRPr="00A018F4">
        <w:t xml:space="preserve"> </w:t>
      </w:r>
      <w:r>
        <w:t>ukazují</w:t>
      </w:r>
      <w:r w:rsidRPr="00A018F4">
        <w:t>,</w:t>
      </w:r>
      <w:r>
        <w:t xml:space="preserve"> že hazardní hry provozované na </w:t>
      </w:r>
      <w:r w:rsidRPr="00A018F4">
        <w:t xml:space="preserve">našem území </w:t>
      </w:r>
      <w:r w:rsidRPr="008A1B2E">
        <w:rPr>
          <w:b/>
        </w:rPr>
        <w:t>nedosahují nejvyšších možných úrovní rizikovosti</w:t>
      </w:r>
      <w:r w:rsidRPr="0092753A">
        <w:t xml:space="preserve"> tak, jak </w:t>
      </w:r>
      <w:r>
        <w:t>s nimi pracuje metodika testu ASTERIG</w:t>
      </w:r>
      <w:r w:rsidRPr="0092753A">
        <w:t>.</w:t>
      </w:r>
      <w:r w:rsidRPr="00A018F4">
        <w:t xml:space="preserve"> Toto je zřejmé např. u výše zmíněné technické hry, nicméně v tomto </w:t>
      </w:r>
      <w:r w:rsidRPr="00441E75">
        <w:t xml:space="preserve">ohledu je nutné zdůraznit, že </w:t>
      </w:r>
      <w:r w:rsidRPr="002E0DEB">
        <w:rPr>
          <w:b/>
        </w:rPr>
        <w:t>faktory, které zeslabují rizikovost technické hry</w:t>
      </w:r>
      <w:r w:rsidRPr="008A1B2E">
        <w:t>, jsou zároveň oblasti, na které se zaměřil v rámci</w:t>
      </w:r>
      <w:r>
        <w:rPr>
          <w:b/>
        </w:rPr>
        <w:t xml:space="preserve"> zodpovědného hraní i </w:t>
      </w:r>
      <w:r w:rsidRPr="002E0DEB">
        <w:rPr>
          <w:b/>
        </w:rPr>
        <w:t xml:space="preserve">zákon o hazardních hrách </w:t>
      </w:r>
      <w:r w:rsidRPr="008A1B2E">
        <w:t>(např. povinná přestávka, minimální délka hry atd.), a tedy již těmito opatřeními došlo ke snížení rizikovosti. Zde lze spatřovat pozitivní efekt nové regulace.</w:t>
      </w:r>
    </w:p>
    <w:p w14:paraId="293A159A" w14:textId="00F59E33" w:rsidR="00A51575" w:rsidRDefault="00A51575" w:rsidP="00A51575">
      <w:r>
        <w:t xml:space="preserve">Zároveň ale výsledky </w:t>
      </w:r>
      <w:r w:rsidRPr="0092753A">
        <w:t xml:space="preserve">částečně vyvracejí předchozí hypotézu, která poukazovala především na tři druhy hazardních her s nejvyšší společenskou </w:t>
      </w:r>
      <w:r w:rsidRPr="00A018F4">
        <w:t>škodlivostí</w:t>
      </w:r>
      <w:r>
        <w:t xml:space="preserve"> (</w:t>
      </w:r>
      <w:r w:rsidRPr="00A018F4">
        <w:t xml:space="preserve">bingo, technickou hru, živou hru provozované </w:t>
      </w:r>
      <w:r>
        <w:t>formou</w:t>
      </w:r>
      <w:r w:rsidRPr="00A018F4">
        <w:t xml:space="preserve"> land-based</w:t>
      </w:r>
      <w:r>
        <w:t>),</w:t>
      </w:r>
      <w:r w:rsidRPr="00A018F4">
        <w:t xml:space="preserve"> </w:t>
      </w:r>
      <w:r>
        <w:t xml:space="preserve">a tedy i zvýšenou rizikovosti pro účastníky hazardních her. </w:t>
      </w:r>
      <w:r w:rsidRPr="008A1B2E">
        <w:t>Z výsledků analýzy ASTERIG je zřetelné, že</w:t>
      </w:r>
      <w:r w:rsidRPr="007B6D56">
        <w:rPr>
          <w:b/>
        </w:rPr>
        <w:t xml:space="preserve"> zvýšená rizikovost se váže zejména na hazardní hry p</w:t>
      </w:r>
      <w:r>
        <w:rPr>
          <w:b/>
        </w:rPr>
        <w:t>rovozované jako internetové hry.</w:t>
      </w:r>
      <w:r w:rsidRPr="007B6D56">
        <w:rPr>
          <w:b/>
        </w:rPr>
        <w:t xml:space="preserve"> </w:t>
      </w:r>
      <w:r>
        <w:rPr>
          <w:b/>
        </w:rPr>
        <w:t>V</w:t>
      </w:r>
      <w:r w:rsidRPr="007B6D56">
        <w:rPr>
          <w:b/>
        </w:rPr>
        <w:t xml:space="preserve"> případě technických her je rizikovost u obou způsobů </w:t>
      </w:r>
      <w:r>
        <w:rPr>
          <w:b/>
        </w:rPr>
        <w:t xml:space="preserve">provozování </w:t>
      </w:r>
      <w:r w:rsidRPr="007B6D56">
        <w:rPr>
          <w:b/>
        </w:rPr>
        <w:t>obdobná</w:t>
      </w:r>
      <w:r>
        <w:rPr>
          <w:b/>
        </w:rPr>
        <w:t xml:space="preserve"> a je tak z pohledu nastavené regulace správné nastavení komplexu ochranných opatření na technickou hru jako druh hazardní hry.</w:t>
      </w:r>
      <w:r w:rsidRPr="007B6D56">
        <w:rPr>
          <w:b/>
        </w:rPr>
        <w:t xml:space="preserve"> </w:t>
      </w:r>
      <w:r>
        <w:rPr>
          <w:b/>
        </w:rPr>
        <w:t>V</w:t>
      </w:r>
      <w:r w:rsidRPr="007B6D56">
        <w:rPr>
          <w:b/>
        </w:rPr>
        <w:t xml:space="preserve"> případě všech ostatních druhů hazardních her </w:t>
      </w:r>
      <w:r>
        <w:rPr>
          <w:b/>
        </w:rPr>
        <w:t xml:space="preserve">se však významně zvyšuje rizikovost, je-li hazardní hra provozována jako Internetová hra </w:t>
      </w:r>
      <w:r w:rsidRPr="007B6D56">
        <w:rPr>
          <w:b/>
        </w:rPr>
        <w:t>(</w:t>
      </w:r>
      <w:r>
        <w:rPr>
          <w:b/>
        </w:rPr>
        <w:t xml:space="preserve">to je dáno </w:t>
      </w:r>
      <w:r w:rsidRPr="007B6D56">
        <w:rPr>
          <w:b/>
        </w:rPr>
        <w:t>zejména rychlostí hry a možností nepřerušené účasti)</w:t>
      </w:r>
      <w:r w:rsidRPr="00347CE7">
        <w:t>. Zároveň je však třeba doplnit, že ačkoli tyto hry byly vyhodnoceny jako hazardní hry s vyšší škodliv</w:t>
      </w:r>
      <w:r>
        <w:t>ostí (nikoli nejvyšší), zákon o </w:t>
      </w:r>
      <w:r w:rsidRPr="00347CE7">
        <w:t>hazardních hrách kromě částečné povinnost</w:t>
      </w:r>
      <w:r>
        <w:t>i zřízení uživatelského konta a </w:t>
      </w:r>
      <w:r w:rsidRPr="00347CE7">
        <w:t>navazujících sebeomezujících opatření, neobsahuje další zvláštní nástroje zodpovědného hraní, které by mohly pozitivně ovlivnit rizikovost těchto hazardních her tak, jako se tomu stalo v případě technických her.</w:t>
      </w:r>
      <w:r>
        <w:t xml:space="preserve"> Z tohoto pohledu </w:t>
      </w:r>
      <w:r w:rsidRPr="002E0DEB">
        <w:rPr>
          <w:b/>
        </w:rPr>
        <w:t>by bylo za účelem zajištění ochrany sázejících vhodné, aby v budoucnu právní úprava reagovala případným zajištěním dalších či úpravou stávajících opatření zodpovědného hraní.</w:t>
      </w:r>
      <w:r>
        <w:t xml:space="preserve"> K tomu blíže </w:t>
      </w:r>
      <w:r w:rsidR="00D364AB">
        <w:t>příloha</w:t>
      </w:r>
      <w:r>
        <w:t xml:space="preserve"> </w:t>
      </w:r>
      <w:r w:rsidR="00295E01">
        <w:t xml:space="preserve">č. 3 </w:t>
      </w:r>
      <w:r>
        <w:t>– Opatření zodpovědného hraní.</w:t>
      </w:r>
    </w:p>
    <w:p w14:paraId="69C2C545" w14:textId="7547D20E" w:rsidR="00F87AF2" w:rsidRDefault="00F87AF2" w:rsidP="00A51575"/>
    <w:p w14:paraId="5F525B45" w14:textId="77777777" w:rsidR="00F87AF2" w:rsidRDefault="00F87AF2" w:rsidP="00A51575"/>
    <w:p w14:paraId="55F6771B" w14:textId="100BA05A" w:rsidR="00C85A38" w:rsidRDefault="00C85A38" w:rsidP="00C85A38">
      <w:pPr>
        <w:pStyle w:val="Titulek"/>
        <w:keepNext/>
      </w:pPr>
      <w:bookmarkStart w:id="89" w:name="_Toc73524683"/>
      <w:r>
        <w:lastRenderedPageBreak/>
        <w:t xml:space="preserve">Tabulka č. </w:t>
      </w:r>
      <w:fldSimple w:instr=" SEQ Tabulka_č. \* ARABIC ">
        <w:r w:rsidR="00B0565F">
          <w:rPr>
            <w:noProof/>
          </w:rPr>
          <w:t>6</w:t>
        </w:r>
      </w:fldSimple>
      <w:r>
        <w:t xml:space="preserve">: </w:t>
      </w:r>
      <w:r w:rsidRPr="00044F62">
        <w:t>Vyhodnocení potenciálního rizika jednotlivých druhů hazardních her</w:t>
      </w:r>
      <w:bookmarkEnd w:id="89"/>
    </w:p>
    <w:tbl>
      <w:tblPr>
        <w:tblW w:w="9062" w:type="dxa"/>
        <w:tblInd w:w="80" w:type="dxa"/>
        <w:tblCellMar>
          <w:left w:w="70" w:type="dxa"/>
          <w:right w:w="70" w:type="dxa"/>
        </w:tblCellMar>
        <w:tblLook w:val="04A0" w:firstRow="1" w:lastRow="0" w:firstColumn="1" w:lastColumn="0" w:noHBand="0" w:noVBand="1"/>
      </w:tblPr>
      <w:tblGrid>
        <w:gridCol w:w="3755"/>
        <w:gridCol w:w="1920"/>
        <w:gridCol w:w="2000"/>
        <w:gridCol w:w="1387"/>
      </w:tblGrid>
      <w:tr w:rsidR="00D364AB" w:rsidRPr="002A75C5" w14:paraId="14BCB401" w14:textId="77777777" w:rsidTr="0092069D">
        <w:trPr>
          <w:trHeight w:val="540"/>
        </w:trPr>
        <w:tc>
          <w:tcPr>
            <w:tcW w:w="3920"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45287A80" w14:textId="77777777" w:rsidR="00D364AB" w:rsidRPr="002A75C5" w:rsidRDefault="00D364AB" w:rsidP="0092069D">
            <w:pPr>
              <w:spacing w:after="0"/>
              <w:jc w:val="center"/>
              <w:rPr>
                <w:rFonts w:eastAsia="Times New Roman" w:cs="Arial"/>
                <w:b/>
                <w:bCs/>
                <w:sz w:val="20"/>
                <w:szCs w:val="20"/>
                <w:lang w:eastAsia="cs-CZ"/>
              </w:rPr>
            </w:pPr>
            <w:r w:rsidRPr="002A75C5">
              <w:rPr>
                <w:rFonts w:eastAsia="Times New Roman" w:cs="Arial"/>
                <w:b/>
                <w:bCs/>
                <w:sz w:val="20"/>
                <w:szCs w:val="20"/>
                <w:lang w:eastAsia="cs-CZ"/>
              </w:rPr>
              <w:t>Hazardní hry</w:t>
            </w:r>
          </w:p>
        </w:tc>
        <w:tc>
          <w:tcPr>
            <w:tcW w:w="1920" w:type="dxa"/>
            <w:tcBorders>
              <w:top w:val="single" w:sz="8" w:space="0" w:color="auto"/>
              <w:left w:val="nil"/>
              <w:bottom w:val="single" w:sz="4" w:space="0" w:color="auto"/>
              <w:right w:val="single" w:sz="4" w:space="0" w:color="auto"/>
            </w:tcBorders>
            <w:shd w:val="clear" w:color="000000" w:fill="D9D9D9"/>
            <w:vAlign w:val="center"/>
            <w:hideMark/>
          </w:tcPr>
          <w:p w14:paraId="3CF04762" w14:textId="77777777" w:rsidR="00D364AB" w:rsidRPr="002A75C5" w:rsidRDefault="00D364AB" w:rsidP="0092069D">
            <w:pPr>
              <w:spacing w:after="0"/>
              <w:jc w:val="center"/>
              <w:rPr>
                <w:rFonts w:eastAsia="Times New Roman" w:cs="Arial"/>
                <w:b/>
                <w:bCs/>
                <w:color w:val="000000"/>
                <w:sz w:val="22"/>
                <w:lang w:eastAsia="cs-CZ"/>
              </w:rPr>
            </w:pPr>
            <w:r w:rsidRPr="002A75C5">
              <w:rPr>
                <w:rFonts w:eastAsia="Times New Roman" w:cs="Arial"/>
                <w:b/>
                <w:bCs/>
                <w:color w:val="000000"/>
                <w:sz w:val="22"/>
                <w:lang w:eastAsia="cs-CZ"/>
              </w:rPr>
              <w:t>Score</w:t>
            </w:r>
          </w:p>
        </w:tc>
        <w:tc>
          <w:tcPr>
            <w:tcW w:w="2000" w:type="dxa"/>
            <w:tcBorders>
              <w:top w:val="single" w:sz="8" w:space="0" w:color="auto"/>
              <w:left w:val="nil"/>
              <w:bottom w:val="single" w:sz="4" w:space="0" w:color="auto"/>
              <w:right w:val="single" w:sz="4" w:space="0" w:color="auto"/>
            </w:tcBorders>
            <w:shd w:val="clear" w:color="000000" w:fill="D9D9D9"/>
            <w:vAlign w:val="center"/>
            <w:hideMark/>
          </w:tcPr>
          <w:p w14:paraId="68EF4DFF" w14:textId="77777777" w:rsidR="00D364AB" w:rsidRPr="002A75C5" w:rsidRDefault="00D364AB" w:rsidP="0092069D">
            <w:pPr>
              <w:spacing w:after="0"/>
              <w:jc w:val="center"/>
              <w:rPr>
                <w:rFonts w:eastAsia="Times New Roman" w:cs="Arial"/>
                <w:b/>
                <w:bCs/>
                <w:color w:val="000000"/>
                <w:sz w:val="20"/>
                <w:szCs w:val="20"/>
                <w:lang w:eastAsia="cs-CZ"/>
              </w:rPr>
            </w:pPr>
            <w:r w:rsidRPr="002A75C5">
              <w:rPr>
                <w:rFonts w:eastAsia="Times New Roman" w:cs="Arial"/>
                <w:b/>
                <w:bCs/>
                <w:color w:val="000000"/>
                <w:sz w:val="20"/>
                <w:szCs w:val="20"/>
                <w:lang w:eastAsia="cs-CZ"/>
              </w:rPr>
              <w:t>Risk category</w:t>
            </w:r>
          </w:p>
        </w:tc>
        <w:tc>
          <w:tcPr>
            <w:tcW w:w="1222" w:type="dxa"/>
            <w:tcBorders>
              <w:top w:val="single" w:sz="8" w:space="0" w:color="auto"/>
              <w:left w:val="nil"/>
              <w:bottom w:val="single" w:sz="4" w:space="0" w:color="auto"/>
              <w:right w:val="single" w:sz="8" w:space="0" w:color="auto"/>
            </w:tcBorders>
            <w:shd w:val="clear" w:color="000000" w:fill="D9D9D9"/>
            <w:vAlign w:val="center"/>
            <w:hideMark/>
          </w:tcPr>
          <w:p w14:paraId="3F900FD8" w14:textId="77777777" w:rsidR="00D364AB" w:rsidRPr="002A75C5" w:rsidRDefault="00D364AB" w:rsidP="0092069D">
            <w:pPr>
              <w:spacing w:after="0"/>
              <w:jc w:val="center"/>
              <w:rPr>
                <w:rFonts w:eastAsia="Times New Roman" w:cs="Arial"/>
                <w:b/>
                <w:bCs/>
                <w:color w:val="000000"/>
                <w:sz w:val="22"/>
                <w:lang w:eastAsia="cs-CZ"/>
              </w:rPr>
            </w:pPr>
            <w:r w:rsidRPr="002A75C5">
              <w:rPr>
                <w:rFonts w:eastAsia="Times New Roman" w:cs="Arial"/>
                <w:b/>
                <w:bCs/>
                <w:color w:val="000000"/>
                <w:sz w:val="22"/>
                <w:lang w:eastAsia="cs-CZ"/>
              </w:rPr>
              <w:t>Risk potential</w:t>
            </w:r>
          </w:p>
        </w:tc>
      </w:tr>
      <w:tr w:rsidR="00D364AB" w:rsidRPr="002A75C5" w14:paraId="6ADCE249"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2652385F"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Pr="002A75C5">
              <w:rPr>
                <w:rFonts w:eastAsia="Times New Roman" w:cs="Arial"/>
                <w:color w:val="000000"/>
                <w:sz w:val="20"/>
                <w:szCs w:val="20"/>
                <w:lang w:eastAsia="cs-CZ"/>
              </w:rPr>
              <w:t>- číselná loterie č. 1</w:t>
            </w:r>
          </w:p>
        </w:tc>
        <w:tc>
          <w:tcPr>
            <w:tcW w:w="1920" w:type="dxa"/>
            <w:tcBorders>
              <w:top w:val="nil"/>
              <w:left w:val="nil"/>
              <w:bottom w:val="single" w:sz="4" w:space="0" w:color="auto"/>
              <w:right w:val="single" w:sz="4" w:space="0" w:color="auto"/>
            </w:tcBorders>
            <w:shd w:val="clear" w:color="000000" w:fill="F2F2F2"/>
            <w:noWrap/>
            <w:vAlign w:val="center"/>
            <w:hideMark/>
          </w:tcPr>
          <w:p w14:paraId="3B495C38"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253,5</w:t>
            </w:r>
          </w:p>
        </w:tc>
        <w:tc>
          <w:tcPr>
            <w:tcW w:w="2000" w:type="dxa"/>
            <w:tcBorders>
              <w:top w:val="nil"/>
              <w:left w:val="nil"/>
              <w:bottom w:val="single" w:sz="4" w:space="0" w:color="auto"/>
              <w:right w:val="single" w:sz="4" w:space="0" w:color="auto"/>
            </w:tcBorders>
            <w:shd w:val="clear" w:color="000000" w:fill="FFC000"/>
            <w:noWrap/>
            <w:vAlign w:val="center"/>
            <w:hideMark/>
          </w:tcPr>
          <w:p w14:paraId="0863A3A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718A89F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785BDEE4"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36E20507" w14:textId="7BD09F84"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LOTERIE -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xml:space="preserve"> - číselná loterie č. 2</w:t>
            </w:r>
          </w:p>
        </w:tc>
        <w:tc>
          <w:tcPr>
            <w:tcW w:w="1920" w:type="dxa"/>
            <w:tcBorders>
              <w:top w:val="nil"/>
              <w:left w:val="nil"/>
              <w:bottom w:val="single" w:sz="4" w:space="0" w:color="auto"/>
              <w:right w:val="single" w:sz="4" w:space="0" w:color="auto"/>
            </w:tcBorders>
            <w:shd w:val="clear" w:color="000000" w:fill="F2F2F2"/>
            <w:noWrap/>
            <w:vAlign w:val="center"/>
            <w:hideMark/>
          </w:tcPr>
          <w:p w14:paraId="17E7B6C9"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278,5</w:t>
            </w:r>
          </w:p>
        </w:tc>
        <w:tc>
          <w:tcPr>
            <w:tcW w:w="2000" w:type="dxa"/>
            <w:tcBorders>
              <w:top w:val="nil"/>
              <w:left w:val="nil"/>
              <w:bottom w:val="single" w:sz="4" w:space="0" w:color="auto"/>
              <w:right w:val="single" w:sz="4" w:space="0" w:color="auto"/>
            </w:tcBorders>
            <w:shd w:val="clear" w:color="000000" w:fill="FFC000"/>
            <w:noWrap/>
            <w:vAlign w:val="center"/>
            <w:hideMark/>
          </w:tcPr>
          <w:p w14:paraId="2F5BFD4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771193B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474034A3"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7782B8C0"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OKAMŽITÁ LOTERIE </w:t>
            </w:r>
            <w:r w:rsidRPr="002A75C5">
              <w:rPr>
                <w:rFonts w:eastAsia="Times New Roman" w:cs="Arial"/>
                <w:color w:val="000000"/>
                <w:sz w:val="20"/>
                <w:szCs w:val="20"/>
                <w:lang w:eastAsia="cs-CZ"/>
              </w:rPr>
              <w:t>- stírací los č. 1</w:t>
            </w:r>
          </w:p>
        </w:tc>
        <w:tc>
          <w:tcPr>
            <w:tcW w:w="1920" w:type="dxa"/>
            <w:tcBorders>
              <w:top w:val="nil"/>
              <w:left w:val="nil"/>
              <w:bottom w:val="single" w:sz="4" w:space="0" w:color="auto"/>
              <w:right w:val="single" w:sz="4" w:space="0" w:color="auto"/>
            </w:tcBorders>
            <w:shd w:val="clear" w:color="000000" w:fill="F2F2F2"/>
            <w:noWrap/>
            <w:vAlign w:val="center"/>
            <w:hideMark/>
          </w:tcPr>
          <w:p w14:paraId="6CF69B8D"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330</w:t>
            </w:r>
          </w:p>
        </w:tc>
        <w:tc>
          <w:tcPr>
            <w:tcW w:w="2000" w:type="dxa"/>
            <w:tcBorders>
              <w:top w:val="nil"/>
              <w:left w:val="nil"/>
              <w:bottom w:val="single" w:sz="4" w:space="0" w:color="auto"/>
              <w:right w:val="single" w:sz="4" w:space="0" w:color="auto"/>
            </w:tcBorders>
            <w:shd w:val="clear" w:color="000000" w:fill="FFC000"/>
            <w:noWrap/>
            <w:vAlign w:val="center"/>
            <w:hideMark/>
          </w:tcPr>
          <w:p w14:paraId="4BBA6F8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4A5558E5"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3AC5AE6D"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05303D31" w14:textId="49402402"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OKAMŽITÁ LOTERIE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xml:space="preserve"> - stírací los č. 2</w:t>
            </w:r>
          </w:p>
        </w:tc>
        <w:tc>
          <w:tcPr>
            <w:tcW w:w="1920" w:type="dxa"/>
            <w:tcBorders>
              <w:top w:val="nil"/>
              <w:left w:val="nil"/>
              <w:bottom w:val="single" w:sz="4" w:space="0" w:color="auto"/>
              <w:right w:val="single" w:sz="4" w:space="0" w:color="auto"/>
            </w:tcBorders>
            <w:shd w:val="clear" w:color="000000" w:fill="F2F2F2"/>
            <w:noWrap/>
            <w:vAlign w:val="center"/>
            <w:hideMark/>
          </w:tcPr>
          <w:p w14:paraId="26A82A76"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400</w:t>
            </w:r>
          </w:p>
        </w:tc>
        <w:tc>
          <w:tcPr>
            <w:tcW w:w="2000" w:type="dxa"/>
            <w:tcBorders>
              <w:top w:val="nil"/>
              <w:left w:val="nil"/>
              <w:bottom w:val="single" w:sz="4" w:space="0" w:color="auto"/>
              <w:right w:val="single" w:sz="4" w:space="0" w:color="auto"/>
            </w:tcBorders>
            <w:shd w:val="clear" w:color="000000" w:fill="E26B0A"/>
            <w:noWrap/>
            <w:vAlign w:val="center"/>
            <w:hideMark/>
          </w:tcPr>
          <w:p w14:paraId="1C71CA69"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546ED3F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7814F58F"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4CC15853"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LOTERIE - č</w:t>
            </w:r>
            <w:r w:rsidRPr="002A75C5">
              <w:rPr>
                <w:rFonts w:eastAsia="Times New Roman" w:cs="Arial"/>
                <w:color w:val="000000"/>
                <w:sz w:val="20"/>
                <w:szCs w:val="20"/>
                <w:lang w:eastAsia="cs-CZ"/>
              </w:rPr>
              <w:t>íselná loterie č.</w:t>
            </w:r>
            <w:r>
              <w:rPr>
                <w:rFonts w:eastAsia="Times New Roman" w:cs="Arial"/>
                <w:color w:val="000000"/>
                <w:sz w:val="20"/>
                <w:szCs w:val="20"/>
                <w:lang w:eastAsia="cs-CZ"/>
              </w:rPr>
              <w:t xml:space="preserve"> </w:t>
            </w:r>
            <w:r w:rsidRPr="002A75C5">
              <w:rPr>
                <w:rFonts w:eastAsia="Times New Roman" w:cs="Arial"/>
                <w:color w:val="000000"/>
                <w:sz w:val="20"/>
                <w:szCs w:val="20"/>
                <w:lang w:eastAsia="cs-CZ"/>
              </w:rPr>
              <w:t>3</w:t>
            </w:r>
          </w:p>
        </w:tc>
        <w:tc>
          <w:tcPr>
            <w:tcW w:w="1920" w:type="dxa"/>
            <w:tcBorders>
              <w:top w:val="nil"/>
              <w:left w:val="nil"/>
              <w:bottom w:val="single" w:sz="4" w:space="0" w:color="auto"/>
              <w:right w:val="single" w:sz="4" w:space="0" w:color="auto"/>
            </w:tcBorders>
            <w:shd w:val="clear" w:color="000000" w:fill="F2F2F2"/>
            <w:noWrap/>
            <w:vAlign w:val="center"/>
            <w:hideMark/>
          </w:tcPr>
          <w:p w14:paraId="306641FE"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330</w:t>
            </w:r>
          </w:p>
        </w:tc>
        <w:tc>
          <w:tcPr>
            <w:tcW w:w="2000" w:type="dxa"/>
            <w:tcBorders>
              <w:top w:val="nil"/>
              <w:left w:val="nil"/>
              <w:bottom w:val="single" w:sz="4" w:space="0" w:color="auto"/>
              <w:right w:val="single" w:sz="4" w:space="0" w:color="auto"/>
            </w:tcBorders>
            <w:shd w:val="clear" w:color="000000" w:fill="FFC000"/>
            <w:noWrap/>
            <w:vAlign w:val="center"/>
            <w:hideMark/>
          </w:tcPr>
          <w:p w14:paraId="5DFE7EF2"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0758E34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5CA2E55E"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571D6110" w14:textId="633C0C6F"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 - č</w:t>
            </w:r>
            <w:r w:rsidRPr="002A75C5">
              <w:rPr>
                <w:rFonts w:eastAsia="Times New Roman" w:cs="Arial"/>
                <w:color w:val="000000"/>
                <w:sz w:val="20"/>
                <w:szCs w:val="20"/>
                <w:lang w:eastAsia="cs-CZ"/>
              </w:rPr>
              <w:t xml:space="preserve">íselná loterie č. 4  </w:t>
            </w:r>
          </w:p>
        </w:tc>
        <w:tc>
          <w:tcPr>
            <w:tcW w:w="1920" w:type="dxa"/>
            <w:tcBorders>
              <w:top w:val="nil"/>
              <w:left w:val="nil"/>
              <w:bottom w:val="single" w:sz="4" w:space="0" w:color="auto"/>
              <w:right w:val="single" w:sz="4" w:space="0" w:color="auto"/>
            </w:tcBorders>
            <w:shd w:val="clear" w:color="000000" w:fill="F2F2F2"/>
            <w:noWrap/>
            <w:vAlign w:val="center"/>
            <w:hideMark/>
          </w:tcPr>
          <w:p w14:paraId="1D21953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347,5</w:t>
            </w:r>
          </w:p>
        </w:tc>
        <w:tc>
          <w:tcPr>
            <w:tcW w:w="2000" w:type="dxa"/>
            <w:tcBorders>
              <w:top w:val="nil"/>
              <w:left w:val="nil"/>
              <w:bottom w:val="single" w:sz="4" w:space="0" w:color="auto"/>
              <w:right w:val="single" w:sz="4" w:space="0" w:color="auto"/>
            </w:tcBorders>
            <w:shd w:val="clear" w:color="000000" w:fill="FFC000"/>
            <w:noWrap/>
            <w:vAlign w:val="center"/>
            <w:hideMark/>
          </w:tcPr>
          <w:p w14:paraId="2C66B9EC"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7BF7632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23E952EC" w14:textId="77777777" w:rsidTr="0092069D">
        <w:trPr>
          <w:trHeight w:val="480"/>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70463511" w14:textId="59C70C69"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LOTERIE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 -</w:t>
            </w:r>
            <w:r w:rsidRPr="002A75C5">
              <w:rPr>
                <w:rFonts w:eastAsia="Times New Roman" w:cs="Arial"/>
                <w:color w:val="000000"/>
                <w:sz w:val="20"/>
                <w:szCs w:val="20"/>
                <w:lang w:eastAsia="cs-CZ"/>
              </w:rPr>
              <w:t xml:space="preserve"> č. 5</w:t>
            </w:r>
          </w:p>
        </w:tc>
        <w:tc>
          <w:tcPr>
            <w:tcW w:w="1920" w:type="dxa"/>
            <w:tcBorders>
              <w:top w:val="nil"/>
              <w:left w:val="nil"/>
              <w:bottom w:val="single" w:sz="12" w:space="0" w:color="auto"/>
              <w:right w:val="single" w:sz="4" w:space="0" w:color="auto"/>
            </w:tcBorders>
            <w:shd w:val="clear" w:color="000000" w:fill="F2F2F2"/>
            <w:noWrap/>
            <w:vAlign w:val="center"/>
            <w:hideMark/>
          </w:tcPr>
          <w:p w14:paraId="506EB8EC"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380</w:t>
            </w:r>
          </w:p>
        </w:tc>
        <w:tc>
          <w:tcPr>
            <w:tcW w:w="2000" w:type="dxa"/>
            <w:tcBorders>
              <w:top w:val="nil"/>
              <w:left w:val="nil"/>
              <w:bottom w:val="single" w:sz="12" w:space="0" w:color="auto"/>
              <w:right w:val="single" w:sz="4" w:space="0" w:color="auto"/>
            </w:tcBorders>
            <w:shd w:val="clear" w:color="000000" w:fill="E26B0A"/>
            <w:noWrap/>
            <w:vAlign w:val="center"/>
            <w:hideMark/>
          </w:tcPr>
          <w:p w14:paraId="42B9175E"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51C23EA0"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41CB1178"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491EF68F"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KURSOVÁ SÁZKA</w:t>
            </w:r>
          </w:p>
        </w:tc>
        <w:tc>
          <w:tcPr>
            <w:tcW w:w="1920" w:type="dxa"/>
            <w:tcBorders>
              <w:top w:val="nil"/>
              <w:left w:val="nil"/>
              <w:bottom w:val="single" w:sz="4" w:space="0" w:color="auto"/>
              <w:right w:val="single" w:sz="4" w:space="0" w:color="auto"/>
            </w:tcBorders>
            <w:shd w:val="clear" w:color="000000" w:fill="FFFFFF"/>
            <w:noWrap/>
            <w:vAlign w:val="center"/>
            <w:hideMark/>
          </w:tcPr>
          <w:p w14:paraId="43E5A916"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297</w:t>
            </w:r>
          </w:p>
        </w:tc>
        <w:tc>
          <w:tcPr>
            <w:tcW w:w="2000" w:type="dxa"/>
            <w:tcBorders>
              <w:top w:val="nil"/>
              <w:left w:val="nil"/>
              <w:bottom w:val="single" w:sz="4" w:space="0" w:color="auto"/>
              <w:right w:val="single" w:sz="4" w:space="0" w:color="auto"/>
            </w:tcBorders>
            <w:shd w:val="clear" w:color="000000" w:fill="FFC000"/>
            <w:noWrap/>
            <w:vAlign w:val="center"/>
            <w:hideMark/>
          </w:tcPr>
          <w:p w14:paraId="5C94825D"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485A0DAA"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2E8BF792"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2669F2D9" w14:textId="1364F96E"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KURSOVÁ SÁZKA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4" w:space="0" w:color="auto"/>
              <w:right w:val="single" w:sz="4" w:space="0" w:color="auto"/>
            </w:tcBorders>
            <w:shd w:val="clear" w:color="000000" w:fill="FFFFFF"/>
            <w:noWrap/>
            <w:vAlign w:val="center"/>
            <w:hideMark/>
          </w:tcPr>
          <w:p w14:paraId="499648E5"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417,5</w:t>
            </w:r>
          </w:p>
        </w:tc>
        <w:tc>
          <w:tcPr>
            <w:tcW w:w="2000" w:type="dxa"/>
            <w:tcBorders>
              <w:top w:val="nil"/>
              <w:left w:val="nil"/>
              <w:bottom w:val="single" w:sz="4" w:space="0" w:color="auto"/>
              <w:right w:val="single" w:sz="4" w:space="0" w:color="auto"/>
            </w:tcBorders>
            <w:shd w:val="clear" w:color="000000" w:fill="E26B0A"/>
            <w:noWrap/>
            <w:vAlign w:val="center"/>
            <w:hideMark/>
          </w:tcPr>
          <w:p w14:paraId="25775FC5"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6FA1D59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6A63215B" w14:textId="77777777" w:rsidTr="0092069D">
        <w:trPr>
          <w:trHeight w:val="480"/>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4AA55D4D" w14:textId="23C1BEE3" w:rsidR="00D364AB" w:rsidRPr="002A75C5" w:rsidRDefault="00D364AB" w:rsidP="0092069D">
            <w:pPr>
              <w:spacing w:after="0"/>
              <w:jc w:val="left"/>
              <w:rPr>
                <w:rFonts w:eastAsia="Times New Roman" w:cs="Arial"/>
                <w:b/>
                <w:bCs/>
                <w:sz w:val="20"/>
                <w:szCs w:val="20"/>
                <w:lang w:eastAsia="cs-CZ"/>
              </w:rPr>
            </w:pPr>
            <w:r w:rsidRPr="002A75C5">
              <w:rPr>
                <w:rFonts w:eastAsia="Times New Roman" w:cs="Arial"/>
                <w:b/>
                <w:bCs/>
                <w:sz w:val="20"/>
                <w:szCs w:val="20"/>
                <w:lang w:eastAsia="cs-CZ"/>
              </w:rPr>
              <w:t>KURSOVÁ SÁZKA -  ON</w:t>
            </w:r>
            <w:r w:rsidR="006404CF">
              <w:rPr>
                <w:rFonts w:eastAsia="Times New Roman" w:cs="Arial"/>
                <w:b/>
                <w:bCs/>
                <w:sz w:val="20"/>
                <w:szCs w:val="20"/>
                <w:lang w:eastAsia="cs-CZ"/>
              </w:rPr>
              <w:t>-</w:t>
            </w:r>
            <w:r w:rsidRPr="002A75C5">
              <w:rPr>
                <w:rFonts w:eastAsia="Times New Roman" w:cs="Arial"/>
                <w:b/>
                <w:bCs/>
                <w:sz w:val="20"/>
                <w:szCs w:val="20"/>
                <w:lang w:eastAsia="cs-CZ"/>
              </w:rPr>
              <w:t>LINE -</w:t>
            </w:r>
            <w:r w:rsidRPr="002A75C5">
              <w:rPr>
                <w:rFonts w:eastAsia="Times New Roman" w:cs="Arial"/>
                <w:sz w:val="20"/>
                <w:szCs w:val="20"/>
                <w:lang w:eastAsia="cs-CZ"/>
              </w:rPr>
              <w:t xml:space="preserve"> LIVE</w:t>
            </w:r>
          </w:p>
        </w:tc>
        <w:tc>
          <w:tcPr>
            <w:tcW w:w="1920" w:type="dxa"/>
            <w:tcBorders>
              <w:top w:val="nil"/>
              <w:left w:val="nil"/>
              <w:bottom w:val="single" w:sz="12" w:space="0" w:color="auto"/>
              <w:right w:val="single" w:sz="4" w:space="0" w:color="auto"/>
            </w:tcBorders>
            <w:shd w:val="clear" w:color="000000" w:fill="FFFFFF"/>
            <w:noWrap/>
            <w:vAlign w:val="center"/>
            <w:hideMark/>
          </w:tcPr>
          <w:p w14:paraId="44F934D4"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462,5</w:t>
            </w:r>
          </w:p>
        </w:tc>
        <w:tc>
          <w:tcPr>
            <w:tcW w:w="2000" w:type="dxa"/>
            <w:tcBorders>
              <w:top w:val="nil"/>
              <w:left w:val="nil"/>
              <w:bottom w:val="single" w:sz="12" w:space="0" w:color="auto"/>
              <w:right w:val="single" w:sz="4" w:space="0" w:color="auto"/>
            </w:tcBorders>
            <w:shd w:val="clear" w:color="000000" w:fill="E26B0A"/>
            <w:noWrap/>
            <w:vAlign w:val="center"/>
            <w:hideMark/>
          </w:tcPr>
          <w:p w14:paraId="276C8B66"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0A2C8E7E"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6DF9E97E" w14:textId="77777777" w:rsidTr="0092069D">
        <w:trPr>
          <w:trHeight w:val="315"/>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780398FD" w14:textId="77777777"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TOTALIZÁTOROVÁ HRA</w:t>
            </w:r>
          </w:p>
        </w:tc>
        <w:tc>
          <w:tcPr>
            <w:tcW w:w="1920" w:type="dxa"/>
            <w:tcBorders>
              <w:top w:val="nil"/>
              <w:left w:val="nil"/>
              <w:bottom w:val="single" w:sz="4" w:space="0" w:color="auto"/>
              <w:right w:val="single" w:sz="4" w:space="0" w:color="auto"/>
            </w:tcBorders>
            <w:shd w:val="clear" w:color="000000" w:fill="F2F2F2"/>
            <w:noWrap/>
            <w:vAlign w:val="center"/>
            <w:hideMark/>
          </w:tcPr>
          <w:p w14:paraId="3D11288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4" w:space="0" w:color="auto"/>
              <w:right w:val="single" w:sz="4" w:space="0" w:color="auto"/>
            </w:tcBorders>
            <w:shd w:val="clear" w:color="000000" w:fill="F2F2F2"/>
            <w:noWrap/>
            <w:vAlign w:val="center"/>
            <w:hideMark/>
          </w:tcPr>
          <w:p w14:paraId="564DB929"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4" w:space="0" w:color="auto"/>
              <w:right w:val="single" w:sz="8" w:space="0" w:color="auto"/>
            </w:tcBorders>
            <w:shd w:val="clear" w:color="000000" w:fill="F2F2F2"/>
            <w:noWrap/>
            <w:vAlign w:val="center"/>
            <w:hideMark/>
          </w:tcPr>
          <w:p w14:paraId="7EC5311C"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D364AB" w:rsidRPr="002A75C5" w14:paraId="2DE0B7D9" w14:textId="77777777" w:rsidTr="0092069D">
        <w:trPr>
          <w:trHeight w:val="31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277F7D63" w14:textId="25F7895E"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TOTALIZÁTOROVÁ HRA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2F2F2"/>
            <w:noWrap/>
            <w:vAlign w:val="center"/>
            <w:hideMark/>
          </w:tcPr>
          <w:p w14:paraId="60FA071E"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2F2F2"/>
            <w:noWrap/>
            <w:vAlign w:val="center"/>
            <w:hideMark/>
          </w:tcPr>
          <w:p w14:paraId="72F0070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2F2F2"/>
            <w:noWrap/>
            <w:vAlign w:val="center"/>
            <w:hideMark/>
          </w:tcPr>
          <w:p w14:paraId="7D4A7E6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D364AB" w:rsidRPr="002A75C5" w14:paraId="5B436FF7"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20F9C5BE"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BINGO</w:t>
            </w:r>
          </w:p>
        </w:tc>
        <w:tc>
          <w:tcPr>
            <w:tcW w:w="1920" w:type="dxa"/>
            <w:tcBorders>
              <w:top w:val="nil"/>
              <w:left w:val="nil"/>
              <w:bottom w:val="single" w:sz="4" w:space="0" w:color="auto"/>
              <w:right w:val="single" w:sz="4" w:space="0" w:color="auto"/>
            </w:tcBorders>
            <w:shd w:val="clear" w:color="000000" w:fill="FFFFFF"/>
            <w:noWrap/>
            <w:vAlign w:val="center"/>
            <w:hideMark/>
          </w:tcPr>
          <w:p w14:paraId="2923CF8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212,5</w:t>
            </w:r>
          </w:p>
        </w:tc>
        <w:tc>
          <w:tcPr>
            <w:tcW w:w="2000" w:type="dxa"/>
            <w:tcBorders>
              <w:top w:val="nil"/>
              <w:left w:val="nil"/>
              <w:bottom w:val="single" w:sz="4" w:space="0" w:color="auto"/>
              <w:right w:val="single" w:sz="4" w:space="0" w:color="auto"/>
            </w:tcBorders>
            <w:shd w:val="clear" w:color="000000" w:fill="76933C"/>
            <w:noWrap/>
            <w:vAlign w:val="center"/>
            <w:hideMark/>
          </w:tcPr>
          <w:p w14:paraId="5DDE6A0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B</w:t>
            </w:r>
          </w:p>
        </w:tc>
        <w:tc>
          <w:tcPr>
            <w:tcW w:w="1222" w:type="dxa"/>
            <w:tcBorders>
              <w:top w:val="nil"/>
              <w:left w:val="nil"/>
              <w:bottom w:val="single" w:sz="4" w:space="0" w:color="auto"/>
              <w:right w:val="single" w:sz="8" w:space="0" w:color="auto"/>
            </w:tcBorders>
            <w:shd w:val="clear" w:color="000000" w:fill="76933C"/>
            <w:noWrap/>
            <w:vAlign w:val="center"/>
            <w:hideMark/>
          </w:tcPr>
          <w:p w14:paraId="38958606"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LOW</w:t>
            </w:r>
          </w:p>
        </w:tc>
      </w:tr>
      <w:tr w:rsidR="00D364AB" w:rsidRPr="002A75C5" w14:paraId="465D4733" w14:textId="77777777" w:rsidTr="0092069D">
        <w:trPr>
          <w:trHeight w:val="255"/>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452B4420" w14:textId="65240DB4"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BINGO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FFFFF"/>
            <w:noWrap/>
            <w:vAlign w:val="center"/>
            <w:hideMark/>
          </w:tcPr>
          <w:p w14:paraId="27E160F5"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FFFFF"/>
            <w:noWrap/>
            <w:vAlign w:val="center"/>
            <w:hideMark/>
          </w:tcPr>
          <w:p w14:paraId="0C516EF9"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FFFFF"/>
            <w:noWrap/>
            <w:vAlign w:val="center"/>
            <w:hideMark/>
          </w:tcPr>
          <w:p w14:paraId="2B1B0360"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D364AB" w:rsidRPr="002A75C5" w14:paraId="2DE9340C"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03815AC1"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w:t>
            </w:r>
            <w:r w:rsidRPr="002A75C5">
              <w:rPr>
                <w:rFonts w:eastAsia="Times New Roman" w:cs="Arial"/>
                <w:color w:val="000000"/>
                <w:sz w:val="20"/>
                <w:szCs w:val="20"/>
                <w:lang w:eastAsia="cs-CZ"/>
              </w:rPr>
              <w:t xml:space="preserve"> válcová hra č. 1</w:t>
            </w:r>
          </w:p>
        </w:tc>
        <w:tc>
          <w:tcPr>
            <w:tcW w:w="1920" w:type="dxa"/>
            <w:tcBorders>
              <w:top w:val="nil"/>
              <w:left w:val="nil"/>
              <w:bottom w:val="single" w:sz="4" w:space="0" w:color="auto"/>
              <w:right w:val="single" w:sz="4" w:space="0" w:color="auto"/>
            </w:tcBorders>
            <w:shd w:val="clear" w:color="000000" w:fill="F2F2F2"/>
            <w:noWrap/>
            <w:vAlign w:val="center"/>
            <w:hideMark/>
          </w:tcPr>
          <w:p w14:paraId="14834ED2"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417,5</w:t>
            </w:r>
          </w:p>
        </w:tc>
        <w:tc>
          <w:tcPr>
            <w:tcW w:w="2000" w:type="dxa"/>
            <w:tcBorders>
              <w:top w:val="nil"/>
              <w:left w:val="nil"/>
              <w:bottom w:val="single" w:sz="4" w:space="0" w:color="auto"/>
              <w:right w:val="single" w:sz="4" w:space="0" w:color="auto"/>
            </w:tcBorders>
            <w:shd w:val="clear" w:color="000000" w:fill="E26B0A"/>
            <w:noWrap/>
            <w:vAlign w:val="center"/>
            <w:hideMark/>
          </w:tcPr>
          <w:p w14:paraId="0C73845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46A7C97A"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428A45DF"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667E8B52"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w:t>
            </w:r>
            <w:r w:rsidRPr="002A75C5">
              <w:rPr>
                <w:rFonts w:eastAsia="Times New Roman" w:cs="Arial"/>
                <w:color w:val="000000"/>
                <w:sz w:val="20"/>
                <w:szCs w:val="20"/>
                <w:lang w:eastAsia="cs-CZ"/>
              </w:rPr>
              <w:t xml:space="preserve"> elektromechanická ruleta č. 1</w:t>
            </w:r>
          </w:p>
        </w:tc>
        <w:tc>
          <w:tcPr>
            <w:tcW w:w="1920" w:type="dxa"/>
            <w:tcBorders>
              <w:top w:val="nil"/>
              <w:left w:val="nil"/>
              <w:bottom w:val="single" w:sz="4" w:space="0" w:color="auto"/>
              <w:right w:val="single" w:sz="4" w:space="0" w:color="auto"/>
            </w:tcBorders>
            <w:shd w:val="clear" w:color="000000" w:fill="F2F2F2"/>
            <w:noWrap/>
            <w:vAlign w:val="center"/>
            <w:hideMark/>
          </w:tcPr>
          <w:p w14:paraId="1FB3B643"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377,5</w:t>
            </w:r>
          </w:p>
        </w:tc>
        <w:tc>
          <w:tcPr>
            <w:tcW w:w="2000" w:type="dxa"/>
            <w:tcBorders>
              <w:top w:val="nil"/>
              <w:left w:val="nil"/>
              <w:bottom w:val="single" w:sz="4" w:space="0" w:color="auto"/>
              <w:right w:val="single" w:sz="4" w:space="0" w:color="auto"/>
            </w:tcBorders>
            <w:shd w:val="clear" w:color="000000" w:fill="E26B0A"/>
            <w:noWrap/>
            <w:vAlign w:val="center"/>
            <w:hideMark/>
          </w:tcPr>
          <w:p w14:paraId="4C63EA4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301F79A4"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674812DB" w14:textId="77777777" w:rsidTr="0092069D">
        <w:trPr>
          <w:trHeight w:val="675"/>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4DA745D1" w14:textId="6433132E"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TECHNICKÁ HRA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válcová hra č. 2</w:t>
            </w:r>
          </w:p>
        </w:tc>
        <w:tc>
          <w:tcPr>
            <w:tcW w:w="1920" w:type="dxa"/>
            <w:tcBorders>
              <w:top w:val="nil"/>
              <w:left w:val="nil"/>
              <w:bottom w:val="single" w:sz="4" w:space="0" w:color="auto"/>
              <w:right w:val="single" w:sz="4" w:space="0" w:color="auto"/>
            </w:tcBorders>
            <w:shd w:val="clear" w:color="000000" w:fill="F2F2F2"/>
            <w:noWrap/>
            <w:vAlign w:val="center"/>
            <w:hideMark/>
          </w:tcPr>
          <w:p w14:paraId="252E398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435</w:t>
            </w:r>
          </w:p>
        </w:tc>
        <w:tc>
          <w:tcPr>
            <w:tcW w:w="2000" w:type="dxa"/>
            <w:tcBorders>
              <w:top w:val="nil"/>
              <w:left w:val="nil"/>
              <w:bottom w:val="single" w:sz="4" w:space="0" w:color="auto"/>
              <w:right w:val="single" w:sz="4" w:space="0" w:color="auto"/>
            </w:tcBorders>
            <w:shd w:val="clear" w:color="000000" w:fill="E26B0A"/>
            <w:noWrap/>
            <w:vAlign w:val="center"/>
            <w:hideMark/>
          </w:tcPr>
          <w:p w14:paraId="7962626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4E672D7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28BA5F33" w14:textId="77777777" w:rsidTr="0092069D">
        <w:trPr>
          <w:trHeight w:val="58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53085996" w14:textId="1673C7F2"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TECHNICKÁ HRA  -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hra</w:t>
            </w:r>
            <w:r w:rsidRPr="002A75C5">
              <w:rPr>
                <w:rFonts w:eastAsia="Times New Roman" w:cs="Arial"/>
                <w:color w:val="000000"/>
                <w:sz w:val="20"/>
                <w:szCs w:val="20"/>
                <w:lang w:eastAsia="cs-CZ"/>
              </w:rPr>
              <w:t xml:space="preserve"> ruletového typu č. 2</w:t>
            </w:r>
          </w:p>
        </w:tc>
        <w:tc>
          <w:tcPr>
            <w:tcW w:w="1920" w:type="dxa"/>
            <w:tcBorders>
              <w:top w:val="nil"/>
              <w:left w:val="nil"/>
              <w:bottom w:val="single" w:sz="12" w:space="0" w:color="auto"/>
              <w:right w:val="single" w:sz="4" w:space="0" w:color="auto"/>
            </w:tcBorders>
            <w:shd w:val="clear" w:color="000000" w:fill="F2F2F2"/>
            <w:noWrap/>
            <w:vAlign w:val="center"/>
            <w:hideMark/>
          </w:tcPr>
          <w:p w14:paraId="0261BD44"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442,5</w:t>
            </w:r>
          </w:p>
        </w:tc>
        <w:tc>
          <w:tcPr>
            <w:tcW w:w="2000" w:type="dxa"/>
            <w:tcBorders>
              <w:top w:val="nil"/>
              <w:left w:val="nil"/>
              <w:bottom w:val="single" w:sz="12" w:space="0" w:color="auto"/>
              <w:right w:val="single" w:sz="4" w:space="0" w:color="auto"/>
            </w:tcBorders>
            <w:shd w:val="clear" w:color="000000" w:fill="E26B0A"/>
            <w:noWrap/>
            <w:vAlign w:val="center"/>
            <w:hideMark/>
          </w:tcPr>
          <w:p w14:paraId="7AA69126"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631B488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2111BD20"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10E3008C"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Pr="00CF1F9F">
              <w:rPr>
                <w:rFonts w:eastAsia="Times New Roman" w:cs="Arial"/>
                <w:bCs/>
                <w:color w:val="000000"/>
                <w:sz w:val="20"/>
                <w:szCs w:val="20"/>
                <w:lang w:eastAsia="cs-CZ"/>
              </w:rPr>
              <w:t>- hra ruletového typu č. 3</w:t>
            </w:r>
          </w:p>
        </w:tc>
        <w:tc>
          <w:tcPr>
            <w:tcW w:w="1920" w:type="dxa"/>
            <w:tcBorders>
              <w:top w:val="nil"/>
              <w:left w:val="nil"/>
              <w:bottom w:val="single" w:sz="4" w:space="0" w:color="auto"/>
              <w:right w:val="single" w:sz="4" w:space="0" w:color="auto"/>
            </w:tcBorders>
            <w:shd w:val="clear" w:color="000000" w:fill="FFFFFF"/>
            <w:noWrap/>
            <w:vAlign w:val="center"/>
            <w:hideMark/>
          </w:tcPr>
          <w:p w14:paraId="6F98A63E"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369,5</w:t>
            </w:r>
          </w:p>
        </w:tc>
        <w:tc>
          <w:tcPr>
            <w:tcW w:w="2000" w:type="dxa"/>
            <w:tcBorders>
              <w:top w:val="nil"/>
              <w:left w:val="nil"/>
              <w:bottom w:val="single" w:sz="4" w:space="0" w:color="auto"/>
              <w:right w:val="single" w:sz="4" w:space="0" w:color="auto"/>
            </w:tcBorders>
            <w:shd w:val="clear" w:color="000000" w:fill="FFC000"/>
            <w:noWrap/>
            <w:vAlign w:val="center"/>
            <w:hideMark/>
          </w:tcPr>
          <w:p w14:paraId="4E2E78E1"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67E0405A"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250786A8"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409134D7"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Pr="00CF1F9F">
              <w:rPr>
                <w:rFonts w:eastAsia="Times New Roman" w:cs="Arial"/>
                <w:bCs/>
                <w:color w:val="000000"/>
                <w:sz w:val="20"/>
                <w:szCs w:val="20"/>
                <w:lang w:eastAsia="cs-CZ"/>
              </w:rPr>
              <w:t>- karetní hra č. 1</w:t>
            </w:r>
          </w:p>
        </w:tc>
        <w:tc>
          <w:tcPr>
            <w:tcW w:w="1920" w:type="dxa"/>
            <w:tcBorders>
              <w:top w:val="nil"/>
              <w:left w:val="nil"/>
              <w:bottom w:val="single" w:sz="4" w:space="0" w:color="auto"/>
              <w:right w:val="single" w:sz="4" w:space="0" w:color="auto"/>
            </w:tcBorders>
            <w:shd w:val="clear" w:color="000000" w:fill="FFFFFF"/>
            <w:noWrap/>
            <w:vAlign w:val="center"/>
            <w:hideMark/>
          </w:tcPr>
          <w:p w14:paraId="1DA4E922"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364,5</w:t>
            </w:r>
          </w:p>
        </w:tc>
        <w:tc>
          <w:tcPr>
            <w:tcW w:w="2000" w:type="dxa"/>
            <w:tcBorders>
              <w:top w:val="nil"/>
              <w:left w:val="nil"/>
              <w:bottom w:val="single" w:sz="4" w:space="0" w:color="auto"/>
              <w:right w:val="single" w:sz="4" w:space="0" w:color="auto"/>
            </w:tcBorders>
            <w:shd w:val="clear" w:color="000000" w:fill="FFC000"/>
            <w:noWrap/>
            <w:vAlign w:val="center"/>
            <w:hideMark/>
          </w:tcPr>
          <w:p w14:paraId="5A908CB3"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C</w:t>
            </w:r>
          </w:p>
        </w:tc>
        <w:tc>
          <w:tcPr>
            <w:tcW w:w="1222" w:type="dxa"/>
            <w:tcBorders>
              <w:top w:val="nil"/>
              <w:left w:val="nil"/>
              <w:bottom w:val="single" w:sz="4" w:space="0" w:color="auto"/>
              <w:right w:val="single" w:sz="8" w:space="0" w:color="auto"/>
            </w:tcBorders>
            <w:shd w:val="clear" w:color="000000" w:fill="FFC000"/>
            <w:noWrap/>
            <w:vAlign w:val="center"/>
            <w:hideMark/>
          </w:tcPr>
          <w:p w14:paraId="76729693"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MODERATE</w:t>
            </w:r>
          </w:p>
        </w:tc>
      </w:tr>
      <w:tr w:rsidR="00D364AB" w:rsidRPr="002A75C5" w14:paraId="5202F9B5"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2CC59B3F" w14:textId="18D06C6D"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LINE - </w:t>
            </w:r>
            <w:r w:rsidRPr="00CF1F9F">
              <w:rPr>
                <w:rFonts w:eastAsia="Times New Roman" w:cs="Arial"/>
                <w:bCs/>
                <w:color w:val="000000"/>
                <w:sz w:val="20"/>
                <w:szCs w:val="20"/>
                <w:lang w:eastAsia="cs-CZ"/>
              </w:rPr>
              <w:t>hra ruletového typu č. 4</w:t>
            </w:r>
          </w:p>
        </w:tc>
        <w:tc>
          <w:tcPr>
            <w:tcW w:w="1920" w:type="dxa"/>
            <w:tcBorders>
              <w:top w:val="nil"/>
              <w:left w:val="nil"/>
              <w:bottom w:val="single" w:sz="4" w:space="0" w:color="auto"/>
              <w:right w:val="single" w:sz="4" w:space="0" w:color="auto"/>
            </w:tcBorders>
            <w:shd w:val="clear" w:color="000000" w:fill="FFFFFF"/>
            <w:noWrap/>
            <w:vAlign w:val="center"/>
            <w:hideMark/>
          </w:tcPr>
          <w:p w14:paraId="33E18CEA"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432,5</w:t>
            </w:r>
          </w:p>
        </w:tc>
        <w:tc>
          <w:tcPr>
            <w:tcW w:w="2000" w:type="dxa"/>
            <w:tcBorders>
              <w:top w:val="nil"/>
              <w:left w:val="nil"/>
              <w:bottom w:val="single" w:sz="4" w:space="0" w:color="auto"/>
              <w:right w:val="single" w:sz="4" w:space="0" w:color="auto"/>
            </w:tcBorders>
            <w:shd w:val="clear" w:color="000000" w:fill="E26B0A"/>
            <w:noWrap/>
            <w:vAlign w:val="center"/>
            <w:hideMark/>
          </w:tcPr>
          <w:p w14:paraId="6EE7BC5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4" w:space="0" w:color="auto"/>
              <w:right w:val="single" w:sz="8" w:space="0" w:color="auto"/>
            </w:tcBorders>
            <w:shd w:val="clear" w:color="000000" w:fill="E26B0A"/>
            <w:noWrap/>
            <w:vAlign w:val="center"/>
            <w:hideMark/>
          </w:tcPr>
          <w:p w14:paraId="4B31D69C"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2B0A68DD" w14:textId="77777777" w:rsidTr="0092069D">
        <w:trPr>
          <w:trHeight w:val="480"/>
        </w:trPr>
        <w:tc>
          <w:tcPr>
            <w:tcW w:w="3920" w:type="dxa"/>
            <w:tcBorders>
              <w:top w:val="nil"/>
              <w:left w:val="single" w:sz="8" w:space="0" w:color="auto"/>
              <w:bottom w:val="single" w:sz="12" w:space="0" w:color="auto"/>
              <w:right w:val="single" w:sz="4" w:space="0" w:color="auto"/>
            </w:tcBorders>
            <w:shd w:val="clear" w:color="000000" w:fill="FFFFFF"/>
            <w:vAlign w:val="center"/>
            <w:hideMark/>
          </w:tcPr>
          <w:p w14:paraId="57328931" w14:textId="601649E9"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ŽIVÁ HRA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r w:rsidRPr="002A75C5">
              <w:rPr>
                <w:rFonts w:eastAsia="Times New Roman" w:cs="Arial"/>
                <w:color w:val="000000"/>
                <w:sz w:val="20"/>
                <w:szCs w:val="20"/>
                <w:lang w:eastAsia="cs-CZ"/>
              </w:rPr>
              <w:t>- karetní hra č. 2</w:t>
            </w:r>
          </w:p>
        </w:tc>
        <w:tc>
          <w:tcPr>
            <w:tcW w:w="1920" w:type="dxa"/>
            <w:tcBorders>
              <w:top w:val="nil"/>
              <w:left w:val="nil"/>
              <w:bottom w:val="single" w:sz="12" w:space="0" w:color="auto"/>
              <w:right w:val="single" w:sz="4" w:space="0" w:color="auto"/>
            </w:tcBorders>
            <w:shd w:val="clear" w:color="000000" w:fill="FFFFFF"/>
            <w:noWrap/>
            <w:vAlign w:val="center"/>
            <w:hideMark/>
          </w:tcPr>
          <w:p w14:paraId="48C600F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410</w:t>
            </w:r>
          </w:p>
        </w:tc>
        <w:tc>
          <w:tcPr>
            <w:tcW w:w="2000" w:type="dxa"/>
            <w:tcBorders>
              <w:top w:val="nil"/>
              <w:left w:val="nil"/>
              <w:bottom w:val="single" w:sz="12" w:space="0" w:color="auto"/>
              <w:right w:val="single" w:sz="4" w:space="0" w:color="auto"/>
            </w:tcBorders>
            <w:shd w:val="clear" w:color="000000" w:fill="E26B0A"/>
            <w:noWrap/>
            <w:vAlign w:val="center"/>
            <w:hideMark/>
          </w:tcPr>
          <w:p w14:paraId="6F20716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D</w:t>
            </w:r>
          </w:p>
        </w:tc>
        <w:tc>
          <w:tcPr>
            <w:tcW w:w="1222" w:type="dxa"/>
            <w:tcBorders>
              <w:top w:val="nil"/>
              <w:left w:val="nil"/>
              <w:bottom w:val="single" w:sz="12" w:space="0" w:color="auto"/>
              <w:right w:val="single" w:sz="8" w:space="0" w:color="auto"/>
            </w:tcBorders>
            <w:shd w:val="clear" w:color="000000" w:fill="E26B0A"/>
            <w:noWrap/>
            <w:vAlign w:val="center"/>
            <w:hideMark/>
          </w:tcPr>
          <w:p w14:paraId="4AAB5C8D"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HIGH</w:t>
            </w:r>
          </w:p>
        </w:tc>
      </w:tr>
      <w:tr w:rsidR="00D364AB" w:rsidRPr="002A75C5" w14:paraId="40236492" w14:textId="77777777" w:rsidTr="0092069D">
        <w:trPr>
          <w:trHeight w:val="480"/>
        </w:trPr>
        <w:tc>
          <w:tcPr>
            <w:tcW w:w="3920" w:type="dxa"/>
            <w:tcBorders>
              <w:top w:val="nil"/>
              <w:left w:val="single" w:sz="8" w:space="0" w:color="auto"/>
              <w:bottom w:val="single" w:sz="4" w:space="0" w:color="auto"/>
              <w:right w:val="single" w:sz="4" w:space="0" w:color="auto"/>
            </w:tcBorders>
            <w:shd w:val="clear" w:color="000000" w:fill="F2F2F2"/>
            <w:vAlign w:val="center"/>
            <w:hideMark/>
          </w:tcPr>
          <w:p w14:paraId="49659F61" w14:textId="77777777" w:rsidR="00D364AB" w:rsidRPr="002A75C5" w:rsidRDefault="00D364AB" w:rsidP="0092069D">
            <w:pPr>
              <w:spacing w:after="0"/>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TOMBOLA  </w:t>
            </w:r>
          </w:p>
        </w:tc>
        <w:tc>
          <w:tcPr>
            <w:tcW w:w="1920" w:type="dxa"/>
            <w:tcBorders>
              <w:top w:val="nil"/>
              <w:left w:val="nil"/>
              <w:bottom w:val="single" w:sz="4" w:space="0" w:color="auto"/>
              <w:right w:val="single" w:sz="4" w:space="0" w:color="auto"/>
            </w:tcBorders>
            <w:shd w:val="clear" w:color="000000" w:fill="F2F2F2"/>
            <w:noWrap/>
            <w:vAlign w:val="center"/>
            <w:hideMark/>
          </w:tcPr>
          <w:p w14:paraId="5AA035D0"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158</w:t>
            </w:r>
          </w:p>
        </w:tc>
        <w:tc>
          <w:tcPr>
            <w:tcW w:w="2000" w:type="dxa"/>
            <w:tcBorders>
              <w:top w:val="nil"/>
              <w:left w:val="nil"/>
              <w:bottom w:val="single" w:sz="4" w:space="0" w:color="auto"/>
              <w:right w:val="single" w:sz="4" w:space="0" w:color="auto"/>
            </w:tcBorders>
            <w:shd w:val="clear" w:color="000000" w:fill="76933C"/>
            <w:noWrap/>
            <w:vAlign w:val="center"/>
            <w:hideMark/>
          </w:tcPr>
          <w:p w14:paraId="4F3D43C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B</w:t>
            </w:r>
          </w:p>
        </w:tc>
        <w:tc>
          <w:tcPr>
            <w:tcW w:w="1222" w:type="dxa"/>
            <w:tcBorders>
              <w:top w:val="nil"/>
              <w:left w:val="nil"/>
              <w:bottom w:val="single" w:sz="4" w:space="0" w:color="auto"/>
              <w:right w:val="single" w:sz="8" w:space="0" w:color="auto"/>
            </w:tcBorders>
            <w:shd w:val="clear" w:color="000000" w:fill="76933C"/>
            <w:noWrap/>
            <w:vAlign w:val="center"/>
            <w:hideMark/>
          </w:tcPr>
          <w:p w14:paraId="7C5E139D"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LOW</w:t>
            </w:r>
          </w:p>
        </w:tc>
      </w:tr>
      <w:tr w:rsidR="00D364AB" w:rsidRPr="002A75C5" w14:paraId="3F4DC749" w14:textId="77777777" w:rsidTr="0092069D">
        <w:trPr>
          <w:trHeight w:val="375"/>
        </w:trPr>
        <w:tc>
          <w:tcPr>
            <w:tcW w:w="3920" w:type="dxa"/>
            <w:tcBorders>
              <w:top w:val="nil"/>
              <w:left w:val="single" w:sz="8" w:space="0" w:color="auto"/>
              <w:bottom w:val="single" w:sz="12" w:space="0" w:color="auto"/>
              <w:right w:val="single" w:sz="4" w:space="0" w:color="auto"/>
            </w:tcBorders>
            <w:shd w:val="clear" w:color="000000" w:fill="F2F2F2"/>
            <w:vAlign w:val="center"/>
            <w:hideMark/>
          </w:tcPr>
          <w:p w14:paraId="28D61CAB" w14:textId="45C880BD"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TOMBOLA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12" w:space="0" w:color="auto"/>
              <w:right w:val="single" w:sz="4" w:space="0" w:color="auto"/>
            </w:tcBorders>
            <w:shd w:val="clear" w:color="000000" w:fill="F2F2F2"/>
            <w:noWrap/>
            <w:vAlign w:val="center"/>
            <w:hideMark/>
          </w:tcPr>
          <w:p w14:paraId="3916879D"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12" w:space="0" w:color="auto"/>
              <w:right w:val="single" w:sz="4" w:space="0" w:color="auto"/>
            </w:tcBorders>
            <w:shd w:val="clear" w:color="000000" w:fill="F2F2F2"/>
            <w:noWrap/>
            <w:vAlign w:val="center"/>
            <w:hideMark/>
          </w:tcPr>
          <w:p w14:paraId="305D746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12" w:space="0" w:color="auto"/>
              <w:right w:val="single" w:sz="8" w:space="0" w:color="auto"/>
            </w:tcBorders>
            <w:shd w:val="clear" w:color="000000" w:fill="F2F2F2"/>
            <w:noWrap/>
            <w:vAlign w:val="center"/>
            <w:hideMark/>
          </w:tcPr>
          <w:p w14:paraId="0C47F34F"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D364AB" w:rsidRPr="002A75C5" w14:paraId="62DF2803" w14:textId="77777777" w:rsidTr="0092069D">
        <w:trPr>
          <w:trHeight w:val="225"/>
        </w:trPr>
        <w:tc>
          <w:tcPr>
            <w:tcW w:w="3920" w:type="dxa"/>
            <w:tcBorders>
              <w:top w:val="nil"/>
              <w:left w:val="single" w:sz="8" w:space="0" w:color="auto"/>
              <w:bottom w:val="single" w:sz="4" w:space="0" w:color="auto"/>
              <w:right w:val="single" w:sz="4" w:space="0" w:color="auto"/>
            </w:tcBorders>
            <w:shd w:val="clear" w:color="000000" w:fill="FFFFFF"/>
            <w:vAlign w:val="center"/>
            <w:hideMark/>
          </w:tcPr>
          <w:p w14:paraId="25E30E18" w14:textId="77777777"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TURNAJ MALÉHO ROZSAHU</w:t>
            </w:r>
          </w:p>
        </w:tc>
        <w:tc>
          <w:tcPr>
            <w:tcW w:w="1920" w:type="dxa"/>
            <w:tcBorders>
              <w:top w:val="nil"/>
              <w:left w:val="nil"/>
              <w:bottom w:val="single" w:sz="4" w:space="0" w:color="auto"/>
              <w:right w:val="single" w:sz="4" w:space="0" w:color="auto"/>
            </w:tcBorders>
            <w:shd w:val="clear" w:color="000000" w:fill="FFFFFF"/>
            <w:noWrap/>
            <w:vAlign w:val="center"/>
            <w:hideMark/>
          </w:tcPr>
          <w:p w14:paraId="12A068A4"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4" w:space="0" w:color="auto"/>
              <w:right w:val="single" w:sz="4" w:space="0" w:color="auto"/>
            </w:tcBorders>
            <w:shd w:val="clear" w:color="000000" w:fill="FFFFFF"/>
            <w:noWrap/>
            <w:vAlign w:val="center"/>
            <w:hideMark/>
          </w:tcPr>
          <w:p w14:paraId="2EDB1EB7"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4" w:space="0" w:color="auto"/>
              <w:right w:val="single" w:sz="8" w:space="0" w:color="auto"/>
            </w:tcBorders>
            <w:shd w:val="clear" w:color="000000" w:fill="FFFFFF"/>
            <w:noWrap/>
            <w:vAlign w:val="center"/>
            <w:hideMark/>
          </w:tcPr>
          <w:p w14:paraId="273622BB"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r w:rsidR="00D364AB" w:rsidRPr="002A75C5" w14:paraId="5859E87C" w14:textId="77777777" w:rsidTr="0092069D">
        <w:trPr>
          <w:trHeight w:val="300"/>
        </w:trPr>
        <w:tc>
          <w:tcPr>
            <w:tcW w:w="3920" w:type="dxa"/>
            <w:tcBorders>
              <w:top w:val="nil"/>
              <w:left w:val="single" w:sz="8" w:space="0" w:color="auto"/>
              <w:bottom w:val="single" w:sz="8" w:space="0" w:color="auto"/>
              <w:right w:val="single" w:sz="4" w:space="0" w:color="auto"/>
            </w:tcBorders>
            <w:shd w:val="clear" w:color="000000" w:fill="FFFFFF"/>
            <w:vAlign w:val="center"/>
            <w:hideMark/>
          </w:tcPr>
          <w:p w14:paraId="260EF141" w14:textId="24448DB6" w:rsidR="00D364AB" w:rsidRPr="002A75C5" w:rsidRDefault="00D364AB" w:rsidP="0092069D">
            <w:pPr>
              <w:spacing w:after="0"/>
              <w:jc w:val="left"/>
              <w:rPr>
                <w:rFonts w:eastAsia="Times New Roman" w:cs="Arial"/>
                <w:b/>
                <w:bCs/>
                <w:color w:val="000000"/>
                <w:sz w:val="20"/>
                <w:szCs w:val="20"/>
                <w:lang w:eastAsia="cs-CZ"/>
              </w:rPr>
            </w:pPr>
            <w:r w:rsidRPr="002A75C5">
              <w:rPr>
                <w:rFonts w:eastAsia="Times New Roman" w:cs="Arial"/>
                <w:b/>
                <w:bCs/>
                <w:color w:val="000000"/>
                <w:sz w:val="20"/>
                <w:szCs w:val="20"/>
                <w:lang w:eastAsia="cs-CZ"/>
              </w:rPr>
              <w:t xml:space="preserve">TURNAJ MALÉHO ROZSAHU </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 xml:space="preserve"> ON</w:t>
            </w:r>
            <w:r w:rsidR="006404CF">
              <w:rPr>
                <w:rFonts w:eastAsia="Times New Roman" w:cs="Arial"/>
                <w:b/>
                <w:bCs/>
                <w:color w:val="000000"/>
                <w:sz w:val="20"/>
                <w:szCs w:val="20"/>
                <w:lang w:eastAsia="cs-CZ"/>
              </w:rPr>
              <w:t>-</w:t>
            </w:r>
            <w:r w:rsidRPr="002A75C5">
              <w:rPr>
                <w:rFonts w:eastAsia="Times New Roman" w:cs="Arial"/>
                <w:b/>
                <w:bCs/>
                <w:color w:val="000000"/>
                <w:sz w:val="20"/>
                <w:szCs w:val="20"/>
                <w:lang w:eastAsia="cs-CZ"/>
              </w:rPr>
              <w:t>LINE</w:t>
            </w:r>
          </w:p>
        </w:tc>
        <w:tc>
          <w:tcPr>
            <w:tcW w:w="1920" w:type="dxa"/>
            <w:tcBorders>
              <w:top w:val="nil"/>
              <w:left w:val="nil"/>
              <w:bottom w:val="single" w:sz="8" w:space="0" w:color="auto"/>
              <w:right w:val="single" w:sz="4" w:space="0" w:color="auto"/>
            </w:tcBorders>
            <w:shd w:val="clear" w:color="000000" w:fill="FFFFFF"/>
            <w:noWrap/>
            <w:vAlign w:val="center"/>
            <w:hideMark/>
          </w:tcPr>
          <w:p w14:paraId="264A0F40"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2000" w:type="dxa"/>
            <w:tcBorders>
              <w:top w:val="nil"/>
              <w:left w:val="nil"/>
              <w:bottom w:val="single" w:sz="8" w:space="0" w:color="auto"/>
              <w:right w:val="single" w:sz="4" w:space="0" w:color="auto"/>
            </w:tcBorders>
            <w:shd w:val="clear" w:color="000000" w:fill="FFFFFF"/>
            <w:noWrap/>
            <w:vAlign w:val="center"/>
            <w:hideMark/>
          </w:tcPr>
          <w:p w14:paraId="0237CC6A"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c>
          <w:tcPr>
            <w:tcW w:w="1222" w:type="dxa"/>
            <w:tcBorders>
              <w:top w:val="nil"/>
              <w:left w:val="nil"/>
              <w:bottom w:val="single" w:sz="8" w:space="0" w:color="auto"/>
              <w:right w:val="single" w:sz="8" w:space="0" w:color="auto"/>
            </w:tcBorders>
            <w:shd w:val="clear" w:color="000000" w:fill="FFFFFF"/>
            <w:noWrap/>
            <w:vAlign w:val="center"/>
            <w:hideMark/>
          </w:tcPr>
          <w:p w14:paraId="31A9C0E5" w14:textId="77777777" w:rsidR="00D364AB" w:rsidRPr="002A75C5" w:rsidRDefault="00D364AB" w:rsidP="0092069D">
            <w:pPr>
              <w:spacing w:after="0"/>
              <w:jc w:val="center"/>
              <w:rPr>
                <w:rFonts w:eastAsia="Times New Roman" w:cs="Arial"/>
                <w:color w:val="000000"/>
                <w:sz w:val="22"/>
                <w:lang w:eastAsia="cs-CZ"/>
              </w:rPr>
            </w:pPr>
            <w:r w:rsidRPr="002A75C5">
              <w:rPr>
                <w:rFonts w:eastAsia="Times New Roman" w:cs="Arial"/>
                <w:color w:val="000000"/>
                <w:sz w:val="22"/>
                <w:lang w:eastAsia="cs-CZ"/>
              </w:rPr>
              <w:t>x</w:t>
            </w:r>
          </w:p>
        </w:tc>
      </w:tr>
    </w:tbl>
    <w:p w14:paraId="27E1C417" w14:textId="77777777" w:rsidR="009D57AA" w:rsidRPr="005A2D9E" w:rsidRDefault="009D57AA" w:rsidP="009D57AA">
      <w:pPr>
        <w:spacing w:after="200" w:line="276" w:lineRule="auto"/>
        <w:contextualSpacing/>
        <w:rPr>
          <w:rFonts w:cs="Arial"/>
          <w:i/>
          <w:sz w:val="20"/>
        </w:rPr>
      </w:pPr>
      <w:r w:rsidRPr="005A2D9E">
        <w:rPr>
          <w:rFonts w:cs="Arial"/>
          <w:i/>
          <w:sz w:val="20"/>
        </w:rPr>
        <w:t>Zdroj: Ministerstvo financí.</w:t>
      </w:r>
    </w:p>
    <w:p w14:paraId="1082F369" w14:textId="77777777" w:rsidR="00080B69" w:rsidRDefault="00080B69" w:rsidP="009D57AA">
      <w:pPr>
        <w:spacing w:after="200"/>
        <w:contextualSpacing/>
      </w:pPr>
    </w:p>
    <w:p w14:paraId="15221122" w14:textId="7C0DE343" w:rsidR="009D57AA" w:rsidRDefault="00C85A38" w:rsidP="009D57AA">
      <w:pPr>
        <w:spacing w:after="200"/>
        <w:contextualSpacing/>
        <w:rPr>
          <w:rFonts w:cs="Arial"/>
        </w:rPr>
      </w:pPr>
      <w:r w:rsidRPr="00080B69">
        <w:rPr>
          <w:noProof/>
          <w:lang w:eastAsia="cs-CZ"/>
        </w:rPr>
        <w:lastRenderedPageBreak/>
        <mc:AlternateContent>
          <mc:Choice Requires="wps">
            <w:drawing>
              <wp:anchor distT="0" distB="0" distL="114300" distR="114300" simplePos="0" relativeHeight="251659264" behindDoc="0" locked="0" layoutInCell="1" allowOverlap="1" wp14:anchorId="30BBE668" wp14:editId="5A8F8F34">
                <wp:simplePos x="0" y="0"/>
                <wp:positionH relativeFrom="margin">
                  <wp:align>left</wp:align>
                </wp:positionH>
                <wp:positionV relativeFrom="paragraph">
                  <wp:posOffset>848995</wp:posOffset>
                </wp:positionV>
                <wp:extent cx="6003290" cy="262255"/>
                <wp:effectExtent l="0" t="0" r="0" b="4445"/>
                <wp:wrapTopAndBottom/>
                <wp:docPr id="34" name="Textové pole 34"/>
                <wp:cNvGraphicFramePr/>
                <a:graphic xmlns:a="http://schemas.openxmlformats.org/drawingml/2006/main">
                  <a:graphicData uri="http://schemas.microsoft.com/office/word/2010/wordprocessingShape">
                    <wps:wsp>
                      <wps:cNvSpPr txBox="1"/>
                      <wps:spPr>
                        <a:xfrm>
                          <a:off x="0" y="0"/>
                          <a:ext cx="6003290" cy="262255"/>
                        </a:xfrm>
                        <a:prstGeom prst="rect">
                          <a:avLst/>
                        </a:prstGeom>
                        <a:solidFill>
                          <a:prstClr val="white"/>
                        </a:solidFill>
                        <a:ln>
                          <a:noFill/>
                        </a:ln>
                      </wps:spPr>
                      <wps:txbx>
                        <w:txbxContent>
                          <w:p w14:paraId="403AD377" w14:textId="698E1453" w:rsidR="00F17245" w:rsidRPr="00AC536E" w:rsidRDefault="00F17245" w:rsidP="00C85A38">
                            <w:pPr>
                              <w:pStyle w:val="Titulek"/>
                              <w:rPr>
                                <w:noProof/>
                                <w:sz w:val="20"/>
                              </w:rPr>
                            </w:pPr>
                            <w:bookmarkStart w:id="90" w:name="_Toc73611442"/>
                            <w:r>
                              <w:t xml:space="preserve">Graf č. </w:t>
                            </w:r>
                            <w:fldSimple w:instr=" SEQ Graf_č. \* ARABIC ">
                              <w:r>
                                <w:rPr>
                                  <w:noProof/>
                                </w:rPr>
                                <w:t>14</w:t>
                              </w:r>
                            </w:fldSimple>
                            <w:r>
                              <w:t xml:space="preserve">: </w:t>
                            </w:r>
                            <w:r w:rsidRPr="005C088D">
                              <w:t>Vyhodnocení potenciálního rizika jednotlivých druhů hazardních her</w:t>
                            </w:r>
                            <w:bookmarkEnd w:id="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BBE668" id="Textové pole 34" o:spid="_x0000_s1028" type="#_x0000_t202" style="position:absolute;left:0;text-align:left;margin-left:0;margin-top:66.85pt;width:472.7pt;height:20.6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" stroked="f">
                <v:textbox inset="0,0,0,0">
                  <w:txbxContent>
                    <w:p w14:paraId="403AD377" w14:textId="698E1453" w:rsidR="00F17245" w:rsidRPr="00AC536E" w:rsidRDefault="00F17245" w:rsidP="00C85A38">
                      <w:pPr>
                        <w:pStyle w:val="Titulek"/>
                        <w:rPr>
                          <w:noProof/>
                          <w:sz w:val="20"/>
                        </w:rPr>
                      </w:pPr>
                      <w:bookmarkStart w:id="91" w:name="_Toc73611442"/>
                      <w:r>
                        <w:t xml:space="preserve">Graf č. </w:t>
                      </w:r>
                      <w:fldSimple w:instr=" SEQ Graf_č. \* ARABIC ">
                        <w:r>
                          <w:rPr>
                            <w:noProof/>
                          </w:rPr>
                          <w:t>14</w:t>
                        </w:r>
                      </w:fldSimple>
                      <w:r>
                        <w:t xml:space="preserve">: </w:t>
                      </w:r>
                      <w:r w:rsidRPr="005C088D">
                        <w:t>Vyhodnocení potenciálního rizika jednotlivých druhů hazardních her</w:t>
                      </w:r>
                      <w:bookmarkEnd w:id="91"/>
                    </w:p>
                  </w:txbxContent>
                </v:textbox>
                <w10:wrap type="topAndBottom" anchorx="margin"/>
              </v:shape>
            </w:pict>
          </mc:Fallback>
        </mc:AlternateContent>
      </w:r>
      <w:r w:rsidR="009D57AA" w:rsidRPr="00080B69">
        <w:t>Při porovnání výsledků hazardních her podle jejich způsobu provozování došlo Ministerstvo financí k závěru, že ve většině případů, kdy bylo možné posoudit konkrétní hazardní hru v land-based</w:t>
      </w:r>
      <w:r w:rsidR="00AD58E0">
        <w:t xml:space="preserve"> prostředí</w:t>
      </w:r>
      <w:r w:rsidR="009D57AA" w:rsidRPr="00080B69">
        <w:t xml:space="preserve"> i </w:t>
      </w:r>
      <w:r w:rsidR="002A3EE5">
        <w:t>on-line</w:t>
      </w:r>
      <w:r w:rsidR="009D57AA" w:rsidRPr="00080B69">
        <w:t xml:space="preserve">, vykazovala taková hazardní hra v případě provozování způsobem </w:t>
      </w:r>
      <w:r w:rsidR="002A3EE5">
        <w:t>on-line</w:t>
      </w:r>
      <w:r w:rsidR="009D57AA" w:rsidRPr="00080B69">
        <w:t xml:space="preserve"> vyšší rizikovost, viz </w:t>
      </w:r>
      <w:r w:rsidR="003C3B30" w:rsidRPr="00080B69">
        <w:t>graf č. 14</w:t>
      </w:r>
      <w:r w:rsidR="009D57AA" w:rsidRPr="004B30A2">
        <w:rPr>
          <w:rFonts w:cs="Arial"/>
        </w:rPr>
        <w:t>.</w:t>
      </w:r>
    </w:p>
    <w:p w14:paraId="0D5C8133" w14:textId="503CBA4A" w:rsidR="00C85A38" w:rsidRDefault="00D364AB" w:rsidP="009D57AA">
      <w:pPr>
        <w:spacing w:after="200"/>
        <w:contextualSpacing/>
        <w:rPr>
          <w:rFonts w:cs="Arial"/>
        </w:rPr>
      </w:pPr>
      <w:r>
        <w:rPr>
          <w:noProof/>
          <w:lang w:eastAsia="cs-CZ"/>
        </w:rPr>
        <w:drawing>
          <wp:inline distT="0" distB="0" distL="0" distR="0" wp14:anchorId="09F6780A" wp14:editId="7D501F81">
            <wp:extent cx="5760720" cy="2287863"/>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2287863"/>
                    </a:xfrm>
                    <a:prstGeom prst="rect">
                      <a:avLst/>
                    </a:prstGeom>
                    <a:noFill/>
                  </pic:spPr>
                </pic:pic>
              </a:graphicData>
            </a:graphic>
          </wp:inline>
        </w:drawing>
      </w:r>
    </w:p>
    <w:p w14:paraId="33B0BE3C" w14:textId="2499B984" w:rsidR="009D57AA" w:rsidRPr="005A2D9E" w:rsidRDefault="009D57AA" w:rsidP="00C85A38">
      <w:pPr>
        <w:rPr>
          <w:rFonts w:cs="Arial"/>
          <w:i/>
          <w:sz w:val="20"/>
        </w:rPr>
      </w:pPr>
      <w:r w:rsidRPr="005A2D9E">
        <w:rPr>
          <w:rFonts w:cs="Arial"/>
          <w:i/>
          <w:sz w:val="20"/>
        </w:rPr>
        <w:t>Zdroj: Ministerstvo financí.</w:t>
      </w:r>
    </w:p>
    <w:p w14:paraId="368ACE96" w14:textId="77777777" w:rsidR="009D57AA" w:rsidRPr="008A1447" w:rsidRDefault="009D57AA" w:rsidP="002E0DEB">
      <w:pPr>
        <w:pStyle w:val="Nadpis4"/>
      </w:pPr>
      <w:bookmarkStart w:id="92" w:name="_Toc72999562"/>
      <w:r>
        <w:t>Ú</w:t>
      </w:r>
      <w:r w:rsidRPr="008A1447">
        <w:t>prava provozování hazardních her prostřednictvím internetu</w:t>
      </w:r>
      <w:r>
        <w:t xml:space="preserve"> a nové trendy</w:t>
      </w:r>
      <w:bookmarkEnd w:id="92"/>
    </w:p>
    <w:p w14:paraId="062421A5" w14:textId="4ACF37F2" w:rsidR="009D57AA" w:rsidRDefault="009D57AA" w:rsidP="00080B69">
      <w:r w:rsidRPr="00B41B2B">
        <w:t>Zastaralá právní úprava obsažená v zákoně o loteriích neumožňovala flexibilně reagovat také na postupný přesun provozování hazardních her do internetového prostředí. Ačkoli tato právní úprava v zásadě nev</w:t>
      </w:r>
      <w:r w:rsidR="00EF4A67">
        <w:t>ylučovala provozování loterií a </w:t>
      </w:r>
      <w:r w:rsidRPr="00B41B2B">
        <w:t>jiných podobných her prostřednictvím internetu, konkrétní a koncepční podmínky provozování absentovaly a do velké míry byl tento nedostatek nahrazován správní praxí. Je však nutné doplnit, že povolení k provozování loterie nebo jiné podobné hry prostřednictvím sítě internet bylo vydáváno ve</w:t>
      </w:r>
      <w:r w:rsidR="00EF4A67">
        <w:t>lmi zřídka a jednalo se pouze o </w:t>
      </w:r>
      <w:r w:rsidRPr="00B41B2B">
        <w:t>turnajové nebo hotovostní sázkové hry provozované za pomoci karet, u kterých zákon o loteriích možnost provozování prostře</w:t>
      </w:r>
      <w:r w:rsidR="00EF4A67">
        <w:t>dnictvím internetu předvídal, a </w:t>
      </w:r>
      <w:r w:rsidRPr="00B41B2B">
        <w:t xml:space="preserve">kurzovou sázku, v jejímž případě bylo Ministerstvem financí vyhodnoceno, že je zajištěna míra ochrany účastníků hazardních her do maximální možné míry. Naopak zákon o hazardních hrách se provozování prostřednictvím sítě internet věnuje detailně a obecně umožňuje provozování </w:t>
      </w:r>
      <w:r>
        <w:t xml:space="preserve">tímto způsobem u </w:t>
      </w:r>
      <w:r w:rsidRPr="00B41B2B">
        <w:t xml:space="preserve">všech druhů hazardních her (s vynětím tomboly </w:t>
      </w:r>
      <w:r>
        <w:t>a </w:t>
      </w:r>
      <w:r w:rsidRPr="00B41B2B">
        <w:t>turnaje malého rozsahu).</w:t>
      </w:r>
      <w:r w:rsidR="00443791">
        <w:t xml:space="preserve"> Blíže k tomuto tématu v příloze </w:t>
      </w:r>
      <w:r>
        <w:t>Internetová hra.</w:t>
      </w:r>
    </w:p>
    <w:p w14:paraId="332B5F8E" w14:textId="5303BD62" w:rsidR="009D57AA" w:rsidRPr="00A018F4" w:rsidRDefault="009D57AA" w:rsidP="00080B69">
      <w:pPr>
        <w:rPr>
          <w:rFonts w:eastAsia="Times New Roman"/>
          <w:lang w:eastAsia="cs-CZ"/>
        </w:rPr>
      </w:pPr>
      <w:r w:rsidRPr="00A018F4">
        <w:rPr>
          <w:rFonts w:eastAsia="Times New Roman"/>
          <w:lang w:eastAsia="cs-CZ"/>
        </w:rPr>
        <w:t xml:space="preserve">Na základě informací dostupných z dozorové </w:t>
      </w:r>
      <w:r w:rsidR="00993CED">
        <w:rPr>
          <w:rFonts w:eastAsia="Times New Roman"/>
          <w:lang w:eastAsia="cs-CZ"/>
        </w:rPr>
        <w:t>činnosti je zřejmé, že účast na </w:t>
      </w:r>
      <w:r w:rsidRPr="00A018F4">
        <w:rPr>
          <w:rFonts w:eastAsia="Times New Roman"/>
          <w:lang w:eastAsia="cs-CZ"/>
        </w:rPr>
        <w:t>internetové hře se stává velmi atraktivní jak pro ú</w:t>
      </w:r>
      <w:r w:rsidR="00993CED">
        <w:rPr>
          <w:rFonts w:eastAsia="Times New Roman"/>
          <w:lang w:eastAsia="cs-CZ"/>
        </w:rPr>
        <w:t>častníky hazardních her, tak i </w:t>
      </w:r>
      <w:r w:rsidRPr="00A018F4">
        <w:rPr>
          <w:rFonts w:eastAsia="Times New Roman"/>
          <w:lang w:eastAsia="cs-CZ"/>
        </w:rPr>
        <w:t>pro provozovatele hazardních her, p</w:t>
      </w:r>
      <w:r>
        <w:rPr>
          <w:rFonts w:eastAsia="Times New Roman"/>
          <w:lang w:eastAsia="cs-CZ"/>
        </w:rPr>
        <w:t>řičemž tuto skutečnost potvrzují údaje uvedené v</w:t>
      </w:r>
      <w:r w:rsidR="009C6020">
        <w:rPr>
          <w:rFonts w:eastAsia="Times New Roman"/>
          <w:lang w:eastAsia="cs-CZ"/>
        </w:rPr>
        <w:t> </w:t>
      </w:r>
      <w:r w:rsidRPr="009C6020">
        <w:rPr>
          <w:rFonts w:eastAsia="Times New Roman"/>
          <w:lang w:eastAsia="cs-CZ"/>
        </w:rPr>
        <w:t>grafu</w:t>
      </w:r>
      <w:r w:rsidR="003C3B30">
        <w:rPr>
          <w:rFonts w:eastAsia="Times New Roman"/>
          <w:lang w:eastAsia="cs-CZ"/>
        </w:rPr>
        <w:t xml:space="preserve"> č. 14</w:t>
      </w:r>
      <w:r w:rsidRPr="009C6020">
        <w:rPr>
          <w:rFonts w:eastAsia="Times New Roman"/>
          <w:lang w:eastAsia="cs-CZ"/>
        </w:rPr>
        <w:t xml:space="preserve"> (</w:t>
      </w:r>
      <w:r w:rsidR="009C6020" w:rsidRPr="009C6020">
        <w:rPr>
          <w:rFonts w:eastAsia="Times New Roman"/>
          <w:lang w:eastAsia="cs-CZ"/>
        </w:rPr>
        <w:t>dole -&gt; pomě</w:t>
      </w:r>
      <w:r w:rsidRPr="009C6020">
        <w:rPr>
          <w:rFonts w:eastAsia="Times New Roman"/>
          <w:lang w:eastAsia="cs-CZ"/>
        </w:rPr>
        <w:t>r internet a LB)</w:t>
      </w:r>
      <w:r>
        <w:rPr>
          <w:rFonts w:eastAsia="Times New Roman"/>
          <w:lang w:eastAsia="cs-CZ"/>
        </w:rPr>
        <w:t xml:space="preserve">  i</w:t>
      </w:r>
      <w:r w:rsidRPr="00A018F4">
        <w:rPr>
          <w:rFonts w:eastAsia="Times New Roman"/>
          <w:lang w:eastAsia="cs-CZ"/>
        </w:rPr>
        <w:t xml:space="preserve"> </w:t>
      </w:r>
      <w:r>
        <w:rPr>
          <w:rFonts w:eastAsia="Times New Roman"/>
          <w:lang w:eastAsia="cs-CZ"/>
        </w:rPr>
        <w:t xml:space="preserve">např. </w:t>
      </w:r>
      <w:r w:rsidRPr="00A018F4">
        <w:rPr>
          <w:rFonts w:eastAsia="Times New Roman"/>
          <w:lang w:eastAsia="cs-CZ"/>
        </w:rPr>
        <w:t>Úřad vlády</w:t>
      </w:r>
      <w:r>
        <w:rPr>
          <w:rFonts w:eastAsia="Times New Roman"/>
          <w:lang w:eastAsia="cs-CZ"/>
        </w:rPr>
        <w:t xml:space="preserve"> a zahraniční odborná veřejnost</w:t>
      </w:r>
      <w:r w:rsidRPr="00A018F4">
        <w:rPr>
          <w:rFonts w:eastAsia="Times New Roman"/>
          <w:lang w:eastAsia="cs-CZ"/>
        </w:rPr>
        <w:t>.</w:t>
      </w:r>
      <w:r w:rsidRPr="00A018F4">
        <w:rPr>
          <w:rFonts w:eastAsia="Times New Roman"/>
          <w:vertAlign w:val="superscript"/>
          <w:lang w:eastAsia="cs-CZ"/>
        </w:rPr>
        <w:footnoteReference w:id="7"/>
      </w:r>
      <w:r w:rsidRPr="00A018F4">
        <w:rPr>
          <w:rFonts w:eastAsia="Times New Roman"/>
          <w:lang w:eastAsia="cs-CZ"/>
        </w:rPr>
        <w:t xml:space="preserve"> Na základě výsledků analýzy, společně s dalšími aktuálními studiemi a poznatky odborníků věnujících se problematice hazardního hráčství, je zřejmé, že na</w:t>
      </w:r>
      <w:r w:rsidR="00AD58E0">
        <w:rPr>
          <w:rFonts w:eastAsia="Times New Roman"/>
          <w:lang w:eastAsia="cs-CZ"/>
        </w:rPr>
        <w:t xml:space="preserve"> vzestupu</w:t>
      </w:r>
      <w:r w:rsidRPr="00A018F4">
        <w:rPr>
          <w:rFonts w:eastAsia="Times New Roman"/>
          <w:lang w:eastAsia="cs-CZ"/>
        </w:rPr>
        <w:t xml:space="preserve"> fenoménu </w:t>
      </w:r>
      <w:r w:rsidR="002A3EE5">
        <w:rPr>
          <w:rFonts w:eastAsia="Times New Roman"/>
          <w:lang w:eastAsia="cs-CZ"/>
        </w:rPr>
        <w:t>on-line</w:t>
      </w:r>
      <w:r w:rsidRPr="00A018F4">
        <w:rPr>
          <w:rFonts w:eastAsia="Times New Roman"/>
          <w:lang w:eastAsia="cs-CZ"/>
        </w:rPr>
        <w:t xml:space="preserve"> hazardního hraní se podílí zejména určitá </w:t>
      </w:r>
      <w:r w:rsidRPr="00A018F4">
        <w:rPr>
          <w:rFonts w:eastAsia="Times New Roman"/>
          <w:lang w:eastAsia="cs-CZ"/>
        </w:rPr>
        <w:lastRenderedPageBreak/>
        <w:t>anonymita, dostupnos</w:t>
      </w:r>
      <w:r>
        <w:rPr>
          <w:rFonts w:eastAsia="Times New Roman"/>
          <w:lang w:eastAsia="cs-CZ"/>
        </w:rPr>
        <w:t>t hazardních her (jak časov</w:t>
      </w:r>
      <w:r w:rsidR="00AD58E0">
        <w:rPr>
          <w:rFonts w:eastAsia="Times New Roman"/>
          <w:lang w:eastAsia="cs-CZ"/>
        </w:rPr>
        <w:t>á</w:t>
      </w:r>
      <w:r>
        <w:rPr>
          <w:rFonts w:eastAsia="Times New Roman"/>
          <w:lang w:eastAsia="cs-CZ"/>
        </w:rPr>
        <w:t xml:space="preserve"> – </w:t>
      </w:r>
      <w:r w:rsidRPr="00A018F4">
        <w:rPr>
          <w:rFonts w:eastAsia="Times New Roman"/>
          <w:lang w:eastAsia="cs-CZ"/>
        </w:rPr>
        <w:t>24</w:t>
      </w:r>
      <w:r w:rsidR="00AD58E0">
        <w:rPr>
          <w:rFonts w:eastAsia="Times New Roman"/>
          <w:lang w:eastAsia="cs-CZ"/>
        </w:rPr>
        <w:t> </w:t>
      </w:r>
      <w:r w:rsidRPr="00A018F4">
        <w:rPr>
          <w:rFonts w:eastAsia="Times New Roman"/>
          <w:lang w:eastAsia="cs-CZ"/>
        </w:rPr>
        <w:t>hodin denně, tak vzdálenostní</w:t>
      </w:r>
      <w:r w:rsidR="00AD58E0">
        <w:rPr>
          <w:rFonts w:eastAsia="Times New Roman"/>
          <w:lang w:eastAsia="cs-CZ"/>
        </w:rPr>
        <w:t> </w:t>
      </w:r>
      <w:r w:rsidRPr="00A018F4">
        <w:rPr>
          <w:rFonts w:eastAsia="Times New Roman"/>
          <w:lang w:eastAsia="cs-CZ"/>
        </w:rPr>
        <w:t>–</w:t>
      </w:r>
      <w:r w:rsidR="00AD58E0">
        <w:rPr>
          <w:rFonts w:eastAsia="Times New Roman"/>
          <w:lang w:eastAsia="cs-CZ"/>
        </w:rPr>
        <w:t> </w:t>
      </w:r>
      <w:r w:rsidRPr="00A018F4">
        <w:rPr>
          <w:rFonts w:eastAsia="Times New Roman"/>
          <w:lang w:eastAsia="cs-CZ"/>
        </w:rPr>
        <w:t>doma/v</w:t>
      </w:r>
      <w:r w:rsidR="00AD58E0">
        <w:rPr>
          <w:rFonts w:eastAsia="Times New Roman"/>
          <w:lang w:eastAsia="cs-CZ"/>
        </w:rPr>
        <w:t> </w:t>
      </w:r>
      <w:r w:rsidRPr="00A018F4">
        <w:rPr>
          <w:rFonts w:eastAsia="Times New Roman"/>
          <w:lang w:eastAsia="cs-CZ"/>
        </w:rPr>
        <w:t>práci), nespočet příležitostí ke hře, neomezený výběr her, nebo okamžitý přístup k finančním prostředkům přes internetové bankovnictví a další faktory, které činí z </w:t>
      </w:r>
      <w:r w:rsidR="002A3EE5">
        <w:rPr>
          <w:rFonts w:eastAsia="Times New Roman"/>
          <w:lang w:eastAsia="cs-CZ"/>
        </w:rPr>
        <w:t>on-line</w:t>
      </w:r>
      <w:r w:rsidRPr="00A018F4">
        <w:rPr>
          <w:rFonts w:eastAsia="Times New Roman"/>
          <w:lang w:eastAsia="cs-CZ"/>
        </w:rPr>
        <w:t xml:space="preserve"> hazardního hraní atraktivnější formu hraní hazardních her</w:t>
      </w:r>
      <w:r w:rsidR="00BF0F1B">
        <w:rPr>
          <w:rFonts w:eastAsia="Times New Roman"/>
          <w:lang w:eastAsia="cs-CZ"/>
        </w:rPr>
        <w:t>.</w:t>
      </w:r>
      <w:r w:rsidRPr="00A018F4">
        <w:rPr>
          <w:rFonts w:eastAsia="Times New Roman"/>
          <w:lang w:eastAsia="cs-CZ"/>
        </w:rPr>
        <w:t xml:space="preserve"> </w:t>
      </w:r>
      <w:r w:rsidR="00BF0F1B">
        <w:rPr>
          <w:rFonts w:eastAsia="Times New Roman"/>
          <w:lang w:eastAsia="cs-CZ"/>
        </w:rPr>
        <w:t>J</w:t>
      </w:r>
      <w:r w:rsidRPr="00A018F4">
        <w:rPr>
          <w:rFonts w:eastAsia="Times New Roman"/>
          <w:lang w:eastAsia="cs-CZ"/>
        </w:rPr>
        <w:t xml:space="preserve">inými slovy řečeno - z tohoto důvodu </w:t>
      </w:r>
      <w:r w:rsidRPr="002E0DEB">
        <w:rPr>
          <w:rFonts w:eastAsia="Times New Roman"/>
          <w:b/>
          <w:lang w:eastAsia="cs-CZ"/>
        </w:rPr>
        <w:t>prostředí internetu do značné míry posiluje potenciál</w:t>
      </w:r>
      <w:r w:rsidR="005D1ED1">
        <w:rPr>
          <w:rFonts w:eastAsia="Times New Roman"/>
          <w:b/>
          <w:lang w:eastAsia="cs-CZ"/>
        </w:rPr>
        <w:t xml:space="preserve"> vzniku závislosti na</w:t>
      </w:r>
      <w:r w:rsidRPr="002E0DEB">
        <w:rPr>
          <w:rFonts w:eastAsia="Times New Roman"/>
          <w:b/>
          <w:lang w:eastAsia="cs-CZ"/>
        </w:rPr>
        <w:t xml:space="preserve"> hazardních h</w:t>
      </w:r>
      <w:r w:rsidR="005D1ED1">
        <w:rPr>
          <w:rFonts w:eastAsia="Times New Roman"/>
          <w:b/>
          <w:lang w:eastAsia="cs-CZ"/>
        </w:rPr>
        <w:t>rách</w:t>
      </w:r>
      <w:r w:rsidRPr="002E0DEB">
        <w:rPr>
          <w:rFonts w:eastAsia="Times New Roman"/>
          <w:b/>
          <w:lang w:eastAsia="cs-CZ"/>
        </w:rPr>
        <w:t>, čímž zvyšuje jejich rizikovost</w:t>
      </w:r>
      <w:r w:rsidRPr="00A018F4">
        <w:rPr>
          <w:rFonts w:eastAsia="Times New Roman"/>
          <w:vertAlign w:val="superscript"/>
          <w:lang w:eastAsia="cs-CZ"/>
        </w:rPr>
        <w:footnoteReference w:id="8"/>
      </w:r>
      <w:r w:rsidRPr="00A018F4">
        <w:rPr>
          <w:rFonts w:eastAsia="Times New Roman"/>
          <w:lang w:eastAsia="cs-CZ"/>
        </w:rPr>
        <w:t>, a to i přes významná současná zákonná omezení tohoto způsobu provozování hazardních her.</w:t>
      </w:r>
    </w:p>
    <w:p w14:paraId="21FD8F4C" w14:textId="48BB2712" w:rsidR="009D57AA" w:rsidRPr="002E0DEB" w:rsidRDefault="009D57AA" w:rsidP="00080B69">
      <w:r w:rsidRPr="00AD3B22">
        <w:t>V roce 2016 disponovalo povolením k provozování lo</w:t>
      </w:r>
      <w:r w:rsidR="009C6020">
        <w:t>terií a jiných podobných her 71 </w:t>
      </w:r>
      <w:r w:rsidRPr="00AD3B22">
        <w:t>provozovatelů loterií a jiných podobných her. V roce 2021 (stav – duben</w:t>
      </w:r>
      <w:r w:rsidR="00BF0F1B">
        <w:t> </w:t>
      </w:r>
      <w:r w:rsidRPr="00AD3B22">
        <w:t>2021) disponuje povolením k provozování hazardních her podle zákona o hazardních hrách nebo zákona o loteriích celkově 52 subjektů. Došlo tedy k relativně velkému snížení počtu subjekt</w:t>
      </w:r>
      <w:r w:rsidR="00E30B2C">
        <w:t>ů, které</w:t>
      </w:r>
      <w:r w:rsidRPr="00AD3B22">
        <w:t xml:space="preserve"> disponují potřebným</w:t>
      </w:r>
      <w:r w:rsidRPr="004B315F">
        <w:t xml:space="preserve"> povolením k provozování hazardních her, i v tomto kontextu lze sledovat naplnění cílů právní úpravy regulace hazardních her, jelikož velmi podstatnou změnou, kterou zákon o hazardních hrách přinesl, bylo právě vymezení po</w:t>
      </w:r>
      <w:r w:rsidRPr="00AD3B22">
        <w:t>dmínek, které musí osoba provozovatele splňovat. Požadavky stanovené na formu a strukturu právnické osoby, která může být provozovatelem, sledují současnou politiku a záměry v oblasti úpravy právnických osob, kdy hlavním cílem byla větší transparentnost a snížení korupčního prostředí. Důležitým požadavkem rovněž bylo umožnit vstup</w:t>
      </w:r>
      <w:r w:rsidR="0007706F">
        <w:t xml:space="preserve"> na český trh pouze stabilním a </w:t>
      </w:r>
      <w:r w:rsidRPr="00AD3B22">
        <w:t>transparentním subjektům, aby tak byla zajištěna</w:t>
      </w:r>
      <w:r w:rsidR="0007706F">
        <w:t xml:space="preserve"> vyšší šance plnění zákonných a </w:t>
      </w:r>
      <w:r w:rsidRPr="00AD3B22">
        <w:t xml:space="preserve">jiných povinností. Blíže k podmínkám pro získání základního povolení </w:t>
      </w:r>
      <w:r w:rsidR="001D531D">
        <w:t>v příloze č. 9</w:t>
      </w:r>
      <w:r w:rsidRPr="00AD3B22">
        <w:t xml:space="preserve"> – Povolovací řízení.</w:t>
      </w:r>
    </w:p>
    <w:p w14:paraId="176F1FBE" w14:textId="1F27157A" w:rsidR="009D57AA" w:rsidRDefault="009D57AA" w:rsidP="004C73E1">
      <w:r>
        <w:t xml:space="preserve">Z porovnání povolených hazardních her uvedených v tabulkách níže je však patrné, že nabídka co do rozmanitosti hazardních her zůstala i za účinnosti zákona o hazardních hrách zachována. U některých hazardních her došlo k nárůstu počtu provozovatelů nabízejících konkrétní druh hazardní hry. Vzhledem k tomu, že obě úpravy přistupují k vymezení druhů hazardních her rozdílně, není objektivní srovnání zcela možné. Jak ukazuje </w:t>
      </w:r>
      <w:r w:rsidRPr="00955065">
        <w:t xml:space="preserve">tabulka </w:t>
      </w:r>
      <w:r w:rsidR="00955065" w:rsidRPr="00955065">
        <w:t>č. 6</w:t>
      </w:r>
      <w:r w:rsidRPr="00955065">
        <w:t xml:space="preserve"> (povolení dle </w:t>
      </w:r>
      <w:r w:rsidR="00BF0F1B">
        <w:t>zákona o hazardních hrách</w:t>
      </w:r>
      <w:r w:rsidRPr="00955065">
        <w:t>)</w:t>
      </w:r>
      <w:r>
        <w:t xml:space="preserve"> došlo k</w:t>
      </w:r>
      <w:r w:rsidR="00BF0F1B">
        <w:t>e</w:t>
      </w:r>
      <w:r>
        <w:t> </w:t>
      </w:r>
      <w:r w:rsidR="00BF0F1B">
        <w:t xml:space="preserve">značné </w:t>
      </w:r>
      <w:r>
        <w:t>expanzi provozovatelů provozujících hazardní hry prostřednictví sítě internet</w:t>
      </w:r>
      <w:r w:rsidR="00BF0F1B">
        <w:t>.</w:t>
      </w:r>
      <w:r>
        <w:t xml:space="preserve"> </w:t>
      </w:r>
      <w:r w:rsidR="00BF0F1B">
        <w:t>V</w:t>
      </w:r>
      <w:r>
        <w:t>ýznamné je navýšení v případě živé hry, rovněž jsou nově prostřednictvím internetu provozovány technická hra a loterie. U kursových sázek došlo k plynulému navázání provozování.</w:t>
      </w:r>
    </w:p>
    <w:p w14:paraId="1C4E0ECC" w14:textId="37F5A12E" w:rsidR="00955065" w:rsidRDefault="00955065" w:rsidP="00955065">
      <w:pPr>
        <w:pStyle w:val="Titulek"/>
        <w:keepNext/>
      </w:pPr>
      <w:bookmarkStart w:id="93" w:name="_Toc73524684"/>
      <w:r>
        <w:lastRenderedPageBreak/>
        <w:t xml:space="preserve">Tabulka č. </w:t>
      </w:r>
      <w:fldSimple w:instr=" SEQ Tabulka_č. \* ARABIC ">
        <w:r w:rsidR="00B0565F">
          <w:rPr>
            <w:noProof/>
          </w:rPr>
          <w:t>7</w:t>
        </w:r>
      </w:fldSimple>
      <w:r>
        <w:t xml:space="preserve">: </w:t>
      </w:r>
      <w:r w:rsidRPr="003B4AEC">
        <w:t>Počet vydaných povolení podle zákona o loteriích podle jednotlivých druhů hry (stav k 1. 11. 2016)</w:t>
      </w:r>
      <w:bookmarkEnd w:id="93"/>
    </w:p>
    <w:tbl>
      <w:tblPr>
        <w:tblW w:w="5000" w:type="pct"/>
        <w:tblCellMar>
          <w:left w:w="0" w:type="dxa"/>
          <w:right w:w="0" w:type="dxa"/>
        </w:tblCellMar>
        <w:tblLook w:val="04A0" w:firstRow="1" w:lastRow="0" w:firstColumn="1" w:lastColumn="0" w:noHBand="0" w:noVBand="1"/>
      </w:tblPr>
      <w:tblGrid>
        <w:gridCol w:w="5652"/>
        <w:gridCol w:w="3560"/>
      </w:tblGrid>
      <w:tr w:rsidR="009D57AA" w14:paraId="485D864C" w14:textId="77777777" w:rsidTr="00AD3B22">
        <w:trPr>
          <w:trHeight w:val="300"/>
        </w:trPr>
        <w:tc>
          <w:tcPr>
            <w:tcW w:w="3068" w:type="pc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85D408D" w14:textId="77777777" w:rsidR="009D57AA" w:rsidRDefault="009D57AA" w:rsidP="00AD3B22">
            <w:pPr>
              <w:jc w:val="center"/>
              <w:rPr>
                <w:rFonts w:ascii="Calibri" w:hAnsi="Calibri"/>
                <w:b/>
                <w:bCs/>
                <w:color w:val="000000"/>
                <w:sz w:val="22"/>
                <w:lang w:eastAsia="cs-CZ"/>
              </w:rPr>
            </w:pPr>
            <w:r>
              <w:rPr>
                <w:b/>
                <w:bCs/>
                <w:color w:val="000000"/>
                <w:lang w:eastAsia="cs-CZ"/>
              </w:rPr>
              <w:t>Druh hazardní hry</w:t>
            </w:r>
          </w:p>
        </w:tc>
        <w:tc>
          <w:tcPr>
            <w:tcW w:w="1932"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C8228A2" w14:textId="77777777" w:rsidR="009D57AA" w:rsidRDefault="009D57AA" w:rsidP="00AD3B22">
            <w:pPr>
              <w:jc w:val="center"/>
              <w:rPr>
                <w:b/>
                <w:bCs/>
                <w:color w:val="000000"/>
                <w:lang w:eastAsia="cs-CZ"/>
              </w:rPr>
            </w:pPr>
            <w:r>
              <w:rPr>
                <w:b/>
                <w:bCs/>
                <w:color w:val="000000"/>
                <w:lang w:eastAsia="cs-CZ"/>
              </w:rPr>
              <w:t>Počet povolení</w:t>
            </w:r>
          </w:p>
        </w:tc>
      </w:tr>
      <w:tr w:rsidR="009D57AA" w14:paraId="57DB01FC"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6F5FB55" w14:textId="77777777" w:rsidR="009D57AA" w:rsidRDefault="009D57AA" w:rsidP="00AD3B22">
            <w:pPr>
              <w:jc w:val="center"/>
              <w:rPr>
                <w:color w:val="000000"/>
                <w:lang w:eastAsia="cs-CZ"/>
              </w:rPr>
            </w:pPr>
            <w:r>
              <w:rPr>
                <w:color w:val="000000"/>
                <w:lang w:eastAsia="cs-CZ"/>
              </w:rPr>
              <w:t>Číselné loterie</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5B7D108" w14:textId="77777777" w:rsidR="009D57AA" w:rsidRDefault="009D57AA" w:rsidP="00AD3B22">
            <w:pPr>
              <w:jc w:val="center"/>
              <w:rPr>
                <w:color w:val="000000"/>
                <w:lang w:eastAsia="cs-CZ"/>
              </w:rPr>
            </w:pPr>
            <w:r>
              <w:rPr>
                <w:color w:val="000000"/>
                <w:lang w:eastAsia="cs-CZ"/>
              </w:rPr>
              <w:t>6</w:t>
            </w:r>
          </w:p>
        </w:tc>
      </w:tr>
      <w:tr w:rsidR="009D57AA" w14:paraId="57C8CAA2"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7E817D6" w14:textId="77777777" w:rsidR="009D57AA" w:rsidRDefault="009D57AA" w:rsidP="00AD3B22">
            <w:pPr>
              <w:jc w:val="center"/>
              <w:rPr>
                <w:color w:val="000000"/>
                <w:lang w:eastAsia="cs-CZ"/>
              </w:rPr>
            </w:pPr>
            <w:r>
              <w:rPr>
                <w:color w:val="000000"/>
                <w:lang w:eastAsia="cs-CZ"/>
              </w:rPr>
              <w:t>Okamžité loterie</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DE726CF" w14:textId="77777777" w:rsidR="009D57AA" w:rsidRDefault="009D57AA" w:rsidP="00AD3B22">
            <w:pPr>
              <w:jc w:val="center"/>
              <w:rPr>
                <w:color w:val="000000"/>
                <w:lang w:eastAsia="cs-CZ"/>
              </w:rPr>
            </w:pPr>
            <w:r>
              <w:rPr>
                <w:color w:val="000000"/>
                <w:lang w:eastAsia="cs-CZ"/>
              </w:rPr>
              <w:t>7</w:t>
            </w:r>
          </w:p>
        </w:tc>
      </w:tr>
      <w:tr w:rsidR="009D57AA" w14:paraId="5ED300AB"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D12975F" w14:textId="77777777" w:rsidR="009D57AA" w:rsidRDefault="009D57AA" w:rsidP="00AD3B22">
            <w:pPr>
              <w:jc w:val="center"/>
              <w:rPr>
                <w:color w:val="000000"/>
                <w:lang w:eastAsia="cs-CZ"/>
              </w:rPr>
            </w:pPr>
            <w:r>
              <w:rPr>
                <w:color w:val="000000"/>
                <w:lang w:eastAsia="cs-CZ"/>
              </w:rPr>
              <w:t>VHP</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D45EE47" w14:textId="77777777" w:rsidR="009D57AA" w:rsidRDefault="009D57AA" w:rsidP="00AD3B22">
            <w:pPr>
              <w:jc w:val="center"/>
              <w:rPr>
                <w:color w:val="000000"/>
                <w:lang w:eastAsia="cs-CZ"/>
              </w:rPr>
            </w:pPr>
            <w:r>
              <w:rPr>
                <w:color w:val="000000"/>
                <w:lang w:eastAsia="cs-CZ"/>
              </w:rPr>
              <w:t>32</w:t>
            </w:r>
          </w:p>
        </w:tc>
      </w:tr>
      <w:tr w:rsidR="009D57AA" w14:paraId="2307110C"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FCD8905" w14:textId="77777777" w:rsidR="009D57AA" w:rsidRDefault="009D57AA" w:rsidP="00AD3B22">
            <w:pPr>
              <w:jc w:val="center"/>
              <w:rPr>
                <w:color w:val="000000"/>
                <w:lang w:eastAsia="cs-CZ"/>
              </w:rPr>
            </w:pPr>
            <w:r>
              <w:rPr>
                <w:color w:val="000000"/>
                <w:lang w:eastAsia="cs-CZ"/>
              </w:rPr>
              <w:t>Bingo</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B0E6A0B" w14:textId="77777777" w:rsidR="009D57AA" w:rsidRDefault="009D57AA" w:rsidP="00AD3B22">
            <w:pPr>
              <w:jc w:val="center"/>
              <w:rPr>
                <w:color w:val="000000"/>
                <w:lang w:eastAsia="cs-CZ"/>
              </w:rPr>
            </w:pPr>
            <w:r>
              <w:rPr>
                <w:color w:val="000000"/>
                <w:lang w:eastAsia="cs-CZ"/>
              </w:rPr>
              <w:t>1</w:t>
            </w:r>
          </w:p>
        </w:tc>
      </w:tr>
      <w:tr w:rsidR="009D57AA" w14:paraId="0431E1BA"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125C64F" w14:textId="77777777" w:rsidR="009D57AA" w:rsidRDefault="009D57AA" w:rsidP="00AD3B22">
            <w:pPr>
              <w:jc w:val="center"/>
              <w:rPr>
                <w:color w:val="000000"/>
                <w:lang w:eastAsia="cs-CZ"/>
              </w:rPr>
            </w:pPr>
            <w:r>
              <w:rPr>
                <w:color w:val="000000"/>
                <w:lang w:eastAsia="cs-CZ"/>
              </w:rPr>
              <w:t>Kursové sázky</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35B373" w14:textId="77777777" w:rsidR="009D57AA" w:rsidRDefault="009D57AA" w:rsidP="00AD3B22">
            <w:pPr>
              <w:jc w:val="center"/>
              <w:rPr>
                <w:color w:val="000000"/>
                <w:lang w:eastAsia="cs-CZ"/>
              </w:rPr>
            </w:pPr>
            <w:r>
              <w:rPr>
                <w:color w:val="000000"/>
                <w:lang w:eastAsia="cs-CZ"/>
              </w:rPr>
              <w:t>14</w:t>
            </w:r>
          </w:p>
        </w:tc>
      </w:tr>
      <w:tr w:rsidR="009D57AA" w14:paraId="71280978"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8AD50BA" w14:textId="1F4F38C3" w:rsidR="009D57AA" w:rsidRDefault="009D57AA" w:rsidP="00AD3B22">
            <w:pPr>
              <w:jc w:val="center"/>
              <w:rPr>
                <w:color w:val="000000"/>
                <w:lang w:eastAsia="cs-CZ"/>
              </w:rPr>
            </w:pPr>
            <w:r>
              <w:rPr>
                <w:color w:val="000000"/>
                <w:lang w:eastAsia="cs-CZ"/>
              </w:rPr>
              <w:t>Sázkové hry v</w:t>
            </w:r>
            <w:r w:rsidR="00974162">
              <w:rPr>
                <w:color w:val="000000"/>
                <w:lang w:eastAsia="cs-CZ"/>
              </w:rPr>
              <w:t> </w:t>
            </w:r>
            <w:r>
              <w:rPr>
                <w:color w:val="000000"/>
                <w:lang w:eastAsia="cs-CZ"/>
              </w:rPr>
              <w:t>kasinu</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BFE985C" w14:textId="77777777" w:rsidR="009D57AA" w:rsidRDefault="009D57AA" w:rsidP="00AD3B22">
            <w:pPr>
              <w:jc w:val="center"/>
              <w:rPr>
                <w:color w:val="000000"/>
                <w:lang w:eastAsia="cs-CZ"/>
              </w:rPr>
            </w:pPr>
            <w:r>
              <w:rPr>
                <w:color w:val="000000"/>
                <w:lang w:eastAsia="cs-CZ"/>
              </w:rPr>
              <w:t>35</w:t>
            </w:r>
          </w:p>
        </w:tc>
      </w:tr>
      <w:tr w:rsidR="009D57AA" w14:paraId="676EF932"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8004358" w14:textId="4D5F774E" w:rsidR="009D57AA" w:rsidRDefault="009D57AA" w:rsidP="00AD3B22">
            <w:pPr>
              <w:jc w:val="center"/>
              <w:rPr>
                <w:color w:val="000000"/>
                <w:lang w:eastAsia="cs-CZ"/>
              </w:rPr>
            </w:pPr>
            <w:r>
              <w:rPr>
                <w:color w:val="000000"/>
                <w:lang w:eastAsia="cs-CZ"/>
              </w:rPr>
              <w:t>TZ - §</w:t>
            </w:r>
            <w:r w:rsidR="003926A1">
              <w:rPr>
                <w:color w:val="000000"/>
                <w:lang w:eastAsia="cs-CZ"/>
              </w:rPr>
              <w:t xml:space="preserve"> </w:t>
            </w:r>
            <w:r>
              <w:rPr>
                <w:color w:val="000000"/>
                <w:lang w:eastAsia="cs-CZ"/>
              </w:rPr>
              <w:t>2 j)</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D245F76" w14:textId="77777777" w:rsidR="009D57AA" w:rsidRDefault="009D57AA" w:rsidP="00AD3B22">
            <w:pPr>
              <w:jc w:val="center"/>
              <w:rPr>
                <w:color w:val="000000"/>
                <w:lang w:eastAsia="cs-CZ"/>
              </w:rPr>
            </w:pPr>
            <w:r>
              <w:rPr>
                <w:color w:val="000000"/>
                <w:lang w:eastAsia="cs-CZ"/>
              </w:rPr>
              <w:t>5</w:t>
            </w:r>
          </w:p>
        </w:tc>
      </w:tr>
      <w:tr w:rsidR="009D57AA" w14:paraId="100B7C0E"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75AF05F" w14:textId="77777777" w:rsidR="009D57AA" w:rsidRDefault="009D57AA" w:rsidP="00AD3B22">
            <w:pPr>
              <w:jc w:val="center"/>
              <w:rPr>
                <w:color w:val="000000"/>
                <w:lang w:eastAsia="cs-CZ"/>
              </w:rPr>
            </w:pPr>
            <w:r>
              <w:rPr>
                <w:color w:val="000000"/>
                <w:lang w:eastAsia="cs-CZ"/>
              </w:rPr>
              <w:t>Dostihy</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6C433FE" w14:textId="77777777" w:rsidR="009D57AA" w:rsidRDefault="009D57AA" w:rsidP="00AD3B22">
            <w:pPr>
              <w:jc w:val="center"/>
              <w:rPr>
                <w:color w:val="000000"/>
                <w:lang w:eastAsia="cs-CZ"/>
              </w:rPr>
            </w:pPr>
            <w:r>
              <w:rPr>
                <w:color w:val="000000"/>
                <w:lang w:eastAsia="cs-CZ"/>
              </w:rPr>
              <w:t>1</w:t>
            </w:r>
          </w:p>
        </w:tc>
      </w:tr>
      <w:tr w:rsidR="009D57AA" w14:paraId="0F31D6C6"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3A2E454" w14:textId="77777777" w:rsidR="009D57AA" w:rsidRDefault="009D57AA" w:rsidP="00AD3B22">
            <w:pPr>
              <w:jc w:val="center"/>
              <w:rPr>
                <w:color w:val="000000"/>
                <w:lang w:eastAsia="cs-CZ"/>
              </w:rPr>
            </w:pPr>
            <w:r>
              <w:rPr>
                <w:color w:val="000000"/>
                <w:lang w:eastAsia="cs-CZ"/>
              </w:rPr>
              <w:t>IVT</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B1E29AE" w14:textId="77777777" w:rsidR="009D57AA" w:rsidRDefault="009D57AA" w:rsidP="00AD3B22">
            <w:pPr>
              <w:jc w:val="center"/>
              <w:rPr>
                <w:color w:val="000000"/>
                <w:lang w:eastAsia="cs-CZ"/>
              </w:rPr>
            </w:pPr>
            <w:r>
              <w:rPr>
                <w:color w:val="000000"/>
                <w:lang w:eastAsia="cs-CZ"/>
              </w:rPr>
              <w:t>32</w:t>
            </w:r>
          </w:p>
        </w:tc>
      </w:tr>
      <w:tr w:rsidR="009D57AA" w14:paraId="1ABF3AA2"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6092640" w14:textId="77777777" w:rsidR="009D57AA" w:rsidRDefault="009D57AA" w:rsidP="00AD3B22">
            <w:pPr>
              <w:jc w:val="center"/>
              <w:rPr>
                <w:color w:val="000000"/>
                <w:lang w:eastAsia="cs-CZ"/>
              </w:rPr>
            </w:pPr>
            <w:r>
              <w:rPr>
                <w:color w:val="000000"/>
                <w:lang w:eastAsia="cs-CZ"/>
              </w:rPr>
              <w:t>Turnaje v povoleném kasinu</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80D2132" w14:textId="77777777" w:rsidR="009D57AA" w:rsidRDefault="009D57AA" w:rsidP="00AD3B22">
            <w:pPr>
              <w:jc w:val="center"/>
              <w:rPr>
                <w:color w:val="000000"/>
                <w:lang w:eastAsia="cs-CZ"/>
              </w:rPr>
            </w:pPr>
            <w:r>
              <w:rPr>
                <w:color w:val="000000"/>
                <w:lang w:eastAsia="cs-CZ"/>
              </w:rPr>
              <w:t>10</w:t>
            </w:r>
          </w:p>
        </w:tc>
      </w:tr>
      <w:tr w:rsidR="009D57AA" w14:paraId="6937653E"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539068F" w14:textId="77777777" w:rsidR="009D57AA" w:rsidRDefault="009D57AA" w:rsidP="00AD3B22">
            <w:pPr>
              <w:jc w:val="center"/>
              <w:rPr>
                <w:color w:val="000000"/>
                <w:lang w:eastAsia="cs-CZ"/>
              </w:rPr>
            </w:pPr>
            <w:r>
              <w:rPr>
                <w:color w:val="000000"/>
                <w:lang w:eastAsia="cs-CZ"/>
              </w:rPr>
              <w:t>Internetové karetní hry</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7BD6E25" w14:textId="77777777" w:rsidR="009D57AA" w:rsidRDefault="009D57AA" w:rsidP="00AD3B22">
            <w:pPr>
              <w:jc w:val="center"/>
              <w:rPr>
                <w:color w:val="000000"/>
                <w:lang w:eastAsia="cs-CZ"/>
              </w:rPr>
            </w:pPr>
            <w:r>
              <w:rPr>
                <w:color w:val="000000"/>
                <w:lang w:eastAsia="cs-CZ"/>
              </w:rPr>
              <w:t>2</w:t>
            </w:r>
          </w:p>
        </w:tc>
      </w:tr>
      <w:tr w:rsidR="009D57AA" w14:paraId="768FEEF9"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D33F9A2" w14:textId="77777777" w:rsidR="009D57AA" w:rsidRDefault="009D57AA" w:rsidP="00AD3B22">
            <w:pPr>
              <w:jc w:val="center"/>
              <w:rPr>
                <w:color w:val="000000"/>
                <w:lang w:eastAsia="cs-CZ"/>
              </w:rPr>
            </w:pPr>
            <w:r>
              <w:rPr>
                <w:color w:val="000000"/>
                <w:lang w:eastAsia="cs-CZ"/>
              </w:rPr>
              <w:t>LLS</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DFC63DE" w14:textId="77777777" w:rsidR="009D57AA" w:rsidRDefault="009D57AA" w:rsidP="00AD3B22">
            <w:pPr>
              <w:jc w:val="center"/>
              <w:rPr>
                <w:color w:val="000000"/>
                <w:lang w:eastAsia="cs-CZ"/>
              </w:rPr>
            </w:pPr>
            <w:r>
              <w:rPr>
                <w:color w:val="000000"/>
                <w:lang w:eastAsia="cs-CZ"/>
              </w:rPr>
              <w:t>26</w:t>
            </w:r>
          </w:p>
        </w:tc>
      </w:tr>
      <w:tr w:rsidR="009D57AA" w14:paraId="2A9546D2"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ACFB08F" w14:textId="77777777" w:rsidR="009D57AA" w:rsidRDefault="009D57AA" w:rsidP="00AD3B22">
            <w:pPr>
              <w:jc w:val="center"/>
              <w:rPr>
                <w:color w:val="000000"/>
                <w:lang w:eastAsia="cs-CZ"/>
              </w:rPr>
            </w:pPr>
            <w:r>
              <w:rPr>
                <w:color w:val="000000"/>
                <w:lang w:eastAsia="cs-CZ"/>
              </w:rPr>
              <w:t>e-hry</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CB51937" w14:textId="77777777" w:rsidR="009D57AA" w:rsidRDefault="009D57AA" w:rsidP="00AD3B22">
            <w:pPr>
              <w:jc w:val="center"/>
              <w:rPr>
                <w:color w:val="000000"/>
                <w:lang w:eastAsia="cs-CZ"/>
              </w:rPr>
            </w:pPr>
            <w:r>
              <w:rPr>
                <w:color w:val="000000"/>
                <w:lang w:eastAsia="cs-CZ"/>
              </w:rPr>
              <w:t>2</w:t>
            </w:r>
          </w:p>
        </w:tc>
      </w:tr>
      <w:tr w:rsidR="009D57AA" w14:paraId="77A1E20F"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BCAB916" w14:textId="77777777" w:rsidR="009D57AA" w:rsidRDefault="009D57AA" w:rsidP="00AD3B22">
            <w:pPr>
              <w:jc w:val="center"/>
              <w:rPr>
                <w:color w:val="000000"/>
                <w:lang w:eastAsia="cs-CZ"/>
              </w:rPr>
            </w:pPr>
            <w:r>
              <w:rPr>
                <w:color w:val="000000"/>
                <w:lang w:eastAsia="cs-CZ"/>
              </w:rPr>
              <w:t>EMR</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B2B4FD0" w14:textId="77777777" w:rsidR="009D57AA" w:rsidRDefault="009D57AA" w:rsidP="00AD3B22">
            <w:pPr>
              <w:jc w:val="center"/>
              <w:rPr>
                <w:color w:val="000000"/>
                <w:lang w:eastAsia="cs-CZ"/>
              </w:rPr>
            </w:pPr>
            <w:r>
              <w:rPr>
                <w:color w:val="000000"/>
                <w:lang w:eastAsia="cs-CZ"/>
              </w:rPr>
              <w:t>32</w:t>
            </w:r>
          </w:p>
        </w:tc>
      </w:tr>
      <w:tr w:rsidR="009D57AA" w14:paraId="6D52C81C"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86A5143" w14:textId="77777777" w:rsidR="009D57AA" w:rsidRDefault="009D57AA" w:rsidP="00AD3B22">
            <w:pPr>
              <w:jc w:val="center"/>
              <w:rPr>
                <w:color w:val="000000"/>
                <w:lang w:eastAsia="cs-CZ"/>
              </w:rPr>
            </w:pPr>
            <w:r>
              <w:rPr>
                <w:color w:val="000000"/>
                <w:lang w:eastAsia="cs-CZ"/>
              </w:rPr>
              <w:t>Internetové kursové sázky</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1BC3BE6" w14:textId="77777777" w:rsidR="009D57AA" w:rsidRDefault="009D57AA" w:rsidP="00AD3B22">
            <w:pPr>
              <w:jc w:val="center"/>
              <w:rPr>
                <w:color w:val="000000"/>
                <w:lang w:eastAsia="cs-CZ"/>
              </w:rPr>
            </w:pPr>
            <w:r>
              <w:rPr>
                <w:color w:val="000000"/>
                <w:lang w:eastAsia="cs-CZ"/>
              </w:rPr>
              <w:t>9</w:t>
            </w:r>
          </w:p>
        </w:tc>
      </w:tr>
      <w:tr w:rsidR="009D57AA" w14:paraId="42100A54" w14:textId="77777777" w:rsidTr="00AD3B22">
        <w:trPr>
          <w:trHeight w:val="300"/>
        </w:trPr>
        <w:tc>
          <w:tcPr>
            <w:tcW w:w="306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BD3C70C" w14:textId="77777777" w:rsidR="009D57AA" w:rsidRDefault="009D57AA" w:rsidP="00AD3B22">
            <w:pPr>
              <w:jc w:val="center"/>
              <w:rPr>
                <w:color w:val="000000"/>
                <w:lang w:eastAsia="cs-CZ"/>
              </w:rPr>
            </w:pPr>
            <w:r>
              <w:rPr>
                <w:color w:val="000000"/>
                <w:lang w:eastAsia="cs-CZ"/>
              </w:rPr>
              <w:t>ostatní § 50/3</w:t>
            </w:r>
          </w:p>
        </w:tc>
        <w:tc>
          <w:tcPr>
            <w:tcW w:w="193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687C7FD" w14:textId="77777777" w:rsidR="009D57AA" w:rsidRDefault="009D57AA" w:rsidP="00AD3B22">
            <w:pPr>
              <w:jc w:val="center"/>
              <w:rPr>
                <w:color w:val="000000"/>
                <w:lang w:eastAsia="cs-CZ"/>
              </w:rPr>
            </w:pPr>
            <w:r>
              <w:rPr>
                <w:color w:val="000000"/>
                <w:lang w:eastAsia="cs-CZ"/>
              </w:rPr>
              <w:t>17</w:t>
            </w:r>
          </w:p>
        </w:tc>
      </w:tr>
    </w:tbl>
    <w:p w14:paraId="3CF50F38" w14:textId="77777777" w:rsidR="00080B69" w:rsidRDefault="009D57AA" w:rsidP="00080B69">
      <w:pPr>
        <w:rPr>
          <w:rFonts w:cs="Arial"/>
          <w:i/>
          <w:sz w:val="20"/>
          <w:szCs w:val="20"/>
        </w:rPr>
      </w:pPr>
      <w:r w:rsidRPr="003B5923">
        <w:rPr>
          <w:rFonts w:cs="Arial"/>
          <w:i/>
          <w:sz w:val="20"/>
          <w:szCs w:val="20"/>
        </w:rPr>
        <w:t>Zdroj: Ministerstvo financí</w:t>
      </w:r>
      <w:r w:rsidR="00955065">
        <w:rPr>
          <w:rFonts w:cs="Arial"/>
          <w:i/>
          <w:sz w:val="20"/>
          <w:szCs w:val="20"/>
        </w:rPr>
        <w:t>.</w:t>
      </w:r>
    </w:p>
    <w:p w14:paraId="2EFFBC0D" w14:textId="0C2EF507" w:rsidR="00955065" w:rsidRPr="00080B69" w:rsidRDefault="00955065" w:rsidP="00080B69">
      <w:pPr>
        <w:rPr>
          <w:rFonts w:cs="Arial"/>
          <w:i/>
          <w:sz w:val="20"/>
          <w:szCs w:val="20"/>
        </w:rPr>
      </w:pPr>
      <w:bookmarkStart w:id="94" w:name="_Toc73524685"/>
      <w:r w:rsidRPr="00080B69">
        <w:rPr>
          <w:i/>
        </w:rPr>
        <w:t xml:space="preserve">Tabulka č. </w:t>
      </w:r>
      <w:r w:rsidR="00972B08" w:rsidRPr="00080B69">
        <w:rPr>
          <w:i/>
        </w:rPr>
        <w:fldChar w:fldCharType="begin"/>
      </w:r>
      <w:r w:rsidR="00972B08" w:rsidRPr="00080B69">
        <w:rPr>
          <w:i/>
        </w:rPr>
        <w:instrText xml:space="preserve"> SEQ Tabulka_č. \* ARABIC </w:instrText>
      </w:r>
      <w:r w:rsidR="00972B08" w:rsidRPr="00080B69">
        <w:rPr>
          <w:i/>
        </w:rPr>
        <w:fldChar w:fldCharType="separate"/>
      </w:r>
      <w:r w:rsidR="00B0565F">
        <w:rPr>
          <w:i/>
          <w:noProof/>
        </w:rPr>
        <w:t>8</w:t>
      </w:r>
      <w:r w:rsidR="00972B08" w:rsidRPr="00080B69">
        <w:rPr>
          <w:i/>
          <w:noProof/>
        </w:rPr>
        <w:fldChar w:fldCharType="end"/>
      </w:r>
      <w:r w:rsidRPr="00080B69">
        <w:rPr>
          <w:i/>
        </w:rPr>
        <w:t>: Počet vydaných základních povolení podle zákona o hazardních hrách podle druhu hazardní hry a způsobu provozování (stav k 15. 4. 2021)</w:t>
      </w:r>
      <w:bookmarkEnd w:id="94"/>
    </w:p>
    <w:tbl>
      <w:tblPr>
        <w:tblW w:w="5000" w:type="pct"/>
        <w:tblCellMar>
          <w:left w:w="0" w:type="dxa"/>
          <w:right w:w="0" w:type="dxa"/>
        </w:tblCellMar>
        <w:tblLook w:val="04A0" w:firstRow="1" w:lastRow="0" w:firstColumn="1" w:lastColumn="0" w:noHBand="0" w:noVBand="1"/>
      </w:tblPr>
      <w:tblGrid>
        <w:gridCol w:w="2233"/>
        <w:gridCol w:w="2940"/>
        <w:gridCol w:w="1500"/>
        <w:gridCol w:w="1039"/>
        <w:gridCol w:w="1500"/>
      </w:tblGrid>
      <w:tr w:rsidR="009D57AA" w14:paraId="18A86B3F" w14:textId="77777777" w:rsidTr="00AD3B22">
        <w:trPr>
          <w:trHeight w:val="350"/>
        </w:trPr>
        <w:tc>
          <w:tcPr>
            <w:tcW w:w="1212" w:type="pc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653B66B" w14:textId="77777777" w:rsidR="009D57AA" w:rsidRDefault="009D57AA" w:rsidP="00AD3B22">
            <w:pPr>
              <w:jc w:val="center"/>
              <w:rPr>
                <w:rFonts w:ascii="Calibri" w:hAnsi="Calibri"/>
                <w:b/>
                <w:bCs/>
                <w:color w:val="000000"/>
                <w:sz w:val="22"/>
                <w:lang w:eastAsia="cs-CZ"/>
              </w:rPr>
            </w:pPr>
            <w:r>
              <w:rPr>
                <w:b/>
                <w:bCs/>
                <w:color w:val="000000"/>
                <w:lang w:eastAsia="cs-CZ"/>
              </w:rPr>
              <w:t>Druh hazardní hry</w:t>
            </w:r>
          </w:p>
        </w:tc>
        <w:tc>
          <w:tcPr>
            <w:tcW w:w="1596"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48A050E" w14:textId="77777777" w:rsidR="009D57AA" w:rsidRDefault="009D57AA" w:rsidP="00AD3B22">
            <w:pPr>
              <w:jc w:val="center"/>
              <w:rPr>
                <w:b/>
                <w:bCs/>
                <w:color w:val="000000"/>
                <w:lang w:eastAsia="cs-CZ"/>
              </w:rPr>
            </w:pPr>
            <w:r>
              <w:rPr>
                <w:b/>
                <w:bCs/>
                <w:color w:val="000000"/>
                <w:lang w:eastAsia="cs-CZ"/>
              </w:rPr>
              <w:t>Celkový počet</w:t>
            </w:r>
          </w:p>
          <w:p w14:paraId="7DF0D049" w14:textId="77777777" w:rsidR="009D57AA" w:rsidRDefault="009D57AA" w:rsidP="00AD3B22">
            <w:pPr>
              <w:jc w:val="center"/>
              <w:rPr>
                <w:b/>
                <w:bCs/>
                <w:color w:val="000000"/>
                <w:lang w:eastAsia="cs-CZ"/>
              </w:rPr>
            </w:pPr>
            <w:r>
              <w:rPr>
                <w:b/>
                <w:bCs/>
                <w:color w:val="000000"/>
                <w:lang w:eastAsia="cs-CZ"/>
              </w:rPr>
              <w:t>základních povolení</w:t>
            </w:r>
          </w:p>
        </w:tc>
        <w:tc>
          <w:tcPr>
            <w:tcW w:w="814"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A73776F" w14:textId="3E2049E1" w:rsidR="009D57AA" w:rsidRDefault="00FF7102" w:rsidP="00AD3B22">
            <w:pPr>
              <w:jc w:val="center"/>
              <w:rPr>
                <w:b/>
                <w:bCs/>
                <w:color w:val="000000"/>
                <w:lang w:eastAsia="cs-CZ"/>
              </w:rPr>
            </w:pPr>
            <w:r>
              <w:rPr>
                <w:b/>
                <w:bCs/>
                <w:color w:val="000000"/>
                <w:lang w:eastAsia="cs-CZ"/>
              </w:rPr>
              <w:t>Land-</w:t>
            </w:r>
            <w:r w:rsidR="009D57AA">
              <w:rPr>
                <w:b/>
                <w:bCs/>
                <w:color w:val="000000"/>
                <w:lang w:eastAsia="cs-CZ"/>
              </w:rPr>
              <w:t>based</w:t>
            </w:r>
          </w:p>
        </w:tc>
        <w:tc>
          <w:tcPr>
            <w:tcW w:w="564"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5AB99AFD" w14:textId="77777777" w:rsidR="009D57AA" w:rsidRDefault="009D57AA" w:rsidP="00AD3B22">
            <w:pPr>
              <w:jc w:val="center"/>
              <w:rPr>
                <w:b/>
                <w:bCs/>
                <w:color w:val="000000"/>
                <w:lang w:eastAsia="cs-CZ"/>
              </w:rPr>
            </w:pPr>
            <w:r>
              <w:rPr>
                <w:b/>
                <w:bCs/>
                <w:color w:val="000000"/>
                <w:lang w:eastAsia="cs-CZ"/>
              </w:rPr>
              <w:t>Internet</w:t>
            </w:r>
          </w:p>
        </w:tc>
        <w:tc>
          <w:tcPr>
            <w:tcW w:w="814"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D7BC88F" w14:textId="375317DD" w:rsidR="009D57AA" w:rsidRDefault="00FF7102" w:rsidP="00AD3B22">
            <w:pPr>
              <w:jc w:val="center"/>
              <w:rPr>
                <w:b/>
                <w:bCs/>
                <w:color w:val="000000"/>
                <w:lang w:eastAsia="cs-CZ"/>
              </w:rPr>
            </w:pPr>
            <w:r>
              <w:rPr>
                <w:b/>
                <w:bCs/>
                <w:color w:val="000000"/>
                <w:lang w:eastAsia="cs-CZ"/>
              </w:rPr>
              <w:t>Land-</w:t>
            </w:r>
            <w:r w:rsidR="009D57AA">
              <w:rPr>
                <w:b/>
                <w:bCs/>
                <w:color w:val="000000"/>
                <w:lang w:eastAsia="cs-CZ"/>
              </w:rPr>
              <w:t>based</w:t>
            </w:r>
          </w:p>
          <w:p w14:paraId="30C9D7F6" w14:textId="77777777" w:rsidR="009D57AA" w:rsidRDefault="009D57AA" w:rsidP="00AD3B22">
            <w:pPr>
              <w:jc w:val="center"/>
              <w:rPr>
                <w:b/>
                <w:bCs/>
                <w:color w:val="000000"/>
                <w:lang w:eastAsia="cs-CZ"/>
              </w:rPr>
            </w:pPr>
            <w:r>
              <w:rPr>
                <w:b/>
                <w:bCs/>
                <w:color w:val="000000"/>
                <w:lang w:eastAsia="cs-CZ"/>
              </w:rPr>
              <w:t>+</w:t>
            </w:r>
          </w:p>
          <w:p w14:paraId="4A6ED32E" w14:textId="77777777" w:rsidR="009D57AA" w:rsidRDefault="009D57AA" w:rsidP="00AD3B22">
            <w:pPr>
              <w:jc w:val="center"/>
              <w:rPr>
                <w:b/>
                <w:bCs/>
                <w:color w:val="000000"/>
                <w:lang w:eastAsia="cs-CZ"/>
              </w:rPr>
            </w:pPr>
            <w:r>
              <w:rPr>
                <w:b/>
                <w:bCs/>
                <w:color w:val="000000"/>
                <w:lang w:eastAsia="cs-CZ"/>
              </w:rPr>
              <w:t>Internet</w:t>
            </w:r>
          </w:p>
        </w:tc>
      </w:tr>
      <w:tr w:rsidR="009D57AA" w14:paraId="0F318EC2" w14:textId="77777777" w:rsidTr="00AD3B22">
        <w:trPr>
          <w:trHeight w:val="350"/>
        </w:trPr>
        <w:tc>
          <w:tcPr>
            <w:tcW w:w="1212"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0271A12" w14:textId="77777777" w:rsidR="009D57AA" w:rsidRDefault="009D57AA" w:rsidP="00AD3B22">
            <w:pPr>
              <w:rPr>
                <w:color w:val="000000"/>
                <w:lang w:eastAsia="cs-CZ"/>
              </w:rPr>
            </w:pPr>
            <w:r>
              <w:rPr>
                <w:color w:val="000000"/>
                <w:lang w:eastAsia="cs-CZ"/>
              </w:rPr>
              <w:t>Bingo</w:t>
            </w:r>
          </w:p>
        </w:tc>
        <w:tc>
          <w:tcPr>
            <w:tcW w:w="1596"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71FD145" w14:textId="77777777" w:rsidR="009D57AA" w:rsidRDefault="009D57AA" w:rsidP="00AD3B22">
            <w:pPr>
              <w:jc w:val="center"/>
              <w:rPr>
                <w:color w:val="000000"/>
                <w:lang w:eastAsia="cs-CZ"/>
              </w:rPr>
            </w:pPr>
            <w:r>
              <w:rPr>
                <w:color w:val="000000"/>
                <w:lang w:eastAsia="cs-CZ"/>
              </w:rPr>
              <w:t>1</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AC2EC4" w14:textId="77777777" w:rsidR="009D57AA" w:rsidRDefault="009D57AA" w:rsidP="00AD3B22">
            <w:pPr>
              <w:jc w:val="center"/>
              <w:rPr>
                <w:color w:val="000000"/>
                <w:lang w:eastAsia="cs-CZ"/>
              </w:rPr>
            </w:pPr>
            <w:r>
              <w:rPr>
                <w:color w:val="000000"/>
                <w:lang w:eastAsia="cs-CZ"/>
              </w:rPr>
              <w:t>1</w:t>
            </w:r>
          </w:p>
        </w:tc>
        <w:tc>
          <w:tcPr>
            <w:tcW w:w="56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8AE1DB" w14:textId="77777777" w:rsidR="009D57AA" w:rsidRDefault="009D57AA" w:rsidP="00AD3B22">
            <w:pPr>
              <w:jc w:val="center"/>
              <w:rPr>
                <w:color w:val="000000"/>
                <w:lang w:eastAsia="cs-CZ"/>
              </w:rPr>
            </w:pPr>
            <w:r>
              <w:rPr>
                <w:color w:val="000000"/>
                <w:lang w:eastAsia="cs-CZ"/>
              </w:rPr>
              <w:t>0</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D07616E" w14:textId="77777777" w:rsidR="009D57AA" w:rsidRDefault="009D57AA" w:rsidP="00AD3B22">
            <w:pPr>
              <w:jc w:val="center"/>
              <w:rPr>
                <w:color w:val="000000"/>
                <w:lang w:eastAsia="cs-CZ"/>
              </w:rPr>
            </w:pPr>
            <w:r>
              <w:rPr>
                <w:color w:val="000000"/>
                <w:lang w:eastAsia="cs-CZ"/>
              </w:rPr>
              <w:t>0</w:t>
            </w:r>
          </w:p>
        </w:tc>
      </w:tr>
      <w:tr w:rsidR="009D57AA" w14:paraId="1C5DB621" w14:textId="77777777" w:rsidTr="00AD3B22">
        <w:trPr>
          <w:trHeight w:val="350"/>
        </w:trPr>
        <w:tc>
          <w:tcPr>
            <w:tcW w:w="1212"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B3E5B20" w14:textId="77777777" w:rsidR="009D57AA" w:rsidRDefault="009D57AA" w:rsidP="00AD3B22">
            <w:pPr>
              <w:rPr>
                <w:color w:val="000000"/>
                <w:lang w:eastAsia="cs-CZ"/>
              </w:rPr>
            </w:pPr>
            <w:r>
              <w:rPr>
                <w:color w:val="000000"/>
                <w:lang w:eastAsia="cs-CZ"/>
              </w:rPr>
              <w:t>Kursová sázka</w:t>
            </w:r>
          </w:p>
        </w:tc>
        <w:tc>
          <w:tcPr>
            <w:tcW w:w="1596"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3AD2BD" w14:textId="77777777" w:rsidR="009D57AA" w:rsidRDefault="009D57AA" w:rsidP="00AD3B22">
            <w:pPr>
              <w:jc w:val="center"/>
              <w:rPr>
                <w:color w:val="000000"/>
                <w:lang w:eastAsia="cs-CZ"/>
              </w:rPr>
            </w:pPr>
            <w:r>
              <w:rPr>
                <w:color w:val="000000"/>
                <w:lang w:eastAsia="cs-CZ"/>
              </w:rPr>
              <w:t>8</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5B356BB" w14:textId="77777777" w:rsidR="009D57AA" w:rsidRDefault="009D57AA" w:rsidP="00AD3B22">
            <w:pPr>
              <w:jc w:val="center"/>
              <w:rPr>
                <w:color w:val="000000"/>
                <w:lang w:eastAsia="cs-CZ"/>
              </w:rPr>
            </w:pPr>
            <w:r>
              <w:rPr>
                <w:color w:val="000000"/>
                <w:lang w:eastAsia="cs-CZ"/>
              </w:rPr>
              <w:t>2</w:t>
            </w:r>
          </w:p>
        </w:tc>
        <w:tc>
          <w:tcPr>
            <w:tcW w:w="56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C131502" w14:textId="77777777" w:rsidR="009D57AA" w:rsidRDefault="009D57AA" w:rsidP="00AD3B22">
            <w:pPr>
              <w:jc w:val="center"/>
              <w:rPr>
                <w:color w:val="000000"/>
                <w:lang w:eastAsia="cs-CZ"/>
              </w:rPr>
            </w:pPr>
            <w:r>
              <w:rPr>
                <w:color w:val="000000"/>
                <w:lang w:eastAsia="cs-CZ"/>
              </w:rPr>
              <w:t>2</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319B5BB" w14:textId="77777777" w:rsidR="009D57AA" w:rsidRDefault="009D57AA" w:rsidP="00AD3B22">
            <w:pPr>
              <w:jc w:val="center"/>
              <w:rPr>
                <w:color w:val="000000"/>
                <w:lang w:eastAsia="cs-CZ"/>
              </w:rPr>
            </w:pPr>
            <w:r>
              <w:rPr>
                <w:color w:val="000000"/>
                <w:lang w:eastAsia="cs-CZ"/>
              </w:rPr>
              <w:t>4</w:t>
            </w:r>
          </w:p>
        </w:tc>
      </w:tr>
      <w:tr w:rsidR="009D57AA" w14:paraId="58909311" w14:textId="77777777" w:rsidTr="00AD3B22">
        <w:trPr>
          <w:trHeight w:val="350"/>
        </w:trPr>
        <w:tc>
          <w:tcPr>
            <w:tcW w:w="1212"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220D8BE" w14:textId="77777777" w:rsidR="009D57AA" w:rsidRDefault="009D57AA" w:rsidP="00AD3B22">
            <w:pPr>
              <w:rPr>
                <w:color w:val="000000"/>
                <w:lang w:eastAsia="cs-CZ"/>
              </w:rPr>
            </w:pPr>
            <w:r>
              <w:rPr>
                <w:color w:val="000000"/>
                <w:lang w:eastAsia="cs-CZ"/>
              </w:rPr>
              <w:t>Loterie</w:t>
            </w:r>
          </w:p>
        </w:tc>
        <w:tc>
          <w:tcPr>
            <w:tcW w:w="1596"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127D92C" w14:textId="77777777" w:rsidR="009D57AA" w:rsidRDefault="009D57AA" w:rsidP="00AD3B22">
            <w:pPr>
              <w:jc w:val="center"/>
              <w:rPr>
                <w:color w:val="000000"/>
                <w:lang w:eastAsia="cs-CZ"/>
              </w:rPr>
            </w:pPr>
            <w:r>
              <w:rPr>
                <w:color w:val="000000"/>
                <w:lang w:eastAsia="cs-CZ"/>
              </w:rPr>
              <w:t>6</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0C35943" w14:textId="77777777" w:rsidR="009D57AA" w:rsidRDefault="009D57AA" w:rsidP="00AD3B22">
            <w:pPr>
              <w:jc w:val="center"/>
              <w:rPr>
                <w:color w:val="000000"/>
                <w:lang w:eastAsia="cs-CZ"/>
              </w:rPr>
            </w:pPr>
            <w:r>
              <w:rPr>
                <w:color w:val="000000"/>
                <w:lang w:eastAsia="cs-CZ"/>
              </w:rPr>
              <w:t>3</w:t>
            </w:r>
          </w:p>
        </w:tc>
        <w:tc>
          <w:tcPr>
            <w:tcW w:w="564" w:type="pct"/>
            <w:noWrap/>
            <w:tcMar>
              <w:top w:w="0" w:type="dxa"/>
              <w:left w:w="70" w:type="dxa"/>
              <w:bottom w:w="0" w:type="dxa"/>
              <w:right w:w="70" w:type="dxa"/>
            </w:tcMar>
            <w:vAlign w:val="bottom"/>
            <w:hideMark/>
          </w:tcPr>
          <w:p w14:paraId="6143FE82" w14:textId="77777777" w:rsidR="009D57AA" w:rsidRDefault="009D57AA" w:rsidP="00AD3B22">
            <w:pPr>
              <w:jc w:val="center"/>
              <w:rPr>
                <w:color w:val="000000"/>
                <w:lang w:eastAsia="cs-CZ"/>
              </w:rPr>
            </w:pPr>
            <w:r>
              <w:rPr>
                <w:color w:val="000000"/>
                <w:lang w:eastAsia="cs-CZ"/>
              </w:rPr>
              <w:t>0</w:t>
            </w:r>
          </w:p>
        </w:tc>
        <w:tc>
          <w:tcPr>
            <w:tcW w:w="814"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887B0A6" w14:textId="77777777" w:rsidR="009D57AA" w:rsidRDefault="009D57AA" w:rsidP="00AD3B22">
            <w:pPr>
              <w:jc w:val="center"/>
              <w:rPr>
                <w:color w:val="000000"/>
                <w:lang w:eastAsia="cs-CZ"/>
              </w:rPr>
            </w:pPr>
            <w:r>
              <w:rPr>
                <w:color w:val="000000"/>
                <w:lang w:eastAsia="cs-CZ"/>
              </w:rPr>
              <w:t>3</w:t>
            </w:r>
          </w:p>
        </w:tc>
      </w:tr>
      <w:tr w:rsidR="009D57AA" w14:paraId="28738670" w14:textId="77777777" w:rsidTr="00AD3B22">
        <w:trPr>
          <w:trHeight w:val="350"/>
        </w:trPr>
        <w:tc>
          <w:tcPr>
            <w:tcW w:w="1212"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D66C6F2" w14:textId="77777777" w:rsidR="009D57AA" w:rsidRDefault="009D57AA" w:rsidP="00AD3B22">
            <w:pPr>
              <w:rPr>
                <w:color w:val="000000"/>
                <w:lang w:eastAsia="cs-CZ"/>
              </w:rPr>
            </w:pPr>
            <w:r>
              <w:rPr>
                <w:color w:val="000000"/>
                <w:lang w:eastAsia="cs-CZ"/>
              </w:rPr>
              <w:t>Technická hra</w:t>
            </w:r>
          </w:p>
        </w:tc>
        <w:tc>
          <w:tcPr>
            <w:tcW w:w="1596"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AEB0E9A" w14:textId="77777777" w:rsidR="009D57AA" w:rsidRDefault="009D57AA" w:rsidP="00AD3B22">
            <w:pPr>
              <w:jc w:val="center"/>
              <w:rPr>
                <w:color w:val="000000"/>
                <w:lang w:eastAsia="cs-CZ"/>
              </w:rPr>
            </w:pPr>
            <w:r>
              <w:rPr>
                <w:color w:val="000000"/>
                <w:lang w:eastAsia="cs-CZ"/>
              </w:rPr>
              <w:t>44</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69BF7E0" w14:textId="77777777" w:rsidR="009D57AA" w:rsidRDefault="009D57AA" w:rsidP="00AD3B22">
            <w:pPr>
              <w:jc w:val="center"/>
              <w:rPr>
                <w:color w:val="000000"/>
                <w:lang w:eastAsia="cs-CZ"/>
              </w:rPr>
            </w:pPr>
            <w:r>
              <w:rPr>
                <w:color w:val="000000"/>
                <w:lang w:eastAsia="cs-CZ"/>
              </w:rPr>
              <w:t>33</w:t>
            </w:r>
          </w:p>
        </w:tc>
        <w:tc>
          <w:tcPr>
            <w:tcW w:w="564"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7880FC40" w14:textId="77777777" w:rsidR="009D57AA" w:rsidRDefault="009D57AA" w:rsidP="00AD3B22">
            <w:pPr>
              <w:jc w:val="center"/>
              <w:rPr>
                <w:color w:val="000000"/>
                <w:lang w:eastAsia="cs-CZ"/>
              </w:rPr>
            </w:pPr>
            <w:r>
              <w:rPr>
                <w:color w:val="000000"/>
                <w:lang w:eastAsia="cs-CZ"/>
              </w:rPr>
              <w:t>6</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75A2614" w14:textId="77777777" w:rsidR="009D57AA" w:rsidRDefault="009D57AA" w:rsidP="00AD3B22">
            <w:pPr>
              <w:jc w:val="center"/>
              <w:rPr>
                <w:color w:val="000000"/>
                <w:lang w:eastAsia="cs-CZ"/>
              </w:rPr>
            </w:pPr>
            <w:r>
              <w:rPr>
                <w:color w:val="000000"/>
                <w:lang w:eastAsia="cs-CZ"/>
              </w:rPr>
              <w:t>5</w:t>
            </w:r>
          </w:p>
        </w:tc>
      </w:tr>
      <w:tr w:rsidR="009D57AA" w14:paraId="4FE056BE" w14:textId="77777777" w:rsidTr="00AD3B22">
        <w:trPr>
          <w:trHeight w:val="350"/>
        </w:trPr>
        <w:tc>
          <w:tcPr>
            <w:tcW w:w="1212"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2F940DD" w14:textId="77777777" w:rsidR="009D57AA" w:rsidRDefault="009D57AA" w:rsidP="00AD3B22">
            <w:pPr>
              <w:rPr>
                <w:color w:val="000000"/>
                <w:lang w:eastAsia="cs-CZ"/>
              </w:rPr>
            </w:pPr>
            <w:r>
              <w:rPr>
                <w:color w:val="000000"/>
                <w:lang w:eastAsia="cs-CZ"/>
              </w:rPr>
              <w:t>Živá hra</w:t>
            </w:r>
          </w:p>
        </w:tc>
        <w:tc>
          <w:tcPr>
            <w:tcW w:w="1596"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F3A57BE" w14:textId="77777777" w:rsidR="009D57AA" w:rsidRDefault="009D57AA" w:rsidP="00AD3B22">
            <w:pPr>
              <w:jc w:val="center"/>
              <w:rPr>
                <w:color w:val="000000"/>
                <w:lang w:eastAsia="cs-CZ"/>
              </w:rPr>
            </w:pPr>
            <w:r>
              <w:rPr>
                <w:color w:val="000000"/>
                <w:lang w:eastAsia="cs-CZ"/>
              </w:rPr>
              <w:t>38</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C44FECB" w14:textId="77777777" w:rsidR="009D57AA" w:rsidRDefault="009D57AA" w:rsidP="00AD3B22">
            <w:pPr>
              <w:jc w:val="center"/>
              <w:rPr>
                <w:color w:val="000000"/>
                <w:lang w:eastAsia="cs-CZ"/>
              </w:rPr>
            </w:pPr>
            <w:r>
              <w:rPr>
                <w:color w:val="000000"/>
                <w:lang w:eastAsia="cs-CZ"/>
              </w:rPr>
              <w:t>30</w:t>
            </w:r>
          </w:p>
        </w:tc>
        <w:tc>
          <w:tcPr>
            <w:tcW w:w="56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DEFABBA" w14:textId="77777777" w:rsidR="009D57AA" w:rsidRDefault="009D57AA" w:rsidP="00AD3B22">
            <w:pPr>
              <w:jc w:val="center"/>
              <w:rPr>
                <w:color w:val="000000"/>
                <w:lang w:eastAsia="cs-CZ"/>
              </w:rPr>
            </w:pPr>
            <w:r>
              <w:rPr>
                <w:color w:val="000000"/>
                <w:lang w:eastAsia="cs-CZ"/>
              </w:rPr>
              <w:t>5</w:t>
            </w:r>
          </w:p>
        </w:tc>
        <w:tc>
          <w:tcPr>
            <w:tcW w:w="814"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E9BF3AF" w14:textId="77777777" w:rsidR="009D57AA" w:rsidRDefault="009D57AA" w:rsidP="00AD3B22">
            <w:pPr>
              <w:jc w:val="center"/>
              <w:rPr>
                <w:color w:val="000000"/>
                <w:lang w:eastAsia="cs-CZ"/>
              </w:rPr>
            </w:pPr>
            <w:r>
              <w:rPr>
                <w:color w:val="000000"/>
                <w:lang w:eastAsia="cs-CZ"/>
              </w:rPr>
              <w:t>3</w:t>
            </w:r>
          </w:p>
        </w:tc>
      </w:tr>
    </w:tbl>
    <w:p w14:paraId="6C6C8C84" w14:textId="546064A6" w:rsidR="009D57AA" w:rsidRPr="003B5923" w:rsidRDefault="009D57AA" w:rsidP="009D57AA">
      <w:pPr>
        <w:rPr>
          <w:rFonts w:cs="Arial"/>
          <w:i/>
          <w:sz w:val="20"/>
          <w:szCs w:val="20"/>
        </w:rPr>
      </w:pPr>
      <w:r w:rsidRPr="003B5923">
        <w:rPr>
          <w:rFonts w:cs="Arial"/>
          <w:i/>
          <w:sz w:val="20"/>
          <w:szCs w:val="20"/>
        </w:rPr>
        <w:t>Zdroj: Ministerstvo financí</w:t>
      </w:r>
      <w:r w:rsidR="00955065">
        <w:rPr>
          <w:rFonts w:cs="Arial"/>
          <w:i/>
          <w:sz w:val="20"/>
          <w:szCs w:val="20"/>
        </w:rPr>
        <w:t>.</w:t>
      </w:r>
    </w:p>
    <w:p w14:paraId="1B578776" w14:textId="0A97FA0E" w:rsidR="009D57AA" w:rsidRPr="0028792C" w:rsidRDefault="009D57AA" w:rsidP="00080B69">
      <w:r w:rsidRPr="00603726">
        <w:lastRenderedPageBreak/>
        <w:t xml:space="preserve">Postupně </w:t>
      </w:r>
      <w:r>
        <w:t xml:space="preserve">tak za účinnosti nové právní úpravy </w:t>
      </w:r>
      <w:r w:rsidRPr="00603726">
        <w:t>dochází ke změně struktury trhu hazardních her ve prospěch hazardních her provozovaných prostřednictvím internetu.</w:t>
      </w:r>
      <w:r w:rsidR="004B315F">
        <w:t xml:space="preserve"> Tento trend ještě v poslední době posílila pandemie </w:t>
      </w:r>
      <w:r w:rsidR="00BF0F1B">
        <w:t>covid-19</w:t>
      </w:r>
      <w:r w:rsidR="004B315F">
        <w:t>.</w:t>
      </w:r>
      <w:r w:rsidRPr="00603726">
        <w:t xml:space="preserve"> </w:t>
      </w:r>
      <w:r>
        <w:t xml:space="preserve">Internetová hra je aktuálně provozována (stav k 15. 4. 2021) v České republice celkem </w:t>
      </w:r>
      <w:r w:rsidR="00CC4C64">
        <w:t>16 </w:t>
      </w:r>
      <w:r w:rsidRPr="0028792C">
        <w:t>subjekty, z nichž 3 subjekty provozují pouze internetovou hru, 13</w:t>
      </w:r>
      <w:r>
        <w:t xml:space="preserve"> subjektů provozuje kombinaci obou způsobů provozování a to </w:t>
      </w:r>
      <w:r w:rsidR="00BF0F1B">
        <w:t xml:space="preserve">formou </w:t>
      </w:r>
      <w:r>
        <w:t>land</w:t>
      </w:r>
      <w:r w:rsidR="00FF7102">
        <w:t>-</w:t>
      </w:r>
      <w:r>
        <w:t xml:space="preserve">based i internet. </w:t>
      </w:r>
    </w:p>
    <w:p w14:paraId="07F475BD" w14:textId="7E8BE6AF" w:rsidR="009D57AA" w:rsidRDefault="009D57AA" w:rsidP="00080B69">
      <w:r w:rsidRPr="00603726">
        <w:t xml:space="preserve">Tento trend je zobrazen také na </w:t>
      </w:r>
      <w:r>
        <w:t>grafu níže. Do nabytí účinnosti zákona o </w:t>
      </w:r>
      <w:r w:rsidRPr="00603726">
        <w:t>hazardních hrách byl poměr mezi provozováním hazardních her formou land</w:t>
      </w:r>
      <w:r w:rsidR="001D51B3">
        <w:noBreakHyphen/>
      </w:r>
      <w:r w:rsidRPr="00603726">
        <w:t>based a</w:t>
      </w:r>
      <w:r>
        <w:t> </w:t>
      </w:r>
      <w:r w:rsidRPr="00603726">
        <w:t xml:space="preserve">prostřednictvím internetu poměrně stabilní, jelikož kromě kursové sázky a živé hry nebyly hazardní hry dle nastavené správní praxe Ministerstva financí provozovány prostřednictvím internetu, avšak od roku 2017 se rozlišuje mezi </w:t>
      </w:r>
      <w:r w:rsidR="00BF0F1B">
        <w:t xml:space="preserve">formou </w:t>
      </w:r>
      <w:r w:rsidRPr="00603726">
        <w:t>land</w:t>
      </w:r>
      <w:r w:rsidR="001D51B3">
        <w:noBreakHyphen/>
      </w:r>
      <w:r w:rsidRPr="00603726">
        <w:t>based a</w:t>
      </w:r>
      <w:r>
        <w:t> </w:t>
      </w:r>
      <w:r w:rsidRPr="00603726">
        <w:t>internetem i u ostatních druhů hazardních her.</w:t>
      </w:r>
      <w:r>
        <w:t xml:space="preserve"> </w:t>
      </w:r>
      <w:r w:rsidRPr="00603726">
        <w:t>V roce 2020 se podíl internetových hazardních her na celkových výnosech daně z hazardních her zvýšil více než v</w:t>
      </w:r>
      <w:r>
        <w:t> </w:t>
      </w:r>
      <w:r w:rsidRPr="00603726">
        <w:t>předchozích letech, jelikož pandemická situace související s covidem-19 měla menší dopad na hazardní hry provozované prostřednictvím internetu.</w:t>
      </w:r>
    </w:p>
    <w:p w14:paraId="24080921" w14:textId="1D7D8783" w:rsidR="00955065" w:rsidRDefault="00955065" w:rsidP="00955065">
      <w:pPr>
        <w:pStyle w:val="Titulek"/>
        <w:keepNext/>
      </w:pPr>
      <w:bookmarkStart w:id="95" w:name="_Toc73611443"/>
      <w:r>
        <w:t xml:space="preserve">Graf č. </w:t>
      </w:r>
      <w:fldSimple w:instr=" SEQ Graf_č. \* ARABIC ">
        <w:r w:rsidR="00A860B8">
          <w:rPr>
            <w:noProof/>
          </w:rPr>
          <w:t>15</w:t>
        </w:r>
      </w:fldSimple>
      <w:r>
        <w:t xml:space="preserve">: </w:t>
      </w:r>
      <w:r w:rsidRPr="00656BED">
        <w:t xml:space="preserve">Vývoj výnosu dílčí daně z jednotlivých druhů hazardních her a vývoj podílu </w:t>
      </w:r>
      <w:r w:rsidR="007B336C">
        <w:t xml:space="preserve">v </w:t>
      </w:r>
      <w:r w:rsidRPr="00656BED">
        <w:t>land</w:t>
      </w:r>
      <w:r w:rsidR="00FF7102">
        <w:t>-</w:t>
      </w:r>
      <w:r w:rsidRPr="00656BED">
        <w:t xml:space="preserve">based </w:t>
      </w:r>
      <w:r w:rsidR="007B336C">
        <w:t xml:space="preserve">prostředí </w:t>
      </w:r>
      <w:r w:rsidRPr="00656BED">
        <w:t>a internetu na tomto výnosu za období</w:t>
      </w:r>
      <w:r>
        <w:t xml:space="preserve"> 2013–2020</w:t>
      </w:r>
      <w:bookmarkEnd w:id="95"/>
    </w:p>
    <w:p w14:paraId="14EEB2BA" w14:textId="77777777" w:rsidR="009D57AA" w:rsidRDefault="009D57AA" w:rsidP="009D57AA">
      <w:pPr>
        <w:keepNext/>
        <w:spacing w:after="80"/>
      </w:pPr>
      <w:r>
        <w:rPr>
          <w:rFonts w:cs="Arial"/>
          <w:noProof/>
          <w:lang w:eastAsia="cs-CZ"/>
        </w:rPr>
        <w:drawing>
          <wp:inline distT="0" distB="0" distL="0" distR="0" wp14:anchorId="5BCF25E8" wp14:editId="34EE0E4C">
            <wp:extent cx="5486400" cy="3200400"/>
            <wp:effectExtent l="0" t="0" r="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44B3508" w14:textId="494FC2B5" w:rsidR="009D57AA" w:rsidRPr="00955065" w:rsidRDefault="009D57AA" w:rsidP="009D57AA">
      <w:pPr>
        <w:pStyle w:val="Titulek"/>
        <w:spacing w:after="360"/>
        <w:rPr>
          <w:rFonts w:cs="Arial"/>
          <w:sz w:val="20"/>
        </w:rPr>
      </w:pPr>
      <w:r w:rsidRPr="00955065">
        <w:rPr>
          <w:rFonts w:cs="Arial"/>
          <w:sz w:val="20"/>
        </w:rPr>
        <w:t>Zdroj: Agregovaná data z daňových přiznání k dani z hazardních her (SFÚ)</w:t>
      </w:r>
      <w:r w:rsidR="00955065" w:rsidRPr="00955065">
        <w:rPr>
          <w:rFonts w:cs="Arial"/>
          <w:sz w:val="20"/>
        </w:rPr>
        <w:t>.</w:t>
      </w:r>
    </w:p>
    <w:p w14:paraId="743E34DE" w14:textId="75FDFB1E" w:rsidR="009D57AA" w:rsidRDefault="009D57AA" w:rsidP="009D57AA">
      <w:pPr>
        <w:rPr>
          <w:rFonts w:cs="Arial"/>
          <w:szCs w:val="24"/>
        </w:rPr>
      </w:pPr>
      <w:r w:rsidRPr="002E0DEB">
        <w:rPr>
          <w:rFonts w:cs="Arial"/>
          <w:b/>
          <w:szCs w:val="24"/>
        </w:rPr>
        <w:t>Nárůst významu internetu v provozování hazardních her je logickým důsledkem technologického pokroku a obecných trendů. Růst dostupnosti internetového připojení a význam, který hraje internet obecně v lidském životě, se samozřejmě vedle ostatních oblastí promítá i</w:t>
      </w:r>
      <w:r w:rsidR="001D51B3">
        <w:rPr>
          <w:rFonts w:cs="Arial"/>
          <w:b/>
          <w:szCs w:val="24"/>
        </w:rPr>
        <w:t xml:space="preserve"> do oblasti hazardních her, což </w:t>
      </w:r>
      <w:r w:rsidRPr="002E0DEB">
        <w:rPr>
          <w:rFonts w:cs="Arial"/>
          <w:b/>
          <w:szCs w:val="24"/>
        </w:rPr>
        <w:t xml:space="preserve">s sebou přináší nutnost právní úpravy, která by byla schopná čelit novým výzvám a požadavkům technologického pokroku a trendům. </w:t>
      </w:r>
      <w:r w:rsidRPr="00B01C1B">
        <w:rPr>
          <w:rFonts w:cs="Arial"/>
        </w:rPr>
        <w:t>Relevantní je to zejména z </w:t>
      </w:r>
      <w:r w:rsidRPr="00243706">
        <w:rPr>
          <w:rFonts w:cs="Arial"/>
        </w:rPr>
        <w:t>hlediska nabídky nových druhů her či produktů, které mohou naplňovat některé znaky hazardních her</w:t>
      </w:r>
      <w:r w:rsidRPr="00A87951">
        <w:rPr>
          <w:rFonts w:cs="Arial"/>
        </w:rPr>
        <w:t xml:space="preserve">. Zásadní jsou také formy nabízení a dostupnosti těchto produktů </w:t>
      </w:r>
      <w:r w:rsidRPr="007C268C">
        <w:rPr>
          <w:rFonts w:cs="Arial"/>
        </w:rPr>
        <w:t>pro širokou veřejnost včetně mladistvý</w:t>
      </w:r>
      <w:r>
        <w:rPr>
          <w:rFonts w:cs="Arial"/>
        </w:rPr>
        <w:t xml:space="preserve">ch a dětí. </w:t>
      </w:r>
    </w:p>
    <w:p w14:paraId="34DC5A00" w14:textId="556CFE55" w:rsidR="007E0AFD" w:rsidRDefault="009D57AA" w:rsidP="009D57AA">
      <w:pPr>
        <w:rPr>
          <w:rFonts w:cs="Arial"/>
        </w:rPr>
      </w:pPr>
      <w:r>
        <w:rPr>
          <w:rFonts w:cs="Arial"/>
          <w:szCs w:val="24"/>
        </w:rPr>
        <w:lastRenderedPageBreak/>
        <w:t xml:space="preserve">V průběhu účinnosti zákona o hazardních hrách se Ministerstvo financí setkalo také </w:t>
      </w:r>
      <w:r>
        <w:rPr>
          <w:rFonts w:cs="Arial"/>
        </w:rPr>
        <w:t>s koncepty, které obsahují kombinace prvků několika druhů hazardních her, popř.</w:t>
      </w:r>
      <w:r w:rsidR="00BF0F1B">
        <w:rPr>
          <w:rFonts w:cs="Arial"/>
        </w:rPr>
        <w:t> </w:t>
      </w:r>
      <w:r>
        <w:rPr>
          <w:rFonts w:cs="Arial"/>
        </w:rPr>
        <w:t xml:space="preserve">nenaplňují znaky žádného druhu hazardní hry, ale pouze její obecnou definici, což bylo i důvodem, proč nebyly tyto koncepty shledány jako souladné se zákonem o hazardních hrách. Lze tak shrnout, že ačkoli </w:t>
      </w:r>
      <w:r w:rsidRPr="00FC2573">
        <w:rPr>
          <w:rFonts w:cs="Arial"/>
          <w:b/>
        </w:rPr>
        <w:t xml:space="preserve">zákon o hazardních hrách vymezil a definoval poměrně jasně jednotlivé druhy hazardních her, </w:t>
      </w:r>
      <w:r w:rsidR="00AF5771">
        <w:rPr>
          <w:rFonts w:cs="Arial"/>
          <w:b/>
        </w:rPr>
        <w:t xml:space="preserve">zároveň </w:t>
      </w:r>
      <w:r w:rsidR="00BF0F1B">
        <w:rPr>
          <w:rFonts w:cs="Arial"/>
          <w:b/>
        </w:rPr>
        <w:t>omezil</w:t>
      </w:r>
      <w:r w:rsidR="00BF0F1B" w:rsidRPr="00FC2573">
        <w:rPr>
          <w:rFonts w:cs="Arial"/>
          <w:b/>
        </w:rPr>
        <w:t xml:space="preserve"> </w:t>
      </w:r>
      <w:r w:rsidRPr="00FC2573">
        <w:rPr>
          <w:rFonts w:cs="Arial"/>
          <w:b/>
        </w:rPr>
        <w:t xml:space="preserve">možnost provozování některých </w:t>
      </w:r>
      <w:r w:rsidR="00707094">
        <w:rPr>
          <w:rFonts w:cs="Arial"/>
          <w:b/>
        </w:rPr>
        <w:t xml:space="preserve">specifických </w:t>
      </w:r>
      <w:r w:rsidRPr="00FC2573">
        <w:rPr>
          <w:rFonts w:cs="Arial"/>
          <w:b/>
        </w:rPr>
        <w:t>konceptů hazardních her</w:t>
      </w:r>
      <w:r>
        <w:rPr>
          <w:rFonts w:cs="Arial"/>
        </w:rPr>
        <w:t>. Tento přístup v některých případech může znevýhodňovat prov</w:t>
      </w:r>
      <w:r w:rsidR="001D51B3">
        <w:rPr>
          <w:rFonts w:cs="Arial"/>
        </w:rPr>
        <w:t>ozovatele hazardních her oproti </w:t>
      </w:r>
      <w:r>
        <w:rPr>
          <w:rFonts w:cs="Arial"/>
        </w:rPr>
        <w:t xml:space="preserve">těm, kteří provozují hazardní hry bez základního povolení. Vedle postihu nelegálních provozovatelů je v odůvodněných případech žádoucí, aby zákon o hazardních hrách významně a bez řádného důvodu neomezoval pestrost nabízených hazardních her legální cestou, pokud je v takových případech možné zajištění ochrany účastníků hazardních her a řádného výkonu dozoru v této oblasti. Jednotlivých konceptům </w:t>
      </w:r>
      <w:r w:rsidR="004B315F">
        <w:rPr>
          <w:rFonts w:cs="Arial"/>
        </w:rPr>
        <w:t>a</w:t>
      </w:r>
      <w:r>
        <w:rPr>
          <w:rFonts w:cs="Arial"/>
        </w:rPr>
        <w:t xml:space="preserve"> možnostem řešení této problematiky se blíže věnuje </w:t>
      </w:r>
      <w:r w:rsidR="00F74683">
        <w:rPr>
          <w:rFonts w:cs="Arial"/>
        </w:rPr>
        <w:t>p</w:t>
      </w:r>
      <w:r w:rsidR="00A52FBD">
        <w:rPr>
          <w:rFonts w:cs="Arial"/>
        </w:rPr>
        <w:t>říloha č. 5 – Druhy hazardních her</w:t>
      </w:r>
      <w:r>
        <w:rPr>
          <w:rFonts w:cs="Arial"/>
        </w:rPr>
        <w:t>.</w:t>
      </w:r>
    </w:p>
    <w:p w14:paraId="6363C577" w14:textId="77777777" w:rsidR="00BB724C" w:rsidRPr="004B5D10" w:rsidRDefault="00BB724C" w:rsidP="00BB724C">
      <w:pPr>
        <w:pStyle w:val="Nadpis4"/>
      </w:pPr>
      <w:bookmarkStart w:id="96" w:name="_Toc72999563"/>
      <w:r w:rsidRPr="004B5D10">
        <w:t>Nový postup povolovacího řízení</w:t>
      </w:r>
      <w:bookmarkEnd w:id="96"/>
    </w:p>
    <w:p w14:paraId="059B5D72" w14:textId="77777777" w:rsidR="00BB724C" w:rsidRDefault="00BB724C" w:rsidP="00080B69">
      <w:r w:rsidRPr="00B41B2B">
        <w:t xml:space="preserve">Kromě možnosti obce regulovat provozování hazardních her na území obce prostřednictvím obecně závazných vyhlášek, obě právní úpravy zamýšlely obcím přiblížit také samotný povolovací proces. V případě </w:t>
      </w:r>
      <w:r>
        <w:t>zákona o loteriích se jednalo o </w:t>
      </w:r>
      <w:r w:rsidRPr="00B41B2B">
        <w:t xml:space="preserve">rozdělení pravomoci k vydávání povolení, kdy v určitých případech byly výherní hrací přístroje povolovány obecními, popř. krajskými úřady. V ostatních případech povolení vydávalo Ministerstvo financí. Tento způsob rozdělení pravomocí nicméně způsoboval mimo jiné roztříštěnost správní praxe a neodůvodněně umožňoval obcím zapojit se do procesu povolení provozování pouze jednoho z druhů technických zařízení. </w:t>
      </w:r>
      <w:r>
        <w:t>Zákon o </w:t>
      </w:r>
      <w:r w:rsidRPr="00B41B2B">
        <w:t>hazardních hrách od tohoto konceptu povolovacího řízení ustupuje a na</w:t>
      </w:r>
      <w:r>
        <w:t>opak v některých případech zavádí dvojstupňové řízení.</w:t>
      </w:r>
    </w:p>
    <w:p w14:paraId="345C9184" w14:textId="77777777" w:rsidR="00BB724C" w:rsidRPr="00622D5B" w:rsidRDefault="00BB724C" w:rsidP="00C55173">
      <w:pPr>
        <w:pStyle w:val="Nadpis6"/>
        <w:numPr>
          <w:ilvl w:val="0"/>
          <w:numId w:val="14"/>
        </w:numPr>
      </w:pPr>
      <w:bookmarkStart w:id="97" w:name="_Toc72999564"/>
      <w:r w:rsidRPr="00622D5B">
        <w:t>Základní povolení</w:t>
      </w:r>
      <w:bookmarkEnd w:id="97"/>
    </w:p>
    <w:p w14:paraId="5E474A25" w14:textId="143E108F" w:rsidR="00BB724C" w:rsidRDefault="00BB724C" w:rsidP="00080B69">
      <w:r w:rsidRPr="00B41B2B">
        <w:t>Ministerstvo financí po zhodnocení splně</w:t>
      </w:r>
      <w:r w:rsidR="001D51B3">
        <w:t>ní všech požadavků kladených na </w:t>
      </w:r>
      <w:r w:rsidRPr="00B41B2B">
        <w:t>provozovatele vydává základní povolení k p</w:t>
      </w:r>
      <w:r w:rsidR="001D51B3">
        <w:t>rovozování hazardních her, a to </w:t>
      </w:r>
      <w:r w:rsidRPr="00B41B2B">
        <w:t>jed</w:t>
      </w:r>
      <w:r>
        <w:t>notně na dobu 6 let</w:t>
      </w:r>
      <w:r w:rsidR="00554064">
        <w:t xml:space="preserve"> (</w:t>
      </w:r>
      <w:r w:rsidR="00554064" w:rsidRPr="00955065">
        <w:t>tato doba byla shledána adekvátní vzhledem k povaze oprávnění, které je tímto oprávněním udělováno)</w:t>
      </w:r>
      <w:r w:rsidRPr="00955065">
        <w:t xml:space="preserve">. </w:t>
      </w:r>
      <w:r w:rsidRPr="00B41B2B">
        <w:t xml:space="preserve">Tímto způsobem je </w:t>
      </w:r>
      <w:r w:rsidR="00554064">
        <w:t xml:space="preserve">mimo jiné </w:t>
      </w:r>
      <w:r w:rsidRPr="00B41B2B">
        <w:t>zajištěno, že nároky kladené na jednotlivé provozovatele budou posuzovány shodným způsobem, neboť tak činí tot</w:t>
      </w:r>
      <w:r>
        <w:t xml:space="preserve">ožný orgán. </w:t>
      </w:r>
      <w:r w:rsidR="00554064">
        <w:t xml:space="preserve">Relevantní </w:t>
      </w:r>
      <w:r w:rsidR="00A87DC8">
        <w:t xml:space="preserve">a spíše principiální než věcnou </w:t>
      </w:r>
      <w:r w:rsidR="00554064">
        <w:t xml:space="preserve">otázkou </w:t>
      </w:r>
      <w:r w:rsidR="00300B5A">
        <w:t xml:space="preserve">k potenciální budoucí diskuzi </w:t>
      </w:r>
      <w:r w:rsidR="00554064">
        <w:t>je, zda by tímto povolovacím orgánem v prvním stupni mělo být Ministerstvo financí</w:t>
      </w:r>
      <w:r w:rsidR="00300B5A">
        <w:t>, což není úplně standardní činnost ministerstev</w:t>
      </w:r>
      <w:r w:rsidR="00A87DC8">
        <w:t>, byť se</w:t>
      </w:r>
      <w:r w:rsidR="00554064">
        <w:t xml:space="preserve"> </w:t>
      </w:r>
      <w:r w:rsidR="00A87DC8">
        <w:t>s</w:t>
      </w:r>
      <w:r w:rsidR="00554064">
        <w:t xml:space="preserve">oučasné nastavení jeví jako fungující a zcela jistě naplnilo svůj účel z hlediska sjednocení správní praxe. </w:t>
      </w:r>
      <w:r>
        <w:t>V případě Ministerstva financí jako povolovacího orgánu, který je současně gesto</w:t>
      </w:r>
      <w:r w:rsidR="001D51B3">
        <w:t>rem zákona o hazardních hrách a </w:t>
      </w:r>
      <w:r>
        <w:t>prováděcích právních předpisů, je významným pozitivem také ta skutečnost, že touto činností získává cenné poznatky z praxe a má tak k dispozici dostatek informací pro výkon této činnosti</w:t>
      </w:r>
      <w:r w:rsidR="00A87DC8">
        <w:t>, a to i jako správce informačních systémů v oblasti hazardních her</w:t>
      </w:r>
      <w:r>
        <w:t>.</w:t>
      </w:r>
    </w:p>
    <w:p w14:paraId="67387B65" w14:textId="2C401B67" w:rsidR="00620052" w:rsidRDefault="00620052" w:rsidP="00080B69">
      <w:r w:rsidRPr="00B41B2B">
        <w:t>Požadavky kladené na provozovatele jsou v zákoně o hazardních hrách stanoveny takovým způsobem, aby bylo zajištěno, že subjekt provozující hazardní hry je finančně stabilní a nejsou zde důvody pochybov</w:t>
      </w:r>
      <w:r w:rsidR="001D51B3">
        <w:t>at o jeho důvěryhodnosti, např. </w:t>
      </w:r>
      <w:r w:rsidRPr="00B41B2B">
        <w:t>z důvodu porušení právních předpisů v době předcházející vydání základního povolení</w:t>
      </w:r>
      <w:r>
        <w:t>, odpovědnosti a </w:t>
      </w:r>
      <w:r w:rsidRPr="00B41B2B">
        <w:t xml:space="preserve">transparentnosti. Ačkoli zákon o loteriích také kladl nároky </w:t>
      </w:r>
      <w:r w:rsidRPr="00B41B2B">
        <w:lastRenderedPageBreak/>
        <w:t>na finanční zajištění provozovatele, a to ve smyslu požadavku na minimální základní kapitál a</w:t>
      </w:r>
      <w:r w:rsidR="006A0057">
        <w:t> </w:t>
      </w:r>
      <w:r w:rsidRPr="00B41B2B">
        <w:t>prokázání jeho původu, dále nevyžadoval solventnost a bezúhonnost osob s provozovatelem spojených. Zákon o hazardních hrách tedy ponechal požadavky související s finanční stabilitou provozovatele, nicméně povinnost se místo minimální výše základního kapitálu váže k minimální výši vlastních zdrojů</w:t>
      </w:r>
      <w:r>
        <w:t xml:space="preserve">. </w:t>
      </w:r>
      <w:r w:rsidRPr="00B41B2B">
        <w:t xml:space="preserve">Dále </w:t>
      </w:r>
      <w:r>
        <w:t xml:space="preserve">zákon o hazardních hrách </w:t>
      </w:r>
      <w:r w:rsidRPr="00B41B2B">
        <w:t xml:space="preserve">nově požaduje, aby provozovatel, resp. žadatel v době vydání rozhodnutí nebo v posledních 3 letech nebyl v likvidaci popř. vůči němu nebyl pravomocně zjištěn úpadek. Podmínky týkající se bezdlužnosti a bezúhonnosti se navíc nad rámec samotného provozovatele rozšiřují i na osoby s provozovatelem spojeny, např. osobu, která je členem statutárního orgánu žadatele nebo skutečného majitele. Výše uvedené nároky jsou totožně stanoveny pro všechny druhy hazardních her, s výjimkou tomboly a turnaje malého rozsahu, a jsou koncepčně </w:t>
      </w:r>
      <w:r w:rsidRPr="006003CE">
        <w:t>obsahem části základního ustanovení</w:t>
      </w:r>
      <w:r w:rsidRPr="00B41B2B">
        <w:t xml:space="preserve"> a části věnující se správnímu řízen</w:t>
      </w:r>
      <w:r>
        <w:t>í o vydání základního povolení.</w:t>
      </w:r>
    </w:p>
    <w:p w14:paraId="31AF202B" w14:textId="61049A6F" w:rsidR="00620052" w:rsidRDefault="00620052" w:rsidP="00080B69">
      <w:r w:rsidRPr="00B41B2B">
        <w:t>Obě právní úpravy se zaměřily na zvýšenou ochranu případných pohledávek provozovatele vůči státu a účastníkům hazardní hry</w:t>
      </w:r>
      <w:r>
        <w:t>, a to po celou dobu provozování hazardních her</w:t>
      </w:r>
      <w:r w:rsidRPr="00B41B2B">
        <w:t>. Vzhledem k tomu, že samotná dispoz</w:t>
      </w:r>
      <w:r w:rsidR="001D51B3">
        <w:t>ice s vlastním kapitálem, popř. </w:t>
      </w:r>
      <w:r w:rsidRPr="00B41B2B">
        <w:t>vlastními zdroji je pouze ukazatelem finanční stability v době vydání povolení k provozování, popř. základního povolení</w:t>
      </w:r>
      <w:r>
        <w:t>, bylo</w:t>
      </w:r>
      <w:r w:rsidRPr="00B41B2B">
        <w:t xml:space="preserve"> </w:t>
      </w:r>
      <w:r>
        <w:t>t</w:t>
      </w:r>
      <w:r w:rsidRPr="00B41B2B">
        <w:t>oto zajištění v zákoně o loteriích provedeno prostřednictvím jistoty, v případě zákona o hazardních hrách prostřednictvím kauce. Ačkoli pojetí těchto zajišťovacích institutů je obdo</w:t>
      </w:r>
      <w:r w:rsidR="00A05610">
        <w:t>bné, zákon o</w:t>
      </w:r>
      <w:r w:rsidR="006A0057">
        <w:t> </w:t>
      </w:r>
      <w:r w:rsidRPr="00B41B2B">
        <w:t>hazardních hrách rozšiřuje možnosti provozovatele co do splnění tohoto požadavku a zároveň odstraňuje nekoncepčnost týkající se požadavku výše prostředků, kte</w:t>
      </w:r>
      <w:r>
        <w:t xml:space="preserve">ré jsou k zajištění požadovány. </w:t>
      </w:r>
      <w:r w:rsidRPr="00B41B2B">
        <w:t>Významnou změnu, z pohledu flexibility provozovatelů, doznal i způsob plnění povinnosti poskytnout jistotu, re</w:t>
      </w:r>
      <w:r w:rsidR="001D51B3">
        <w:t>sp. </w:t>
      </w:r>
      <w:r w:rsidRPr="00B41B2B">
        <w:t>kauci. Kromě možnosti složit finanční prostředky na účet, ať již u banky nebo spořitelního a úvěrního družstva v případě zákona o </w:t>
      </w:r>
      <w:r>
        <w:t>loteriích, nebo u </w:t>
      </w:r>
      <w:r w:rsidRPr="00B41B2B">
        <w:t>Ministerstva financí, mohou provozovatelé nově předložit také potvrzení o bankovní záruce.</w:t>
      </w:r>
    </w:p>
    <w:p w14:paraId="726C7CBB" w14:textId="4C2314A1" w:rsidR="00955065" w:rsidRDefault="00955065" w:rsidP="00955065">
      <w:pPr>
        <w:pStyle w:val="Titulek"/>
        <w:keepNext/>
      </w:pPr>
      <w:bookmarkStart w:id="98" w:name="_Toc73611444"/>
      <w:r>
        <w:t xml:space="preserve">Graf č. </w:t>
      </w:r>
      <w:fldSimple w:instr=" SEQ Graf_č. \* ARABIC ">
        <w:r w:rsidR="00A860B8">
          <w:rPr>
            <w:noProof/>
          </w:rPr>
          <w:t>16</w:t>
        </w:r>
      </w:fldSimple>
      <w:r>
        <w:t xml:space="preserve">: </w:t>
      </w:r>
      <w:r w:rsidRPr="00486ECF">
        <w:t>Způsob složení kauce provozovatelů haza</w:t>
      </w:r>
      <w:r w:rsidR="00620052">
        <w:t>rdních her (data platná k  1. 4. </w:t>
      </w:r>
      <w:r w:rsidRPr="00486ECF">
        <w:t>2021)</w:t>
      </w:r>
      <w:bookmarkEnd w:id="98"/>
    </w:p>
    <w:p w14:paraId="752E066B" w14:textId="77777777" w:rsidR="00BB724C" w:rsidRDefault="00BB724C" w:rsidP="00BB724C">
      <w:pPr>
        <w:rPr>
          <w:rFonts w:cs="Arial"/>
          <w:szCs w:val="24"/>
        </w:rPr>
      </w:pPr>
      <w:r>
        <w:rPr>
          <w:noProof/>
          <w:lang w:eastAsia="cs-CZ"/>
        </w:rPr>
        <w:drawing>
          <wp:inline distT="0" distB="0" distL="0" distR="0" wp14:anchorId="1311B185" wp14:editId="28D3F935">
            <wp:extent cx="4094480" cy="2122860"/>
            <wp:effectExtent l="0" t="0" r="1270" b="10795"/>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1B930A2" w14:textId="14BE8407" w:rsidR="00BB724C" w:rsidRPr="006003CE" w:rsidRDefault="00BB724C" w:rsidP="00BB724C">
      <w:pPr>
        <w:rPr>
          <w:rFonts w:cs="Arial"/>
          <w:i/>
          <w:sz w:val="20"/>
          <w:szCs w:val="20"/>
        </w:rPr>
      </w:pPr>
      <w:r w:rsidRPr="009F2DE9">
        <w:rPr>
          <w:rFonts w:cs="Arial"/>
          <w:i/>
          <w:sz w:val="20"/>
          <w:szCs w:val="20"/>
        </w:rPr>
        <w:t>Zdroj: Ministerstvo financí</w:t>
      </w:r>
      <w:r w:rsidR="00955065">
        <w:rPr>
          <w:rFonts w:cs="Arial"/>
          <w:i/>
          <w:sz w:val="20"/>
          <w:szCs w:val="20"/>
        </w:rPr>
        <w:t>.</w:t>
      </w:r>
    </w:p>
    <w:p w14:paraId="0E4958FB" w14:textId="58492BB6" w:rsidR="00BB724C" w:rsidRDefault="00BB724C" w:rsidP="00080B69">
      <w:r>
        <w:t>Z výše uvedeného je patrné, že provozovatelé</w:t>
      </w:r>
      <w:r w:rsidR="001D51B3">
        <w:t xml:space="preserve"> hazardních her tendují více ke </w:t>
      </w:r>
      <w:r>
        <w:t xml:space="preserve">způsobu složení kauce na zvláštní účet Ministerstva financí, přičemž v případě skládání kauce neevidovalo Ministerstvo financí žádné větší nedostatky právní úpravy. Za účinnosti zákona o hazardních hrách musely být řešeny situace, kdy bylo </w:t>
      </w:r>
      <w:r>
        <w:lastRenderedPageBreak/>
        <w:t>třeba použít prostředky složené na účtu Ministerstva financí k úhradě nedoplatků, vrátit vratitelný přeplatek provozovateli, či vyzvat výstavce bankovní záruky k úhradě evidovaného nedoplatku</w:t>
      </w:r>
      <w:r w:rsidRPr="003A5AA2">
        <w:t xml:space="preserve"> </w:t>
      </w:r>
      <w:r>
        <w:t xml:space="preserve">v souladu se zákonem o hazardních hrách. Některé </w:t>
      </w:r>
      <w:r w:rsidR="00FB6F7C">
        <w:t xml:space="preserve">parciální </w:t>
      </w:r>
      <w:r>
        <w:t xml:space="preserve">nejasnosti </w:t>
      </w:r>
      <w:r w:rsidR="00FB6F7C">
        <w:t xml:space="preserve">či nedostatky </w:t>
      </w:r>
      <w:r>
        <w:t xml:space="preserve">právní úpravy v této oblasti byly odstraněny zákonem č. 527/2020 Sb. s účinností od 1. 1. 2021, dalším se věnuje </w:t>
      </w:r>
      <w:r w:rsidR="00C5142F">
        <w:t>příloha č. 10</w:t>
      </w:r>
      <w:r>
        <w:t xml:space="preserve"> – Kauce. Lze však shrnout, že nová právní úprava přinesla v otázce zajištění některých pohledávek státu a účastníků hazardních her větší míru jistoty, než tomu bylo za předchozí právní úpravy.</w:t>
      </w:r>
    </w:p>
    <w:p w14:paraId="2EE73F72" w14:textId="1ABE418D" w:rsidR="00BB724C" w:rsidRDefault="00BB724C" w:rsidP="00080B69">
      <w:r>
        <w:t>Co se týká samotného procesu vydávání základního povolení, je nesporným pozitivem, že jsou</w:t>
      </w:r>
      <w:r w:rsidR="006A0057">
        <w:t xml:space="preserve"> jak</w:t>
      </w:r>
      <w:r>
        <w:t xml:space="preserve"> jednotně stanoveny přílohy, které musí provozovatel k žádosti o vydání základního povolení doložit, tak i obecným způsobem vymezeny podmínky, které musí daný subjekt pro vydání základního povolení splňovat (v tomto případě není forma prokázání splnění tohoto požadavku striktně stanovena). Za účelem za</w:t>
      </w:r>
      <w:r w:rsidRPr="00396466">
        <w:t xml:space="preserve">bezpečení jednotného postupu při </w:t>
      </w:r>
      <w:r>
        <w:t xml:space="preserve">podávání </w:t>
      </w:r>
      <w:r w:rsidRPr="00396466">
        <w:t xml:space="preserve">žádosti o vydání základního povolení </w:t>
      </w:r>
      <w:r>
        <w:t>vydalo Ministerstvo financí Metodický pokyn k vyplnění žádosti o vydání základního povolení a formulář žádosti zveřejněný na internetových stránkách Ministerstva financí</w:t>
      </w:r>
      <w:r>
        <w:rPr>
          <w:rStyle w:val="Znakapoznpodarou"/>
          <w:rFonts w:cs="Arial"/>
          <w:szCs w:val="24"/>
        </w:rPr>
        <w:footnoteReference w:id="9"/>
      </w:r>
      <w:r>
        <w:t>. V tomto metodickém pokynu jsou řešeny základní otázky spojené s dokládáním povinných příloh a prokazováním rozhodných skutečností. Tento pokyn významným způsoben přispěl ke sjednocení správní praxe a napomohl ustálit a zpřehlednit správní řízení pro účastníky.</w:t>
      </w:r>
    </w:p>
    <w:p w14:paraId="7879BCF8" w14:textId="36E9457E" w:rsidR="00BB724C" w:rsidRDefault="00BB724C" w:rsidP="00080B69">
      <w:r>
        <w:t xml:space="preserve">Zákon o hazardních hrách přinesl zcela novou právní úpravu při vydávání změn rozhodnutí, neboť při každé změně základního povolení se vydává nové rozhodnutí ve smyslu § 101 písm. e) </w:t>
      </w:r>
      <w:r w:rsidR="00BA3634">
        <w:t xml:space="preserve">zákona č. </w:t>
      </w:r>
      <w:r w:rsidR="006A0057">
        <w:t>500/2004 Sb., správního řádu, ve znění pozdějších předpisů (dále jen „</w:t>
      </w:r>
      <w:r w:rsidR="00F33A8A">
        <w:t>správní</w:t>
      </w:r>
      <w:r>
        <w:t xml:space="preserve"> řád</w:t>
      </w:r>
      <w:r w:rsidR="006A0057">
        <w:t>“)</w:t>
      </w:r>
      <w:r>
        <w:t>. Důraz je tímto způsobem</w:t>
      </w:r>
      <w:r w:rsidR="001D51B3">
        <w:t xml:space="preserve"> kladen na </w:t>
      </w:r>
      <w:r>
        <w:t>vždy aktuální základní povolení a schválený herní plán. Podle zákona o loteriích totiž provozovatel vždy disponoval primárním povolením, které bylo následně modifikováno několika navazujícími rozhodnutím</w:t>
      </w:r>
      <w:r w:rsidR="001D51B3">
        <w:t>i o změně. Aktualizovaná, resp. </w:t>
      </w:r>
      <w:r>
        <w:t xml:space="preserve">konsolidovaná podoba primárního povolení nebyla nikde zachycena, což </w:t>
      </w:r>
      <w:r w:rsidR="001D51B3">
        <w:t xml:space="preserve">bylo velmi </w:t>
      </w:r>
      <w:r w:rsidR="00B2283F">
        <w:t>nepřehledné a </w:t>
      </w:r>
      <w:r w:rsidR="002F7CCB">
        <w:t xml:space="preserve">netransparentní a </w:t>
      </w:r>
      <w:r>
        <w:t>způsobovalo potíže</w:t>
      </w:r>
      <w:r w:rsidR="00BC7E71">
        <w:t xml:space="preserve"> všem dotčeným subjektům.</w:t>
      </w:r>
      <w:r>
        <w:t xml:space="preserve"> </w:t>
      </w:r>
      <w:r w:rsidR="001D51B3">
        <w:t>Za </w:t>
      </w:r>
      <w:r w:rsidRPr="002F493F">
        <w:t>nedosta</w:t>
      </w:r>
      <w:r w:rsidR="00633850">
        <w:t>tek předchozí úpravy byla</w:t>
      </w:r>
      <w:r w:rsidRPr="002F493F">
        <w:t xml:space="preserve"> považována </w:t>
      </w:r>
      <w:r w:rsidR="002F7CCB">
        <w:t xml:space="preserve">tato </w:t>
      </w:r>
      <w:r w:rsidRPr="002F493F">
        <w:t>nepřehlednost vydávaných licencí, zejména pro dozorové orgány. Licencovaný subjekt totiž mohl být držitelem několika desítek či stovek vydaných roz</w:t>
      </w:r>
      <w:r w:rsidR="001D51B3">
        <w:t>hodnutí k provozování loterií a </w:t>
      </w:r>
      <w:r w:rsidRPr="002F493F">
        <w:t>jiných podobných her na území České republiky, včetně velkého množství doplňujících rozhodnutí upravujících rozsah uděleného oprávnění. V praxi tak mohlo být velmi obtíž</w:t>
      </w:r>
      <w:r w:rsidR="00B2283F">
        <w:t>né zajistit si znalost platné a </w:t>
      </w:r>
      <w:r w:rsidRPr="002F493F">
        <w:t xml:space="preserve">účinné verze vydaného oprávnění, neboť bylo nezbytné vzít v potaz </w:t>
      </w:r>
      <w:r>
        <w:t>všechna vydaná rozhodnutí o </w:t>
      </w:r>
      <w:r w:rsidRPr="002F493F">
        <w:t>konkrétním oprávnění vydaná později. Změna</w:t>
      </w:r>
      <w:r>
        <w:t xml:space="preserve"> právní úpravy, </w:t>
      </w:r>
      <w:r w:rsidR="006A0057">
        <w:t xml:space="preserve">v níž </w:t>
      </w:r>
      <w:r>
        <w:t xml:space="preserve">je </w:t>
      </w:r>
      <w:r w:rsidR="00E3417F">
        <w:t xml:space="preserve">nyní </w:t>
      </w:r>
      <w:r>
        <w:t>jednoznačně stanoveno, že</w:t>
      </w:r>
      <w:r w:rsidR="001D51B3">
        <w:t xml:space="preserve"> při </w:t>
      </w:r>
      <w:r>
        <w:t xml:space="preserve">změně základního povolení Ministerstvo financí nahradí předchozí povolení novým, </w:t>
      </w:r>
      <w:r w:rsidRPr="00A15275">
        <w:t xml:space="preserve">způsobila, že přehled všech informací je </w:t>
      </w:r>
      <w:r w:rsidR="001D51B3">
        <w:t>dostupný na „jednom místě“, tj. </w:t>
      </w:r>
      <w:r w:rsidRPr="00A15275">
        <w:t>v základním povolení</w:t>
      </w:r>
      <w:r w:rsidR="00B2283F">
        <w:t xml:space="preserve">. </w:t>
      </w:r>
      <w:r w:rsidRPr="00633850">
        <w:rPr>
          <w:b/>
        </w:rPr>
        <w:t xml:space="preserve">Uvedené je efektivnější pro řádný výkon dozoru, </w:t>
      </w:r>
      <w:r w:rsidR="001D51B3">
        <w:rPr>
          <w:b/>
        </w:rPr>
        <w:t>i </w:t>
      </w:r>
      <w:r w:rsidRPr="00633850">
        <w:rPr>
          <w:b/>
        </w:rPr>
        <w:t>pro samotné provozovatele hazardních her a rovněž jejich účastníky</w:t>
      </w:r>
      <w:r w:rsidRPr="00A15275">
        <w:t>.</w:t>
      </w:r>
      <w:r>
        <w:t xml:space="preserve"> Zavedený systém povolovacího řízení je možné také pozitivně hodnotit </w:t>
      </w:r>
      <w:r w:rsidR="00CC4544">
        <w:t>ve</w:t>
      </w:r>
      <w:r>
        <w:t xml:space="preserve"> smyslu relativně omezen</w:t>
      </w:r>
      <w:r w:rsidR="00CC4544">
        <w:t>ého</w:t>
      </w:r>
      <w:r>
        <w:t xml:space="preserve"> počt</w:t>
      </w:r>
      <w:r w:rsidR="00CC4544">
        <w:t>u</w:t>
      </w:r>
      <w:r>
        <w:t xml:space="preserve"> základních povolen</w:t>
      </w:r>
      <w:r w:rsidR="001D51B3">
        <w:t>í, která jsou vydávána, jelikož </w:t>
      </w:r>
      <w:r>
        <w:t>jednomu provozovateli je možné vydat pro jeden druh hazardní hry</w:t>
      </w:r>
      <w:r w:rsidR="00BA6CE1">
        <w:t xml:space="preserve"> pouze jedno základní povolení.</w:t>
      </w:r>
      <w:r>
        <w:t xml:space="preserve"> </w:t>
      </w:r>
      <w:r w:rsidR="00CC4544">
        <w:t>P</w:t>
      </w:r>
      <w:r>
        <w:t>okud by konkrétní pro</w:t>
      </w:r>
      <w:r w:rsidR="00EC7460">
        <w:t>vozovatel měl zájem provozovat</w:t>
      </w:r>
      <w:r>
        <w:t xml:space="preserve"> veškeré druhy </w:t>
      </w:r>
      <w:r>
        <w:lastRenderedPageBreak/>
        <w:t>hazardní her, postačilo by, aby disponoval 6 základními povolen</w:t>
      </w:r>
      <w:r w:rsidR="00BA6CE1">
        <w:t>ími. Došlo tak k zpřehlednění i </w:t>
      </w:r>
      <w:r>
        <w:t xml:space="preserve">v rozsahu vydaných </w:t>
      </w:r>
      <w:r w:rsidRPr="00BD44C2">
        <w:t xml:space="preserve">povolení (k tomu viz tabulka </w:t>
      </w:r>
      <w:r w:rsidR="00B2283F" w:rsidRPr="00BD44C2">
        <w:t>č. 6 a </w:t>
      </w:r>
      <w:r w:rsidRPr="00BD44C2">
        <w:t xml:space="preserve">tabulka </w:t>
      </w:r>
      <w:r w:rsidR="00BD44C2" w:rsidRPr="00BD44C2">
        <w:t>č.</w:t>
      </w:r>
      <w:r w:rsidR="00BD44C2">
        <w:t xml:space="preserve"> </w:t>
      </w:r>
      <w:r w:rsidR="00BD44C2" w:rsidRPr="00BD44C2">
        <w:t>7</w:t>
      </w:r>
      <w:r w:rsidRPr="00BD44C2">
        <w:t>)</w:t>
      </w:r>
      <w:r w:rsidR="00BA6CE1">
        <w:t>.</w:t>
      </w:r>
    </w:p>
    <w:p w14:paraId="71537E03" w14:textId="0A1ED4B0" w:rsidR="00BB724C" w:rsidRDefault="00BB724C" w:rsidP="00080B69">
      <w:r w:rsidRPr="00A15275">
        <w:t>Přílohou zá</w:t>
      </w:r>
      <w:r>
        <w:t>kladního povolení je vždy herní plán, který</w:t>
      </w:r>
      <w:r w:rsidRPr="00A15275">
        <w:t xml:space="preserve"> je </w:t>
      </w:r>
      <w:r>
        <w:t xml:space="preserve">rovněž vždy jeden pro druh hazardní hry a je vždy </w:t>
      </w:r>
      <w:r w:rsidRPr="00A15275">
        <w:t>aktuální</w:t>
      </w:r>
      <w:r>
        <w:t>. V tomto ohledu zcela jistě přinesla nová právní úprava pozitivní změnu</w:t>
      </w:r>
      <w:r w:rsidR="00CC4544">
        <w:t xml:space="preserve"> nejen pro </w:t>
      </w:r>
      <w:r w:rsidR="009F71E7">
        <w:t>účastníka hazardní hry</w:t>
      </w:r>
      <w:r>
        <w:t>, nicméně</w:t>
      </w:r>
      <w:r w:rsidRPr="00A15275">
        <w:t xml:space="preserve"> obsahuje rozsáhlé množství informací </w:t>
      </w:r>
      <w:r w:rsidR="00BD44C2">
        <w:t>o </w:t>
      </w:r>
      <w:r>
        <w:t>pravidlech hazardní hry aj.</w:t>
      </w:r>
      <w:r>
        <w:rPr>
          <w:rStyle w:val="Znakapoznpodarou"/>
          <w:rFonts w:cs="Arial"/>
          <w:szCs w:val="24"/>
        </w:rPr>
        <w:footnoteReference w:id="10"/>
      </w:r>
      <w:r>
        <w:t>, což</w:t>
      </w:r>
      <w:r w:rsidRPr="00A15275">
        <w:t xml:space="preserve"> může </w:t>
      </w:r>
      <w:r>
        <w:t xml:space="preserve">herní plán </w:t>
      </w:r>
      <w:r w:rsidRPr="00A15275">
        <w:t xml:space="preserve">v některých případech činit </w:t>
      </w:r>
      <w:r w:rsidR="009514AA">
        <w:t xml:space="preserve">méně </w:t>
      </w:r>
      <w:r w:rsidR="009514AA" w:rsidRPr="00A15275">
        <w:t>přehledným</w:t>
      </w:r>
      <w:r w:rsidRPr="00A15275">
        <w:t>.</w:t>
      </w:r>
    </w:p>
    <w:p w14:paraId="2B16261D" w14:textId="5BD2292B" w:rsidR="00BB724C" w:rsidRDefault="00BB724C" w:rsidP="00080B69">
      <w:r>
        <w:t xml:space="preserve">Za jedno z negativ, které s sebou nová právní úprava přinesla, je možné označit </w:t>
      </w:r>
      <w:r w:rsidRPr="00633850">
        <w:rPr>
          <w:b/>
        </w:rPr>
        <w:t>délku probíhajícího správního řízení</w:t>
      </w:r>
      <w:r>
        <w:t xml:space="preserve"> o vydání základního povolení. Vzhledem k tomu, že k žádosti o vydání základního povolení mají provozovatelé dodat </w:t>
      </w:r>
      <w:r w:rsidR="006A0057">
        <w:t xml:space="preserve">poměrně velké </w:t>
      </w:r>
      <w:r>
        <w:t>množství příloh, mezi nimiž je také herní plán a dokumenty odborného posuzování a osvědčování, které čítají zpr</w:t>
      </w:r>
      <w:r w:rsidR="001D51B3">
        <w:t>avidla několik set stran, je na </w:t>
      </w:r>
      <w:r>
        <w:t>povolovací orgán kladen tlak na rychlou kontrolu obsahové a formální správnosti předložených příloh. V rámci tohoto řízení dochází také k posouzení, zda osoba provozovatele splňuje značné množství podmínek pro vydání základního povolení kladených novou právní úpravou. Tato skutečnost je umocněna rovněž tím, že herní plán je přílohou základního povolení. Správní řízení o vydání základní povolení je tak zpravidla vedeno po dobu několika měsíců, přičemž délka konkrétního správního řízení se liší v návaznosti na předmětu žádosti, skutečnosti, zda jsou kompletně dodány všechny přílohy provozovatelem i jejich obsahu.</w:t>
      </w:r>
      <w:r w:rsidR="009514AA">
        <w:t xml:space="preserve"> Zásadním faktorem je i</w:t>
      </w:r>
      <w:r w:rsidR="006A0057">
        <w:t> </w:t>
      </w:r>
      <w:r w:rsidR="009514AA">
        <w:t>kvalita předložených podkladů.</w:t>
      </w:r>
      <w:r>
        <w:t xml:space="preserve"> Ačkoli se délka tohoto správního řízení může v obecném kontextu jevit jako příliš dlouhá, je tř</w:t>
      </w:r>
      <w:r w:rsidR="001D51B3">
        <w:t>eba vnímat skutečnost, že </w:t>
      </w:r>
      <w:r>
        <w:t>Ministerstvo financí vydává základní povolení na dobu 6 let a je tedy třeba opravdu důkladné prověření</w:t>
      </w:r>
      <w:r w:rsidR="009514AA">
        <w:t xml:space="preserve"> všech předložených po</w:t>
      </w:r>
      <w:r w:rsidR="001D51B3">
        <w:t>dkladů a požadavků, jež jsou na </w:t>
      </w:r>
      <w:r w:rsidR="009514AA">
        <w:t>provozovatele kladeny</w:t>
      </w:r>
      <w:r>
        <w:t>,</w:t>
      </w:r>
      <w:r w:rsidR="009514AA">
        <w:t xml:space="preserve"> resp.</w:t>
      </w:r>
      <w:r>
        <w:t xml:space="preserve"> </w:t>
      </w:r>
      <w:r w:rsidR="000E5B21">
        <w:t xml:space="preserve">ujištění, že </w:t>
      </w:r>
      <w:r>
        <w:t>může být povolení vydáno</w:t>
      </w:r>
      <w:r w:rsidR="000E5B21">
        <w:t xml:space="preserve"> a jsou naplněny předpoklady pro řádné provozování hazardních her</w:t>
      </w:r>
      <w:r>
        <w:t xml:space="preserve">. </w:t>
      </w:r>
      <w:r w:rsidR="006A0057">
        <w:t>U</w:t>
      </w:r>
      <w:r>
        <w:t xml:space="preserve"> správních řízení o změně základního povolení či jeho zrušení je délka těchto řízení zpravidla významně kratší, především s ohledem na předmět požadované změny.</w:t>
      </w:r>
      <w:r w:rsidR="006A7F20">
        <w:t xml:space="preserve"> Relativní délka správních řízení v některých případech však není faktickou vadou nastavené regulace, ale spíše otázkou dostupných kapacit. V tomto ohledu by pozitivní vliv na délku správních řízení mělo </w:t>
      </w:r>
      <w:r w:rsidR="00D81DB7">
        <w:t>jejich posílení</w:t>
      </w:r>
      <w:r w:rsidR="006A7F20">
        <w:t>.</w:t>
      </w:r>
      <w:r>
        <w:t xml:space="preserve"> Podrobněji k problematice vydávání základního povolení </w:t>
      </w:r>
      <w:r w:rsidR="00857570">
        <w:t>v příloze č. 9</w:t>
      </w:r>
      <w:r>
        <w:t xml:space="preserve"> – Povolovací řízení.</w:t>
      </w:r>
    </w:p>
    <w:p w14:paraId="0BC0E51B" w14:textId="77777777" w:rsidR="00BB724C" w:rsidRPr="000C7DAA" w:rsidRDefault="00BB724C" w:rsidP="00C55173">
      <w:pPr>
        <w:pStyle w:val="Nadpis6"/>
      </w:pPr>
      <w:bookmarkStart w:id="99" w:name="_Toc72999565"/>
      <w:r w:rsidRPr="000C7DAA">
        <w:t>Povolení k umístění herního prostoru</w:t>
      </w:r>
      <w:bookmarkEnd w:id="99"/>
    </w:p>
    <w:p w14:paraId="0B0AA9EF" w14:textId="21CC2923" w:rsidR="00620052" w:rsidRDefault="00620052" w:rsidP="00651FFD">
      <w:r>
        <w:t>O</w:t>
      </w:r>
      <w:r w:rsidRPr="005736EE">
        <w:t>becní úřad</w:t>
      </w:r>
      <w:r>
        <w:t>, na jehož území má být hazardní hra provozována,</w:t>
      </w:r>
      <w:r w:rsidRPr="00B41B2B">
        <w:t xml:space="preserve"> </w:t>
      </w:r>
      <w:r>
        <w:t>následně v případě provozování herny či kasina</w:t>
      </w:r>
      <w:r w:rsidRPr="00B41B2B">
        <w:t xml:space="preserve"> vydává povolení k umístění herního prostoru. </w:t>
      </w:r>
      <w:r>
        <w:t>V</w:t>
      </w:r>
      <w:r w:rsidRPr="00B41B2B">
        <w:t xml:space="preserve"> porovnání </w:t>
      </w:r>
      <w:r>
        <w:t>se zákonem o loteriích se zapojení obecních úřadů</w:t>
      </w:r>
      <w:r w:rsidRPr="00B41B2B">
        <w:t xml:space="preserve"> </w:t>
      </w:r>
      <w:r>
        <w:t>rozšířilo</w:t>
      </w:r>
      <w:r w:rsidRPr="00B41B2B">
        <w:t xml:space="preserve">, neboť se nově nepodílejí pouze na povolovacím řízení u úzké skupiny technických zařízení (výherních hracích přístrojů provozovaných ve zvláštním </w:t>
      </w:r>
      <w:r>
        <w:t>provozním režimu a </w:t>
      </w:r>
      <w:r w:rsidRPr="00B41B2B">
        <w:t xml:space="preserve">herně), ale všech druhů hazardních her vázaných na herní prostor. </w:t>
      </w:r>
      <w:r>
        <w:t>Obecní úřady</w:t>
      </w:r>
      <w:r w:rsidRPr="00B41B2B">
        <w:t xml:space="preserve"> tak mají možnost posoudit, zda jsou splněny předpoklady pro vydání povolení k umístění herního prostoru, např. nebude-li umístění herního prostoru v rozporu s obecně závaznou vyhláškou obce nebo omezením týkajícím se chrán</w:t>
      </w:r>
      <w:r w:rsidR="001D51B3">
        <w:t>ěných budov podle </w:t>
      </w:r>
      <w:r w:rsidR="00AA2421">
        <w:t>§ </w:t>
      </w:r>
      <w:r>
        <w:t>13 zákona o </w:t>
      </w:r>
      <w:r w:rsidRPr="00B41B2B">
        <w:t xml:space="preserve">hazardních hrách. Tímto způsobem </w:t>
      </w:r>
      <w:r w:rsidR="00AA2421">
        <w:rPr>
          <w:b/>
        </w:rPr>
        <w:t>je zvýšená efektivita a </w:t>
      </w:r>
      <w:r w:rsidRPr="00633850">
        <w:rPr>
          <w:b/>
        </w:rPr>
        <w:t>hospodárnost povolovacího řízení</w:t>
      </w:r>
      <w:r>
        <w:t>, neboť o </w:t>
      </w:r>
      <w:r w:rsidRPr="00B41B2B">
        <w:t>jednotlivých povolení</w:t>
      </w:r>
      <w:r>
        <w:t>ch</w:t>
      </w:r>
      <w:r w:rsidRPr="00B41B2B">
        <w:t xml:space="preserve"> (základním </w:t>
      </w:r>
      <w:r w:rsidRPr="00B41B2B">
        <w:lastRenderedPageBreak/>
        <w:t xml:space="preserve">povolení a povolení k umístění herního prostoru) rozhodují správní orgány, které mají k informacím nejblíže </w:t>
      </w:r>
      <w:r>
        <w:t>a disponují odbornými znalostmi.</w:t>
      </w:r>
    </w:p>
    <w:p w14:paraId="3325EC26" w14:textId="20F7B6E0" w:rsidR="00620052" w:rsidRDefault="00620052" w:rsidP="00651FFD">
      <w:r>
        <w:t>Ministerstvo financí v rámci své metodické činnosti vydalo</w:t>
      </w:r>
      <w:r w:rsidRPr="008A7960">
        <w:t xml:space="preserve"> </w:t>
      </w:r>
      <w:r>
        <w:t>v zájmu zabezpečení jednotného postupu při podávání žádostí o vydání povolení k umístění herního prostoru metodický pokyn společně s formulářem této žádosti</w:t>
      </w:r>
      <w:r>
        <w:rPr>
          <w:rStyle w:val="Znakapoznpodarou"/>
        </w:rPr>
        <w:footnoteReference w:id="11"/>
      </w:r>
      <w:r w:rsidR="001D51B3">
        <w:t>. Současně ve </w:t>
      </w:r>
      <w:r>
        <w:t>spolupráci s Ministerstvem vnitra a dalšími orgány státní správy bylo vydáno Metodické doporučení k </w:t>
      </w:r>
      <w:r w:rsidRPr="00F41DC0">
        <w:t>činnosti územních samosprávných celků č. 5</w:t>
      </w:r>
      <w:r>
        <w:t xml:space="preserve"> Tvorba obecně závazných vyhlášek (práva a povinnosti obcí v oblasti regulace hazardních her)</w:t>
      </w:r>
      <w:r>
        <w:rPr>
          <w:rStyle w:val="Znakapoznpodarou"/>
          <w:rFonts w:cs="Arial"/>
        </w:rPr>
        <w:footnoteReference w:id="12"/>
      </w:r>
      <w:r w:rsidR="00AA2421">
        <w:t xml:space="preserve">, </w:t>
      </w:r>
      <w:r>
        <w:t xml:space="preserve">(dále jen „Metodické doporučení č. 5“). </w:t>
      </w:r>
      <w:r w:rsidR="00D314DF">
        <w:t xml:space="preserve">Těmito metodickými dokumenty </w:t>
      </w:r>
      <w:r w:rsidR="001D51B3">
        <w:t>a </w:t>
      </w:r>
      <w:r>
        <w:t xml:space="preserve">současně nadstandardním poskytováním metodické pomoci a podpory se podařilo </w:t>
      </w:r>
      <w:r w:rsidRPr="00633850">
        <w:rPr>
          <w:b/>
        </w:rPr>
        <w:t>zajistit jednotnou linku při vydávání povolení k umístění herního prostoru</w:t>
      </w:r>
      <w:r>
        <w:t xml:space="preserve"> napříč Českou republikou. </w:t>
      </w:r>
      <w:r w:rsidR="00D314DF">
        <w:t xml:space="preserve">K tomuto sjednocení </w:t>
      </w:r>
      <w:r>
        <w:t xml:space="preserve">rovněž přispělo téměř roční překlenovací období, kdy </w:t>
      </w:r>
      <w:r w:rsidR="00D314DF">
        <w:t xml:space="preserve">v důsledku možnosti požádat a tedy i provozovat hazardní hry podle staré právní úpravy uvedené v zákoně o loteriích, </w:t>
      </w:r>
      <w:r>
        <w:t>nedocházelo k vydá</w:t>
      </w:r>
      <w:r w:rsidR="00D314DF">
        <w:t>vá</w:t>
      </w:r>
      <w:r>
        <w:t xml:space="preserve">ní povolení </w:t>
      </w:r>
      <w:r w:rsidR="00D314DF">
        <w:t>podle</w:t>
      </w:r>
      <w:r>
        <w:t xml:space="preserve"> zákona o hazardních</w:t>
      </w:r>
      <w:r w:rsidR="00D314DF">
        <w:t xml:space="preserve"> hrách</w:t>
      </w:r>
      <w:r>
        <w:t xml:space="preserve">. Zprvu se ze strany obecních úřadů objevovaly obavy související </w:t>
      </w:r>
      <w:r w:rsidR="00D314DF">
        <w:t xml:space="preserve">například </w:t>
      </w:r>
      <w:r>
        <w:t>se změnou</w:t>
      </w:r>
      <w:r w:rsidR="00FB395D">
        <w:t xml:space="preserve"> právní úpravy</w:t>
      </w:r>
      <w:r>
        <w:t xml:space="preserve">, </w:t>
      </w:r>
      <w:r w:rsidR="00D314DF">
        <w:t xml:space="preserve">neboť </w:t>
      </w:r>
      <w:r>
        <w:t>zákon o hazardních hrách stanovil podmínku provozování hazardních her v herním prostoru pouze jedním provozovatelem</w:t>
      </w:r>
      <w:r w:rsidR="00D314DF">
        <w:t>. J</w:t>
      </w:r>
      <w:r>
        <w:t>ak se následně ukázalo, nečinil</w:t>
      </w:r>
      <w:r w:rsidR="00D314DF">
        <w:t xml:space="preserve"> tento posun</w:t>
      </w:r>
      <w:r>
        <w:t xml:space="preserve"> v oblasti vydávání povolení k umístění herního prostoru problémy, jelikož provozovatelé jsou v rámci tohoto správního řízení povinni doložit doklad o právním důvodu užívání prostor, v nichž má být provozována hazardní hra. Nejvíce diskutovanou problematikou byla také otázka samostatnosti a stavební oddělenosti herního prostoru, k tomu blíže </w:t>
      </w:r>
      <w:r w:rsidR="00857570">
        <w:t>příloha č. 6</w:t>
      </w:r>
      <w:r>
        <w:t xml:space="preserve"> – Herní prostor a také otázka dokládání jednotlivých příloh k</w:t>
      </w:r>
      <w:r w:rsidR="00FB395D">
        <w:t> </w:t>
      </w:r>
      <w:r>
        <w:t>žádosti</w:t>
      </w:r>
      <w:r w:rsidR="00FB395D">
        <w:t> </w:t>
      </w:r>
      <w:r>
        <w:t xml:space="preserve">o vydání povolení k umístění herního prostoru </w:t>
      </w:r>
      <w:r w:rsidR="00857570">
        <w:t>příloha č.</w:t>
      </w:r>
      <w:r w:rsidR="00FA335B">
        <w:t> </w:t>
      </w:r>
      <w:r w:rsidR="00857570">
        <w:t>9</w:t>
      </w:r>
      <w:r>
        <w:t xml:space="preserve"> – Povolovací řízení.</w:t>
      </w:r>
    </w:p>
    <w:p w14:paraId="50E13BBB" w14:textId="74166685" w:rsidR="00620052" w:rsidRPr="00633850" w:rsidRDefault="00620052" w:rsidP="00651FFD">
      <w:pPr>
        <w:rPr>
          <w:b/>
        </w:rPr>
      </w:pPr>
      <w:r>
        <w:t xml:space="preserve">Rovněž proces vydávání povolení k umístění herního prostoru a jeho případné změny je založen na shodném principu jako je tomu v případě základního povolení, tedy pro jeden herní prostor je v jeden okamžik platné a účinné pouze jedno povolení k umístění herního prostoru, které obsahuje veškeré informace k danému hernímu prostoru. </w:t>
      </w:r>
      <w:r w:rsidRPr="00633850">
        <w:rPr>
          <w:b/>
        </w:rPr>
        <w:t>I zde lze tedy pozitivně hodnotit především přehlednost pro orgány vykonávající státní správu a v celkovém kontextu podmínek provozování herního prostoru rovněž možnost efektivnějšího výkonu dozoru.</w:t>
      </w:r>
      <w:r>
        <w:t xml:space="preserve"> </w:t>
      </w:r>
      <w:r w:rsidRPr="00633850">
        <w:rPr>
          <w:b/>
        </w:rPr>
        <w:t>V průběhu více než čtyřleté účinnosti zákona o hazardn</w:t>
      </w:r>
      <w:r w:rsidR="001D51B3">
        <w:rPr>
          <w:b/>
        </w:rPr>
        <w:t>ích hrách se podařilo zavést do </w:t>
      </w:r>
      <w:r w:rsidRPr="00633850">
        <w:rPr>
          <w:b/>
        </w:rPr>
        <w:t>velké míry jednotnou správní praxi a při vydávání povolení k umístění herního prostoru nedochází k velkým nedůvodným rozdílům napříč jednotlivými obecními úřady. Současně se proces vydávání povolení k umístění herního prostoru podařilo ustálit a v této souvislosti nevznikají nové výkladové problémy. Cíle nové právní úpravy tak byly naplněny.</w:t>
      </w:r>
    </w:p>
    <w:p w14:paraId="2F5A19C3" w14:textId="77777777" w:rsidR="00BB724C" w:rsidRPr="000C7DAA" w:rsidRDefault="00BB724C" w:rsidP="00C55173">
      <w:pPr>
        <w:pStyle w:val="Nadpis6"/>
      </w:pPr>
      <w:bookmarkStart w:id="100" w:name="_Toc72999566"/>
      <w:r w:rsidRPr="000C7DAA">
        <w:t>Ohlášení</w:t>
      </w:r>
      <w:bookmarkEnd w:id="100"/>
    </w:p>
    <w:p w14:paraId="2E9B2462" w14:textId="77777777" w:rsidR="00BB724C" w:rsidRPr="00633850" w:rsidRDefault="00BB724C" w:rsidP="00BB724C">
      <w:pPr>
        <w:rPr>
          <w:rFonts w:cs="Arial"/>
          <w:b/>
          <w:szCs w:val="24"/>
        </w:rPr>
      </w:pPr>
      <w:r w:rsidRPr="00633850">
        <w:rPr>
          <w:rFonts w:cs="Arial"/>
          <w:b/>
          <w:szCs w:val="24"/>
        </w:rPr>
        <w:t xml:space="preserve">Jedním z cílů právní úpravy obsažené v zákoně o hazardních hrách bylo také zjednodušit provozování hazardních her tam, kde je to možné, a odstranit </w:t>
      </w:r>
      <w:r w:rsidRPr="00633850">
        <w:rPr>
          <w:rFonts w:cs="Arial"/>
          <w:b/>
          <w:szCs w:val="24"/>
        </w:rPr>
        <w:lastRenderedPageBreak/>
        <w:t>zbytečnou byrokracii spojenou s povolovacím procesem u těch druhů hazardních her, u kterých to není bezpodmínečně nutné.</w:t>
      </w:r>
    </w:p>
    <w:p w14:paraId="10CF9594" w14:textId="7045AFF6" w:rsidR="00BB724C" w:rsidRDefault="00BB724C" w:rsidP="00BB724C">
      <w:pPr>
        <w:rPr>
          <w:rFonts w:cs="Arial"/>
          <w:szCs w:val="24"/>
        </w:rPr>
      </w:pPr>
      <w:r w:rsidRPr="00633850">
        <w:rPr>
          <w:rFonts w:cs="Arial"/>
          <w:b/>
          <w:szCs w:val="24"/>
        </w:rPr>
        <w:t>K významnému zjednodušení povolovacího procesu</w:t>
      </w:r>
      <w:r>
        <w:rPr>
          <w:rFonts w:cs="Arial"/>
          <w:szCs w:val="24"/>
        </w:rPr>
        <w:t xml:space="preserve"> došlu v případě</w:t>
      </w:r>
      <w:r w:rsidRPr="00B41B2B">
        <w:rPr>
          <w:rFonts w:cs="Arial"/>
          <w:szCs w:val="24"/>
        </w:rPr>
        <w:t> </w:t>
      </w:r>
      <w:r>
        <w:rPr>
          <w:rFonts w:cs="Arial"/>
          <w:szCs w:val="24"/>
        </w:rPr>
        <w:t xml:space="preserve">provozování </w:t>
      </w:r>
      <w:r w:rsidRPr="00633850">
        <w:rPr>
          <w:rFonts w:cs="Arial"/>
          <w:b/>
          <w:szCs w:val="24"/>
        </w:rPr>
        <w:t>tombol,</w:t>
      </w:r>
      <w:r w:rsidRPr="00B41B2B">
        <w:rPr>
          <w:rFonts w:cs="Arial"/>
          <w:szCs w:val="24"/>
        </w:rPr>
        <w:t xml:space="preserve"> </w:t>
      </w:r>
      <w:r w:rsidR="00FB395D">
        <w:rPr>
          <w:rFonts w:cs="Arial"/>
          <w:szCs w:val="24"/>
        </w:rPr>
        <w:t>u nichž</w:t>
      </w:r>
      <w:r w:rsidR="00FB395D" w:rsidRPr="00B41B2B">
        <w:rPr>
          <w:rFonts w:cs="Arial"/>
          <w:szCs w:val="24"/>
        </w:rPr>
        <w:t xml:space="preserve"> </w:t>
      </w:r>
      <w:r w:rsidRPr="00B41B2B">
        <w:rPr>
          <w:rFonts w:cs="Arial"/>
          <w:szCs w:val="24"/>
        </w:rPr>
        <w:t>zákon o loteriích umožňoval provozování tombol pouze na základě povolení vydaného obecním úřadem, popř. Ministerstvem financí. Takto nastavený povolovací proces nicméně omezoval možnost provozování tombol, neboť provozovatelé museli jejich provozování plánovat s velkým časovým předstihem. Zákon o hazardních hrách tento nedostatek odstranil zavedením tzv. ohlášení, kdy</w:t>
      </w:r>
      <w:r w:rsidR="00FB395D">
        <w:rPr>
          <w:rFonts w:cs="Arial"/>
          <w:szCs w:val="24"/>
        </w:rPr>
        <w:t xml:space="preserve"> je</w:t>
      </w:r>
      <w:r w:rsidRPr="00B41B2B">
        <w:rPr>
          <w:rFonts w:cs="Arial"/>
          <w:szCs w:val="24"/>
        </w:rPr>
        <w:t xml:space="preserve"> provozování tomboly, u níž výše herní jistiny činí více než 100</w:t>
      </w:r>
      <w:r w:rsidR="00FB395D">
        <w:rPr>
          <w:rFonts w:cs="Arial"/>
          <w:szCs w:val="24"/>
        </w:rPr>
        <w:t> </w:t>
      </w:r>
      <w:r w:rsidRPr="00B41B2B">
        <w:rPr>
          <w:rFonts w:cs="Arial"/>
          <w:szCs w:val="24"/>
        </w:rPr>
        <w:t>000</w:t>
      </w:r>
      <w:r w:rsidR="00FB395D">
        <w:rPr>
          <w:rFonts w:cs="Arial"/>
          <w:szCs w:val="24"/>
        </w:rPr>
        <w:t> </w:t>
      </w:r>
      <w:r w:rsidRPr="00B41B2B">
        <w:rPr>
          <w:rFonts w:cs="Arial"/>
          <w:szCs w:val="24"/>
        </w:rPr>
        <w:t>Kč, relevantní</w:t>
      </w:r>
      <w:r>
        <w:rPr>
          <w:rFonts w:cs="Arial"/>
          <w:szCs w:val="24"/>
        </w:rPr>
        <w:t>mu</w:t>
      </w:r>
      <w:r w:rsidRPr="00B41B2B">
        <w:rPr>
          <w:rFonts w:cs="Arial"/>
          <w:szCs w:val="24"/>
        </w:rPr>
        <w:t xml:space="preserve"> </w:t>
      </w:r>
      <w:r>
        <w:rPr>
          <w:rFonts w:cs="Arial"/>
          <w:szCs w:val="24"/>
        </w:rPr>
        <w:t>obecnímu úřadu</w:t>
      </w:r>
      <w:r w:rsidRPr="00B41B2B">
        <w:rPr>
          <w:rFonts w:cs="Arial"/>
          <w:szCs w:val="24"/>
        </w:rPr>
        <w:t xml:space="preserve"> pouze ohlášeno s tím, že obec</w:t>
      </w:r>
      <w:r>
        <w:rPr>
          <w:rFonts w:cs="Arial"/>
          <w:szCs w:val="24"/>
        </w:rPr>
        <w:t>ní úřad</w:t>
      </w:r>
      <w:r w:rsidRPr="00B41B2B">
        <w:rPr>
          <w:rFonts w:cs="Arial"/>
          <w:szCs w:val="24"/>
        </w:rPr>
        <w:t xml:space="preserve"> p</w:t>
      </w:r>
      <w:r>
        <w:rPr>
          <w:rFonts w:cs="Arial"/>
          <w:szCs w:val="24"/>
        </w:rPr>
        <w:t xml:space="preserve">rovozování hazardní hry zakáže, pokud by </w:t>
      </w:r>
      <w:r w:rsidRPr="00B41B2B">
        <w:rPr>
          <w:rFonts w:cs="Arial"/>
          <w:szCs w:val="24"/>
        </w:rPr>
        <w:t>provozování bylo v rozporu s práv</w:t>
      </w:r>
      <w:r w:rsidR="00A77567">
        <w:rPr>
          <w:rFonts w:cs="Arial"/>
          <w:szCs w:val="24"/>
        </w:rPr>
        <w:t>ní úpravou obsaženou v zákoně o </w:t>
      </w:r>
      <w:r w:rsidRPr="00B41B2B">
        <w:rPr>
          <w:rFonts w:cs="Arial"/>
          <w:szCs w:val="24"/>
        </w:rPr>
        <w:t>hazardních hrách. Transparentnost provozování tombol je zajištěna povinností zpětně předkládat obecnímu úřadu notářský zápis o průběhu slosování. V případě, že herní jistina tomboly nedosahuje 100</w:t>
      </w:r>
      <w:r w:rsidR="00FB395D">
        <w:rPr>
          <w:rFonts w:cs="Arial"/>
          <w:szCs w:val="24"/>
        </w:rPr>
        <w:t> </w:t>
      </w:r>
      <w:r w:rsidRPr="00B41B2B">
        <w:rPr>
          <w:rFonts w:cs="Arial"/>
          <w:szCs w:val="24"/>
        </w:rPr>
        <w:t>000</w:t>
      </w:r>
      <w:r w:rsidR="00FB395D">
        <w:rPr>
          <w:rFonts w:cs="Arial"/>
          <w:szCs w:val="24"/>
        </w:rPr>
        <w:t> </w:t>
      </w:r>
      <w:r w:rsidRPr="00B41B2B">
        <w:rPr>
          <w:rFonts w:cs="Arial"/>
          <w:szCs w:val="24"/>
        </w:rPr>
        <w:t xml:space="preserve">Kč, není nutné její provozování obecnímu úřadu ohlašovat a přítomnost notáře také není nutná. </w:t>
      </w:r>
      <w:r w:rsidRPr="00633850">
        <w:rPr>
          <w:rFonts w:cs="Arial"/>
          <w:b/>
          <w:szCs w:val="24"/>
        </w:rPr>
        <w:t>Shodný proces ohlášení byl nastaven také v případě konání turnajů malého rozsahu</w:t>
      </w:r>
      <w:r>
        <w:rPr>
          <w:rFonts w:cs="Arial"/>
          <w:szCs w:val="24"/>
        </w:rPr>
        <w:t>.</w:t>
      </w:r>
    </w:p>
    <w:p w14:paraId="06A9F74E" w14:textId="725C7B78" w:rsidR="00BB724C" w:rsidRDefault="00BB724C" w:rsidP="00BB724C">
      <w:pPr>
        <w:rPr>
          <w:rFonts w:cs="Arial"/>
          <w:szCs w:val="24"/>
          <w:highlight w:val="red"/>
          <w:u w:val="single"/>
        </w:rPr>
      </w:pPr>
      <w:r>
        <w:rPr>
          <w:rFonts w:cs="Arial"/>
        </w:rPr>
        <w:t>O správnosti výše uvedené změny svědčí skutečnost, že Ministerstvo financí nemá informace o žádném podaném ohlášení k provozování hazardní hry, došlo tedy k předvídanému snížení administrativní zátěže. Od účinnosti zákona o hazardních hrách bylo podáno celkem 139 ohlášení (stav k 15.</w:t>
      </w:r>
      <w:r w:rsidR="00FB395D">
        <w:rPr>
          <w:rFonts w:cs="Arial"/>
        </w:rPr>
        <w:t> </w:t>
      </w:r>
      <w:r>
        <w:rPr>
          <w:rFonts w:cs="Arial"/>
        </w:rPr>
        <w:t>4.</w:t>
      </w:r>
      <w:r w:rsidR="00FB395D">
        <w:rPr>
          <w:rFonts w:cs="Arial"/>
        </w:rPr>
        <w:t> </w:t>
      </w:r>
      <w:r>
        <w:rPr>
          <w:rFonts w:cs="Arial"/>
        </w:rPr>
        <w:t>2021). Tato podání však podali pouze 4 ohlašovatelé v 5 obcích. Ve všech případech byl ohlašován turnaj malého rozsahu. K zákazu konání ohlášené hazardní hry došlo ve 4 případech. Ve všech případech bylo důvodem pro zákaz plánované konání turnaje malého rozsahu v prostorách herny.</w:t>
      </w:r>
    </w:p>
    <w:p w14:paraId="41812914" w14:textId="5A2F6ACB" w:rsidR="00BB724C" w:rsidRDefault="00BB724C" w:rsidP="00BB724C">
      <w:pPr>
        <w:rPr>
          <w:rFonts w:cs="Arial"/>
          <w:szCs w:val="24"/>
        </w:rPr>
      </w:pPr>
      <w:r w:rsidRPr="00D67E9B">
        <w:rPr>
          <w:rFonts w:cs="Arial"/>
          <w:szCs w:val="24"/>
        </w:rPr>
        <w:t xml:space="preserve">Závěrem lze uvést, že </w:t>
      </w:r>
      <w:r w:rsidRPr="00633850">
        <w:rPr>
          <w:rFonts w:cs="Arial"/>
          <w:b/>
          <w:szCs w:val="24"/>
        </w:rPr>
        <w:t>novou úpravu povolovacího procesu lze</w:t>
      </w:r>
      <w:r w:rsidRPr="00D67E9B">
        <w:rPr>
          <w:rFonts w:cs="Arial"/>
          <w:szCs w:val="24"/>
        </w:rPr>
        <w:t xml:space="preserve"> i přes počáteční </w:t>
      </w:r>
      <w:r w:rsidR="00682014">
        <w:rPr>
          <w:rFonts w:cs="Arial"/>
          <w:szCs w:val="24"/>
        </w:rPr>
        <w:t xml:space="preserve">nutnost ustálení </w:t>
      </w:r>
      <w:r w:rsidRPr="00D67E9B">
        <w:rPr>
          <w:rFonts w:cs="Arial"/>
          <w:szCs w:val="24"/>
        </w:rPr>
        <w:t>výkladových stanovisek</w:t>
      </w:r>
      <w:r w:rsidR="00682014">
        <w:rPr>
          <w:rFonts w:cs="Arial"/>
          <w:szCs w:val="24"/>
        </w:rPr>
        <w:t xml:space="preserve"> a správní praxe</w:t>
      </w:r>
      <w:r w:rsidRPr="00D67E9B">
        <w:rPr>
          <w:rFonts w:cs="Arial"/>
          <w:szCs w:val="24"/>
        </w:rPr>
        <w:t xml:space="preserve">, což je s ohledem </w:t>
      </w:r>
      <w:r w:rsidR="001D51B3">
        <w:rPr>
          <w:rFonts w:cs="Arial"/>
          <w:szCs w:val="24"/>
        </w:rPr>
        <w:t>na </w:t>
      </w:r>
      <w:r>
        <w:rPr>
          <w:rFonts w:cs="Arial"/>
          <w:szCs w:val="24"/>
        </w:rPr>
        <w:t xml:space="preserve">skutečnosti zcela běžné, </w:t>
      </w:r>
      <w:r w:rsidRPr="00633850">
        <w:rPr>
          <w:rFonts w:cs="Arial"/>
          <w:b/>
          <w:szCs w:val="24"/>
        </w:rPr>
        <w:t xml:space="preserve">hodnotit jako </w:t>
      </w:r>
      <w:r w:rsidR="00682014">
        <w:rPr>
          <w:rFonts w:cs="Arial"/>
          <w:b/>
          <w:szCs w:val="24"/>
        </w:rPr>
        <w:t xml:space="preserve">efektivní a </w:t>
      </w:r>
      <w:r w:rsidRPr="00633850">
        <w:rPr>
          <w:rFonts w:cs="Arial"/>
          <w:b/>
          <w:szCs w:val="24"/>
        </w:rPr>
        <w:t>vyhovující</w:t>
      </w:r>
      <w:r w:rsidR="000E5B21">
        <w:rPr>
          <w:rFonts w:cs="Arial"/>
          <w:b/>
          <w:szCs w:val="24"/>
        </w:rPr>
        <w:t>, byť v dílčích oblastech lze nalézt prostor pro určité další zefektivnění.</w:t>
      </w:r>
      <w:r w:rsidR="00682014">
        <w:rPr>
          <w:rFonts w:cs="Arial"/>
          <w:szCs w:val="24"/>
        </w:rPr>
        <w:t xml:space="preserve"> P</w:t>
      </w:r>
      <w:r>
        <w:rPr>
          <w:rFonts w:cs="Arial"/>
          <w:szCs w:val="24"/>
        </w:rPr>
        <w:t>odařilo</w:t>
      </w:r>
      <w:r w:rsidR="00682014">
        <w:rPr>
          <w:rFonts w:cs="Arial"/>
          <w:szCs w:val="24"/>
        </w:rPr>
        <w:t xml:space="preserve"> se</w:t>
      </w:r>
      <w:r>
        <w:rPr>
          <w:rFonts w:cs="Arial"/>
          <w:szCs w:val="24"/>
        </w:rPr>
        <w:t xml:space="preserve"> dosáhnout stanoveného cíle a poskytnout </w:t>
      </w:r>
      <w:r w:rsidR="000E5B21">
        <w:rPr>
          <w:rFonts w:cs="Arial"/>
          <w:szCs w:val="24"/>
        </w:rPr>
        <w:t xml:space="preserve">i </w:t>
      </w:r>
      <w:r>
        <w:rPr>
          <w:rFonts w:cs="Arial"/>
          <w:szCs w:val="24"/>
        </w:rPr>
        <w:t xml:space="preserve">aktuální informace </w:t>
      </w:r>
      <w:r w:rsidRPr="00D67E9B">
        <w:rPr>
          <w:rFonts w:cs="Arial"/>
          <w:szCs w:val="24"/>
        </w:rPr>
        <w:t>o vydaný</w:t>
      </w:r>
      <w:r>
        <w:rPr>
          <w:rFonts w:cs="Arial"/>
          <w:szCs w:val="24"/>
        </w:rPr>
        <w:t>ch povoleních a tedy zajistit</w:t>
      </w:r>
      <w:r w:rsidRPr="00D67E9B">
        <w:rPr>
          <w:rFonts w:cs="Arial"/>
          <w:szCs w:val="24"/>
        </w:rPr>
        <w:t xml:space="preserve"> </w:t>
      </w:r>
      <w:r>
        <w:rPr>
          <w:rFonts w:cs="Arial"/>
          <w:szCs w:val="24"/>
        </w:rPr>
        <w:t xml:space="preserve">dostatečnou </w:t>
      </w:r>
      <w:r w:rsidRPr="00D67E9B">
        <w:rPr>
          <w:rFonts w:cs="Arial"/>
          <w:szCs w:val="24"/>
        </w:rPr>
        <w:t>informovanost všech zúčast</w:t>
      </w:r>
      <w:r>
        <w:rPr>
          <w:rFonts w:cs="Arial"/>
          <w:szCs w:val="24"/>
        </w:rPr>
        <w:t>něných akté</w:t>
      </w:r>
      <w:r w:rsidRPr="00D67E9B">
        <w:rPr>
          <w:rFonts w:cs="Arial"/>
          <w:szCs w:val="24"/>
        </w:rPr>
        <w:t xml:space="preserve">rů. Jednotlivým oblastem se blíže věnuje </w:t>
      </w:r>
      <w:r w:rsidR="008E079C">
        <w:rPr>
          <w:rFonts w:cs="Arial"/>
          <w:szCs w:val="24"/>
        </w:rPr>
        <w:t>příloha č. 9</w:t>
      </w:r>
      <w:r w:rsidRPr="00D67E9B">
        <w:rPr>
          <w:rFonts w:cs="Arial"/>
          <w:szCs w:val="24"/>
        </w:rPr>
        <w:t xml:space="preserve"> – Povolovací řízení. </w:t>
      </w:r>
    </w:p>
    <w:p w14:paraId="6669544A" w14:textId="3A3EB3FD" w:rsidR="00755B08" w:rsidRPr="00EA6178" w:rsidRDefault="00755B08" w:rsidP="00755B08">
      <w:pPr>
        <w:pStyle w:val="Nadpis4"/>
      </w:pPr>
      <w:bookmarkStart w:id="101" w:name="_Toc72999567"/>
      <w:r>
        <w:t>Regulace na úrovni Evropské unie,</w:t>
      </w:r>
      <w:r w:rsidR="00743824">
        <w:t xml:space="preserve"> </w:t>
      </w:r>
      <w:r>
        <w:t>o</w:t>
      </w:r>
      <w:r w:rsidRPr="0028792C">
        <w:t>tevření českého trhu hazardních her pro provozovatele se sídlem v členském státě Evropské unie nebo státě, kt</w:t>
      </w:r>
      <w:r w:rsidR="00633850">
        <w:t>erý je smluvní stranou Dohody o </w:t>
      </w:r>
      <w:r w:rsidRPr="0028792C">
        <w:t>Evropském hospodářsk</w:t>
      </w:r>
      <w:r w:rsidR="00633850">
        <w:t>ém prostoru a naplnění závěrů a </w:t>
      </w:r>
      <w:r w:rsidRPr="0028792C">
        <w:t>doporučení Evropské komise pro regulaci hazardu</w:t>
      </w:r>
      <w:bookmarkEnd w:id="101"/>
    </w:p>
    <w:p w14:paraId="71D393AA" w14:textId="0543A5AE" w:rsidR="00755B08" w:rsidRDefault="00755B08" w:rsidP="00651FFD">
      <w:r>
        <w:t>V právu Evropské unie v zásadě není obsažena zvláštní úprava v oblasti hazardních her. Jelikož se nejedná o harmonizovanou oblast, je regulace ponechána na vůli jednotlivých členských států. Tato skutečnost je nap</w:t>
      </w:r>
      <w:r w:rsidR="00A77567">
        <w:t>ř. reflektována i ve směrnici o </w:t>
      </w:r>
      <w:r>
        <w:t>službách na vnitřním trhu</w:t>
      </w:r>
      <w:r>
        <w:rPr>
          <w:rStyle w:val="Znakapoznpodarou"/>
        </w:rPr>
        <w:footnoteReference w:id="13"/>
      </w:r>
      <w:r>
        <w:t>. Zde se negativně vymezují oblasti, na které se tato směrnice nevztahuje, a mezi takové oblasti spadají i hazardní hry</w:t>
      </w:r>
      <w:r>
        <w:rPr>
          <w:rStyle w:val="Znakapoznpodarou"/>
        </w:rPr>
        <w:footnoteReference w:id="14"/>
      </w:r>
      <w:r>
        <w:t xml:space="preserve">. To však neznamená, že by úprava na úrovni jednotlivých států mohla být v nesouladu </w:t>
      </w:r>
      <w:r>
        <w:lastRenderedPageBreak/>
        <w:t>s právem Evropské unie. Členské státy jsou ve své úpravě omezeny co do souladu s primárním právem, předpisy sekundárního práva z pohledu práva hazardních her obecného charakteru (viz níže). Pro výklad ustanovení evropského práva je stěžení judikatura Soudního dvoru Evropské unie, který v minulosti již vydal celou řadu judikátů týkající se oblasti hazardních her.</w:t>
      </w:r>
    </w:p>
    <w:p w14:paraId="5CD4D977" w14:textId="5262D5E1" w:rsidR="00755B08" w:rsidRDefault="00755B08" w:rsidP="00651FFD">
      <w:r>
        <w:t xml:space="preserve">Z konkrétních ustanovení primárního práva se k provozování hazardních her vztahují zejména čl. 49, 52 – 62, 63 a násl. </w:t>
      </w:r>
      <w:r w:rsidR="00FB395D">
        <w:t>S</w:t>
      </w:r>
      <w:r>
        <w:t xml:space="preserve">mlouvy o fungování Evropské unie. Tedy články upravující svobodu usazování, resp. poskytování </w:t>
      </w:r>
      <w:r w:rsidR="00A77567">
        <w:t>služeb a volný pohyb kapitálu a </w:t>
      </w:r>
      <w:r>
        <w:t xml:space="preserve">plateb. Ze sekundárního práva lze jmenovat např. </w:t>
      </w:r>
      <w:r w:rsidR="00FB395D">
        <w:t xml:space="preserve">Směrnici </w:t>
      </w:r>
      <w:r>
        <w:t>o</w:t>
      </w:r>
      <w:r w:rsidR="001D51B3">
        <w:t> </w:t>
      </w:r>
      <w:r>
        <w:t>právech spotřebitelů</w:t>
      </w:r>
      <w:r>
        <w:rPr>
          <w:rStyle w:val="Znakapoznpodarou"/>
        </w:rPr>
        <w:footnoteReference w:id="15"/>
      </w:r>
      <w:r>
        <w:t xml:space="preserve"> nebo </w:t>
      </w:r>
      <w:r w:rsidR="00FB395D">
        <w:t>S</w:t>
      </w:r>
      <w:r>
        <w:t>měrnici proti praní špinavých peněz</w:t>
      </w:r>
      <w:r>
        <w:rPr>
          <w:rStyle w:val="Znakapoznpodarou"/>
        </w:rPr>
        <w:footnoteReference w:id="16"/>
      </w:r>
      <w:r>
        <w:t>. Uplatnění těchto předpisů vyplývá právě z judikatury Soudního dvora Evropské unie. Konkrétně například rozsudek ve věci Schindler</w:t>
      </w:r>
      <w:r>
        <w:rPr>
          <w:rStyle w:val="Znakapoznpodarou"/>
        </w:rPr>
        <w:footnoteReference w:id="17"/>
      </w:r>
      <w:r>
        <w:t xml:space="preserve"> najisto stanovil, že poskytování hazardních her spadá do působnosti článku 56 a násl. smlouvy o fungování Evropské unie – tzn., že není přípustné vytvářet překážky v poskytování služeb, ledaže by byly jinak porušovány zájmy v oblasti sociální politiky a prevence proti</w:t>
      </w:r>
      <w:r w:rsidR="00EC7460">
        <w:t xml:space="preserve"> podvodům. To</w:t>
      </w:r>
      <w:r>
        <w:t>to pravidlo bylo dále rozšířeno rozsudkem ve věci Gambelli</w:t>
      </w:r>
      <w:r>
        <w:rPr>
          <w:rStyle w:val="Znakapoznpodarou"/>
        </w:rPr>
        <w:footnoteReference w:id="18"/>
      </w:r>
      <w:r>
        <w:t xml:space="preserve"> i na oblast internetových her. Konečně např. rozsudek ve věci Sto</w:t>
      </w:r>
      <w:r w:rsidRPr="009E6C43">
        <w:t>ß</w:t>
      </w:r>
      <w:r>
        <w:rPr>
          <w:rStyle w:val="Znakapoznpodarou"/>
        </w:rPr>
        <w:footnoteReference w:id="19"/>
      </w:r>
      <w:r>
        <w:t xml:space="preserve"> určil</w:t>
      </w:r>
      <w:r w:rsidR="001D51B3">
        <w:t>, že obecně řečeno povolení pro </w:t>
      </w:r>
      <w:r>
        <w:t>provozování hazardních her v jednom státě nebrání nutnosti získání povolení v jiném členském státě v návaznosti na právní úpravu toho kterého členského státu.</w:t>
      </w:r>
    </w:p>
    <w:p w14:paraId="6CA79C0B" w14:textId="6820C928" w:rsidR="00755B08" w:rsidRDefault="00755B08" w:rsidP="00651FFD">
      <w:r>
        <w:t>Představu o tom, jaká jednání vnímají orgány Evropské unie jako žádoucí a která naopak nikoliv, lze však získat i z kvazi-právních nástrojů bez právní síly – tzv. soft law.</w:t>
      </w:r>
      <w:r w:rsidR="00AF5771">
        <w:t xml:space="preserve"> </w:t>
      </w:r>
      <w:r>
        <w:t>Mezi ty nejvýznamnější patří Zelená kniha o on</w:t>
      </w:r>
      <w:r>
        <w:noBreakHyphen/>
        <w:t>line hazard</w:t>
      </w:r>
      <w:r w:rsidR="001D51B3">
        <w:t>ních hrách na </w:t>
      </w:r>
      <w:r>
        <w:t>vnitřním trhu, Usnesení Evropského parlament</w:t>
      </w:r>
      <w:r w:rsidR="001D51B3">
        <w:t>u o on</w:t>
      </w:r>
      <w:r w:rsidR="001D51B3">
        <w:noBreakHyphen/>
        <w:t>line hazardních hrách na </w:t>
      </w:r>
      <w:r>
        <w:t xml:space="preserve">vnitřním trhu z roku 2013 a Doporučení Komise o zásadách pro ochranu spotřebitelů a </w:t>
      </w:r>
      <w:r w:rsidR="009F71E7">
        <w:t>účastníků hazardních her</w:t>
      </w:r>
      <w:r w:rsidR="009F71E7" w:rsidRPr="00372887">
        <w:t xml:space="preserve"> </w:t>
      </w:r>
      <w:r>
        <w:t>služeb hazardních her on</w:t>
      </w:r>
      <w:r>
        <w:noBreakHyphen/>
        <w:t xml:space="preserve">line a pro prevenci hraní hazardních her on-line nezletilými osobami. </w:t>
      </w:r>
    </w:p>
    <w:p w14:paraId="751A4ED3" w14:textId="2D9BAF5A" w:rsidR="00755B08" w:rsidRPr="001A73D8" w:rsidRDefault="00755B08" w:rsidP="00651FFD">
      <w:r w:rsidRPr="00633850">
        <w:rPr>
          <w:b/>
        </w:rPr>
        <w:t xml:space="preserve">V zásadě má česká právní úprava hazardních her </w:t>
      </w:r>
      <w:r w:rsidRPr="00633850">
        <w:rPr>
          <w:b/>
          <w:bCs/>
        </w:rPr>
        <w:t>implementována</w:t>
      </w:r>
      <w:r w:rsidRPr="00633850">
        <w:rPr>
          <w:b/>
        </w:rPr>
        <w:t xml:space="preserve"> doporučení, která vydaly orgány Evropské unie</w:t>
      </w:r>
      <w:r w:rsidRPr="001A73D8">
        <w:t xml:space="preserve">, jelikož se jedná o obecná doporučení zodpovědné účasti na hazardních hrách, </w:t>
      </w:r>
      <w:r>
        <w:t>která byla</w:t>
      </w:r>
      <w:r w:rsidRPr="001A73D8">
        <w:t xml:space="preserve"> do zákona o hazardních hrách promítnuta</w:t>
      </w:r>
      <w:r>
        <w:t xml:space="preserve"> při jeho přípravě</w:t>
      </w:r>
      <w:r w:rsidRPr="001A73D8">
        <w:t xml:space="preserve">. Jedná se např. o to, že při registraci </w:t>
      </w:r>
      <w:r w:rsidR="009F71E7">
        <w:t>účastníka hazardní hry</w:t>
      </w:r>
      <w:r w:rsidR="009F71E7" w:rsidRPr="001A73D8">
        <w:t xml:space="preserve"> </w:t>
      </w:r>
      <w:r w:rsidRPr="001A73D8">
        <w:t xml:space="preserve">by mělo dojít k ověření věku, měly by být určitým způsobem omezeny elektronické platby mezi jednotlivými účty, </w:t>
      </w:r>
      <w:r w:rsidR="009F71E7">
        <w:t>účastníci hazardních her</w:t>
      </w:r>
      <w:r w:rsidR="009F71E7" w:rsidRPr="001A73D8">
        <w:t xml:space="preserve"> </w:t>
      </w:r>
      <w:r w:rsidRPr="001A73D8">
        <w:t xml:space="preserve">by měli mít možnost si nastavit limity pro účast na hazardních hrách, apod. Není pak výjimečné, že </w:t>
      </w:r>
      <w:r w:rsidR="00C26C28">
        <w:t xml:space="preserve">zákon o hazardních hrách </w:t>
      </w:r>
      <w:r w:rsidRPr="001A73D8">
        <w:t>v</w:t>
      </w:r>
      <w:r w:rsidR="00AF5771">
        <w:t xml:space="preserve"> oblasti </w:t>
      </w:r>
      <w:r w:rsidRPr="001A73D8">
        <w:t>posílení ochrany účastníka hazardních her přistupuje k přísnějším opatřením, než která jsou stanovena v doporučujících dokumentech orgánů Evropské unie.</w:t>
      </w:r>
      <w:r w:rsidR="00A77567">
        <w:t xml:space="preserve"> </w:t>
      </w:r>
      <w:r w:rsidRPr="001A73D8">
        <w:t>Konkrétním příklad</w:t>
      </w:r>
      <w:r>
        <w:t>em přísnějšího postupu zákona o </w:t>
      </w:r>
      <w:r w:rsidRPr="001A73D8">
        <w:t xml:space="preserve">hazardních hrách může být např. odložený účinek žádosti o zvýšení limitu pro peněžní vklad, který doporučení Komise stanovuje na minimálně 24 hodin po </w:t>
      </w:r>
      <w:r w:rsidRPr="001A73D8">
        <w:lastRenderedPageBreak/>
        <w:t>podání žádosti, zatímco zákon o hazardních hrách účinnost stanovuje až na nejdříve sedmý den od změny sebeomezujícího opatření.</w:t>
      </w:r>
      <w:r w:rsidRPr="001A73D8">
        <w:rPr>
          <w:rStyle w:val="Znakapoznpodarou"/>
        </w:rPr>
        <w:footnoteReference w:id="20"/>
      </w:r>
    </w:p>
    <w:p w14:paraId="0D4EE62C" w14:textId="3E807FB6" w:rsidR="00755B08" w:rsidRPr="00B41B2B" w:rsidRDefault="00755B08" w:rsidP="00651FFD">
      <w:pPr>
        <w:rPr>
          <w:rFonts w:cs="Arial"/>
          <w:szCs w:val="24"/>
        </w:rPr>
      </w:pPr>
      <w:r w:rsidRPr="00633850">
        <w:rPr>
          <w:rFonts w:cs="Arial"/>
          <w:b/>
          <w:szCs w:val="24"/>
        </w:rPr>
        <w:t>Výrazný posun ve srovnání s předchozí právní úpravou znamená také otevření trhu zahraničním subjektům.</w:t>
      </w:r>
      <w:r w:rsidRPr="00B41B2B">
        <w:rPr>
          <w:rFonts w:cs="Arial"/>
          <w:szCs w:val="24"/>
        </w:rPr>
        <w:t xml:space="preserve"> Omezená možnost subjektů se sídlem v ostatních členských státech Evropské unie získat povolení k provozování podle </w:t>
      </w:r>
      <w:r>
        <w:rPr>
          <w:rFonts w:cs="Arial"/>
          <w:szCs w:val="24"/>
        </w:rPr>
        <w:t>z</w:t>
      </w:r>
      <w:r w:rsidR="00A77567">
        <w:rPr>
          <w:rFonts w:cs="Arial"/>
          <w:szCs w:val="24"/>
        </w:rPr>
        <w:t>ákona o </w:t>
      </w:r>
      <w:r w:rsidRPr="00963103">
        <w:rPr>
          <w:rFonts w:cs="Arial"/>
          <w:szCs w:val="24"/>
        </w:rPr>
        <w:t>loteriích vedla k zahájení řízení proti České republice</w:t>
      </w:r>
      <w:r>
        <w:rPr>
          <w:rFonts w:cs="Arial"/>
          <w:szCs w:val="24"/>
        </w:rPr>
        <w:t xml:space="preserve"> pro podezření z </w:t>
      </w:r>
      <w:r w:rsidRPr="00963103">
        <w:rPr>
          <w:rFonts w:cs="Arial"/>
          <w:szCs w:val="24"/>
        </w:rPr>
        <w:t>porušení evropského</w:t>
      </w:r>
      <w:r w:rsidRPr="00B41B2B">
        <w:rPr>
          <w:rFonts w:cs="Arial"/>
          <w:szCs w:val="24"/>
        </w:rPr>
        <w:t xml:space="preserve"> práva, tzv. infringement. Zákon o hazardních hrách nedostatek napravil tak, aby základní povolení mohl získat i subjekt z jiného členského státu Evropské unie </w:t>
      </w:r>
      <w:r>
        <w:rPr>
          <w:rFonts w:cs="Arial"/>
          <w:szCs w:val="24"/>
        </w:rPr>
        <w:t xml:space="preserve">nebo Evropského hospodářského prostoru </w:t>
      </w:r>
      <w:r w:rsidRPr="00B41B2B">
        <w:rPr>
          <w:rFonts w:cs="Arial"/>
          <w:szCs w:val="24"/>
        </w:rPr>
        <w:t>za předpokladu, že splní, stejně jako subjekt se sídlem na území České republiky, požadavky stanovené na</w:t>
      </w:r>
      <w:r w:rsidR="001D51B3">
        <w:rPr>
          <w:rFonts w:cs="Arial"/>
          <w:szCs w:val="24"/>
        </w:rPr>
        <w:t> </w:t>
      </w:r>
      <w:r w:rsidRPr="00B41B2B">
        <w:rPr>
          <w:rFonts w:cs="Arial"/>
          <w:szCs w:val="24"/>
        </w:rPr>
        <w:t>provozovatele. Zároveň nově může být provozovatelem i jiná forma obchodní korporace než pouze akciová společnost za předpokladu, že její struktura bude zajišťovat řádné provozování hazardních her, zejména pak bude mít řízenou dozorčí radu, správní radu nebo jiný obdobný kontrolní orgán.</w:t>
      </w:r>
    </w:p>
    <w:p w14:paraId="26E0E0A8" w14:textId="2628C4F6" w:rsidR="00755B08" w:rsidRDefault="00755B08" w:rsidP="00651FFD">
      <w:pPr>
        <w:rPr>
          <w:rFonts w:cs="Arial"/>
          <w:szCs w:val="24"/>
        </w:rPr>
      </w:pPr>
      <w:r>
        <w:rPr>
          <w:rFonts w:cs="Arial"/>
          <w:szCs w:val="24"/>
        </w:rPr>
        <w:t>Za účinnosti zákona o hazardních hrách bylo vydáno</w:t>
      </w:r>
      <w:r w:rsidR="00A77567">
        <w:rPr>
          <w:rFonts w:cs="Arial"/>
          <w:szCs w:val="24"/>
        </w:rPr>
        <w:t xml:space="preserve"> celkem 5 základních povolení 3 </w:t>
      </w:r>
      <w:r>
        <w:rPr>
          <w:rFonts w:cs="Arial"/>
          <w:szCs w:val="24"/>
        </w:rPr>
        <w:t>provozovatelům se sídlem mimo Českou republiku, aktuálně platná jsou 4 základní povolení, kterými disponují 2 provozovatelé (stav k 15. 4. 2021). Relativně nízký počet provozovatelů se sídlem mimo Česko</w:t>
      </w:r>
      <w:r w:rsidR="00EC7460">
        <w:rPr>
          <w:rFonts w:cs="Arial"/>
          <w:szCs w:val="24"/>
        </w:rPr>
        <w:t>u republik</w:t>
      </w:r>
      <w:r>
        <w:rPr>
          <w:rFonts w:cs="Arial"/>
          <w:szCs w:val="24"/>
        </w:rPr>
        <w:t>u může být způsoben především robustní právní úpravou týkající se opatření zodpovědného hraní, požadavky regulátora hazardních her na herní plán, tak i povinnostmi vyplývající</w:t>
      </w:r>
      <w:r w:rsidR="00EC7460">
        <w:rPr>
          <w:rFonts w:cs="Arial"/>
          <w:szCs w:val="24"/>
        </w:rPr>
        <w:t>mi</w:t>
      </w:r>
      <w:r>
        <w:rPr>
          <w:rFonts w:cs="Arial"/>
          <w:szCs w:val="24"/>
        </w:rPr>
        <w:t xml:space="preserve"> z jiné právní úpravy (např. AML zákona). Mezi ta</w:t>
      </w:r>
      <w:r w:rsidR="001D51B3">
        <w:rPr>
          <w:rFonts w:cs="Arial"/>
          <w:szCs w:val="24"/>
        </w:rPr>
        <w:t>kové patří např. i požadavky na </w:t>
      </w:r>
      <w:r w:rsidR="00C26C28">
        <w:rPr>
          <w:rFonts w:cs="Arial"/>
          <w:szCs w:val="24"/>
        </w:rPr>
        <w:t>identifikaci</w:t>
      </w:r>
      <w:r>
        <w:rPr>
          <w:rFonts w:cs="Arial"/>
          <w:szCs w:val="24"/>
        </w:rPr>
        <w:t xml:space="preserve"> osob, </w:t>
      </w:r>
      <w:r w:rsidR="00633850">
        <w:rPr>
          <w:rFonts w:cs="Arial"/>
          <w:szCs w:val="24"/>
        </w:rPr>
        <w:t>účastníků</w:t>
      </w:r>
      <w:r>
        <w:rPr>
          <w:rFonts w:cs="Arial"/>
          <w:szCs w:val="24"/>
        </w:rPr>
        <w:t xml:space="preserve"> hazardních her.</w:t>
      </w:r>
    </w:p>
    <w:p w14:paraId="77CC7C27" w14:textId="3C63F222" w:rsidR="00755B08" w:rsidRDefault="00755B08" w:rsidP="00651FFD">
      <w:pPr>
        <w:rPr>
          <w:rFonts w:cs="Arial"/>
          <w:szCs w:val="24"/>
        </w:rPr>
      </w:pPr>
      <w:r w:rsidRPr="00633850">
        <w:rPr>
          <w:rFonts w:cs="Arial"/>
          <w:b/>
          <w:szCs w:val="24"/>
        </w:rPr>
        <w:t>S ohledem na výše uvedené lze konstatovat, že nová právní úprava regulace hazardních her naplňuje závěry a doporučení Evropské komise pro regulaci hazardu a rovněž se právní úpravou podařilo odstranit zásadní a za staré právní úpravy vytýkané nedostatky.</w:t>
      </w:r>
      <w:r>
        <w:rPr>
          <w:rFonts w:cs="Arial"/>
          <w:szCs w:val="24"/>
        </w:rPr>
        <w:t xml:space="preserve"> Stávající právní úprava v této oblasti je v souladu s právem Evropské unie.</w:t>
      </w:r>
    </w:p>
    <w:p w14:paraId="614CE8A1" w14:textId="787E54D4" w:rsidR="00BB021E" w:rsidRPr="00C55173" w:rsidRDefault="00BB021E" w:rsidP="00BB021E">
      <w:pPr>
        <w:pStyle w:val="Nadpis4"/>
      </w:pPr>
      <w:bookmarkStart w:id="102" w:name="_Toc72999568"/>
      <w:r w:rsidRPr="00C55173">
        <w:t>Efektivní výkon dozoru</w:t>
      </w:r>
      <w:bookmarkEnd w:id="102"/>
    </w:p>
    <w:p w14:paraId="2D4F7F11" w14:textId="43321BDE" w:rsidR="00C55173" w:rsidRPr="001F482D" w:rsidRDefault="00C55173" w:rsidP="00651FFD">
      <w:r w:rsidRPr="001F482D">
        <w:t xml:space="preserve">Zákon o hazardních hrách zavedl kontrolní mechanismus, který se opírá o několik pilířů, přičemž každý z těchto pilířů plní jiný účel </w:t>
      </w:r>
      <w:r>
        <w:t xml:space="preserve">kontroly </w:t>
      </w:r>
      <w:r w:rsidRPr="001F482D">
        <w:t xml:space="preserve">a tvoří tak </w:t>
      </w:r>
      <w:r w:rsidRPr="00C55173">
        <w:rPr>
          <w:b/>
        </w:rPr>
        <w:t>komplexní celek</w:t>
      </w:r>
      <w:r w:rsidRPr="001F482D">
        <w:t xml:space="preserve">. Nejvýznamnějším pilířem v této oblasti je </w:t>
      </w:r>
      <w:r w:rsidRPr="00C55173">
        <w:rPr>
          <w:b/>
        </w:rPr>
        <w:t>výkon dozoru nad provozováním hazardních her, a to jak legálních, tak i nelegálních</w:t>
      </w:r>
      <w:r w:rsidRPr="001F482D">
        <w:t>, kde došlo oproti předchozí právní úpravě k významným změnám</w:t>
      </w:r>
      <w:r>
        <w:t xml:space="preserve"> a posílení oprávnění orgánů vykonávajících dozor</w:t>
      </w:r>
      <w:r w:rsidRPr="001F482D">
        <w:t xml:space="preserve">. Další pilíř lze spatřovat v zavedení </w:t>
      </w:r>
      <w:r w:rsidRPr="00C55173">
        <w:rPr>
          <w:b/>
        </w:rPr>
        <w:t>Seznamu nepovolených internetových her</w:t>
      </w:r>
      <w:r>
        <w:t xml:space="preserve"> (dále také j</w:t>
      </w:r>
      <w:r w:rsidR="00EC7460">
        <w:t>ako „</w:t>
      </w:r>
      <w:r w:rsidR="00D527D3">
        <w:t xml:space="preserve">tzv. </w:t>
      </w:r>
      <w:r w:rsidR="00D77EFC">
        <w:t>black-</w:t>
      </w:r>
      <w:r w:rsidR="00EC7460">
        <w:t>list“) s ním spojeného</w:t>
      </w:r>
      <w:r w:rsidRPr="001F482D">
        <w:t xml:space="preserve"> institutu blokace internetových stránek a plateb, který plní významnou úlohu při boji s nelegálně provozovanými hazardními hrami v internetovém prostředí. Ke zvýšení kontroly do</w:t>
      </w:r>
      <w:r>
        <w:t>šlo také v případě provozování</w:t>
      </w:r>
      <w:r w:rsidRPr="001F482D">
        <w:t xml:space="preserve"> her na základě základního povolení, kdy je provozovatel po</w:t>
      </w:r>
      <w:r>
        <w:t>vinen zajistit, aby hazardní hry</w:t>
      </w:r>
      <w:r w:rsidRPr="001F482D">
        <w:t xml:space="preserve"> a zařízení, jejichž prostřednictvím jsou hazardní hry provozovány, splňovaly požadavky podle zákona o hazardních hrách. Tato kontrola je prováděna již před vydáním základního povolení a provádějí ji </w:t>
      </w:r>
      <w:r w:rsidRPr="00C55173">
        <w:rPr>
          <w:b/>
        </w:rPr>
        <w:t>pověřené osoby disponující pověřením k odbornému posuzování a osvědčování</w:t>
      </w:r>
      <w:r w:rsidRPr="001F482D">
        <w:t>, které vydává Ministerstvo financí.</w:t>
      </w:r>
    </w:p>
    <w:p w14:paraId="5DCA6858" w14:textId="77777777" w:rsidR="00C55173" w:rsidRPr="003315E7" w:rsidRDefault="00C55173" w:rsidP="00C55173">
      <w:pPr>
        <w:pStyle w:val="Nadpis6"/>
        <w:numPr>
          <w:ilvl w:val="0"/>
          <w:numId w:val="21"/>
        </w:numPr>
      </w:pPr>
      <w:bookmarkStart w:id="103" w:name="_Toc72999569"/>
      <w:r w:rsidRPr="003315E7">
        <w:lastRenderedPageBreak/>
        <w:t>Výkon dozoru a správní trestání</w:t>
      </w:r>
      <w:bookmarkEnd w:id="103"/>
    </w:p>
    <w:p w14:paraId="6903E09A" w14:textId="583FAAE0" w:rsidR="0047503E" w:rsidRDefault="0047503E" w:rsidP="00651FFD">
      <w:r w:rsidRPr="00B41B2B">
        <w:t>Zákon o hazardních hrách transformoval výkon dozoru v oblasti provozování hazardních her. V první řadě došlo ke změně dozorového orgánu</w:t>
      </w:r>
      <w:r w:rsidR="00D527D3">
        <w:t>.</w:t>
      </w:r>
      <w:r w:rsidRPr="00B41B2B">
        <w:t xml:space="preserve"> </w:t>
      </w:r>
      <w:r w:rsidR="00D527D3">
        <w:t>P</w:t>
      </w:r>
      <w:r w:rsidRPr="00B41B2B">
        <w:t>ravomoc k výkonu dozoru byla ze Specializovaného fin</w:t>
      </w:r>
      <w:r>
        <w:t>ančního úřadu, obecních úřadů a </w:t>
      </w:r>
      <w:r w:rsidRPr="00B41B2B">
        <w:t xml:space="preserve">krajských úřadů </w:t>
      </w:r>
      <w:r w:rsidRPr="00C55173">
        <w:rPr>
          <w:b/>
        </w:rPr>
        <w:t>přenesena na Celní správu</w:t>
      </w:r>
      <w:r w:rsidRPr="00B41B2B">
        <w:t xml:space="preserve">. Pravomoc k výkonu dozoru </w:t>
      </w:r>
      <w:r w:rsidRPr="00C55173">
        <w:rPr>
          <w:b/>
        </w:rPr>
        <w:t>Ministerstv</w:t>
      </w:r>
      <w:r w:rsidR="00D527D3">
        <w:rPr>
          <w:b/>
        </w:rPr>
        <w:t>em</w:t>
      </w:r>
      <w:r w:rsidRPr="00C55173">
        <w:rPr>
          <w:b/>
        </w:rPr>
        <w:t xml:space="preserve"> financí</w:t>
      </w:r>
      <w:r>
        <w:t xml:space="preserve"> byla ponechána, nicméně primárně je dozor vykonáván celními úřady.</w:t>
      </w:r>
      <w:r w:rsidRPr="00B41B2B">
        <w:t xml:space="preserve"> Tímto způsobem došlo k zefektivnění dozoru, neboť Celní správa</w:t>
      </w:r>
      <w:r>
        <w:t xml:space="preserve"> je po stránce kapacit</w:t>
      </w:r>
      <w:r w:rsidR="009074CC">
        <w:t>ní</w:t>
      </w:r>
      <w:r>
        <w:t xml:space="preserve"> a technické, i</w:t>
      </w:r>
      <w:r w:rsidRPr="00B41B2B">
        <w:t xml:space="preserve"> jakožto ozbrojená složka</w:t>
      </w:r>
      <w:r w:rsidR="00D527D3">
        <w:t>,</w:t>
      </w:r>
      <w:r w:rsidRPr="00B41B2B">
        <w:t xml:space="preserve"> vhodněji vybavena zejména v oblasti boje proti nelegálnímu hazardu. </w:t>
      </w:r>
    </w:p>
    <w:p w14:paraId="7F11BCAF" w14:textId="77777777" w:rsidR="00C55173" w:rsidRPr="00BF3F59" w:rsidRDefault="00C55173" w:rsidP="00C55173">
      <w:pPr>
        <w:spacing w:before="120" w:after="240"/>
        <w:rPr>
          <w:rFonts w:cs="Arial"/>
          <w:b/>
          <w:szCs w:val="24"/>
        </w:rPr>
      </w:pPr>
      <w:r w:rsidRPr="00BF3F59">
        <w:rPr>
          <w:rFonts w:cs="Arial"/>
          <w:b/>
          <w:szCs w:val="24"/>
        </w:rPr>
        <w:t>Kontrola prováděná v land-based prostředí</w:t>
      </w:r>
    </w:p>
    <w:p w14:paraId="66807045" w14:textId="6B985B64" w:rsidR="00C55173" w:rsidRDefault="0047503E" w:rsidP="00651FFD">
      <w:r>
        <w:t xml:space="preserve">V prvé řadě se Celní správa zaměřila na důsledné provádění kontrol provozování hazardních her </w:t>
      </w:r>
      <w:r w:rsidR="00D527D3">
        <w:t>formou</w:t>
      </w:r>
      <w:r>
        <w:t xml:space="preserve"> land-based. Kontroly probíhaly jak v případě legálních provozovatelů, u kterých bylo ověřováno, zda plní pov</w:t>
      </w:r>
      <w:r w:rsidR="001D51B3">
        <w:t>innosti vyplývající ze zákona o </w:t>
      </w:r>
      <w:r>
        <w:t>hazardních hrách, základního povolení a herního p</w:t>
      </w:r>
      <w:r w:rsidR="001D51B3">
        <w:t>lánu, tak i v případě detekce a </w:t>
      </w:r>
      <w:r>
        <w:t xml:space="preserve">následné kontroly provozovatelů nelegálních. </w:t>
      </w:r>
      <w:r w:rsidR="00C55173">
        <w:t>Níže uvedený graf</w:t>
      </w:r>
      <w:r w:rsidR="00D527D3">
        <w:t> </w:t>
      </w:r>
      <w:r w:rsidR="003C3B30">
        <w:t>č.</w:t>
      </w:r>
      <w:r w:rsidR="00D527D3">
        <w:t> </w:t>
      </w:r>
      <w:r w:rsidR="003C3B30">
        <w:t>17</w:t>
      </w:r>
      <w:r w:rsidR="00C55173">
        <w:t xml:space="preserve"> ilustruje </w:t>
      </w:r>
      <w:r>
        <w:rPr>
          <w:b/>
        </w:rPr>
        <w:t>celkový počet kontrol (</w:t>
      </w:r>
      <w:r w:rsidR="00C55173" w:rsidRPr="00C55173">
        <w:rPr>
          <w:b/>
        </w:rPr>
        <w:t xml:space="preserve">legálních i nelegálních provozovatelů </w:t>
      </w:r>
      <w:r>
        <w:rPr>
          <w:b/>
        </w:rPr>
        <w:t xml:space="preserve">hazardních her) </w:t>
      </w:r>
      <w:r w:rsidR="00C55173" w:rsidRPr="00C55173">
        <w:rPr>
          <w:b/>
        </w:rPr>
        <w:t>provedených celními úřady v land-based</w:t>
      </w:r>
      <w:r w:rsidR="00C55173">
        <w:t xml:space="preserve"> prostředí za období 2017 – 2020. </w:t>
      </w:r>
    </w:p>
    <w:p w14:paraId="6663CEB2" w14:textId="6EAD6557" w:rsidR="003B0BE0" w:rsidRDefault="003B0BE0" w:rsidP="003B0BE0">
      <w:pPr>
        <w:pStyle w:val="Titulek"/>
        <w:keepNext/>
      </w:pPr>
      <w:bookmarkStart w:id="104" w:name="_Toc73611445"/>
      <w:r>
        <w:t xml:space="preserve">Graf č. </w:t>
      </w:r>
      <w:fldSimple w:instr=" SEQ Graf_č. \* ARABIC ">
        <w:r w:rsidR="00A860B8">
          <w:rPr>
            <w:noProof/>
          </w:rPr>
          <w:t>17</w:t>
        </w:r>
      </w:fldSimple>
      <w:r>
        <w:t xml:space="preserve">: </w:t>
      </w:r>
      <w:r w:rsidRPr="004830CC">
        <w:t xml:space="preserve">Porovnání celkového počtu kontrol legálních i nelegálních provozovatelů hazardních her provedených celními úřady v land-based </w:t>
      </w:r>
      <w:r w:rsidR="00D527D3" w:rsidRPr="004830CC">
        <w:t xml:space="preserve">prostředí </w:t>
      </w:r>
      <w:r w:rsidRPr="004830CC">
        <w:t>s počtem kontrol se s</w:t>
      </w:r>
      <w:r w:rsidR="00EC7460">
        <w:t>hledaným podezřením na porušení</w:t>
      </w:r>
      <w:r w:rsidRPr="004830CC">
        <w:t xml:space="preserve"> p</w:t>
      </w:r>
      <w:r w:rsidR="0047503E">
        <w:t>ovinností stanovených zákonem o </w:t>
      </w:r>
      <w:r w:rsidRPr="004830CC">
        <w:t>hazardních hrách za období 20</w:t>
      </w:r>
      <w:r>
        <w:t>20</w:t>
      </w:r>
      <w:bookmarkEnd w:id="104"/>
    </w:p>
    <w:p w14:paraId="4509CA80" w14:textId="77777777" w:rsidR="00C55173" w:rsidRDefault="00C55173" w:rsidP="00C55173">
      <w:pPr>
        <w:spacing w:after="0"/>
        <w:rPr>
          <w:rFonts w:cs="Arial"/>
          <w:i/>
          <w:szCs w:val="24"/>
        </w:rPr>
      </w:pPr>
      <w:r>
        <w:rPr>
          <w:noProof/>
          <w:lang w:eastAsia="cs-CZ"/>
        </w:rPr>
        <w:drawing>
          <wp:inline distT="0" distB="0" distL="0" distR="0" wp14:anchorId="211014DB" wp14:editId="00FCD3D4">
            <wp:extent cx="5747657" cy="1698171"/>
            <wp:effectExtent l="0" t="0" r="5715" b="16510"/>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3AA664C" w14:textId="77777777" w:rsidR="00C55173" w:rsidRDefault="00C55173" w:rsidP="00C55173">
      <w:pPr>
        <w:spacing w:after="0"/>
        <w:rPr>
          <w:rFonts w:cs="Arial"/>
          <w:i/>
          <w:sz w:val="20"/>
          <w:szCs w:val="20"/>
        </w:rPr>
      </w:pPr>
      <w:r w:rsidRPr="00381A3F">
        <w:rPr>
          <w:rFonts w:cs="Arial"/>
          <w:i/>
          <w:sz w:val="20"/>
          <w:szCs w:val="20"/>
        </w:rPr>
        <w:t>Zdroj: Celní správa.</w:t>
      </w:r>
    </w:p>
    <w:p w14:paraId="5B232442" w14:textId="77777777" w:rsidR="00C55173" w:rsidRDefault="00C55173" w:rsidP="00C55173">
      <w:pPr>
        <w:spacing w:after="0"/>
        <w:rPr>
          <w:rFonts w:cs="Arial"/>
          <w:i/>
          <w:sz w:val="20"/>
          <w:szCs w:val="20"/>
        </w:rPr>
      </w:pPr>
    </w:p>
    <w:p w14:paraId="6E32F016" w14:textId="460084F1" w:rsidR="00C55173" w:rsidRPr="00CB0A8D" w:rsidRDefault="00C55173" w:rsidP="00651FFD">
      <w:pPr>
        <w:rPr>
          <w:rFonts w:cs="Arial"/>
          <w:sz w:val="20"/>
          <w:szCs w:val="20"/>
        </w:rPr>
      </w:pPr>
      <w:r w:rsidRPr="00CB0A8D">
        <w:t>Následující graf zobra</w:t>
      </w:r>
      <w:r w:rsidR="008F29F4">
        <w:t>zuje počty kontrol provedených C</w:t>
      </w:r>
      <w:r w:rsidRPr="00CB0A8D">
        <w:t>elní správou v jednotlivých letech, přičemž je zde uveden počet kontrol u legálních provozovatelů. K</w:t>
      </w:r>
      <w:r>
        <w:rPr>
          <w:rFonts w:cs="Arial"/>
          <w:szCs w:val="24"/>
        </w:rPr>
        <w:t xml:space="preserve"> počtu kontrol vykonaných v roce 2020 uvedených v grafu č. </w:t>
      </w:r>
      <w:r w:rsidR="003B0BE0" w:rsidRPr="003B0BE0">
        <w:rPr>
          <w:rFonts w:cs="Arial"/>
          <w:szCs w:val="24"/>
        </w:rPr>
        <w:t>1</w:t>
      </w:r>
      <w:r w:rsidR="003C3B30">
        <w:rPr>
          <w:rFonts w:cs="Arial"/>
          <w:szCs w:val="24"/>
        </w:rPr>
        <w:t>8</w:t>
      </w:r>
      <w:r>
        <w:rPr>
          <w:rFonts w:cs="Arial"/>
          <w:szCs w:val="24"/>
        </w:rPr>
        <w:t xml:space="preserve"> je nutné doplnit, že se jednalo o rok, který byl výrazným způsobem ovlivněn pandemickou situací</w:t>
      </w:r>
      <w:r w:rsidRPr="00AE7848">
        <w:rPr>
          <w:rFonts w:cs="Arial"/>
          <w:szCs w:val="24"/>
        </w:rPr>
        <w:t xml:space="preserve"> související s </w:t>
      </w:r>
      <w:r w:rsidR="00D527D3">
        <w:rPr>
          <w:rFonts w:cs="Arial"/>
          <w:szCs w:val="24"/>
        </w:rPr>
        <w:t>covid</w:t>
      </w:r>
      <w:r w:rsidRPr="00AE7848">
        <w:rPr>
          <w:rFonts w:cs="Arial"/>
          <w:szCs w:val="24"/>
        </w:rPr>
        <w:t>-19</w:t>
      </w:r>
      <w:r>
        <w:rPr>
          <w:rFonts w:cs="Arial"/>
          <w:szCs w:val="24"/>
        </w:rPr>
        <w:t>, kdy v řadě provozoven nebylo možné provozovat hazardní hru.</w:t>
      </w:r>
    </w:p>
    <w:p w14:paraId="24892287" w14:textId="7A81513F" w:rsidR="003B0BE0" w:rsidRDefault="003B0BE0" w:rsidP="003B0BE0">
      <w:pPr>
        <w:pStyle w:val="Titulek"/>
        <w:keepNext/>
      </w:pPr>
      <w:bookmarkStart w:id="105" w:name="_Toc73611446"/>
      <w:r>
        <w:lastRenderedPageBreak/>
        <w:t xml:space="preserve">Graf č. </w:t>
      </w:r>
      <w:fldSimple w:instr=" SEQ Graf_č. \* ARABIC ">
        <w:r w:rsidR="00A860B8">
          <w:rPr>
            <w:noProof/>
          </w:rPr>
          <w:t>18</w:t>
        </w:r>
      </w:fldSimple>
      <w:r>
        <w:t xml:space="preserve">: </w:t>
      </w:r>
      <w:r w:rsidR="00BA3634">
        <w:t>P</w:t>
      </w:r>
      <w:r w:rsidRPr="00431520">
        <w:t>orovnání celkového počtu Celní správou provedených kontrol v</w:t>
      </w:r>
      <w:r w:rsidR="001D51B3">
        <w:t> </w:t>
      </w:r>
      <w:r w:rsidRPr="00431520">
        <w:t>la</w:t>
      </w:r>
      <w:r w:rsidR="001D51B3">
        <w:t>nd</w:t>
      </w:r>
      <w:r w:rsidR="001D51B3">
        <w:noBreakHyphen/>
      </w:r>
      <w:r w:rsidRPr="00431520">
        <w:t>based</w:t>
      </w:r>
      <w:r w:rsidR="00D527D3">
        <w:t xml:space="preserve"> prostředí</w:t>
      </w:r>
      <w:r w:rsidRPr="00431520">
        <w:t xml:space="preserve"> s kontrolami u legálně provozujících provoz</w:t>
      </w:r>
      <w:r w:rsidR="001D51B3">
        <w:t>ovatelů, a to za </w:t>
      </w:r>
      <w:r>
        <w:t>období  2017</w:t>
      </w:r>
      <w:r w:rsidR="00D527D3">
        <w:t> </w:t>
      </w:r>
      <w:r>
        <w:t>-</w:t>
      </w:r>
      <w:r w:rsidR="00D527D3">
        <w:t> </w:t>
      </w:r>
      <w:r w:rsidRPr="00431520">
        <w:t>2020</w:t>
      </w:r>
      <w:bookmarkEnd w:id="105"/>
    </w:p>
    <w:p w14:paraId="20CDEE58" w14:textId="77777777" w:rsidR="00C55173" w:rsidRDefault="00C55173" w:rsidP="00C55173">
      <w:pPr>
        <w:spacing w:after="0"/>
        <w:rPr>
          <w:rFonts w:cs="Arial"/>
          <w:szCs w:val="24"/>
        </w:rPr>
      </w:pPr>
      <w:r>
        <w:rPr>
          <w:noProof/>
          <w:lang w:eastAsia="cs-CZ"/>
        </w:rPr>
        <w:drawing>
          <wp:inline distT="0" distB="0" distL="0" distR="0" wp14:anchorId="7E571D51" wp14:editId="6F0C9A32">
            <wp:extent cx="5701553" cy="2280621"/>
            <wp:effectExtent l="0" t="0" r="13970" b="5715"/>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73D662F" w14:textId="77777777" w:rsidR="00C55173" w:rsidRPr="00381A3F" w:rsidRDefault="00C55173" w:rsidP="00C55173">
      <w:pPr>
        <w:spacing w:after="0"/>
        <w:rPr>
          <w:rFonts w:cs="Arial"/>
          <w:i/>
          <w:sz w:val="20"/>
          <w:szCs w:val="20"/>
        </w:rPr>
      </w:pPr>
      <w:r w:rsidRPr="00381A3F">
        <w:rPr>
          <w:rFonts w:cs="Arial"/>
          <w:i/>
          <w:sz w:val="20"/>
          <w:szCs w:val="20"/>
        </w:rPr>
        <w:t>Zdroj: Celní správa.</w:t>
      </w:r>
    </w:p>
    <w:p w14:paraId="2985E61A" w14:textId="77777777" w:rsidR="00C55173" w:rsidRDefault="00C55173" w:rsidP="00C55173">
      <w:pPr>
        <w:spacing w:after="0"/>
        <w:rPr>
          <w:rFonts w:cs="Arial"/>
          <w:szCs w:val="24"/>
        </w:rPr>
      </w:pPr>
    </w:p>
    <w:p w14:paraId="10D942CC" w14:textId="77777777" w:rsidR="00C55173" w:rsidRDefault="00C55173" w:rsidP="00651FFD">
      <w:pPr>
        <w:rPr>
          <w:i/>
          <w:sz w:val="20"/>
          <w:szCs w:val="20"/>
        </w:rPr>
      </w:pPr>
      <w:r>
        <w:t>Z výše uvedených grafů je patrné, že větší množství kontrol co do jejich počtu bylo provedeno</w:t>
      </w:r>
      <w:r w:rsidRPr="006F05C1">
        <w:t xml:space="preserve"> zejména u legálních provozovatelů. </w:t>
      </w:r>
    </w:p>
    <w:p w14:paraId="3180CCC6" w14:textId="73C39C9C" w:rsidR="003B0BE0" w:rsidRDefault="003B0BE0" w:rsidP="003B0BE0">
      <w:pPr>
        <w:pStyle w:val="Titulek"/>
        <w:keepNext/>
      </w:pPr>
      <w:bookmarkStart w:id="106" w:name="_Toc73611447"/>
      <w:r>
        <w:t xml:space="preserve">Graf č. </w:t>
      </w:r>
      <w:fldSimple w:instr=" SEQ Graf_č. \* ARABIC ">
        <w:r w:rsidR="00A860B8">
          <w:rPr>
            <w:noProof/>
          </w:rPr>
          <w:t>19</w:t>
        </w:r>
      </w:fldSimple>
      <w:r>
        <w:t xml:space="preserve">: </w:t>
      </w:r>
      <w:r w:rsidRPr="008D6B77">
        <w:t>Porovnání počtu kontrol p</w:t>
      </w:r>
      <w:r w:rsidR="00F417A9">
        <w:t>rovedených Celní správou v land</w:t>
      </w:r>
      <w:r w:rsidR="00F417A9">
        <w:noBreakHyphen/>
      </w:r>
      <w:r w:rsidRPr="008D6B77">
        <w:t xml:space="preserve">based </w:t>
      </w:r>
      <w:r w:rsidR="00D527D3" w:rsidRPr="008D6B77">
        <w:t xml:space="preserve">prostředí </w:t>
      </w:r>
      <w:r w:rsidRPr="008D6B77">
        <w:t>u legálních provozovatelů s počtem zjištěných podezření na porušení dílčích povinností, a to za období 2017 - 2020</w:t>
      </w:r>
      <w:bookmarkEnd w:id="106"/>
    </w:p>
    <w:p w14:paraId="403BE9B7" w14:textId="77777777" w:rsidR="00C55173" w:rsidRDefault="00C55173" w:rsidP="00C55173">
      <w:pPr>
        <w:spacing w:after="0"/>
        <w:rPr>
          <w:rFonts w:cs="Arial"/>
          <w:szCs w:val="24"/>
        </w:rPr>
      </w:pPr>
      <w:r>
        <w:rPr>
          <w:noProof/>
          <w:lang w:eastAsia="cs-CZ"/>
        </w:rPr>
        <w:drawing>
          <wp:inline distT="0" distB="0" distL="0" distR="0" wp14:anchorId="51845996" wp14:editId="5D6DBF35">
            <wp:extent cx="5755342" cy="2305050"/>
            <wp:effectExtent l="0" t="0" r="17145" b="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81DE81" w14:textId="77777777" w:rsidR="00C55173" w:rsidRPr="00381A3F" w:rsidRDefault="00C55173" w:rsidP="00C55173">
      <w:pPr>
        <w:spacing w:after="0"/>
        <w:rPr>
          <w:rFonts w:cs="Arial"/>
          <w:i/>
          <w:sz w:val="20"/>
          <w:szCs w:val="20"/>
        </w:rPr>
      </w:pPr>
      <w:r w:rsidRPr="00381A3F">
        <w:rPr>
          <w:rFonts w:cs="Arial"/>
          <w:i/>
          <w:sz w:val="20"/>
          <w:szCs w:val="20"/>
        </w:rPr>
        <w:t>Zdroj: Celní správa.</w:t>
      </w:r>
    </w:p>
    <w:p w14:paraId="7241F093" w14:textId="77777777" w:rsidR="00C55173" w:rsidRDefault="00C55173" w:rsidP="00C55173">
      <w:pPr>
        <w:spacing w:after="0"/>
        <w:rPr>
          <w:rFonts w:cs="Arial"/>
          <w:szCs w:val="24"/>
        </w:rPr>
      </w:pPr>
    </w:p>
    <w:p w14:paraId="66B71EF4" w14:textId="5629BE94" w:rsidR="00C55173" w:rsidRDefault="00C55173" w:rsidP="00651FFD">
      <w:r>
        <w:t xml:space="preserve">Na základě výše uvedeného grafu se lze domnívat, že v roce 2017 byl počet zjištěných </w:t>
      </w:r>
      <w:r w:rsidRPr="00C117AE">
        <w:t>podezření</w:t>
      </w:r>
      <w:r>
        <w:t xml:space="preserve"> na porušení dílčích povinností nižší (přibližně 18 %) z toho důvodu, že řada provozovatelů v tomto roce na základě přechodných ustanovení zákona o hazardních hrách provozovala nad</w:t>
      </w:r>
      <w:r w:rsidR="0047503E">
        <w:t>ále hazardní hry podle zákona o </w:t>
      </w:r>
      <w:r>
        <w:t xml:space="preserve">loteriích. Vzhledem ke skutečnosti, že tento zákon nevyžadoval například povinnost registrace účastníků hazardních nebo povinnost nabídnout účastníkům hazardních her možnost nastavení sebeomezujících opatření, byla motivace legálních provozovatelů nedodržovat podmínky stanovené zákonem nižší. Naopak z údajů v dalších letech vyplývá, že </w:t>
      </w:r>
      <w:r w:rsidRPr="00C55173">
        <w:rPr>
          <w:b/>
        </w:rPr>
        <w:t xml:space="preserve">počet zjištěných podezření na porušení dílčích </w:t>
      </w:r>
      <w:r w:rsidRPr="00C55173">
        <w:rPr>
          <w:b/>
        </w:rPr>
        <w:lastRenderedPageBreak/>
        <w:t>povinností je poměrně stabilní a pohybuje se v rozmezí mezi 43 % až 58 %</w:t>
      </w:r>
      <w:r>
        <w:rPr>
          <w:b/>
        </w:rPr>
        <w:t xml:space="preserve"> ze</w:t>
      </w:r>
      <w:r w:rsidR="00A114D5">
        <w:rPr>
          <w:b/>
        </w:rPr>
        <w:t> </w:t>
      </w:r>
      <w:r>
        <w:rPr>
          <w:b/>
        </w:rPr>
        <w:t>všech provedených kontrol</w:t>
      </w:r>
      <w:r>
        <w:t xml:space="preserve">. </w:t>
      </w:r>
    </w:p>
    <w:p w14:paraId="1A2B51AE" w14:textId="77777777" w:rsidR="00C55173" w:rsidRDefault="00C55173" w:rsidP="00651FFD">
      <w:r>
        <w:t>Nejčastější porušení dílčích povinností vyplývajících ze zákona o hazardních hrách, základního povolení a herního plánu tvořila podezření na porušení zákazu umístění reklamy na budově nebo veřejně přístupné vnitřní části budovy, ve které se herní prostor nachází a na porušení povinnosti umožnit hru nejméně u třech hracích stolů živé hry, a to po celou provozní dobu kasina.</w:t>
      </w:r>
    </w:p>
    <w:p w14:paraId="64E39642" w14:textId="334BD298" w:rsidR="003B0BE0" w:rsidRDefault="003B0BE0" w:rsidP="003B0BE0">
      <w:pPr>
        <w:pStyle w:val="Titulek"/>
        <w:keepNext/>
      </w:pPr>
      <w:bookmarkStart w:id="107" w:name="_Toc73611448"/>
      <w:r>
        <w:t xml:space="preserve">Graf č. </w:t>
      </w:r>
      <w:fldSimple w:instr=" SEQ Graf_č. \* ARABIC ">
        <w:r w:rsidR="00A860B8">
          <w:rPr>
            <w:noProof/>
          </w:rPr>
          <w:t>20</w:t>
        </w:r>
      </w:fldSimple>
      <w:r>
        <w:t xml:space="preserve">: </w:t>
      </w:r>
      <w:r w:rsidRPr="003351F6">
        <w:t xml:space="preserve">Přehled nejčetněji Celní správou zjištěných podezření na porušení dílčích povinností legálně provozujícími provozovateli v land-based </w:t>
      </w:r>
      <w:r w:rsidR="00A114D5" w:rsidRPr="003351F6">
        <w:t xml:space="preserve">prostředí </w:t>
      </w:r>
      <w:r w:rsidRPr="003351F6">
        <w:t>v</w:t>
      </w:r>
      <w:r w:rsidR="00A114D5">
        <w:t> </w:t>
      </w:r>
      <w:r w:rsidRPr="003351F6">
        <w:t>roce 2020</w:t>
      </w:r>
      <w:bookmarkEnd w:id="107"/>
    </w:p>
    <w:p w14:paraId="336D2AB3" w14:textId="77777777" w:rsidR="00C55173" w:rsidRDefault="00C55173" w:rsidP="00C55173">
      <w:pPr>
        <w:spacing w:before="120" w:after="240"/>
        <w:rPr>
          <w:rFonts w:cs="Arial"/>
          <w:szCs w:val="24"/>
        </w:rPr>
      </w:pPr>
      <w:r>
        <w:rPr>
          <w:noProof/>
          <w:lang w:eastAsia="cs-CZ"/>
        </w:rPr>
        <w:drawing>
          <wp:inline distT="0" distB="0" distL="0" distR="0" wp14:anchorId="564D4DC9" wp14:editId="6EAE09AF">
            <wp:extent cx="5745708" cy="3220720"/>
            <wp:effectExtent l="0" t="0" r="7620" b="17780"/>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E0BE93E" w14:textId="610EE43E" w:rsidR="00C55173" w:rsidRDefault="00C55173" w:rsidP="00C55173">
      <w:pPr>
        <w:spacing w:after="0"/>
        <w:rPr>
          <w:rFonts w:cs="Arial"/>
          <w:i/>
          <w:sz w:val="20"/>
          <w:szCs w:val="20"/>
        </w:rPr>
      </w:pPr>
      <w:r>
        <w:rPr>
          <w:rFonts w:cs="Arial"/>
          <w:i/>
          <w:sz w:val="20"/>
          <w:szCs w:val="20"/>
        </w:rPr>
        <w:t>Zdroj: Celní správa a Ministerstvo financí (IS SDSL)</w:t>
      </w:r>
      <w:r>
        <w:rPr>
          <w:rStyle w:val="Znakapoznpodarou"/>
          <w:rFonts w:cs="Arial"/>
          <w:i/>
          <w:sz w:val="20"/>
          <w:szCs w:val="20"/>
        </w:rPr>
        <w:footnoteReference w:id="21"/>
      </w:r>
      <w:r w:rsidR="003B0BE0">
        <w:rPr>
          <w:rFonts w:cs="Arial"/>
          <w:i/>
          <w:sz w:val="20"/>
          <w:szCs w:val="20"/>
        </w:rPr>
        <w:t>.</w:t>
      </w:r>
    </w:p>
    <w:p w14:paraId="156A8884" w14:textId="77777777" w:rsidR="00651FFD" w:rsidRDefault="00651FFD" w:rsidP="00651FFD"/>
    <w:p w14:paraId="6B918566" w14:textId="3AACE218" w:rsidR="008F29F4" w:rsidRDefault="008F29F4" w:rsidP="00651FFD">
      <w:r>
        <w:t xml:space="preserve">Vedle kontrol legálních provozovatelů zároveň probíhaly </w:t>
      </w:r>
      <w:r w:rsidRPr="00C55173">
        <w:rPr>
          <w:b/>
        </w:rPr>
        <w:t>intenzivní kontroly v oblasti nelegálního provozování</w:t>
      </w:r>
      <w:r>
        <w:t>.</w:t>
      </w:r>
    </w:p>
    <w:p w14:paraId="62266015" w14:textId="3925126A" w:rsidR="003B0BE0" w:rsidRDefault="003B0BE0" w:rsidP="003B0BE0">
      <w:pPr>
        <w:pStyle w:val="Titulek"/>
        <w:keepNext/>
      </w:pPr>
      <w:bookmarkStart w:id="108" w:name="_Toc73611449"/>
      <w:r>
        <w:lastRenderedPageBreak/>
        <w:t xml:space="preserve">Graf č. </w:t>
      </w:r>
      <w:fldSimple w:instr=" SEQ Graf_č. \* ARABIC ">
        <w:r w:rsidR="00A860B8">
          <w:rPr>
            <w:noProof/>
          </w:rPr>
          <w:t>21</w:t>
        </w:r>
      </w:fldSimple>
      <w:r>
        <w:t xml:space="preserve">: </w:t>
      </w:r>
      <w:r w:rsidRPr="008816E2">
        <w:t>Porovnání celkového počtu kontrol p</w:t>
      </w:r>
      <w:r w:rsidR="00F417A9">
        <w:t>rovedených Celní správou v land</w:t>
      </w:r>
      <w:r w:rsidR="00F417A9">
        <w:noBreakHyphen/>
      </w:r>
      <w:r w:rsidRPr="008816E2">
        <w:t xml:space="preserve">based </w:t>
      </w:r>
      <w:r w:rsidR="00A114D5" w:rsidRPr="008816E2">
        <w:t xml:space="preserve">prostředí </w:t>
      </w:r>
      <w:r w:rsidRPr="008816E2">
        <w:t>s kontrolami zaměřenými na nelegá</w:t>
      </w:r>
      <w:r w:rsidR="0047503E">
        <w:t>lně provozující provozovatele v </w:t>
      </w:r>
      <w:r w:rsidRPr="008816E2">
        <w:t>období let 2017 až 2020</w:t>
      </w:r>
      <w:bookmarkEnd w:id="108"/>
    </w:p>
    <w:p w14:paraId="70A7B699" w14:textId="77777777" w:rsidR="00C55173" w:rsidRDefault="00C55173" w:rsidP="00C55173">
      <w:pPr>
        <w:spacing w:before="120" w:after="240"/>
        <w:rPr>
          <w:rFonts w:cs="Arial"/>
          <w:szCs w:val="24"/>
        </w:rPr>
      </w:pPr>
      <w:r>
        <w:rPr>
          <w:noProof/>
          <w:lang w:eastAsia="cs-CZ"/>
        </w:rPr>
        <w:drawing>
          <wp:inline distT="0" distB="0" distL="0" distR="0" wp14:anchorId="25B66D78" wp14:editId="629267D6">
            <wp:extent cx="5760720" cy="1749580"/>
            <wp:effectExtent l="0" t="0" r="11430" b="3175"/>
            <wp:docPr id="32" name="Gra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14F527" w14:textId="77777777" w:rsidR="00C55173" w:rsidRPr="00381A3F" w:rsidRDefault="00C55173" w:rsidP="00C55173">
      <w:pPr>
        <w:rPr>
          <w:i/>
          <w:sz w:val="20"/>
        </w:rPr>
      </w:pPr>
      <w:r w:rsidRPr="00381A3F">
        <w:rPr>
          <w:i/>
          <w:sz w:val="20"/>
        </w:rPr>
        <w:t>Zdroj: Celní správa.</w:t>
      </w:r>
    </w:p>
    <w:p w14:paraId="580DD6D2" w14:textId="1D8B3F20" w:rsidR="00C55173" w:rsidRDefault="00C55173" w:rsidP="00651FFD">
      <w:r w:rsidRPr="00BB0110">
        <w:t xml:space="preserve">Celní správa v rámci své činnosti od 1. 1. 2017 – 31. 12. 2020 odhalila </w:t>
      </w:r>
      <w:r w:rsidR="0035740C">
        <w:rPr>
          <w:b/>
        </w:rPr>
        <w:t>944 </w:t>
      </w:r>
      <w:r w:rsidRPr="00C55173">
        <w:rPr>
          <w:b/>
        </w:rPr>
        <w:t>nelegálních provozoven s technickou hrou</w:t>
      </w:r>
      <w:r w:rsidRPr="00BB0110">
        <w:t>. Rozložení v rámci území České republiky se liší, nicméně poměrně vysoký výskyt nelegálních</w:t>
      </w:r>
      <w:r>
        <w:t xml:space="preserve"> provozoven byl shledán v Praze a v Brně, </w:t>
      </w:r>
      <w:r w:rsidR="00A114D5">
        <w:t>v Moravskoslezském kraji</w:t>
      </w:r>
      <w:r>
        <w:t>, Zlíns</w:t>
      </w:r>
      <w:r w:rsidR="0047503E">
        <w:t>kém kraji, Karlovarském kraji a </w:t>
      </w:r>
      <w:r>
        <w:t xml:space="preserve">Libereckém kraji. </w:t>
      </w:r>
    </w:p>
    <w:p w14:paraId="006444B6" w14:textId="57364651" w:rsidR="0035740C" w:rsidRDefault="0035740C" w:rsidP="0035740C">
      <w:pPr>
        <w:pStyle w:val="Titulek"/>
        <w:keepNext/>
      </w:pPr>
      <w:bookmarkStart w:id="109" w:name="_Toc73524691"/>
      <w:r>
        <w:t xml:space="preserve">Obrázek č. </w:t>
      </w:r>
      <w:fldSimple w:instr=" SEQ Obrázek_č._ \* ARABIC ">
        <w:r w:rsidR="00BA3634">
          <w:rPr>
            <w:noProof/>
          </w:rPr>
          <w:t>3</w:t>
        </w:r>
      </w:fldSimple>
      <w:r>
        <w:t xml:space="preserve">: </w:t>
      </w:r>
      <w:r w:rsidRPr="0048033B">
        <w:t>Počet nelegálních provozoven shledaných Celní správou v období let 2017 až 2020</w:t>
      </w:r>
      <w:bookmarkEnd w:id="109"/>
    </w:p>
    <w:p w14:paraId="15B92B0E" w14:textId="77777777" w:rsidR="00C55173" w:rsidRDefault="00C55173" w:rsidP="00C55173">
      <w:pPr>
        <w:spacing w:before="120"/>
      </w:pPr>
      <w:r w:rsidRPr="00857F3A">
        <w:rPr>
          <w:noProof/>
          <w:lang w:eastAsia="cs-CZ"/>
        </w:rPr>
        <w:drawing>
          <wp:inline distT="0" distB="0" distL="0" distR="0" wp14:anchorId="25A67561" wp14:editId="7DF1CEA5">
            <wp:extent cx="5760720" cy="2680970"/>
            <wp:effectExtent l="0" t="0" r="0" b="5080"/>
            <wp:docPr id="42"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8"/>
                    <pic:cNvPicPr>
                      <a:picLocks noChangeAspect="1"/>
                    </pic:cNvPicPr>
                  </pic:nvPicPr>
                  <pic:blipFill>
                    <a:blip r:embed="rId32"/>
                    <a:stretch>
                      <a:fillRect/>
                    </a:stretch>
                  </pic:blipFill>
                  <pic:spPr>
                    <a:xfrm>
                      <a:off x="0" y="0"/>
                      <a:ext cx="5760720" cy="2680970"/>
                    </a:xfrm>
                    <a:prstGeom prst="rect">
                      <a:avLst/>
                    </a:prstGeom>
                  </pic:spPr>
                </pic:pic>
              </a:graphicData>
            </a:graphic>
          </wp:inline>
        </w:drawing>
      </w:r>
      <w:r>
        <w:t xml:space="preserve"> </w:t>
      </w:r>
    </w:p>
    <w:p w14:paraId="7BB57573" w14:textId="268CC403" w:rsidR="00C55173" w:rsidRPr="0016030F" w:rsidRDefault="00C55173" w:rsidP="00C55173">
      <w:pPr>
        <w:spacing w:before="120"/>
        <w:rPr>
          <w:rFonts w:cs="Arial"/>
          <w:i/>
          <w:sz w:val="20"/>
          <w:szCs w:val="20"/>
        </w:rPr>
      </w:pPr>
      <w:r w:rsidRPr="0016030F">
        <w:rPr>
          <w:i/>
          <w:sz w:val="20"/>
          <w:szCs w:val="20"/>
        </w:rPr>
        <w:t>Zdroj: Celní správa</w:t>
      </w:r>
      <w:r w:rsidR="0035740C">
        <w:rPr>
          <w:i/>
          <w:sz w:val="20"/>
          <w:szCs w:val="20"/>
        </w:rPr>
        <w:t>.</w:t>
      </w:r>
    </w:p>
    <w:p w14:paraId="7B81877F" w14:textId="11CBF624" w:rsidR="0047503E" w:rsidRPr="00B41B2B" w:rsidRDefault="0047503E" w:rsidP="00651FFD">
      <w:r w:rsidRPr="00B41B2B">
        <w:t>Efektivní výkon dozoru je nadále podpořen rozšířením pravomocí</w:t>
      </w:r>
      <w:r w:rsidR="00A114D5">
        <w:t>.</w:t>
      </w:r>
      <w:r w:rsidRPr="00B41B2B">
        <w:t xml:space="preserve"> </w:t>
      </w:r>
      <w:r w:rsidR="00A114D5">
        <w:t>O</w:t>
      </w:r>
      <w:r w:rsidRPr="00B41B2B">
        <w:t xml:space="preserve">becný postup </w:t>
      </w:r>
      <w:r>
        <w:t>po</w:t>
      </w:r>
      <w:r w:rsidRPr="00B41B2B">
        <w:t>dle kont</w:t>
      </w:r>
      <w:r>
        <w:t>rolního řádu, podle kterého postupovaly</w:t>
      </w:r>
      <w:r w:rsidRPr="00B41B2B">
        <w:t xml:space="preserve"> dozorové orgány </w:t>
      </w:r>
      <w:r>
        <w:t>v době účinnosti</w:t>
      </w:r>
      <w:r w:rsidRPr="00B41B2B">
        <w:t xml:space="preserve"> zákona o loteriích, byl </w:t>
      </w:r>
      <w:r w:rsidR="00A114D5">
        <w:t>doplněn</w:t>
      </w:r>
      <w:r w:rsidR="00A114D5" w:rsidRPr="00B41B2B">
        <w:t xml:space="preserve"> </w:t>
      </w:r>
      <w:r w:rsidRPr="00B41B2B">
        <w:t>o specifická oprávnění, např. právo vstoupit do příslušných prostor i za pomoci síly nebo právo zadržet věc, je-li zde důvodné podezření, že v souvislosti s jejím užív</w:t>
      </w:r>
      <w:r>
        <w:t>áním dochází k porušování</w:t>
      </w:r>
      <w:r w:rsidRPr="00B41B2B">
        <w:t xml:space="preserve"> zákona</w:t>
      </w:r>
      <w:r>
        <w:t xml:space="preserve"> o hazardních hrách</w:t>
      </w:r>
      <w:r w:rsidRPr="00B41B2B">
        <w:t xml:space="preserve">. Níže je uvedena statistika využívání </w:t>
      </w:r>
      <w:r>
        <w:t>institutu</w:t>
      </w:r>
      <w:r w:rsidRPr="00B41B2B">
        <w:t xml:space="preserve"> zadržení věci</w:t>
      </w:r>
      <w:r w:rsidR="00F417A9">
        <w:t xml:space="preserve"> ve </w:t>
      </w:r>
      <w:r>
        <w:t>vztahu k technickým zařízením.</w:t>
      </w:r>
      <w:r w:rsidRPr="00B41B2B">
        <w:t xml:space="preserve"> </w:t>
      </w:r>
    </w:p>
    <w:p w14:paraId="7C054A4E" w14:textId="6C96EA47" w:rsidR="0035740C" w:rsidRDefault="0035740C" w:rsidP="0035740C">
      <w:pPr>
        <w:pStyle w:val="Titulek"/>
        <w:keepNext/>
      </w:pPr>
      <w:bookmarkStart w:id="110" w:name="_Toc73611450"/>
      <w:r>
        <w:lastRenderedPageBreak/>
        <w:t xml:space="preserve">Graf č. </w:t>
      </w:r>
      <w:fldSimple w:instr=" SEQ Graf_č. \* ARABIC ">
        <w:r w:rsidR="00A860B8">
          <w:rPr>
            <w:noProof/>
          </w:rPr>
          <w:t>22</w:t>
        </w:r>
      </w:fldSimple>
      <w:r>
        <w:t xml:space="preserve">: </w:t>
      </w:r>
      <w:r w:rsidRPr="009244FB">
        <w:t>Zobrazení počtu kontrol provedených Celní správou v nelegálních provozovnách (tzv. černých hernách) se zobrazením počtu zajištěných nelegálně provozovaných technických zařízení v letech 2017 až 2020</w:t>
      </w:r>
      <w:bookmarkEnd w:id="110"/>
    </w:p>
    <w:p w14:paraId="17CFEFFF" w14:textId="77777777" w:rsidR="00C55173" w:rsidRPr="00381A3F" w:rsidRDefault="00C55173" w:rsidP="00C55173">
      <w:pPr>
        <w:spacing w:after="0"/>
        <w:rPr>
          <w:rFonts w:cs="Arial"/>
          <w:b/>
          <w:i/>
          <w:szCs w:val="24"/>
        </w:rPr>
      </w:pPr>
      <w:r>
        <w:rPr>
          <w:noProof/>
          <w:lang w:eastAsia="cs-CZ"/>
        </w:rPr>
        <w:drawing>
          <wp:inline distT="0" distB="0" distL="0" distR="0" wp14:anchorId="409189ED" wp14:editId="2A6517D9">
            <wp:extent cx="5747657" cy="2028825"/>
            <wp:effectExtent l="0" t="0" r="5715" b="9525"/>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F36CF9F" w14:textId="59374725" w:rsidR="00C55173" w:rsidRDefault="00C55173" w:rsidP="0035740C">
      <w:pPr>
        <w:pStyle w:val="Odstavecseseznamem"/>
        <w:widowControl w:val="0"/>
        <w:autoSpaceDE w:val="0"/>
        <w:autoSpaceDN w:val="0"/>
        <w:adjustRightInd w:val="0"/>
        <w:spacing w:after="0"/>
        <w:ind w:left="0"/>
        <w:jc w:val="both"/>
        <w:rPr>
          <w:rFonts w:ascii="Arial" w:hAnsi="Arial" w:cs="Arial"/>
          <w:i/>
          <w:sz w:val="20"/>
          <w:szCs w:val="20"/>
        </w:rPr>
      </w:pPr>
      <w:r w:rsidRPr="0035740C">
        <w:rPr>
          <w:rFonts w:ascii="Arial" w:hAnsi="Arial" w:cs="Arial"/>
          <w:i/>
          <w:sz w:val="20"/>
          <w:szCs w:val="20"/>
        </w:rPr>
        <w:t>Zdroj: Celní správa.</w:t>
      </w:r>
    </w:p>
    <w:p w14:paraId="34E0E418" w14:textId="77777777" w:rsidR="008F29F4" w:rsidRDefault="008F29F4" w:rsidP="008F29F4"/>
    <w:p w14:paraId="01F799D7" w14:textId="3663FCAA" w:rsidR="008F29F4" w:rsidRDefault="008F29F4" w:rsidP="00651FFD">
      <w:r>
        <w:t xml:space="preserve">Byť je z výše uvedených informací patrné, že co do počtu provedených kontrol převažovaly kontroly u legálních provozovatelů, o značném zaměření na oblast dozoru nad nelegálním provozováním hazardních her svědčí právě množství odhalených nelegálních provozoven a počet zajištěných nelegálně provozovaných technických zařízení. </w:t>
      </w:r>
    </w:p>
    <w:p w14:paraId="12D57AF7" w14:textId="2C5644E9" w:rsidR="008F29F4" w:rsidRPr="00F85F45" w:rsidRDefault="008F29F4" w:rsidP="00651FFD">
      <w:pPr>
        <w:rPr>
          <w:szCs w:val="24"/>
        </w:rPr>
      </w:pPr>
      <w:r w:rsidRPr="00F85F45">
        <w:rPr>
          <w:szCs w:val="24"/>
        </w:rPr>
        <w:t xml:space="preserve">Zákon o hazardních hrách významně posílil postavení </w:t>
      </w:r>
      <w:r w:rsidR="00C46FF8">
        <w:rPr>
          <w:szCs w:val="24"/>
        </w:rPr>
        <w:t>dozorující</w:t>
      </w:r>
      <w:r w:rsidRPr="00F85F45">
        <w:rPr>
          <w:szCs w:val="24"/>
        </w:rPr>
        <w:t>ch orgánů, což se významně projevilo na počtech kontrol jak u legálních provozo</w:t>
      </w:r>
      <w:r w:rsidR="00F417A9">
        <w:rPr>
          <w:szCs w:val="24"/>
        </w:rPr>
        <w:t>vatelů, tak </w:t>
      </w:r>
      <w:r>
        <w:rPr>
          <w:szCs w:val="24"/>
        </w:rPr>
        <w:t>i </w:t>
      </w:r>
      <w:r w:rsidRPr="00F85F45">
        <w:rPr>
          <w:szCs w:val="24"/>
        </w:rPr>
        <w:t>provozovatelů nelegá</w:t>
      </w:r>
      <w:r>
        <w:rPr>
          <w:szCs w:val="24"/>
        </w:rPr>
        <w:t>lních. Za případná porušení jsou</w:t>
      </w:r>
      <w:r w:rsidRPr="00F85F45">
        <w:rPr>
          <w:szCs w:val="24"/>
        </w:rPr>
        <w:t xml:space="preserve"> ukládány sankce, které odpov</w:t>
      </w:r>
      <w:r>
        <w:rPr>
          <w:szCs w:val="24"/>
        </w:rPr>
        <w:t>ídají</w:t>
      </w:r>
      <w:r w:rsidRPr="00F85F45">
        <w:rPr>
          <w:szCs w:val="24"/>
        </w:rPr>
        <w:t xml:space="preserve"> závažnosti porušení zákona o hazar</w:t>
      </w:r>
      <w:r>
        <w:rPr>
          <w:szCs w:val="24"/>
        </w:rPr>
        <w:t>dních hrách, základního povolení</w:t>
      </w:r>
      <w:r w:rsidRPr="00F85F45">
        <w:rPr>
          <w:szCs w:val="24"/>
        </w:rPr>
        <w:t xml:space="preserve"> nebo herního plánu, přičemž aktivita </w:t>
      </w:r>
      <w:r w:rsidR="00C46FF8">
        <w:rPr>
          <w:szCs w:val="24"/>
        </w:rPr>
        <w:t>dozorující</w:t>
      </w:r>
      <w:r w:rsidRPr="00F85F45">
        <w:rPr>
          <w:szCs w:val="24"/>
        </w:rPr>
        <w:t>ch</w:t>
      </w:r>
      <w:r w:rsidR="00F417A9">
        <w:rPr>
          <w:szCs w:val="24"/>
        </w:rPr>
        <w:t xml:space="preserve"> orgánů působí na subjekty jako </w:t>
      </w:r>
      <w:r w:rsidRPr="00C55173">
        <w:rPr>
          <w:b/>
          <w:szCs w:val="24"/>
        </w:rPr>
        <w:t xml:space="preserve">silný </w:t>
      </w:r>
      <w:r>
        <w:rPr>
          <w:b/>
          <w:szCs w:val="24"/>
        </w:rPr>
        <w:t xml:space="preserve">preventivní a </w:t>
      </w:r>
      <w:r w:rsidRPr="00C55173">
        <w:rPr>
          <w:b/>
          <w:szCs w:val="24"/>
        </w:rPr>
        <w:t>motivační faktor pro dodržování stanovených podmínek</w:t>
      </w:r>
      <w:r w:rsidRPr="00F85F45">
        <w:rPr>
          <w:szCs w:val="24"/>
        </w:rPr>
        <w:t>.</w:t>
      </w:r>
    </w:p>
    <w:p w14:paraId="22DB0F81" w14:textId="049E5FE9" w:rsidR="008F29F4" w:rsidRPr="00F85F45" w:rsidRDefault="008F29F4" w:rsidP="00651FFD">
      <w:pPr>
        <w:rPr>
          <w:szCs w:val="24"/>
        </w:rPr>
      </w:pPr>
      <w:r>
        <w:rPr>
          <w:szCs w:val="24"/>
        </w:rPr>
        <w:t xml:space="preserve">Dosavadní kontroly prováděné </w:t>
      </w:r>
      <w:r w:rsidR="00F417A9">
        <w:rPr>
          <w:szCs w:val="24"/>
        </w:rPr>
        <w:t>v land</w:t>
      </w:r>
      <w:r w:rsidR="00F417A9">
        <w:rPr>
          <w:szCs w:val="24"/>
        </w:rPr>
        <w:noBreakHyphen/>
      </w:r>
      <w:r w:rsidRPr="00F85F45">
        <w:rPr>
          <w:szCs w:val="24"/>
        </w:rPr>
        <w:t>base</w:t>
      </w:r>
      <w:r>
        <w:rPr>
          <w:szCs w:val="24"/>
        </w:rPr>
        <w:t>d</w:t>
      </w:r>
      <w:r w:rsidRPr="00F85F45">
        <w:rPr>
          <w:szCs w:val="24"/>
        </w:rPr>
        <w:t xml:space="preserve"> prostředí </w:t>
      </w:r>
      <w:r>
        <w:rPr>
          <w:szCs w:val="24"/>
        </w:rPr>
        <w:t>byly zaměřeny jak na legální, tak i na nelegální provozování. L</w:t>
      </w:r>
      <w:r w:rsidRPr="00F85F45">
        <w:rPr>
          <w:szCs w:val="24"/>
        </w:rPr>
        <w:t>egální provozov</w:t>
      </w:r>
      <w:r>
        <w:rPr>
          <w:szCs w:val="24"/>
        </w:rPr>
        <w:t>atelé</w:t>
      </w:r>
      <w:r w:rsidRPr="00F85F45">
        <w:rPr>
          <w:szCs w:val="24"/>
        </w:rPr>
        <w:t xml:space="preserve"> se museli přizpůsobit poměrně přísným podmínkám stanoveným v zákoně o hazardn</w:t>
      </w:r>
      <w:r>
        <w:rPr>
          <w:szCs w:val="24"/>
        </w:rPr>
        <w:t>ích hrách, základním povolení a </w:t>
      </w:r>
      <w:r w:rsidRPr="00F85F45">
        <w:rPr>
          <w:szCs w:val="24"/>
        </w:rPr>
        <w:t>herních plánech</w:t>
      </w:r>
      <w:r>
        <w:rPr>
          <w:szCs w:val="24"/>
        </w:rPr>
        <w:t>, a</w:t>
      </w:r>
      <w:r w:rsidRPr="00F85F45">
        <w:rPr>
          <w:szCs w:val="24"/>
        </w:rPr>
        <w:t xml:space="preserve"> </w:t>
      </w:r>
      <w:r>
        <w:rPr>
          <w:szCs w:val="24"/>
        </w:rPr>
        <w:t xml:space="preserve">proto byly kontroly zaměřeny </w:t>
      </w:r>
      <w:r w:rsidRPr="00F85F45">
        <w:rPr>
          <w:szCs w:val="24"/>
        </w:rPr>
        <w:t xml:space="preserve">tak, aby legální provozovatelé skutečně nabízeli hazardní hry takovou formou, jejíž rizikovost je snížená implementací povinností </w:t>
      </w:r>
      <w:r>
        <w:rPr>
          <w:szCs w:val="24"/>
        </w:rPr>
        <w:t xml:space="preserve">provozovatelů </w:t>
      </w:r>
      <w:r w:rsidRPr="00F85F45">
        <w:rPr>
          <w:szCs w:val="24"/>
        </w:rPr>
        <w:t>kladených</w:t>
      </w:r>
      <w:r>
        <w:rPr>
          <w:szCs w:val="24"/>
        </w:rPr>
        <w:t xml:space="preserve"> novou právní úpravou</w:t>
      </w:r>
      <w:r w:rsidRPr="00F85F45">
        <w:rPr>
          <w:szCs w:val="24"/>
        </w:rPr>
        <w:t>. Toto je důležité zejména proto, že Ministerstvo financí dlouhodobě upozorňuje veřejnost na nebezpečnost účasti na hazardních hrách u nelegálních provozovatelů a doporučuje případnou účast u legálních provozovatelů, kteří musí mimo jiné implementovat veškerá opatření související se zodpovědným hraním.</w:t>
      </w:r>
      <w:r w:rsidR="00F417A9">
        <w:rPr>
          <w:szCs w:val="24"/>
        </w:rPr>
        <w:t xml:space="preserve"> Vzhledem k tomu, že účast na </w:t>
      </w:r>
      <w:r>
        <w:rPr>
          <w:szCs w:val="24"/>
        </w:rPr>
        <w:t xml:space="preserve">hazardní hře, resp. vstup do herního prostoru je podmíněn identifikací dané osoby, </w:t>
      </w:r>
      <w:r w:rsidRPr="00C55173">
        <w:rPr>
          <w:b/>
          <w:szCs w:val="24"/>
        </w:rPr>
        <w:t xml:space="preserve">musí dozorové orgány </w:t>
      </w:r>
      <w:r w:rsidR="00061DE9">
        <w:rPr>
          <w:b/>
          <w:szCs w:val="24"/>
        </w:rPr>
        <w:t>resp. C</w:t>
      </w:r>
      <w:r>
        <w:rPr>
          <w:b/>
          <w:szCs w:val="24"/>
        </w:rPr>
        <w:t xml:space="preserve">elní správa </w:t>
      </w:r>
      <w:r w:rsidRPr="00C55173">
        <w:rPr>
          <w:b/>
          <w:szCs w:val="24"/>
        </w:rPr>
        <w:t>disponovat krycími doklady</w:t>
      </w:r>
      <w:r w:rsidR="00A05610">
        <w:rPr>
          <w:szCs w:val="24"/>
        </w:rPr>
        <w:t>. Toto a </w:t>
      </w:r>
      <w:r>
        <w:rPr>
          <w:szCs w:val="24"/>
        </w:rPr>
        <w:t xml:space="preserve">další opatření </w:t>
      </w:r>
      <w:r w:rsidRPr="005E62DA">
        <w:rPr>
          <w:szCs w:val="24"/>
        </w:rPr>
        <w:t>pro efektivní výkon kontroly</w:t>
      </w:r>
      <w:r>
        <w:rPr>
          <w:b/>
          <w:szCs w:val="24"/>
        </w:rPr>
        <w:t xml:space="preserve"> </w:t>
      </w:r>
      <w:r>
        <w:rPr>
          <w:szCs w:val="24"/>
        </w:rPr>
        <w:t>navy</w:t>
      </w:r>
      <w:r w:rsidR="00F417A9">
        <w:rPr>
          <w:szCs w:val="24"/>
        </w:rPr>
        <w:t>šují jak administrativní, tak i </w:t>
      </w:r>
      <w:r>
        <w:rPr>
          <w:szCs w:val="24"/>
        </w:rPr>
        <w:t xml:space="preserve">finanční náklady na straně </w:t>
      </w:r>
      <w:r w:rsidR="00C46FF8">
        <w:rPr>
          <w:szCs w:val="24"/>
        </w:rPr>
        <w:t>dozorující</w:t>
      </w:r>
      <w:r>
        <w:rPr>
          <w:szCs w:val="24"/>
        </w:rPr>
        <w:t xml:space="preserve">ch orgánů, které jsou však úměrné ve vztahu k důležitosti prováděného dozoru. </w:t>
      </w:r>
    </w:p>
    <w:p w14:paraId="48EE9411" w14:textId="4AD22923" w:rsidR="008F29F4" w:rsidRPr="00F85F45" w:rsidRDefault="008F29F4" w:rsidP="00651FFD">
      <w:pPr>
        <w:rPr>
          <w:szCs w:val="24"/>
        </w:rPr>
      </w:pPr>
      <w:r w:rsidRPr="00F85F45">
        <w:rPr>
          <w:szCs w:val="24"/>
        </w:rPr>
        <w:t>I v případě nelegálních provozovatelů v</w:t>
      </w:r>
      <w:r w:rsidR="00F417A9">
        <w:rPr>
          <w:szCs w:val="24"/>
        </w:rPr>
        <w:t> </w:t>
      </w:r>
      <w:r w:rsidRPr="00F85F45">
        <w:rPr>
          <w:szCs w:val="24"/>
        </w:rPr>
        <w:t>land</w:t>
      </w:r>
      <w:r w:rsidR="00F417A9">
        <w:rPr>
          <w:szCs w:val="24"/>
        </w:rPr>
        <w:noBreakHyphen/>
      </w:r>
      <w:r w:rsidRPr="00F85F45">
        <w:rPr>
          <w:szCs w:val="24"/>
        </w:rPr>
        <w:t>based</w:t>
      </w:r>
      <w:r w:rsidR="00A114D5">
        <w:rPr>
          <w:szCs w:val="24"/>
        </w:rPr>
        <w:t xml:space="preserve"> prostředí</w:t>
      </w:r>
      <w:r w:rsidRPr="00F85F45">
        <w:rPr>
          <w:szCs w:val="24"/>
        </w:rPr>
        <w:t xml:space="preserve"> nicméně probíhají intenzivní kontroly. Výrazným posunem v porovná</w:t>
      </w:r>
      <w:r>
        <w:rPr>
          <w:szCs w:val="24"/>
        </w:rPr>
        <w:t>ní s právní úpravou obsaženou v </w:t>
      </w:r>
      <w:r w:rsidRPr="00F85F45">
        <w:rPr>
          <w:szCs w:val="24"/>
        </w:rPr>
        <w:t>zákoně o loteriích je bezesporu poskytnutí dodatečných nástrojů pro efektivní výkon dozoru. Jedná se o nástroje, které umožňují vstup do</w:t>
      </w:r>
      <w:r w:rsidR="00A05610">
        <w:rPr>
          <w:szCs w:val="24"/>
        </w:rPr>
        <w:t xml:space="preserve"> provozovny i za použití </w:t>
      </w:r>
      <w:r w:rsidR="00A05610">
        <w:rPr>
          <w:szCs w:val="24"/>
        </w:rPr>
        <w:lastRenderedPageBreak/>
        <w:t>síly a </w:t>
      </w:r>
      <w:r w:rsidRPr="00F85F45">
        <w:rPr>
          <w:szCs w:val="24"/>
        </w:rPr>
        <w:t>zadržení věci. T</w:t>
      </w:r>
      <w:r w:rsidR="00A114D5">
        <w:rPr>
          <w:szCs w:val="24"/>
        </w:rPr>
        <w:t>a</w:t>
      </w:r>
      <w:r w:rsidRPr="00F85F45">
        <w:rPr>
          <w:szCs w:val="24"/>
        </w:rPr>
        <w:t xml:space="preserve">to dvě oprávnění významným a pozitivním způsobem ovlivňují možnost </w:t>
      </w:r>
      <w:r w:rsidR="00C46FF8">
        <w:rPr>
          <w:szCs w:val="24"/>
        </w:rPr>
        <w:t>dozorující</w:t>
      </w:r>
      <w:r w:rsidRPr="00F85F45">
        <w:rPr>
          <w:szCs w:val="24"/>
        </w:rPr>
        <w:t>ch orgánů omezit nelegální provozování hazardních her.</w:t>
      </w:r>
    </w:p>
    <w:p w14:paraId="374AE2BE" w14:textId="69BF8339" w:rsidR="00C55173" w:rsidRPr="00DC5A7D" w:rsidRDefault="00C55173" w:rsidP="0047503E">
      <w:pPr>
        <w:rPr>
          <w:b/>
        </w:rPr>
      </w:pPr>
      <w:r w:rsidRPr="00DC5A7D">
        <w:rPr>
          <w:b/>
        </w:rPr>
        <w:t>Kontrola prováděná v</w:t>
      </w:r>
      <w:r>
        <w:rPr>
          <w:b/>
        </w:rPr>
        <w:t> </w:t>
      </w:r>
      <w:r w:rsidRPr="00DC5A7D">
        <w:rPr>
          <w:b/>
        </w:rPr>
        <w:t>on</w:t>
      </w:r>
      <w:r>
        <w:rPr>
          <w:b/>
        </w:rPr>
        <w:t>-</w:t>
      </w:r>
      <w:r w:rsidRPr="00DC5A7D">
        <w:rPr>
          <w:b/>
        </w:rPr>
        <w:t>line prostředí</w:t>
      </w:r>
    </w:p>
    <w:p w14:paraId="4EE9764E" w14:textId="04105EF7" w:rsidR="00C55173" w:rsidRDefault="00C55173" w:rsidP="00651FFD">
      <w:r>
        <w:t xml:space="preserve">V případě internetového provozování hazardních her </w:t>
      </w:r>
      <w:r w:rsidRPr="00C55173">
        <w:rPr>
          <w:b/>
        </w:rPr>
        <w:t>vykonávalo kontroly primárně Ministerstvo financí</w:t>
      </w:r>
      <w:r>
        <w:t>, které mělo zároveň kompetence ukládat případné sankce za porušení zákona, základního povolení a herního plánu. Obecně však k</w:t>
      </w:r>
      <w:r w:rsidRPr="00CF4170">
        <w:t xml:space="preserve">ompetence ke kontrolám hazardních her provozovaných prostřednictvím internetu sdílí Ministerstvo financí s Celní správou. </w:t>
      </w:r>
      <w:r w:rsidRPr="00DD296C">
        <w:rPr>
          <w:b/>
        </w:rPr>
        <w:t xml:space="preserve">Od 1. 11. 2019 je nicméně </w:t>
      </w:r>
      <w:r w:rsidR="00DD296C">
        <w:rPr>
          <w:b/>
        </w:rPr>
        <w:t xml:space="preserve">tato </w:t>
      </w:r>
      <w:r w:rsidRPr="00DD296C">
        <w:rPr>
          <w:b/>
        </w:rPr>
        <w:t>kontrola vykonávána zejména Celní správou</w:t>
      </w:r>
      <w:r w:rsidR="00DD296C">
        <w:rPr>
          <w:b/>
        </w:rPr>
        <w:t>, konkrétně Celním úřadem pro Plzeňský kraj</w:t>
      </w:r>
      <w:r w:rsidR="00DD296C">
        <w:t>, který je od 1. 1. 2021 příslušný</w:t>
      </w:r>
      <w:r>
        <w:t xml:space="preserve"> také k ukládání sankcí v oblasti on-line provozování hazardních her. </w:t>
      </w:r>
    </w:p>
    <w:p w14:paraId="6D6C5BA9" w14:textId="77777777" w:rsidR="00C55173" w:rsidRPr="002D584B" w:rsidRDefault="00C55173" w:rsidP="00651FFD">
      <w:pPr>
        <w:rPr>
          <w:color w:val="FF0000"/>
        </w:rPr>
      </w:pPr>
      <w:r>
        <w:t>Kontroly se zaměřovaly jak na kontrolu dodržování zákona, základního povolení a herního plánu legálními provozovateli, tak i na provozování nelegálních provozovatelů.</w:t>
      </w:r>
    </w:p>
    <w:p w14:paraId="290ADF6C" w14:textId="5DD31F25" w:rsidR="003F10B6" w:rsidRDefault="003F10B6" w:rsidP="003F10B6">
      <w:pPr>
        <w:pStyle w:val="Titulek"/>
        <w:keepNext/>
      </w:pPr>
      <w:bookmarkStart w:id="111" w:name="_Toc73611451"/>
      <w:r>
        <w:t xml:space="preserve">Graf č. </w:t>
      </w:r>
      <w:fldSimple w:instr=" SEQ Graf_č. \* ARABIC ">
        <w:r w:rsidR="00A860B8">
          <w:rPr>
            <w:noProof/>
          </w:rPr>
          <w:t>23</w:t>
        </w:r>
      </w:fldSimple>
      <w:r>
        <w:t xml:space="preserve">: </w:t>
      </w:r>
      <w:r w:rsidRPr="000D609B">
        <w:t>Počet kontrol provedených Minister</w:t>
      </w:r>
      <w:r>
        <w:t>stvem financí a Celní správou u </w:t>
      </w:r>
      <w:r w:rsidRPr="000D609B">
        <w:t xml:space="preserve">legálních provozovatelů provozujících hazardní </w:t>
      </w:r>
      <w:r>
        <w:t>hry prostřednictvím internetu v </w:t>
      </w:r>
      <w:r w:rsidRPr="000D609B">
        <w:t>období let 2017 až 2020</w:t>
      </w:r>
      <w:bookmarkEnd w:id="111"/>
    </w:p>
    <w:p w14:paraId="737F7D8A" w14:textId="77777777" w:rsidR="00C55173" w:rsidRPr="006C5A8B" w:rsidRDefault="00C55173" w:rsidP="00C55173">
      <w:pPr>
        <w:spacing w:after="0"/>
        <w:rPr>
          <w:rFonts w:cs="Arial"/>
          <w:szCs w:val="24"/>
          <w:highlight w:val="red"/>
        </w:rPr>
      </w:pPr>
      <w:r w:rsidRPr="006C5A8B">
        <w:rPr>
          <w:noProof/>
          <w:highlight w:val="red"/>
          <w:lang w:eastAsia="cs-CZ"/>
        </w:rPr>
        <w:drawing>
          <wp:inline distT="0" distB="0" distL="0" distR="0" wp14:anchorId="0350B601" wp14:editId="4A62F37E">
            <wp:extent cx="5747385" cy="1438275"/>
            <wp:effectExtent l="0" t="0" r="5715" b="9525"/>
            <wp:docPr id="44" name="Graf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CFFFA8F" w14:textId="77777777" w:rsidR="00C55173" w:rsidRPr="00084647" w:rsidRDefault="00C55173" w:rsidP="00C55173">
      <w:pPr>
        <w:spacing w:after="0"/>
        <w:ind w:firstLine="11"/>
        <w:rPr>
          <w:rFonts w:cs="Arial"/>
          <w:i/>
          <w:color w:val="000000" w:themeColor="text1"/>
          <w:sz w:val="20"/>
          <w:szCs w:val="20"/>
        </w:rPr>
      </w:pPr>
      <w:r w:rsidRPr="00F03A44">
        <w:rPr>
          <w:rFonts w:cs="Arial"/>
          <w:i/>
          <w:color w:val="000000" w:themeColor="text1"/>
          <w:sz w:val="20"/>
          <w:szCs w:val="20"/>
        </w:rPr>
        <w:t>Zdroj: Ministerstvo financí a Celní správa.</w:t>
      </w:r>
    </w:p>
    <w:p w14:paraId="033C41A7" w14:textId="77777777" w:rsidR="00C55173" w:rsidRDefault="00C55173" w:rsidP="00C55173">
      <w:pPr>
        <w:spacing w:after="0"/>
        <w:rPr>
          <w:rFonts w:cs="Arial"/>
          <w:szCs w:val="24"/>
        </w:rPr>
      </w:pPr>
    </w:p>
    <w:p w14:paraId="39AF6754" w14:textId="4050A481" w:rsidR="00C55173" w:rsidRPr="001F0306" w:rsidRDefault="00C55173" w:rsidP="00651FFD">
      <w:r w:rsidRPr="001F0306">
        <w:t xml:space="preserve">V případě provozování </w:t>
      </w:r>
      <w:r w:rsidR="009074CC">
        <w:t xml:space="preserve">hazardních her </w:t>
      </w:r>
      <w:r w:rsidRPr="001F0306">
        <w:t>legální</w:t>
      </w:r>
      <w:r w:rsidR="009074CC">
        <w:t>mi</w:t>
      </w:r>
      <w:r w:rsidRPr="001F0306">
        <w:t xml:space="preserve"> provozovatel</w:t>
      </w:r>
      <w:r w:rsidR="009074CC">
        <w:t>i</w:t>
      </w:r>
      <w:r w:rsidRPr="001F0306">
        <w:t xml:space="preserve"> </w:t>
      </w:r>
      <w:r>
        <w:t xml:space="preserve">na internetu </w:t>
      </w:r>
      <w:r w:rsidRPr="001F0306">
        <w:t>bylo zaznamenáno několik kategorií porušení podmínek uvedených v záko</w:t>
      </w:r>
      <w:r w:rsidR="00BA3634">
        <w:t>ně o </w:t>
      </w:r>
      <w:r w:rsidRPr="001F0306">
        <w:t>hazardních</w:t>
      </w:r>
      <w:r>
        <w:t xml:space="preserve"> hrách, základním povolení a </w:t>
      </w:r>
      <w:r w:rsidRPr="001F0306">
        <w:t>herním plánu. V případě roku</w:t>
      </w:r>
      <w:r>
        <w:t xml:space="preserve"> 2020</w:t>
      </w:r>
      <w:r w:rsidRPr="001F0306">
        <w:t xml:space="preserve"> byla statistika kategorií porušení následující. </w:t>
      </w:r>
    </w:p>
    <w:p w14:paraId="4EB4D1D4" w14:textId="1D4E7DC9" w:rsidR="003F10B6" w:rsidRDefault="003F10B6" w:rsidP="003F10B6">
      <w:pPr>
        <w:pStyle w:val="Titulek"/>
        <w:keepNext/>
      </w:pPr>
      <w:bookmarkStart w:id="112" w:name="_Toc73611452"/>
      <w:r>
        <w:t xml:space="preserve">Graf č. </w:t>
      </w:r>
      <w:fldSimple w:instr=" SEQ Graf_č. \* ARABIC ">
        <w:r w:rsidR="00A860B8">
          <w:rPr>
            <w:noProof/>
          </w:rPr>
          <w:t>24</w:t>
        </w:r>
      </w:fldSimple>
      <w:r>
        <w:t xml:space="preserve">: </w:t>
      </w:r>
      <w:r w:rsidRPr="00C4127F">
        <w:t>Kategorie podnětů s podezřením na porušení dílčích povinností legálními provozovateli postoupených Ministerstvem financí k dalšímu opatření na Celní správu v roce 2020</w:t>
      </w:r>
      <w:bookmarkEnd w:id="112"/>
    </w:p>
    <w:p w14:paraId="5CDAB94F" w14:textId="77777777" w:rsidR="00C55173" w:rsidRDefault="00C55173" w:rsidP="00C55173">
      <w:pPr>
        <w:autoSpaceDE w:val="0"/>
        <w:autoSpaceDN w:val="0"/>
        <w:adjustRightInd w:val="0"/>
        <w:spacing w:after="0"/>
        <w:rPr>
          <w:rFonts w:cs="Arial"/>
          <w:color w:val="000000" w:themeColor="text1"/>
          <w:szCs w:val="24"/>
        </w:rPr>
      </w:pPr>
      <w:r>
        <w:rPr>
          <w:noProof/>
          <w:lang w:eastAsia="cs-CZ"/>
        </w:rPr>
        <w:drawing>
          <wp:inline distT="0" distB="0" distL="0" distR="0" wp14:anchorId="51240C48" wp14:editId="6EF7F906">
            <wp:extent cx="5760720" cy="1999397"/>
            <wp:effectExtent l="0" t="0" r="11430" b="1270"/>
            <wp:docPr id="43" name="Graf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E03FB6B" w14:textId="77777777" w:rsidR="00C55173" w:rsidRPr="00B82787" w:rsidRDefault="00C55173" w:rsidP="00C55173">
      <w:pPr>
        <w:spacing w:after="0"/>
        <w:ind w:firstLine="11"/>
        <w:rPr>
          <w:rFonts w:cs="Arial"/>
          <w:i/>
          <w:color w:val="000000" w:themeColor="text1"/>
          <w:sz w:val="20"/>
          <w:szCs w:val="20"/>
        </w:rPr>
      </w:pPr>
      <w:r w:rsidRPr="00B82787">
        <w:rPr>
          <w:rFonts w:cs="Arial"/>
          <w:i/>
          <w:color w:val="000000" w:themeColor="text1"/>
          <w:sz w:val="20"/>
          <w:szCs w:val="20"/>
        </w:rPr>
        <w:t>Zdroj: Ministerstvo financí.</w:t>
      </w:r>
    </w:p>
    <w:p w14:paraId="356F8BCB" w14:textId="6FC755C7" w:rsidR="0047503E" w:rsidRDefault="0047503E" w:rsidP="00346482">
      <w:pPr>
        <w:pStyle w:val="Titulek"/>
        <w:keepNext/>
      </w:pPr>
      <w:bookmarkStart w:id="113" w:name="_Toc73611453"/>
      <w:r>
        <w:lastRenderedPageBreak/>
        <w:t xml:space="preserve">Graf č. </w:t>
      </w:r>
      <w:fldSimple w:instr=" SEQ Graf_č. \* ARABIC ">
        <w:r w:rsidR="00A860B8">
          <w:rPr>
            <w:noProof/>
          </w:rPr>
          <w:t>25</w:t>
        </w:r>
      </w:fldSimple>
      <w:r>
        <w:t xml:space="preserve">: </w:t>
      </w:r>
      <w:r w:rsidRPr="00E072A7">
        <w:t>Porovnání celkového počtu kontrol prov</w:t>
      </w:r>
      <w:r w:rsidR="00346482">
        <w:t>edených Ministerstvem financí u </w:t>
      </w:r>
      <w:r w:rsidRPr="00E072A7">
        <w:t xml:space="preserve">provozovatelů hazardních her provozujících hazardní </w:t>
      </w:r>
      <w:r w:rsidR="00346482">
        <w:t>hry prostřednictvím internetu s </w:t>
      </w:r>
      <w:r w:rsidRPr="00E072A7">
        <w:t>počtem kontrol u legálních a nelegálních provozovatelů, a to v období od 1. 1. 2017 do 31. 10. 201</w:t>
      </w:r>
      <w:r>
        <w:t>9</w:t>
      </w:r>
      <w:bookmarkEnd w:id="113"/>
    </w:p>
    <w:p w14:paraId="00106727" w14:textId="77777777" w:rsidR="0047503E" w:rsidRPr="004E4FE7" w:rsidRDefault="0047503E" w:rsidP="004E4FE7">
      <w:pPr>
        <w:rPr>
          <w:b/>
          <w:bCs/>
          <w:color w:val="1F497D"/>
        </w:rPr>
      </w:pPr>
      <w:r>
        <w:rPr>
          <w:noProof/>
          <w:lang w:eastAsia="cs-CZ"/>
        </w:rPr>
        <w:drawing>
          <wp:inline distT="0" distB="0" distL="0" distR="0" wp14:anchorId="33086E45" wp14:editId="657B2F04">
            <wp:extent cx="5676900" cy="2743200"/>
            <wp:effectExtent l="0" t="0" r="0" b="0"/>
            <wp:docPr id="16" name="Obrázek 16" descr="cid:image002.png@01D7402C.4988A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 2" descr="cid:image002.png@01D7402C.4988A6B0"/>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676900" cy="2743200"/>
                    </a:xfrm>
                    <a:prstGeom prst="rect">
                      <a:avLst/>
                    </a:prstGeom>
                    <a:noFill/>
                    <a:ln>
                      <a:noFill/>
                    </a:ln>
                  </pic:spPr>
                </pic:pic>
              </a:graphicData>
            </a:graphic>
          </wp:inline>
        </w:drawing>
      </w:r>
    </w:p>
    <w:p w14:paraId="1051F3F3" w14:textId="56AA0965" w:rsidR="0047503E" w:rsidRDefault="0047503E" w:rsidP="0047503E">
      <w:pPr>
        <w:rPr>
          <w:b/>
          <w:bCs/>
          <w:color w:val="1F497D"/>
        </w:rPr>
      </w:pPr>
      <w:r>
        <w:rPr>
          <w:i/>
          <w:iCs/>
          <w:color w:val="000000"/>
          <w:sz w:val="20"/>
          <w:szCs w:val="20"/>
        </w:rPr>
        <w:t>Zdroj: Ministerstvo financí</w:t>
      </w:r>
      <w:r w:rsidR="00C334E0">
        <w:rPr>
          <w:i/>
          <w:iCs/>
          <w:color w:val="000000"/>
          <w:sz w:val="20"/>
          <w:szCs w:val="20"/>
        </w:rPr>
        <w:t>.</w:t>
      </w:r>
    </w:p>
    <w:p w14:paraId="0DCAF3E6" w14:textId="5ECF587B" w:rsidR="003F10B6" w:rsidRDefault="003F10B6" w:rsidP="003F10B6">
      <w:pPr>
        <w:pStyle w:val="Titulek"/>
        <w:keepNext/>
      </w:pPr>
      <w:bookmarkStart w:id="114" w:name="_Toc73611454"/>
      <w:r>
        <w:t>Graf č.</w:t>
      </w:r>
      <w:r w:rsidR="00BA3634">
        <w:t xml:space="preserve"> </w:t>
      </w:r>
      <w:fldSimple w:instr=" SEQ Graf_č. \* ARABIC ">
        <w:r w:rsidR="00A860B8">
          <w:rPr>
            <w:noProof/>
          </w:rPr>
          <w:t>26</w:t>
        </w:r>
      </w:fldSimple>
      <w:r>
        <w:t xml:space="preserve">: </w:t>
      </w:r>
      <w:r w:rsidRPr="00EB5CBB">
        <w:t>Porovnání celkového počtu kont</w:t>
      </w:r>
      <w:r w:rsidR="0054392E">
        <w:t>rol provedených Celní správou u </w:t>
      </w:r>
      <w:r w:rsidRPr="00EB5CBB">
        <w:t xml:space="preserve">provozovatelů hazardních her provozujících hazardní </w:t>
      </w:r>
      <w:r w:rsidR="0054392E">
        <w:t>hry prostřednictvím internetu s </w:t>
      </w:r>
      <w:r w:rsidRPr="00EB5CBB">
        <w:t>počtem kontrol u legálních a nelegálních provozo</w:t>
      </w:r>
      <w:r w:rsidR="00F417A9">
        <w:t>vatelů, a to v období od </w:t>
      </w:r>
      <w:r w:rsidR="00346482">
        <w:t>1. 11. </w:t>
      </w:r>
      <w:r w:rsidRPr="00EB5CBB">
        <w:t>2019 do 31. 12. 2020</w:t>
      </w:r>
      <w:bookmarkEnd w:id="114"/>
    </w:p>
    <w:p w14:paraId="5892E21C" w14:textId="13FC8621" w:rsidR="00C55173" w:rsidRPr="0054392E" w:rsidRDefault="00C55173" w:rsidP="0054392E">
      <w:pPr>
        <w:rPr>
          <w:rFonts w:cs="Arial"/>
          <w:i/>
          <w:color w:val="000000" w:themeColor="text1"/>
          <w:sz w:val="20"/>
          <w:szCs w:val="20"/>
        </w:rPr>
      </w:pPr>
      <w:r>
        <w:rPr>
          <w:noProof/>
          <w:lang w:eastAsia="cs-CZ"/>
        </w:rPr>
        <w:drawing>
          <wp:inline distT="0" distB="0" distL="0" distR="0" wp14:anchorId="3A195756" wp14:editId="79385754">
            <wp:extent cx="5760720" cy="2076450"/>
            <wp:effectExtent l="0" t="0" r="11430" b="0"/>
            <wp:docPr id="54" name="Graf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54392E">
        <w:rPr>
          <w:rFonts w:cs="Arial"/>
          <w:i/>
          <w:color w:val="000000" w:themeColor="text1"/>
          <w:sz w:val="20"/>
          <w:szCs w:val="20"/>
        </w:rPr>
        <w:t>Zdroj: Celní správa</w:t>
      </w:r>
      <w:r w:rsidR="0054392E" w:rsidRPr="0054392E">
        <w:rPr>
          <w:rFonts w:cs="Arial"/>
          <w:i/>
          <w:color w:val="000000" w:themeColor="text1"/>
          <w:sz w:val="20"/>
          <w:szCs w:val="20"/>
        </w:rPr>
        <w:t>.</w:t>
      </w:r>
    </w:p>
    <w:p w14:paraId="15F91E72" w14:textId="77777777" w:rsidR="00C55173" w:rsidRPr="006C5A8B" w:rsidRDefault="00C55173" w:rsidP="00C55173">
      <w:pPr>
        <w:spacing w:before="120"/>
        <w:rPr>
          <w:b/>
        </w:rPr>
      </w:pPr>
      <w:r w:rsidRPr="006C5A8B">
        <w:rPr>
          <w:b/>
        </w:rPr>
        <w:t>Přestupky</w:t>
      </w:r>
    </w:p>
    <w:p w14:paraId="531544F6" w14:textId="465CBFB7" w:rsidR="00346482" w:rsidRDefault="00346482" w:rsidP="00651FFD">
      <w:r>
        <w:t xml:space="preserve">Výše uvedená podezření na porušení zákona o hazardních hrách, základního povolení a herního plánu vyústila v řadě případů k přestupkovému řízení, </w:t>
      </w:r>
      <w:r w:rsidR="004760BC">
        <w:t xml:space="preserve">v němž </w:t>
      </w:r>
      <w:r>
        <w:t xml:space="preserve">byly uděleny provozovatelům sankce za výše uvedená porušení. </w:t>
      </w:r>
    </w:p>
    <w:p w14:paraId="720376D1" w14:textId="7F6B9EFA" w:rsidR="00346482" w:rsidRDefault="00346482" w:rsidP="00651FFD">
      <w:r>
        <w:t xml:space="preserve">Celní úřady jsou příslušné k projednávání </w:t>
      </w:r>
      <w:r w:rsidRPr="00E15C56">
        <w:t>přestupk</w:t>
      </w:r>
      <w:r>
        <w:t>ů</w:t>
      </w:r>
      <w:r w:rsidRPr="00E15C56">
        <w:t xml:space="preserve"> v oblasti hazardních her</w:t>
      </w:r>
      <w:r>
        <w:t xml:space="preserve"> vyjma internetových her již od počátku jeho účinnosti. Příslušnost k projednávání přestupků v případě internetových her byla původně svěřena Ministerstvu financí, v souvislosti s</w:t>
      </w:r>
      <w:r w:rsidR="004760BC">
        <w:t> </w:t>
      </w:r>
      <w:r>
        <w:t>novelou</w:t>
      </w:r>
      <w:r w:rsidR="004760BC">
        <w:t xml:space="preserve"> zákona</w:t>
      </w:r>
      <w:r>
        <w:t xml:space="preserve"> č. 527/2020 Sb. vykonává od 1. 1. 2021 tuto pravomoc </w:t>
      </w:r>
      <w:r w:rsidR="004760BC">
        <w:t>C</w:t>
      </w:r>
      <w:r>
        <w:t xml:space="preserve">elní úřad pro Plzeňský kraj. Tuto změnu lze rovněž považovat za přínosnou především </w:t>
      </w:r>
      <w:r>
        <w:lastRenderedPageBreak/>
        <w:t xml:space="preserve">z důvodu snížení koncentrace pravomoci Ministerstva financí, </w:t>
      </w:r>
      <w:r w:rsidR="004760BC">
        <w:t xml:space="preserve">které </w:t>
      </w:r>
      <w:r>
        <w:t>do té doby bylo orgánem příslušným k vydání základního povolení, ke kontrole dodržování zákona o hazardních hrách a nadto i orgánem, který vedl správní řízení o přestupku. Celní správa je rovněž k výkonu tét</w:t>
      </w:r>
      <w:r w:rsidR="009074CC">
        <w:t xml:space="preserve">o pravomoci společně v kombinaci </w:t>
      </w:r>
      <w:r>
        <w:t>s dozorovými aktivitami lépe vybavena jak po stránce dostatečného</w:t>
      </w:r>
      <w:r w:rsidR="00F417A9">
        <w:t xml:space="preserve"> technického vybavení, tak i po </w:t>
      </w:r>
      <w:r>
        <w:t>personální stránce.</w:t>
      </w:r>
    </w:p>
    <w:p w14:paraId="27CFE3E4" w14:textId="07688AA5" w:rsidR="0054392E" w:rsidRDefault="0054392E" w:rsidP="0054392E">
      <w:pPr>
        <w:pStyle w:val="Titulek"/>
        <w:keepNext/>
      </w:pPr>
      <w:bookmarkStart w:id="115" w:name="_Toc73611455"/>
      <w:r>
        <w:t xml:space="preserve">Graf č. </w:t>
      </w:r>
      <w:fldSimple w:instr=" SEQ Graf_č. \* ARABIC ">
        <w:r w:rsidR="00A860B8">
          <w:rPr>
            <w:noProof/>
          </w:rPr>
          <w:t>27</w:t>
        </w:r>
      </w:fldSimple>
      <w:r>
        <w:t xml:space="preserve">: </w:t>
      </w:r>
      <w:r w:rsidRPr="00394A68">
        <w:t>Porovnání výše pokut uložených z</w:t>
      </w:r>
      <w:r w:rsidR="004760BC">
        <w:t> </w:t>
      </w:r>
      <w:r w:rsidRPr="00394A68">
        <w:t>provozování</w:t>
      </w:r>
      <w:r w:rsidR="004760BC">
        <w:t xml:space="preserve"> formou</w:t>
      </w:r>
      <w:r w:rsidRPr="00394A68">
        <w:t xml:space="preserve"> land-based Celní správou ČR za legální a nelegální provozování (v mil. Kč)</w:t>
      </w:r>
      <w:bookmarkEnd w:id="115"/>
    </w:p>
    <w:p w14:paraId="35A2D41A" w14:textId="1BC7FFE6" w:rsidR="00C55173" w:rsidRPr="002068C3" w:rsidRDefault="00C55173" w:rsidP="00346482">
      <w:pPr>
        <w:spacing w:before="120"/>
        <w:rPr>
          <w:rFonts w:cs="Arial"/>
          <w:i/>
          <w:color w:val="000000" w:themeColor="text1"/>
          <w:sz w:val="20"/>
          <w:szCs w:val="20"/>
        </w:rPr>
      </w:pPr>
      <w:r w:rsidRPr="005554D4">
        <w:rPr>
          <w:noProof/>
          <w:sz w:val="20"/>
          <w:szCs w:val="20"/>
          <w:lang w:eastAsia="cs-CZ"/>
        </w:rPr>
        <w:drawing>
          <wp:inline distT="0" distB="0" distL="0" distR="0" wp14:anchorId="017B3099" wp14:editId="6E041374">
            <wp:extent cx="5781675" cy="2733675"/>
            <wp:effectExtent l="0" t="0" r="9525" b="9525"/>
            <wp:docPr id="41" name="Graf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38527E">
        <w:rPr>
          <w:rFonts w:cs="Arial"/>
          <w:i/>
          <w:color w:val="000000" w:themeColor="text1"/>
          <w:sz w:val="20"/>
          <w:szCs w:val="20"/>
        </w:rPr>
        <w:t>Zdroj: Celní správa</w:t>
      </w:r>
      <w:r w:rsidR="0054392E">
        <w:rPr>
          <w:rFonts w:cs="Arial"/>
          <w:i/>
          <w:color w:val="000000" w:themeColor="text1"/>
          <w:sz w:val="20"/>
          <w:szCs w:val="20"/>
        </w:rPr>
        <w:t>.</w:t>
      </w:r>
    </w:p>
    <w:p w14:paraId="42AFC8D4" w14:textId="420CE224" w:rsidR="00C55173" w:rsidRDefault="00C55173" w:rsidP="00651FFD">
      <w:r>
        <w:t xml:space="preserve">Z výše uvedeného grafu je patrná stoupající celková výše co do výše pravomocně uložených pokut. Ačkoli dle výše uvedených informací bylo v absolutním počtu provedeno méně kontrol u nelegálního provozování je zde vidět, že právě </w:t>
      </w:r>
      <w:r w:rsidRPr="006F0DCD">
        <w:rPr>
          <w:b/>
        </w:rPr>
        <w:t>provozování hazardních her bez potřebného oprávnění je trestáno důslednými postihy</w:t>
      </w:r>
      <w:r>
        <w:t xml:space="preserve"> v porovnání proti pravomocně uloženým pokutám u legálních provozovatelů, kde nemusela být zjištěna tak závažná poruš</w:t>
      </w:r>
      <w:r w:rsidR="006F0DCD">
        <w:t>ení zákona o hazardních hrách a </w:t>
      </w:r>
      <w:r>
        <w:t xml:space="preserve">souvisejících předpisů. Nízkou hodnotu v roce 2017 lze přičítat především převzetí nové kompetence </w:t>
      </w:r>
      <w:r w:rsidR="0054392E">
        <w:t>C</w:t>
      </w:r>
      <w:r>
        <w:t>elní správou</w:t>
      </w:r>
      <w:r w:rsidR="00E3417F">
        <w:t>.</w:t>
      </w:r>
      <w:r>
        <w:t xml:space="preserve"> </w:t>
      </w:r>
      <w:r w:rsidR="004760BC">
        <w:t>L</w:t>
      </w:r>
      <w:r>
        <w:t>ze př</w:t>
      </w:r>
      <w:r w:rsidR="00F417A9">
        <w:t>edpokládat, že správní řízení o </w:t>
      </w:r>
      <w:r>
        <w:t xml:space="preserve">přestupku byla zahajována v návaznosti na provedené kontroly a pravomocně bylo </w:t>
      </w:r>
      <w:r w:rsidR="004760BC">
        <w:t xml:space="preserve">tedy </w:t>
      </w:r>
      <w:r>
        <w:t>v první</w:t>
      </w:r>
      <w:r w:rsidR="00757025">
        <w:t>m</w:t>
      </w:r>
      <w:r>
        <w:t xml:space="preserve"> roce skončeno malé množství těchto správních řízení.</w:t>
      </w:r>
    </w:p>
    <w:p w14:paraId="6CB84F9E" w14:textId="4CA26A5B" w:rsidR="00C55173" w:rsidRDefault="00C55173" w:rsidP="00651FFD">
      <w:r>
        <w:t>Tento jev je patrný rovněž u pravomocně uložených pokut Ministerstvem financí v oblasti internetového provozování. Nejvyšší celkový úhrn byl zazna</w:t>
      </w:r>
      <w:r w:rsidR="00757025">
        <w:t>menán v roce 2018, kdy překročil</w:t>
      </w:r>
      <w:r>
        <w:t xml:space="preserve"> 325 mil. Kč, tyto pokuty byly uloženy především za provozování hazardních her prostřednictvím internetu bez základního povolení. V takových případech je také ohledně takové internetové stránky s nepovolenou hazardní hrou zpravidla zahajováno správní řízení o zápisu na seznam nepovolených hazardních her.  </w:t>
      </w:r>
    </w:p>
    <w:p w14:paraId="1E0F0D7E" w14:textId="77777777" w:rsidR="0054392E" w:rsidRDefault="0054392E" w:rsidP="00651FFD"/>
    <w:p w14:paraId="52604FDD" w14:textId="77777777" w:rsidR="0054392E" w:rsidRDefault="0054392E" w:rsidP="00651FFD"/>
    <w:p w14:paraId="1642F8CD" w14:textId="77777777" w:rsidR="0054392E" w:rsidRDefault="0054392E" w:rsidP="00651FFD"/>
    <w:p w14:paraId="6F16912C" w14:textId="77777777" w:rsidR="0054392E" w:rsidRDefault="0054392E" w:rsidP="00651FFD"/>
    <w:p w14:paraId="446139FA" w14:textId="7EC81D8E" w:rsidR="0054392E" w:rsidRPr="006F0DCD" w:rsidRDefault="0054392E" w:rsidP="0054392E">
      <w:pPr>
        <w:rPr>
          <w:i/>
        </w:rPr>
      </w:pPr>
      <w:bookmarkStart w:id="116" w:name="_Toc73611456"/>
      <w:r w:rsidRPr="006F0DCD">
        <w:rPr>
          <w:i/>
        </w:rPr>
        <w:lastRenderedPageBreak/>
        <w:t xml:space="preserve">Graf č. </w:t>
      </w:r>
      <w:r w:rsidR="00771199" w:rsidRPr="006F0DCD">
        <w:rPr>
          <w:i/>
        </w:rPr>
        <w:fldChar w:fldCharType="begin"/>
      </w:r>
      <w:r w:rsidR="00771199" w:rsidRPr="006F0DCD">
        <w:rPr>
          <w:i/>
        </w:rPr>
        <w:instrText xml:space="preserve"> SEQ Graf_č. \* ARABIC </w:instrText>
      </w:r>
      <w:r w:rsidR="00771199" w:rsidRPr="006F0DCD">
        <w:rPr>
          <w:i/>
        </w:rPr>
        <w:fldChar w:fldCharType="separate"/>
      </w:r>
      <w:r w:rsidR="00A860B8">
        <w:rPr>
          <w:i/>
          <w:noProof/>
        </w:rPr>
        <w:t>28</w:t>
      </w:r>
      <w:r w:rsidR="00771199" w:rsidRPr="006F0DCD">
        <w:rPr>
          <w:i/>
          <w:noProof/>
        </w:rPr>
        <w:fldChar w:fldCharType="end"/>
      </w:r>
      <w:r w:rsidRPr="006F0DCD">
        <w:rPr>
          <w:i/>
        </w:rPr>
        <w:t>:</w:t>
      </w:r>
      <w:r w:rsidR="003C3B30">
        <w:rPr>
          <w:i/>
        </w:rPr>
        <w:t xml:space="preserve"> </w:t>
      </w:r>
      <w:r w:rsidRPr="006F0DCD">
        <w:rPr>
          <w:i/>
        </w:rPr>
        <w:t>Celková výše pravomocně uložených pokut Ministerstvem financí legálním a nelegálním provozovatelům v oblasti internetového provozování v letech 2017 až březen 2021</w:t>
      </w:r>
      <w:r w:rsidRPr="006F0DCD">
        <w:rPr>
          <w:rStyle w:val="Znakapoznpodarou"/>
          <w:i/>
        </w:rPr>
        <w:footnoteReference w:id="22"/>
      </w:r>
      <w:bookmarkEnd w:id="116"/>
    </w:p>
    <w:p w14:paraId="4967431B" w14:textId="77777777" w:rsidR="00C55173" w:rsidRDefault="00C55173" w:rsidP="00C55173">
      <w:pPr>
        <w:spacing w:before="120"/>
      </w:pPr>
      <w:r>
        <w:rPr>
          <w:noProof/>
          <w:lang w:eastAsia="cs-CZ"/>
        </w:rPr>
        <w:drawing>
          <wp:inline distT="0" distB="0" distL="0" distR="0" wp14:anchorId="2D6B39FC" wp14:editId="059C4CB2">
            <wp:extent cx="5760720" cy="2645390"/>
            <wp:effectExtent l="0" t="0" r="0" b="3175"/>
            <wp:docPr id="22" name="Obrázek 22" descr="cid:image001.png@01D73DB4.D6EB9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 2" descr="cid:image001.png@01D73DB4.D6EB9550"/>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5760720" cy="2645390"/>
                    </a:xfrm>
                    <a:prstGeom prst="rect">
                      <a:avLst/>
                    </a:prstGeom>
                    <a:noFill/>
                    <a:ln>
                      <a:noFill/>
                    </a:ln>
                  </pic:spPr>
                </pic:pic>
              </a:graphicData>
            </a:graphic>
          </wp:inline>
        </w:drawing>
      </w:r>
    </w:p>
    <w:p w14:paraId="19863D8D" w14:textId="591AD0A3" w:rsidR="00C55173" w:rsidRPr="005F174C" w:rsidRDefault="00C55173" w:rsidP="00C55173">
      <w:pPr>
        <w:spacing w:after="0"/>
        <w:ind w:firstLine="11"/>
        <w:rPr>
          <w:rFonts w:cs="Arial"/>
          <w:i/>
          <w:color w:val="000000" w:themeColor="text1"/>
          <w:sz w:val="20"/>
          <w:szCs w:val="20"/>
        </w:rPr>
      </w:pPr>
      <w:r w:rsidRPr="005F174C">
        <w:rPr>
          <w:rFonts w:cs="Arial"/>
          <w:i/>
          <w:color w:val="000000" w:themeColor="text1"/>
          <w:sz w:val="20"/>
          <w:szCs w:val="20"/>
        </w:rPr>
        <w:t>Zdroj: Ministerstvo financí</w:t>
      </w:r>
      <w:r w:rsidR="0054392E">
        <w:rPr>
          <w:rFonts w:cs="Arial"/>
          <w:i/>
          <w:color w:val="000000" w:themeColor="text1"/>
          <w:sz w:val="20"/>
          <w:szCs w:val="20"/>
        </w:rPr>
        <w:t>.</w:t>
      </w:r>
    </w:p>
    <w:p w14:paraId="5E5E2BE0" w14:textId="77777777" w:rsidR="00BA3634" w:rsidRDefault="00BA3634" w:rsidP="004E4FE7"/>
    <w:p w14:paraId="4DF3FC6D" w14:textId="4AF97083" w:rsidR="00C55173" w:rsidRPr="009074CC" w:rsidRDefault="00C55173" w:rsidP="004E4FE7">
      <w:r w:rsidRPr="009074CC">
        <w:t>Ministerstvo financí je nadále příslušné k projednání přestupků pověřených osob, poskytovatelů připojení k internetu a poskytovatelů platebních služeb. V daných případech nebyla zahájena žádná přestupková řízení (stav ke dni 31. 3. 2021).</w:t>
      </w:r>
    </w:p>
    <w:p w14:paraId="2427AFE6" w14:textId="2374BB9D" w:rsidR="00C55173" w:rsidRPr="00F85F45" w:rsidRDefault="00C55173" w:rsidP="00651FFD">
      <w:pPr>
        <w:rPr>
          <w:rFonts w:cs="Arial"/>
          <w:szCs w:val="24"/>
        </w:rPr>
      </w:pPr>
      <w:r w:rsidRPr="00F85F45">
        <w:rPr>
          <w:rFonts w:cs="Arial"/>
          <w:szCs w:val="24"/>
        </w:rPr>
        <w:t xml:space="preserve">Také v případě on-line provozování </w:t>
      </w:r>
      <w:r>
        <w:rPr>
          <w:rFonts w:cs="Arial"/>
          <w:szCs w:val="24"/>
        </w:rPr>
        <w:t>lze konstatovat, že došlo k výraznému posunu v </w:t>
      </w:r>
      <w:r w:rsidRPr="00F85F45">
        <w:rPr>
          <w:rFonts w:cs="Arial"/>
          <w:szCs w:val="24"/>
        </w:rPr>
        <w:t>možno</w:t>
      </w:r>
      <w:r>
        <w:rPr>
          <w:rFonts w:cs="Arial"/>
          <w:szCs w:val="24"/>
        </w:rPr>
        <w:t>sti vykonávat efektivní dozor, a to i v</w:t>
      </w:r>
      <w:r w:rsidRPr="00F85F45">
        <w:rPr>
          <w:rFonts w:cs="Arial"/>
          <w:szCs w:val="24"/>
        </w:rPr>
        <w:t xml:space="preserve">zhledem ke skutečnosti, že oblíbenost on-line provozování hazardních her neustále roste a s tím i nabídka hazardních her legálními provozovateli. Obdobně jako v případě provozování </w:t>
      </w:r>
      <w:r w:rsidR="004760BC">
        <w:rPr>
          <w:rFonts w:cs="Arial"/>
          <w:szCs w:val="24"/>
        </w:rPr>
        <w:t xml:space="preserve">hazardních her v land-based prostředí </w:t>
      </w:r>
      <w:r w:rsidRPr="00F85F45">
        <w:rPr>
          <w:rFonts w:cs="Arial"/>
          <w:szCs w:val="24"/>
        </w:rPr>
        <w:t xml:space="preserve">dozorové orgány důsledně kontrolují, zda nabídka hazardních her legálními provozovateli </w:t>
      </w:r>
      <w:r>
        <w:rPr>
          <w:rFonts w:cs="Arial"/>
          <w:szCs w:val="24"/>
        </w:rPr>
        <w:t>skutečně naplňuje cíle zákona o </w:t>
      </w:r>
      <w:r w:rsidRPr="00F85F45">
        <w:rPr>
          <w:rFonts w:cs="Arial"/>
          <w:szCs w:val="24"/>
        </w:rPr>
        <w:t xml:space="preserve">hazardních hrách a nabízí účastníkům hazardních her takové hry, jejichž rizikovost je pozitivně ovlivněna implementací podmínek stanovených v zákoně o hazardních hrách, základním povolení a herních plánech. </w:t>
      </w:r>
      <w:r w:rsidR="0054392E">
        <w:rPr>
          <w:rFonts w:cs="Arial"/>
          <w:szCs w:val="24"/>
        </w:rPr>
        <w:t>I </w:t>
      </w:r>
      <w:r>
        <w:rPr>
          <w:rFonts w:cs="Arial"/>
          <w:szCs w:val="24"/>
        </w:rPr>
        <w:t>v této oblasti se nicméně projevuje problematičnost související s nutností disponovat krycími doklady, která je ještě zvýrazněna skutečností, že konkrétní krycí doklad je možné využít pouze po krátkou dobu, resp. pouze jednou u konkrétního provozovatele.</w:t>
      </w:r>
    </w:p>
    <w:p w14:paraId="2193DD47" w14:textId="1FD3B384" w:rsidR="00C55173" w:rsidRDefault="006F0DCD" w:rsidP="00651FFD">
      <w:pPr>
        <w:rPr>
          <w:rFonts w:cs="Arial"/>
          <w:szCs w:val="24"/>
        </w:rPr>
      </w:pPr>
      <w:r w:rsidRPr="00F85F45">
        <w:rPr>
          <w:rFonts w:cs="Arial"/>
          <w:szCs w:val="24"/>
        </w:rPr>
        <w:t xml:space="preserve">Obdobnou intenzitou probíhají i kontroly v oblasti </w:t>
      </w:r>
      <w:r>
        <w:rPr>
          <w:rFonts w:cs="Arial"/>
          <w:szCs w:val="24"/>
        </w:rPr>
        <w:t xml:space="preserve">nelegálního </w:t>
      </w:r>
      <w:r w:rsidRPr="00F85F45">
        <w:rPr>
          <w:rFonts w:cs="Arial"/>
          <w:szCs w:val="24"/>
        </w:rPr>
        <w:t>on-line provozování</w:t>
      </w:r>
      <w:r w:rsidR="004760BC">
        <w:rPr>
          <w:rFonts w:cs="Arial"/>
          <w:szCs w:val="24"/>
        </w:rPr>
        <w:t xml:space="preserve"> hazardních her</w:t>
      </w:r>
      <w:r w:rsidRPr="00F85F45">
        <w:rPr>
          <w:rFonts w:cs="Arial"/>
          <w:szCs w:val="24"/>
        </w:rPr>
        <w:t xml:space="preserve">, které je do velké míry specifické svou povahou, neboť často není možné sankcionovat </w:t>
      </w:r>
      <w:r>
        <w:rPr>
          <w:rFonts w:cs="Arial"/>
          <w:szCs w:val="24"/>
        </w:rPr>
        <w:t xml:space="preserve">a hlavně efektivně sjednat nápravu ze strany </w:t>
      </w:r>
      <w:r w:rsidRPr="00F85F45">
        <w:rPr>
          <w:rFonts w:cs="Arial"/>
          <w:szCs w:val="24"/>
        </w:rPr>
        <w:t xml:space="preserve">skutečného provozovatele nelegálních hazardních her, ať již z důvodu nemožnosti jeho identifikace, nebo </w:t>
      </w:r>
      <w:r w:rsidR="004760BC">
        <w:rPr>
          <w:rFonts w:cs="Arial"/>
          <w:szCs w:val="24"/>
        </w:rPr>
        <w:t xml:space="preserve">z důvodu </w:t>
      </w:r>
      <w:r w:rsidRPr="00F85F45">
        <w:rPr>
          <w:rFonts w:cs="Arial"/>
          <w:szCs w:val="24"/>
        </w:rPr>
        <w:t>umístění sídla mimo členské státy Evropské unie. Zákon o hazardních hrách</w:t>
      </w:r>
      <w:r w:rsidR="004760BC">
        <w:rPr>
          <w:rFonts w:cs="Arial"/>
          <w:szCs w:val="24"/>
        </w:rPr>
        <w:t xml:space="preserve"> proto</w:t>
      </w:r>
      <w:r w:rsidRPr="00F85F45">
        <w:rPr>
          <w:rFonts w:cs="Arial"/>
          <w:szCs w:val="24"/>
        </w:rPr>
        <w:t xml:space="preserve"> zavádí nástroj blokace, a to j</w:t>
      </w:r>
      <w:r>
        <w:rPr>
          <w:rFonts w:cs="Arial"/>
          <w:szCs w:val="24"/>
        </w:rPr>
        <w:t>ak internetových stránek, tak i </w:t>
      </w:r>
      <w:r w:rsidRPr="00F85F45">
        <w:rPr>
          <w:rFonts w:cs="Arial"/>
          <w:szCs w:val="24"/>
        </w:rPr>
        <w:t>plateb, který zajišťuje maximální mož</w:t>
      </w:r>
      <w:r>
        <w:rPr>
          <w:rFonts w:cs="Arial"/>
          <w:szCs w:val="24"/>
        </w:rPr>
        <w:t>nou ochranu osob, které by se v </w:t>
      </w:r>
      <w:r w:rsidRPr="00F85F45">
        <w:rPr>
          <w:rFonts w:cs="Arial"/>
          <w:szCs w:val="24"/>
        </w:rPr>
        <w:t>případě dostupnosti internetových stránek nelegálních hazardních her účastnily.</w:t>
      </w:r>
      <w:r w:rsidR="00E20DBC">
        <w:rPr>
          <w:rFonts w:cs="Arial"/>
          <w:szCs w:val="24"/>
        </w:rPr>
        <w:t xml:space="preserve"> Blíže </w:t>
      </w:r>
      <w:r w:rsidR="008E079C">
        <w:rPr>
          <w:rFonts w:cs="Arial"/>
          <w:szCs w:val="24"/>
        </w:rPr>
        <w:t>v příloze č. 12</w:t>
      </w:r>
      <w:r w:rsidR="00DD296C">
        <w:rPr>
          <w:rFonts w:cs="Arial"/>
          <w:szCs w:val="24"/>
        </w:rPr>
        <w:t xml:space="preserve"> – Dozor.</w:t>
      </w:r>
      <w:r w:rsidR="00C55173" w:rsidRPr="00F85F45">
        <w:rPr>
          <w:rFonts w:cs="Arial"/>
          <w:szCs w:val="24"/>
        </w:rPr>
        <w:t xml:space="preserve"> </w:t>
      </w:r>
    </w:p>
    <w:p w14:paraId="409CB4A6" w14:textId="77777777" w:rsidR="00C55173" w:rsidRPr="00AC2F7C" w:rsidRDefault="00C55173" w:rsidP="00DD296C">
      <w:pPr>
        <w:pStyle w:val="Nadpis6"/>
      </w:pPr>
      <w:bookmarkStart w:id="117" w:name="_Toc72999570"/>
      <w:r w:rsidRPr="00AC2F7C">
        <w:lastRenderedPageBreak/>
        <w:t>Blokace nepovolených internetových her</w:t>
      </w:r>
      <w:bookmarkEnd w:id="117"/>
    </w:p>
    <w:p w14:paraId="1D586268" w14:textId="6458CFB5" w:rsidR="006F0DCD" w:rsidRDefault="006F0DCD" w:rsidP="00651FFD">
      <w:r w:rsidRPr="00B41B2B">
        <w:t xml:space="preserve">Vzhledem ke skutečnosti, že zákon o loteriích neupravoval koncepčně možnost provozování hazardních her prostřednictvím sítě internet, </w:t>
      </w:r>
      <w:r w:rsidR="004760BC">
        <w:t xml:space="preserve">absentovaly </w:t>
      </w:r>
      <w:r w:rsidRPr="00B41B2B">
        <w:t xml:space="preserve">také nástroje, které by byly efektivní pro výkon dozoru v této oblasti, a to zejména z pohledu nelegálního provozování. Zákon o hazardních hrách tak přinesl </w:t>
      </w:r>
      <w:r w:rsidRPr="00DD296C">
        <w:rPr>
          <w:b/>
        </w:rPr>
        <w:t>významný posun</w:t>
      </w:r>
      <w:r w:rsidRPr="00B41B2B">
        <w:t>, neboť umožnil v případě zjištění nelegální</w:t>
      </w:r>
      <w:r>
        <w:t xml:space="preserve"> internetové </w:t>
      </w:r>
      <w:r w:rsidRPr="00B41B2B">
        <w:t xml:space="preserve">hry </w:t>
      </w:r>
      <w:r w:rsidR="00F417A9">
        <w:t>na </w:t>
      </w:r>
      <w:r>
        <w:t>internetové stránce</w:t>
      </w:r>
      <w:r w:rsidRPr="00B41B2B">
        <w:t xml:space="preserve"> </w:t>
      </w:r>
      <w:r w:rsidRPr="00DD296C">
        <w:rPr>
          <w:b/>
        </w:rPr>
        <w:t>zablokovat tuto inte</w:t>
      </w:r>
      <w:r w:rsidR="00F417A9">
        <w:rPr>
          <w:b/>
        </w:rPr>
        <w:t>rnetovou stránku a zablokovat i </w:t>
      </w:r>
      <w:r w:rsidRPr="00DD296C">
        <w:rPr>
          <w:b/>
        </w:rPr>
        <w:t>případné platby na platební účty související s provozováním této nelegální internetové hry</w:t>
      </w:r>
      <w:r w:rsidRPr="00B41B2B">
        <w:t xml:space="preserve">. </w:t>
      </w:r>
    </w:p>
    <w:p w14:paraId="62C3E3EE" w14:textId="170759B2" w:rsidR="006F0DCD" w:rsidRDefault="006F0DCD" w:rsidP="00651FFD">
      <w:r w:rsidRPr="00B41B2B">
        <w:t xml:space="preserve">Vzhledem k povaze internetu, která umožňuje neomezenou dostupnost jakéhokoli obsahu internetové stránky, zákon o hazardních hrách obsahuje definici internetové hry, a to s využitím </w:t>
      </w:r>
      <w:r w:rsidRPr="00DD296C">
        <w:rPr>
          <w:b/>
        </w:rPr>
        <w:t>konceptu cílení na osoby s bydlištěm na území České republiky</w:t>
      </w:r>
      <w:r w:rsidRPr="00B41B2B">
        <w:t xml:space="preserve">. Tato definice je zásadní </w:t>
      </w:r>
      <w:r w:rsidR="002B4CC9" w:rsidRPr="00B41B2B">
        <w:t xml:space="preserve">zejména </w:t>
      </w:r>
      <w:r w:rsidRPr="00B41B2B">
        <w:t>pro nelegální provozování internetových her</w:t>
      </w:r>
      <w:r>
        <w:t xml:space="preserve"> </w:t>
      </w:r>
      <w:r w:rsidRPr="00B41B2B">
        <w:t>a byla zákonodárce</w:t>
      </w:r>
      <w:r w:rsidR="00F417A9">
        <w:t>m zvolena takovým způsobem, aby </w:t>
      </w:r>
      <w:r w:rsidRPr="00B41B2B">
        <w:t xml:space="preserve">umožňovala </w:t>
      </w:r>
      <w:r w:rsidR="00C67C0B">
        <w:t>dozorující</w:t>
      </w:r>
      <w:r w:rsidRPr="00B41B2B">
        <w:t>m orgánům flexibilně reagovat na aktuální situaci na trhu.</w:t>
      </w:r>
      <w:r>
        <w:t xml:space="preserve"> </w:t>
      </w:r>
      <w:r w:rsidRPr="000C1AB5">
        <w:t>V rámci hodnotícího procesu je komplexně posuzována řada kritérií, např. jazyk internetové stránk</w:t>
      </w:r>
      <w:r>
        <w:t>y, herní měna, volba bydliště</w:t>
      </w:r>
      <w:r w:rsidRPr="000C1AB5">
        <w:t xml:space="preserve"> </w:t>
      </w:r>
      <w:r w:rsidR="009F71E7">
        <w:t>účastníka hazardní hry</w:t>
      </w:r>
      <w:r w:rsidRPr="000C1AB5">
        <w:t xml:space="preserve">, kontext </w:t>
      </w:r>
      <w:r w:rsidR="00F417A9">
        <w:t>reklamy umístěné na </w:t>
      </w:r>
      <w:r w:rsidRPr="000C1AB5">
        <w:t>internetové stránce či reklamy, která na tuto strá</w:t>
      </w:r>
      <w:r w:rsidR="00F417A9">
        <w:t>nku odkazuje. Zda dochází k </w:t>
      </w:r>
      <w:r w:rsidRPr="000C1AB5">
        <w:t>cílení, je pak hodnoceno komplexně - jsou tak hodnoceny veškeré vyskytnuvší se znaky cílení</w:t>
      </w:r>
      <w:r>
        <w:t xml:space="preserve"> i</w:t>
      </w:r>
      <w:r w:rsidR="00FA335B">
        <w:t> </w:t>
      </w:r>
      <w:r>
        <w:t>jejich vzájemná potenciální provazba a zároveň i skutečnost, zda je některý z prvků ze strany provozovatele předvyplněný</w:t>
      </w:r>
      <w:r w:rsidRPr="000C1AB5">
        <w:t>.</w:t>
      </w:r>
      <w:r>
        <w:t xml:space="preserve"> </w:t>
      </w:r>
      <w:r w:rsidRPr="000C1AB5">
        <w:t xml:space="preserve">Po komplexním zhodnocení všech těchto kritérií </w:t>
      </w:r>
      <w:r w:rsidR="00C67C0B">
        <w:t>dozorující</w:t>
      </w:r>
      <w:r w:rsidRPr="000C1AB5">
        <w:t xml:space="preserve"> orgán vyhodnotí, zda je hazardní hra, byť jen z části, zaměřena či cílena na osoby, které mají bydliště na území České republiky a tudíž je jako taková považována za hazardní hru provozov</w:t>
      </w:r>
      <w:r w:rsidR="00F417A9">
        <w:t>anou na území České republiky a </w:t>
      </w:r>
      <w:r w:rsidRPr="000C1AB5">
        <w:t>k jejímu provozování je nutné disponovat základní</w:t>
      </w:r>
      <w:r>
        <w:t>m</w:t>
      </w:r>
      <w:r w:rsidRPr="000C1AB5">
        <w:t xml:space="preserve"> povolením vydaným Ministerstvem financí</w:t>
      </w:r>
      <w:r>
        <w:t>.</w:t>
      </w:r>
    </w:p>
    <w:p w14:paraId="100C0B7D" w14:textId="1008C4CE" w:rsidR="006F0DCD" w:rsidRPr="009A27B5" w:rsidRDefault="006F0DCD" w:rsidP="00651FFD">
      <w:pPr>
        <w:rPr>
          <w:b/>
        </w:rPr>
      </w:pPr>
      <w:r>
        <w:t xml:space="preserve">V případě, že je </w:t>
      </w:r>
      <w:r w:rsidR="00C67C0B">
        <w:t>dozorující</w:t>
      </w:r>
      <w:r>
        <w:t xml:space="preserve">m orgánem shledáno, že je prostřednictvím internetové stránky s nepovolenou internetovou hrou cíleno na osoby s bydlištěm na území České republiky a k provozování takové hazardní hry nebylo vydáno základní povolení, Ministerstvo financí ve správním řízení přistupuje k zápisu této internetové stránky na seznam nepovolených internetových her. </w:t>
      </w:r>
      <w:r w:rsidR="00F417A9">
        <w:rPr>
          <w:b/>
        </w:rPr>
        <w:t>V období od </w:t>
      </w:r>
      <w:r>
        <w:rPr>
          <w:b/>
        </w:rPr>
        <w:t>1. 1. </w:t>
      </w:r>
      <w:r w:rsidR="00BA3634">
        <w:rPr>
          <w:b/>
        </w:rPr>
        <w:t>2017 do 11. </w:t>
      </w:r>
      <w:r w:rsidRPr="009A27B5">
        <w:rPr>
          <w:b/>
        </w:rPr>
        <w:t>4</w:t>
      </w:r>
      <w:r w:rsidR="00BA3634">
        <w:rPr>
          <w:b/>
        </w:rPr>
        <w:t>.</w:t>
      </w:r>
      <w:r w:rsidRPr="009A27B5">
        <w:rPr>
          <w:b/>
        </w:rPr>
        <w:t xml:space="preserve"> 2021 bylo zablokováno celkem 184 i</w:t>
      </w:r>
      <w:r w:rsidR="00BA3634">
        <w:rPr>
          <w:b/>
        </w:rPr>
        <w:t>nternetových stránek (celkem 22 </w:t>
      </w:r>
      <w:r w:rsidRPr="009A27B5">
        <w:rPr>
          <w:b/>
        </w:rPr>
        <w:t xml:space="preserve">subjektům), přičemž cca 70 % tvoří tzv. zrcadlené internetové stránky.  Správní řízení o zápisu na </w:t>
      </w:r>
      <w:r w:rsidR="002B4CC9">
        <w:rPr>
          <w:b/>
        </w:rPr>
        <w:t xml:space="preserve">tzv. </w:t>
      </w:r>
      <w:r w:rsidRPr="009A27B5">
        <w:rPr>
          <w:b/>
        </w:rPr>
        <w:t>bla</w:t>
      </w:r>
      <w:r w:rsidR="00BA3634">
        <w:rPr>
          <w:b/>
        </w:rPr>
        <w:t>ck-</w:t>
      </w:r>
      <w:r>
        <w:rPr>
          <w:b/>
        </w:rPr>
        <w:t>list bylo vedeno celkem s 49 </w:t>
      </w:r>
      <w:r w:rsidRPr="009A27B5">
        <w:rPr>
          <w:b/>
        </w:rPr>
        <w:t>subjekty,</w:t>
      </w:r>
      <w:r w:rsidR="00A05610">
        <w:rPr>
          <w:b/>
        </w:rPr>
        <w:t xml:space="preserve"> nicméně 18 subjektů přestalo v </w:t>
      </w:r>
      <w:r w:rsidRPr="009A27B5">
        <w:rPr>
          <w:b/>
        </w:rPr>
        <w:t>pr</w:t>
      </w:r>
      <w:r w:rsidR="00F417A9">
        <w:rPr>
          <w:b/>
        </w:rPr>
        <w:t>ůběhu správního řízení cílit na </w:t>
      </w:r>
      <w:r w:rsidRPr="009A27B5">
        <w:rPr>
          <w:b/>
        </w:rPr>
        <w:t xml:space="preserve">občany ČR. </w:t>
      </w:r>
    </w:p>
    <w:p w14:paraId="3FD7AF9C" w14:textId="56548C90" w:rsidR="0054392E" w:rsidRDefault="0054392E" w:rsidP="0054392E">
      <w:pPr>
        <w:pStyle w:val="Titulek"/>
        <w:keepNext/>
      </w:pPr>
      <w:bookmarkStart w:id="118" w:name="_Toc73611457"/>
      <w:r>
        <w:lastRenderedPageBreak/>
        <w:t xml:space="preserve">Graf č. </w:t>
      </w:r>
      <w:fldSimple w:instr=" SEQ Graf_č. \* ARABIC ">
        <w:r w:rsidR="00A860B8">
          <w:rPr>
            <w:noProof/>
          </w:rPr>
          <w:t>29</w:t>
        </w:r>
      </w:fldSimple>
      <w:r>
        <w:t xml:space="preserve">: </w:t>
      </w:r>
      <w:r w:rsidRPr="00F86ADF">
        <w:t xml:space="preserve">Celkový počet internetových stránek na </w:t>
      </w:r>
      <w:r w:rsidR="002B4CC9">
        <w:t>tzv</w:t>
      </w:r>
      <w:r w:rsidR="00BA3634">
        <w:t>.</w:t>
      </w:r>
      <w:r w:rsidR="002B4CC9">
        <w:t xml:space="preserve"> </w:t>
      </w:r>
      <w:r w:rsidR="00BA3634">
        <w:t>black-l</w:t>
      </w:r>
      <w:r w:rsidRPr="00F86ADF">
        <w:t>istu a počet nově zapsaných internetových stránek (k 31. 3. 2021)</w:t>
      </w:r>
      <w:bookmarkEnd w:id="118"/>
    </w:p>
    <w:p w14:paraId="149C1770" w14:textId="77777777" w:rsidR="00C55173" w:rsidRDefault="00C55173" w:rsidP="00C55173">
      <w:pPr>
        <w:spacing w:before="120" w:after="240"/>
        <w:rPr>
          <w:rFonts w:cs="Arial"/>
          <w:szCs w:val="24"/>
        </w:rPr>
      </w:pPr>
      <w:r>
        <w:rPr>
          <w:noProof/>
          <w:lang w:eastAsia="cs-CZ"/>
        </w:rPr>
        <w:drawing>
          <wp:inline distT="0" distB="0" distL="0" distR="0" wp14:anchorId="5836FB77" wp14:editId="5059E3EA">
            <wp:extent cx="4572000" cy="2743200"/>
            <wp:effectExtent l="0" t="0" r="0" b="0"/>
            <wp:docPr id="25" name="Obrázek 25" descr="cid:image003.png@01D7307D.B5BA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 1" descr="cid:image003.png@01D7307D.B5BA2700"/>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433BE8FF" w14:textId="1799DC78" w:rsidR="00C55173" w:rsidRDefault="00C55173" w:rsidP="00C55173">
      <w:pPr>
        <w:spacing w:before="120" w:after="240"/>
        <w:rPr>
          <w:rFonts w:cs="Arial"/>
          <w:i/>
          <w:sz w:val="20"/>
          <w:szCs w:val="20"/>
        </w:rPr>
      </w:pPr>
      <w:r w:rsidRPr="00167197">
        <w:rPr>
          <w:rFonts w:cs="Arial"/>
          <w:i/>
          <w:sz w:val="20"/>
          <w:szCs w:val="20"/>
        </w:rPr>
        <w:t>Zdroj: Ministerstvo</w:t>
      </w:r>
      <w:r w:rsidR="0054392E">
        <w:rPr>
          <w:rFonts w:cs="Arial"/>
          <w:i/>
          <w:sz w:val="20"/>
          <w:szCs w:val="20"/>
        </w:rPr>
        <w:t xml:space="preserve"> financí.</w:t>
      </w:r>
    </w:p>
    <w:p w14:paraId="04ABACAE" w14:textId="0557D806" w:rsidR="0082296B" w:rsidRPr="0082296B" w:rsidRDefault="0082296B" w:rsidP="00651FFD">
      <w:r>
        <w:t>Poměrně značný pokles nově blokovaných stránek po roce 2018 není způsoben snížením intenzity kontroly, ale zejména prvotní reak</w:t>
      </w:r>
      <w:r w:rsidR="00F417A9">
        <w:t>cí nelegálních provozovatelů na </w:t>
      </w:r>
      <w:r>
        <w:t xml:space="preserve">intenzivní dozorovou činnost. Většina internetových stránek, které cílily </w:t>
      </w:r>
      <w:r w:rsidRPr="00EE67FF">
        <w:t>na osoby s</w:t>
      </w:r>
      <w:r>
        <w:t> </w:t>
      </w:r>
      <w:r w:rsidRPr="00EE67FF">
        <w:t>bydlištěm na území České republiky</w:t>
      </w:r>
      <w:r>
        <w:t>, byla právě již zablokována nebo přestala cílit. V posledním roce je opět patrný nárůst blokací s ohledem na další intenzivní odhalování nelegálních provozovatelů.</w:t>
      </w:r>
    </w:p>
    <w:p w14:paraId="683F2BD7" w14:textId="7505CEEA" w:rsidR="0054392E" w:rsidRDefault="0054392E" w:rsidP="0054392E">
      <w:pPr>
        <w:pStyle w:val="Titulek"/>
        <w:keepNext/>
      </w:pPr>
      <w:bookmarkStart w:id="119" w:name="_Toc73611458"/>
      <w:r>
        <w:t xml:space="preserve">Graf č. </w:t>
      </w:r>
      <w:fldSimple w:instr=" SEQ Graf_č. \* ARABIC ">
        <w:r w:rsidR="00A860B8">
          <w:rPr>
            <w:noProof/>
          </w:rPr>
          <w:t>30</w:t>
        </w:r>
      </w:fldSimple>
      <w:r>
        <w:t xml:space="preserve">: </w:t>
      </w:r>
      <w:r w:rsidRPr="000828E1">
        <w:t>Zastoupení prvků cílení u int</w:t>
      </w:r>
      <w:r w:rsidR="00F417A9">
        <w:t>ernetových stránek zapsaných na </w:t>
      </w:r>
      <w:r w:rsidR="002B4CC9">
        <w:t>tzv.</w:t>
      </w:r>
      <w:r w:rsidR="00F417A9">
        <w:t> </w:t>
      </w:r>
      <w:r w:rsidRPr="000828E1">
        <w:t>black</w:t>
      </w:r>
      <w:r w:rsidR="00442045">
        <w:t>-</w:t>
      </w:r>
      <w:r w:rsidRPr="000828E1">
        <w:t>listu, kdy prvky jsou ze strany provo</w:t>
      </w:r>
      <w:r w:rsidR="00F417A9">
        <w:t>zovatele předvyplněny (k 31. 3. </w:t>
      </w:r>
      <w:r w:rsidRPr="000828E1">
        <w:t>2021)</w:t>
      </w:r>
      <w:bookmarkEnd w:id="119"/>
    </w:p>
    <w:p w14:paraId="2D76F0D4" w14:textId="77777777" w:rsidR="00C55173" w:rsidRPr="005C2C7C" w:rsidRDefault="00C55173" w:rsidP="00C55173">
      <w:pPr>
        <w:pStyle w:val="Titulek"/>
        <w:rPr>
          <w:b/>
          <w:i w:val="0"/>
          <w:szCs w:val="24"/>
        </w:rPr>
      </w:pPr>
      <w:r w:rsidRPr="0061750C">
        <w:rPr>
          <w:b/>
          <w:i w:val="0"/>
          <w:noProof/>
          <w:szCs w:val="24"/>
          <w:lang w:eastAsia="cs-CZ"/>
        </w:rPr>
        <w:drawing>
          <wp:inline distT="0" distB="0" distL="0" distR="0" wp14:anchorId="23896020" wp14:editId="6839767A">
            <wp:extent cx="5760720" cy="2643505"/>
            <wp:effectExtent l="0" t="0" r="0" b="444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73654" cy="2649440"/>
                    </a:xfrm>
                    <a:prstGeom prst="rect">
                      <a:avLst/>
                    </a:prstGeom>
                  </pic:spPr>
                </pic:pic>
              </a:graphicData>
            </a:graphic>
          </wp:inline>
        </w:drawing>
      </w:r>
    </w:p>
    <w:p w14:paraId="4701CFC1" w14:textId="77777777" w:rsidR="00C55173" w:rsidRPr="0054392E" w:rsidRDefault="00C55173" w:rsidP="00C55173">
      <w:pPr>
        <w:pStyle w:val="Titulek"/>
        <w:spacing w:after="360"/>
        <w:rPr>
          <w:rFonts w:cs="Arial"/>
          <w:sz w:val="20"/>
        </w:rPr>
      </w:pPr>
      <w:r w:rsidRPr="0054392E">
        <w:rPr>
          <w:rFonts w:cs="Arial"/>
          <w:sz w:val="20"/>
        </w:rPr>
        <w:t>Zdroj: Ministerstvo financí.</w:t>
      </w:r>
    </w:p>
    <w:p w14:paraId="52ECE38C" w14:textId="1083DCEC" w:rsidR="0082296B" w:rsidRDefault="0082296B" w:rsidP="00651FFD">
      <w:r>
        <w:t xml:space="preserve">V případě, že je internetová stránka, popř. </w:t>
      </w:r>
      <w:r w:rsidRPr="00015522">
        <w:t>platební účet, který je využíván k</w:t>
      </w:r>
      <w:r>
        <w:t> </w:t>
      </w:r>
      <w:r w:rsidRPr="00015522">
        <w:t>provozování</w:t>
      </w:r>
      <w:r>
        <w:t xml:space="preserve"> nelegální internetové hry, zapsán na </w:t>
      </w:r>
      <w:r w:rsidR="002B4CC9">
        <w:t xml:space="preserve">tzv. </w:t>
      </w:r>
      <w:r>
        <w:t>black</w:t>
      </w:r>
      <w:r w:rsidR="00442045">
        <w:t>-</w:t>
      </w:r>
      <w:r>
        <w:t xml:space="preserve">list, požaduje zákon </w:t>
      </w:r>
      <w:r>
        <w:lastRenderedPageBreak/>
        <w:t>o hazardních hrách součinnost poskytovatelů internetového připojení a poskytovatelů platebních služeb. Tyto subjekty jsou povinny do 15 dnů zamezit v přístupu k </w:t>
      </w:r>
      <w:r w:rsidRPr="00710F41">
        <w:t>internetovým stránkám</w:t>
      </w:r>
      <w:r>
        <w:t xml:space="preserve">, resp. neprovést </w:t>
      </w:r>
      <w:r w:rsidRPr="00710F41">
        <w:t xml:space="preserve">platební transakce ve prospěch ani k tíži </w:t>
      </w:r>
      <w:r>
        <w:t xml:space="preserve">relevantních </w:t>
      </w:r>
      <w:r w:rsidRPr="00710F41">
        <w:t>platebních účtů</w:t>
      </w:r>
      <w:r>
        <w:t>. V rámci své dozorové činnosti na význam plnění této povinnosti upozornilo Ministerstvo financí v dubnu 2021 prostřednictvím Českého telekomunikačního úřadu především poskytovatele internetového připojení a nadále tuto oblast monitoruje.</w:t>
      </w:r>
    </w:p>
    <w:p w14:paraId="06665804" w14:textId="22895BEF" w:rsidR="002B4CC9" w:rsidRDefault="002B4CC9" w:rsidP="002B4CC9">
      <w:r w:rsidRPr="00F85F45">
        <w:t>Aby však bylo možné blokace internetové stránky nebo platby dosáhnout, je vyžadována aktivní součinnost poskytovatelů připojení k internetu a poskytovatelů platebních služeb.</w:t>
      </w:r>
      <w:r>
        <w:t xml:space="preserve"> V případě blokace plateb je však efektivita </w:t>
      </w:r>
      <w:r w:rsidR="009074CC">
        <w:t xml:space="preserve">částečně </w:t>
      </w:r>
      <w:r>
        <w:t>potlačena skutečností, že při provozování hazardních her jsou využívány zejména platební karty, popř.</w:t>
      </w:r>
      <w:r w:rsidR="00F417A9">
        <w:t> </w:t>
      </w:r>
      <w:r>
        <w:t>alternativní platební prostředky.</w:t>
      </w:r>
    </w:p>
    <w:p w14:paraId="64E26459" w14:textId="6200DDCC" w:rsidR="0082296B" w:rsidRPr="00F85F45" w:rsidRDefault="0082296B" w:rsidP="00651FFD">
      <w:r w:rsidRPr="00F85F45">
        <w:t>Blokace je aktivně využívána již od počátku účinnosti zákona o hazardních hrách a je zásadní pro přesměrování účastníků hazardních her na legální nabídku hazardních her, která je regulována podmínkami stanovenými v zákoně o hazardních hrách, základním povolením a herním plánem, j</w:t>
      </w:r>
      <w:r>
        <w:t>ej</w:t>
      </w:r>
      <w:r w:rsidRPr="00F85F45">
        <w:t xml:space="preserve">ichž dodržování je dozorováno. </w:t>
      </w:r>
      <w:r w:rsidR="002B4CC9">
        <w:t>P</w:t>
      </w:r>
      <w:r>
        <w:t xml:space="preserve">oměrně výrazným problémem je tzv. zrcadlení internetových stránek, díky kterému se nedaří odstraňovat internetové stránky obsahující nelegální hazardní hry s dostatečnou rychlostí. </w:t>
      </w:r>
      <w:r w:rsidR="002B4CC9">
        <w:t xml:space="preserve">Přesto </w:t>
      </w:r>
      <w:r>
        <w:t xml:space="preserve">je </w:t>
      </w:r>
      <w:r w:rsidRPr="00F85F45">
        <w:t xml:space="preserve">výše uvedená možnost </w:t>
      </w:r>
      <w:r w:rsidRPr="009A27B5">
        <w:rPr>
          <w:b/>
        </w:rPr>
        <w:t>blokace efektivním a zcela novým prvkem v o</w:t>
      </w:r>
      <w:r w:rsidR="00F417A9">
        <w:rPr>
          <w:b/>
        </w:rPr>
        <w:t>blasti boje proti nelegálním on</w:t>
      </w:r>
      <w:r w:rsidR="00F417A9">
        <w:rPr>
          <w:b/>
        </w:rPr>
        <w:noBreakHyphen/>
      </w:r>
      <w:r w:rsidRPr="009A27B5">
        <w:rPr>
          <w:b/>
        </w:rPr>
        <w:t>line provozovatelům</w:t>
      </w:r>
      <w:r w:rsidRPr="00F85F45">
        <w:t>, který v regulaci obsažené v zákoně o loteriích naprosto abs</w:t>
      </w:r>
      <w:r>
        <w:t xml:space="preserve">entoval a </w:t>
      </w:r>
      <w:r w:rsidR="002B4CC9">
        <w:t xml:space="preserve">před jeho zavedením nebyla </w:t>
      </w:r>
      <w:r>
        <w:t xml:space="preserve">ani v základní rovině zajištěna ochrana účastníků on-line hazardních her. </w:t>
      </w:r>
    </w:p>
    <w:p w14:paraId="4F703972" w14:textId="3B72BCB9" w:rsidR="0082296B" w:rsidRPr="00F85F45" w:rsidRDefault="0082296B" w:rsidP="00651FFD">
      <w:r>
        <w:t xml:space="preserve">K tomuto tématu blíže </w:t>
      </w:r>
      <w:r w:rsidR="008E079C">
        <w:t>v příloze č. 8</w:t>
      </w:r>
      <w:r>
        <w:t xml:space="preserve"> – Nepovolené internetové hry.</w:t>
      </w:r>
    </w:p>
    <w:p w14:paraId="737264EA" w14:textId="77777777" w:rsidR="00C55173" w:rsidRPr="00D95996" w:rsidRDefault="00C55173" w:rsidP="00B92D90">
      <w:pPr>
        <w:pStyle w:val="Nadpis6"/>
      </w:pPr>
      <w:bookmarkStart w:id="120" w:name="_Toc72999571"/>
      <w:r w:rsidRPr="00D95996">
        <w:t>Technické požadavky a jejich odborné posuzování a osvědčování</w:t>
      </w:r>
      <w:bookmarkEnd w:id="120"/>
    </w:p>
    <w:p w14:paraId="06966CA2" w14:textId="10D172DD" w:rsidR="00C55173" w:rsidRPr="00B41B2B" w:rsidRDefault="00C55173" w:rsidP="00651FFD">
      <w:r w:rsidRPr="00B41B2B">
        <w:t>Za účelem zaj</w:t>
      </w:r>
      <w:r>
        <w:t>ištění ochrany účastníků hazardních her</w:t>
      </w:r>
      <w:r w:rsidRPr="00B41B2B">
        <w:t xml:space="preserve"> a řádného výkonu dozoru v oblasti p</w:t>
      </w:r>
      <w:r>
        <w:t xml:space="preserve">rovozování hazardních her zavedl zákon o hazardních </w:t>
      </w:r>
      <w:r w:rsidRPr="00B92D90">
        <w:rPr>
          <w:b/>
        </w:rPr>
        <w:t>hrách institut pověřené osoby</w:t>
      </w:r>
      <w:r w:rsidRPr="00B41B2B">
        <w:t xml:space="preserve">, který nahrazuje institut pověřené autorizované osoby. </w:t>
      </w:r>
      <w:r>
        <w:t>Náplň činnosti je obdobná</w:t>
      </w:r>
      <w:r w:rsidRPr="00B41B2B">
        <w:t xml:space="preserve"> v obou právních úpravách, nicméně dochází k </w:t>
      </w:r>
      <w:r w:rsidRPr="00B92D90">
        <w:rPr>
          <w:b/>
        </w:rPr>
        <w:t>významnému rozšíření</w:t>
      </w:r>
      <w:r w:rsidRPr="00B41B2B">
        <w:t xml:space="preserve"> co do počtu druhů hazardních her, které je pověřená osoba povinna</w:t>
      </w:r>
      <w:r>
        <w:t xml:space="preserve"> osvědčovat. V případě zákona o </w:t>
      </w:r>
      <w:r w:rsidRPr="00B41B2B">
        <w:t>loteriích se jednalo pouze o výherní hrací přístroje, při</w:t>
      </w:r>
      <w:r>
        <w:t>čemž v souvislosti s § 50 odst. </w:t>
      </w:r>
      <w:r w:rsidRPr="00B41B2B">
        <w:t>3 zákona</w:t>
      </w:r>
      <w:r w:rsidR="00B20024">
        <w:t xml:space="preserve"> o loteriích</w:t>
      </w:r>
      <w:r w:rsidRPr="00B41B2B">
        <w:t xml:space="preserve"> byl požadavek předložit dokument prokazující splnění technických požadavků zákona</w:t>
      </w:r>
      <w:r w:rsidR="00B20024">
        <w:t xml:space="preserve"> kladen</w:t>
      </w:r>
      <w:r w:rsidRPr="00B41B2B">
        <w:t xml:space="preserve"> také na ostatní technic</w:t>
      </w:r>
      <w:r>
        <w:t>ká zařízení.  U zákona o </w:t>
      </w:r>
      <w:r w:rsidRPr="00B41B2B">
        <w:t xml:space="preserve">hazardních hrách se </w:t>
      </w:r>
      <w:r>
        <w:t>d</w:t>
      </w:r>
      <w:r w:rsidR="0082296B">
        <w:t>okumenty odborného posuzování a </w:t>
      </w:r>
      <w:r>
        <w:t xml:space="preserve">osvědčování předkládají pro </w:t>
      </w:r>
      <w:r w:rsidRPr="00B41B2B">
        <w:t>všec</w:t>
      </w:r>
      <w:r w:rsidR="00F417A9">
        <w:t>hny druhy hazardních her, resp. </w:t>
      </w:r>
      <w:r w:rsidRPr="00B41B2B">
        <w:t>způsoby provozování, u nichž to povaha provozování umožňuje</w:t>
      </w:r>
      <w:r>
        <w:t xml:space="preserve"> (nepředkládá se u</w:t>
      </w:r>
      <w:r w:rsidR="00B92D90">
        <w:t xml:space="preserve"> živé hry </w:t>
      </w:r>
      <w:r w:rsidR="00B20024">
        <w:t xml:space="preserve">formou </w:t>
      </w:r>
      <w:r w:rsidR="00B92D90">
        <w:t xml:space="preserve">land-based, tomboly </w:t>
      </w:r>
      <w:r w:rsidR="00B92D90" w:rsidRPr="00B92D90">
        <w:t>a</w:t>
      </w:r>
      <w:r w:rsidR="00B20024">
        <w:t xml:space="preserve"> </w:t>
      </w:r>
      <w:r w:rsidRPr="00B92D90">
        <w:t>turnaje</w:t>
      </w:r>
      <w:r>
        <w:t xml:space="preserve"> malého rozsahu)</w:t>
      </w:r>
      <w:r w:rsidRPr="00B41B2B">
        <w:t>.</w:t>
      </w:r>
    </w:p>
    <w:p w14:paraId="495F24B5" w14:textId="5649B9E5" w:rsidR="0082296B" w:rsidRPr="00B41B2B" w:rsidRDefault="0082296B" w:rsidP="00651FFD">
      <w:r w:rsidRPr="00B41B2B">
        <w:t xml:space="preserve">Také proces výběru pověřených osob doznal výrazných změn, jejichž účelem je </w:t>
      </w:r>
      <w:r w:rsidRPr="00B92D90">
        <w:rPr>
          <w:b/>
        </w:rPr>
        <w:t>umožnění výraznější kontroly Ministerstva financí nad výběrem konkrétních subjektů</w:t>
      </w:r>
      <w:r w:rsidRPr="00B41B2B">
        <w:t>, které mají možnost ověřovat technické požadavky zákona o hazardních hrách. V případě zákona o loteriích bylo Ministerstvo fi</w:t>
      </w:r>
      <w:r>
        <w:t>nancí (resp. obecní úřad) závislé</w:t>
      </w:r>
      <w:r w:rsidRPr="00B41B2B">
        <w:t xml:space="preserve"> na rozhodn</w:t>
      </w:r>
      <w:r>
        <w:t xml:space="preserve">utí Českého akreditačního úřadu a </w:t>
      </w:r>
      <w:r w:rsidRPr="004C560E">
        <w:t>Úřad</w:t>
      </w:r>
      <w:r>
        <w:t>u</w:t>
      </w:r>
      <w:r w:rsidRPr="004C560E">
        <w:t xml:space="preserve"> pro technickou normalizaci, metrologii a státní zkušebnictví</w:t>
      </w:r>
      <w:r>
        <w:t>,</w:t>
      </w:r>
      <w:r w:rsidRPr="00B41B2B">
        <w:t xml:space="preserve"> neboť neexistovala právní úprava, která by dávala Ministerstvu financí oprávnění zvolit jiný subjekt, popř. požadovat splnění dalších požadavků</w:t>
      </w:r>
      <w:r w:rsidR="00B20024">
        <w:t xml:space="preserve"> ze strany dotčené osoby</w:t>
      </w:r>
      <w:r w:rsidRPr="00B41B2B">
        <w:t>. Vzhledem k tomu, že tato skutečnost byla vyhodnocena</w:t>
      </w:r>
      <w:r>
        <w:t xml:space="preserve"> jako značně omezující, nově </w:t>
      </w:r>
      <w:r w:rsidRPr="00B41B2B">
        <w:t xml:space="preserve">Ministerstvo financí uděluje subjektům </w:t>
      </w:r>
      <w:r>
        <w:t xml:space="preserve">pověření </w:t>
      </w:r>
      <w:r w:rsidRPr="00B41B2B">
        <w:t xml:space="preserve">ve správním řízení. </w:t>
      </w:r>
      <w:r w:rsidR="00F417A9">
        <w:t>Zákon o </w:t>
      </w:r>
      <w:r>
        <w:t>hazardních hrách zavádí</w:t>
      </w:r>
      <w:r w:rsidRPr="00B41B2B">
        <w:t xml:space="preserve"> konkrétní požadavky, které musí být </w:t>
      </w:r>
      <w:r w:rsidR="00F417A9">
        <w:t>ze strany žadatelů o </w:t>
      </w:r>
      <w:r>
        <w:t xml:space="preserve">pověření </w:t>
      </w:r>
      <w:r w:rsidRPr="00B41B2B">
        <w:t xml:space="preserve">splněny, přičemž ty se </w:t>
      </w:r>
      <w:r w:rsidRPr="00B41B2B">
        <w:lastRenderedPageBreak/>
        <w:t xml:space="preserve">zaměřují nejen na odborné znalosti, které zaručují schopnost ověřovat technické parametry stanovené v zákoně o hazardních hrách, ale také kredibilitu subjektů, zejména co se týká jejich bezúhonnosti. V určité míře byl zachován také požadavek disponovat akreditací, nicméně jedná se o jeden, nikoli </w:t>
      </w:r>
      <w:r w:rsidR="00B20024">
        <w:t xml:space="preserve">však </w:t>
      </w:r>
      <w:r w:rsidRPr="00B41B2B">
        <w:t>jediný</w:t>
      </w:r>
      <w:r>
        <w:t>, požadavek</w:t>
      </w:r>
      <w:r w:rsidRPr="00B41B2B">
        <w:t xml:space="preserve"> a je možné jej splnit nejen akreditací u Českého akre</w:t>
      </w:r>
      <w:r>
        <w:t>ditačního institutu, ale také u </w:t>
      </w:r>
      <w:r w:rsidRPr="00B41B2B">
        <w:t>akreditačních orgánů jiných členských států Evropské unie. Zejména v důsledku této změny došlo k navýšen</w:t>
      </w:r>
      <w:r w:rsidR="00A05610">
        <w:t>í počtu subjektů, konkrétně z 2 </w:t>
      </w:r>
      <w:r w:rsidRPr="00B41B2B">
        <w:t>subjektů vzrostl počet pověřených osob na 9 subjektů</w:t>
      </w:r>
      <w:r>
        <w:t xml:space="preserve"> včetně zahraničních</w:t>
      </w:r>
      <w:r w:rsidRPr="00B41B2B">
        <w:t xml:space="preserve">. </w:t>
      </w:r>
    </w:p>
    <w:p w14:paraId="27EC3D94" w14:textId="6615AE0F" w:rsidR="00842920" w:rsidRDefault="00842920" w:rsidP="00842920">
      <w:pPr>
        <w:pStyle w:val="Titulek"/>
        <w:keepNext/>
      </w:pPr>
      <w:bookmarkStart w:id="121" w:name="_Toc73611459"/>
      <w:r>
        <w:t xml:space="preserve">Graf č. </w:t>
      </w:r>
      <w:fldSimple w:instr=" SEQ Graf_č. \* ARABIC ">
        <w:r w:rsidR="00A860B8">
          <w:rPr>
            <w:noProof/>
          </w:rPr>
          <w:t>31</w:t>
        </w:r>
      </w:fldSimple>
      <w:r>
        <w:t xml:space="preserve">: </w:t>
      </w:r>
      <w:r w:rsidRPr="00BA4F59">
        <w:t>Počet pověřených osob dle jejich sídla (k 31. 3. 2021)</w:t>
      </w:r>
      <w:bookmarkEnd w:id="121"/>
    </w:p>
    <w:p w14:paraId="0CC13D83" w14:textId="56092724" w:rsidR="00C55173" w:rsidRPr="00B41B2B" w:rsidRDefault="0062249A" w:rsidP="00C55173">
      <w:pPr>
        <w:rPr>
          <w:rFonts w:cs="Arial"/>
          <w:szCs w:val="24"/>
        </w:rPr>
      </w:pPr>
      <w:r>
        <w:rPr>
          <w:noProof/>
          <w:lang w:eastAsia="cs-CZ"/>
        </w:rPr>
        <w:drawing>
          <wp:inline distT="0" distB="0" distL="0" distR="0" wp14:anchorId="2AD6CBBC" wp14:editId="0F58E308">
            <wp:extent cx="5760720" cy="2822664"/>
            <wp:effectExtent l="0" t="0" r="0" b="0"/>
            <wp:docPr id="21" name="Obrázek 21" descr="cid:image003.png@01D740FB.217A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 1" descr="cid:image003.png@01D740FB.217A9690"/>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5760720" cy="2822664"/>
                    </a:xfrm>
                    <a:prstGeom prst="rect">
                      <a:avLst/>
                    </a:prstGeom>
                    <a:noFill/>
                    <a:ln>
                      <a:noFill/>
                    </a:ln>
                  </pic:spPr>
                </pic:pic>
              </a:graphicData>
            </a:graphic>
          </wp:inline>
        </w:drawing>
      </w:r>
    </w:p>
    <w:p w14:paraId="6C6193B8" w14:textId="4538A1D4" w:rsidR="00C55173" w:rsidRPr="006003CE" w:rsidRDefault="00C55173" w:rsidP="00C55173">
      <w:pPr>
        <w:rPr>
          <w:rFonts w:cs="Arial"/>
          <w:i/>
          <w:sz w:val="20"/>
          <w:szCs w:val="20"/>
        </w:rPr>
      </w:pPr>
      <w:r w:rsidRPr="00E23488">
        <w:rPr>
          <w:rFonts w:cs="Arial"/>
          <w:i/>
          <w:sz w:val="20"/>
          <w:szCs w:val="20"/>
        </w:rPr>
        <w:t>Zdroj: Ministerstvo</w:t>
      </w:r>
      <w:r>
        <w:rPr>
          <w:rFonts w:cs="Arial"/>
          <w:i/>
          <w:sz w:val="20"/>
          <w:szCs w:val="20"/>
        </w:rPr>
        <w:t xml:space="preserve"> financí</w:t>
      </w:r>
      <w:r w:rsidR="00842920">
        <w:rPr>
          <w:rFonts w:cs="Arial"/>
          <w:i/>
          <w:sz w:val="20"/>
          <w:szCs w:val="20"/>
        </w:rPr>
        <w:t>.</w:t>
      </w:r>
    </w:p>
    <w:p w14:paraId="177F1D91" w14:textId="0248B214" w:rsidR="00842920" w:rsidRDefault="00842920" w:rsidP="00842920">
      <w:pPr>
        <w:pStyle w:val="Titulek"/>
        <w:keepNext/>
      </w:pPr>
      <w:bookmarkStart w:id="122" w:name="_Toc73611460"/>
      <w:r>
        <w:t xml:space="preserve">Graf č. </w:t>
      </w:r>
      <w:fldSimple w:instr=" SEQ Graf_č. \* ARABIC ">
        <w:r w:rsidR="00A860B8">
          <w:rPr>
            <w:noProof/>
          </w:rPr>
          <w:t>32</w:t>
        </w:r>
      </w:fldSimple>
      <w:r>
        <w:t xml:space="preserve">: </w:t>
      </w:r>
      <w:r w:rsidRPr="001C4C08">
        <w:t>Počet pověřených osob, které zahájily činnost (k 31. 3. 2021)</w:t>
      </w:r>
      <w:bookmarkEnd w:id="122"/>
    </w:p>
    <w:p w14:paraId="0BBE647B" w14:textId="77777777" w:rsidR="00C55173" w:rsidRDefault="00C55173" w:rsidP="00C55173">
      <w:pPr>
        <w:rPr>
          <w:rFonts w:cs="Arial"/>
          <w:noProof/>
          <w:szCs w:val="24"/>
          <w:lang w:eastAsia="cs-CZ"/>
        </w:rPr>
      </w:pPr>
      <w:r w:rsidRPr="00B41B2B">
        <w:rPr>
          <w:rFonts w:cs="Arial"/>
          <w:noProof/>
          <w:szCs w:val="24"/>
          <w:lang w:eastAsia="cs-CZ"/>
        </w:rPr>
        <w:drawing>
          <wp:inline distT="0" distB="0" distL="0" distR="0" wp14:anchorId="51082672" wp14:editId="40B7C3EC">
            <wp:extent cx="4698996" cy="2243041"/>
            <wp:effectExtent l="0" t="0" r="6985" b="508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9612"/>
                    <a:stretch/>
                  </pic:blipFill>
                  <pic:spPr bwMode="auto">
                    <a:xfrm>
                      <a:off x="0" y="0"/>
                      <a:ext cx="4726392" cy="2256118"/>
                    </a:xfrm>
                    <a:prstGeom prst="rect">
                      <a:avLst/>
                    </a:prstGeom>
                    <a:ln>
                      <a:noFill/>
                    </a:ln>
                    <a:extLst>
                      <a:ext uri="{53640926-AAD7-44D8-BBD7-CCE9431645EC}">
                        <a14:shadowObscured xmlns:a14="http://schemas.microsoft.com/office/drawing/2010/main"/>
                      </a:ext>
                    </a:extLst>
                  </pic:spPr>
                </pic:pic>
              </a:graphicData>
            </a:graphic>
          </wp:inline>
        </w:drawing>
      </w:r>
    </w:p>
    <w:p w14:paraId="22217CFB" w14:textId="57054F35" w:rsidR="00C55173" w:rsidRPr="00E23488" w:rsidRDefault="00842920" w:rsidP="00C55173">
      <w:pPr>
        <w:rPr>
          <w:rFonts w:cs="Arial"/>
          <w:i/>
          <w:sz w:val="20"/>
          <w:szCs w:val="20"/>
        </w:rPr>
      </w:pPr>
      <w:r>
        <w:rPr>
          <w:rFonts w:cs="Arial"/>
          <w:i/>
          <w:sz w:val="20"/>
          <w:szCs w:val="20"/>
        </w:rPr>
        <w:t>Zdroj: Ministerstvo financí.</w:t>
      </w:r>
    </w:p>
    <w:p w14:paraId="7177E879" w14:textId="3BBECD4A" w:rsidR="0082296B" w:rsidRDefault="0082296B" w:rsidP="00651FFD">
      <w:r w:rsidRPr="00B41B2B">
        <w:t xml:space="preserve">Kromě </w:t>
      </w:r>
      <w:r w:rsidRPr="00B92D90">
        <w:rPr>
          <w:b/>
        </w:rPr>
        <w:t>zvýšení vlivu Ministerstva financí na samotný výběr subjektů</w:t>
      </w:r>
      <w:r w:rsidRPr="00B41B2B">
        <w:t>, které mají oprávnění ověřit splnění technických požadavků stanovených v</w:t>
      </w:r>
      <w:r>
        <w:t> </w:t>
      </w:r>
      <w:r w:rsidRPr="00B41B2B">
        <w:t>zákoně</w:t>
      </w:r>
      <w:r>
        <w:t xml:space="preserve"> o hazardních hrách a zároveň poskytovat součinnost </w:t>
      </w:r>
      <w:r w:rsidR="00C67C0B">
        <w:t>dozorující</w:t>
      </w:r>
      <w:r>
        <w:t>m orgánům</w:t>
      </w:r>
      <w:r w:rsidRPr="00B41B2B">
        <w:t>, došlo také k </w:t>
      </w:r>
      <w:r w:rsidRPr="00B92D90">
        <w:rPr>
          <w:b/>
        </w:rPr>
        <w:t>nastavení požadavků týkajících se výstupních dokumentů</w:t>
      </w:r>
      <w:r w:rsidR="00F417A9">
        <w:t xml:space="preserve">. Tímto způsobem došlo </w:t>
      </w:r>
      <w:r w:rsidR="00F417A9">
        <w:lastRenderedPageBreak/>
        <w:t>ke </w:t>
      </w:r>
      <w:r w:rsidRPr="00B41B2B">
        <w:t>sjednocení těchto dokumentů a zpřehlednění jejich obsahů</w:t>
      </w:r>
      <w:r>
        <w:t xml:space="preserve"> i navýšení kvality</w:t>
      </w:r>
      <w:r w:rsidR="00F417A9">
        <w:t>, což </w:t>
      </w:r>
      <w:r w:rsidRPr="00B41B2B">
        <w:t xml:space="preserve">mělo pozitivní dopad na vedení správního řízení o vydání základního povolení. </w:t>
      </w:r>
    </w:p>
    <w:p w14:paraId="201E4ED0" w14:textId="77777777" w:rsidR="0082296B" w:rsidRPr="00B92D90" w:rsidRDefault="0082296B" w:rsidP="00651FFD">
      <w:r>
        <w:t>Závěrem lze shrnout, že e</w:t>
      </w:r>
      <w:r w:rsidRPr="00151E92">
        <w:t>fektivní výkon dozoru je jedním ze základních předpokladů fungování regulace. Vzhledem k výše uveden</w:t>
      </w:r>
      <w:r>
        <w:t xml:space="preserve">ému lze konstatovat, že </w:t>
      </w:r>
      <w:r w:rsidRPr="00B92D90">
        <w:rPr>
          <w:b/>
        </w:rPr>
        <w:t>zákon o hazardních hrách zavedl efektivní soubor mechanismů a institutů pro dozor nad provozováním hazardních her ať již legálními</w:t>
      </w:r>
      <w:r>
        <w:rPr>
          <w:b/>
        </w:rPr>
        <w:t xml:space="preserve"> či nelegálními provozovateli a </w:t>
      </w:r>
      <w:r w:rsidRPr="00B92D90">
        <w:rPr>
          <w:b/>
        </w:rPr>
        <w:t xml:space="preserve">posílil kompetence orgánů vykonávajících </w:t>
      </w:r>
      <w:r w:rsidRPr="00651FFD">
        <w:rPr>
          <w:b/>
        </w:rPr>
        <w:t>dozor</w:t>
      </w:r>
      <w:r w:rsidRPr="00151E92">
        <w:t>. Do budoucna lze však doporučit zaměřit se ještě více na jejich využívání, aby bylo nelegální provozování hazardních her na území České republiky potlačeno v co nejvyš</w:t>
      </w:r>
      <w:r>
        <w:t>ší možné míře a </w:t>
      </w:r>
      <w:r w:rsidRPr="00151E92">
        <w:t>současně, aby byli legální provozovatelé dostatečně motivování k dodržování zákona o hazardních hrách a</w:t>
      </w:r>
      <w:r>
        <w:t> </w:t>
      </w:r>
      <w:r w:rsidRPr="00151E92">
        <w:t>souvisejících právních předpisů. Pouze tak bude moci být v dlouhodobém měřítku zajištěna dostatečná och</w:t>
      </w:r>
      <w:r>
        <w:t>rana účastníků hazardních her a </w:t>
      </w:r>
      <w:r w:rsidRPr="00151E92">
        <w:t>p</w:t>
      </w:r>
      <w:r>
        <w:t>lnění dalších cílů.</w:t>
      </w:r>
    </w:p>
    <w:p w14:paraId="4101852D" w14:textId="61F06520" w:rsidR="002E13BB" w:rsidRPr="006A33F9" w:rsidRDefault="00474584" w:rsidP="002E13BB">
      <w:pPr>
        <w:pStyle w:val="Nadpis4"/>
      </w:pPr>
      <w:bookmarkStart w:id="123" w:name="_Toc72999572"/>
      <w:r>
        <w:t>Informační systém provozování hazardních her</w:t>
      </w:r>
      <w:bookmarkEnd w:id="123"/>
    </w:p>
    <w:p w14:paraId="2CCC2F1D" w14:textId="656D6E6A" w:rsidR="002E13BB" w:rsidRPr="00E02EAD" w:rsidRDefault="002E13BB" w:rsidP="00651FFD">
      <w:r w:rsidRPr="00E02EAD">
        <w:t>Do doby nabytí účinnosti zákona o hazardníc</w:t>
      </w:r>
      <w:r w:rsidR="00B92D90">
        <w:t>h hrách nebyla oblast rozsahu a </w:t>
      </w:r>
      <w:r w:rsidRPr="00E02EAD">
        <w:t xml:space="preserve">parametrů informací a dat a způsobu jejich předávání příslušným správním orgánům stanovena jednotně. Ačkoli provozovatelé evidovali obdobné údaje jako ty, které požaduje </w:t>
      </w:r>
      <w:r w:rsidR="00B20024">
        <w:t>reportingová</w:t>
      </w:r>
      <w:r w:rsidR="00B20024" w:rsidRPr="00E02EAD">
        <w:t xml:space="preserve"> </w:t>
      </w:r>
      <w:r w:rsidRPr="00E02EAD">
        <w:t>vyhláška, panovala v této evidenci nejednotnost, což způsobovalo komplikace při výkonu dozoru v oblasti provozování hazardních her. V době účinnosti loterního zákona byl způsob evidence herních a finančních dat a</w:t>
      </w:r>
      <w:r>
        <w:t> </w:t>
      </w:r>
      <w:r w:rsidRPr="00E02EAD">
        <w:t>jejich předávání příslušným orgánům nejednotný a vycházel z poměrně neurčité podmínky stanovené v povolení k pro</w:t>
      </w:r>
      <w:r>
        <w:t>vozování. Od účinnosti zákona o </w:t>
      </w:r>
      <w:r w:rsidRPr="00E02EAD">
        <w:t xml:space="preserve">hazardních hrách </w:t>
      </w:r>
      <w:r>
        <w:t>byly</w:t>
      </w:r>
      <w:r w:rsidRPr="00E02EAD">
        <w:t xml:space="preserve"> tyto požadavky součástí základního povolení, nicméně pro zajištění vyšší právní jistoty provozovatelů hazardních her </w:t>
      </w:r>
      <w:r>
        <w:t>byla</w:t>
      </w:r>
      <w:r w:rsidRPr="00E02EAD">
        <w:t xml:space="preserve"> v souladu se zmocňovacím ustanovením tato ob</w:t>
      </w:r>
      <w:r>
        <w:t xml:space="preserve">last upravena vyhláškou. Tato nejednotnost mohla také ztěžovat přístup na český trh provozování hazardních her, protože v jejím důsledku byla snížena právní jistota týkající se podmínek provozování hazardních her. </w:t>
      </w:r>
    </w:p>
    <w:p w14:paraId="570FEF74" w14:textId="7B53B218" w:rsidR="00BD153C" w:rsidRDefault="002E13BB" w:rsidP="00651FFD">
      <w:r w:rsidRPr="00E73E3F">
        <w:t xml:space="preserve">Novelou zákona o hazardních hrách došlo k </w:t>
      </w:r>
      <w:r w:rsidRPr="00E20DBC">
        <w:rPr>
          <w:b/>
        </w:rPr>
        <w:t>explicitnímu stanovení obecné povinnosti vést a poskytovat výkaznictví pro druhy hazardní hry</w:t>
      </w:r>
      <w:r w:rsidRPr="00E73E3F">
        <w:t>, u kterých je vydáváno základní povolení, v zákoně o hazardních hrách a tím současně k výraznému zvýšení míry právní jistoty adresátů této povinnosti oproti předchozímu stavu, kdy povinnost vést a poskytovat výkaznictví byla, v případě vzdáleného přístupu, ukládána na základě podmínek řádného provozování hazardních her stanovených v základním povolení. Zakotvením povinnosti vést a poskytovat herní výkaznictví formou vzdáleného přístupu v zákoně o hazardních hrách se rovněž zvýšila vymahatelnost této povinnosti ze strany orgán</w:t>
      </w:r>
      <w:r>
        <w:t xml:space="preserve">ů státní správy. </w:t>
      </w:r>
      <w:r w:rsidR="00700AF7">
        <w:t>Zároveň došlo i </w:t>
      </w:r>
      <w:r w:rsidRPr="00E73E3F">
        <w:t>k zpřehlednění právního předpisu, neboť nově se povinnost vést výkaznictví</w:t>
      </w:r>
      <w:r>
        <w:t>,</w:t>
      </w:r>
      <w:r w:rsidRPr="00E73E3F">
        <w:t xml:space="preserve"> </w:t>
      </w:r>
      <w:r w:rsidR="00F417A9">
        <w:t>a to </w:t>
      </w:r>
      <w:r w:rsidRPr="000933CA">
        <w:t xml:space="preserve">v podobě denního herního zápisu v případě binga provozovaného v kasinu, denního herního výkaznictví v případě živé hry provozované v kasinu a vzdáleného přístupu v případě ostatních hazardních her, </w:t>
      </w:r>
      <w:r w:rsidRPr="00E73E3F">
        <w:t>zak</w:t>
      </w:r>
      <w:r w:rsidR="00F417A9">
        <w:t>otvuje jako obecná povinnost ke </w:t>
      </w:r>
      <w:r w:rsidRPr="00E73E3F">
        <w:t>všem hazardním hrám (s výjimkou tomboly a turnaje malého rozsahu).</w:t>
      </w:r>
    </w:p>
    <w:p w14:paraId="7F60580B" w14:textId="70BBDAA6" w:rsidR="00BD153C" w:rsidRPr="00BD153C" w:rsidRDefault="002E13BB" w:rsidP="00651FFD">
      <w:r>
        <w:t xml:space="preserve">Novou právní úpravu završilo </w:t>
      </w:r>
      <w:r w:rsidRPr="00E20DBC">
        <w:rPr>
          <w:b/>
        </w:rPr>
        <w:t>přijetí reportingové vyhlášky, která přesně stanovila způsob, strukturu, rozsah i formát poskytování výkaznictví</w:t>
      </w:r>
      <w:r>
        <w:t xml:space="preserve">. </w:t>
      </w:r>
      <w:r w:rsidRPr="00E02EAD">
        <w:t xml:space="preserve">Smyslem </w:t>
      </w:r>
      <w:r>
        <w:t>reportingové</w:t>
      </w:r>
      <w:r w:rsidRPr="00E02EAD">
        <w:t xml:space="preserve"> vyhl</w:t>
      </w:r>
      <w:r>
        <w:t>ášky bylo</w:t>
      </w:r>
      <w:r w:rsidRPr="00E02EAD">
        <w:t xml:space="preserve"> tedy </w:t>
      </w:r>
      <w:r w:rsidRPr="00E20DBC">
        <w:t>především</w:t>
      </w:r>
      <w:r w:rsidRPr="00E20DBC">
        <w:rPr>
          <w:b/>
        </w:rPr>
        <w:t xml:space="preserve"> sjednocení roztříštěné praxe</w:t>
      </w:r>
      <w:r>
        <w:t xml:space="preserve"> jednotlivých provozovatelů </w:t>
      </w:r>
      <w:r w:rsidRPr="00E73E3F">
        <w:t>a</w:t>
      </w:r>
      <w:r>
        <w:t xml:space="preserve"> </w:t>
      </w:r>
      <w:r w:rsidRPr="00E73E3F">
        <w:t>zajištění</w:t>
      </w:r>
      <w:r w:rsidRPr="00E02EAD">
        <w:t>, aby byla vešk</w:t>
      </w:r>
      <w:r w:rsidR="00E20DBC">
        <w:t>erá relevantní data evidována a </w:t>
      </w:r>
      <w:r w:rsidRPr="00E02EAD">
        <w:t>předávána příslušným správním orgánům takovým způsobem, který umožňuje strojovou čitelnost těchto informací a dat a zajišťu</w:t>
      </w:r>
      <w:r w:rsidR="00BD153C">
        <w:t xml:space="preserve">je řádný dozor v této oblasti. </w:t>
      </w:r>
    </w:p>
    <w:p w14:paraId="001D80EB" w14:textId="4222D2F4" w:rsidR="002E13BB" w:rsidRPr="00BD153C" w:rsidRDefault="002E13BB" w:rsidP="00651FFD">
      <w:r>
        <w:lastRenderedPageBreak/>
        <w:t>Při přípravě reportingové vyhlášky bylo nutné</w:t>
      </w:r>
      <w:r w:rsidRPr="00323835">
        <w:t xml:space="preserve"> reflektovat připomínku zástupců provozovatelů, že by s ohledem na technologickou nepřipravenost trhu bylo obtížné (byť nikoliv nemožné) dostát požadavkům na vedení denního herního výkaznictví v</w:t>
      </w:r>
      <w:r>
        <w:t> </w:t>
      </w:r>
      <w:r w:rsidRPr="00323835">
        <w:t>rozšířeném</w:t>
      </w:r>
      <w:r>
        <w:t xml:space="preserve"> rozsahu</w:t>
      </w:r>
      <w:r w:rsidRPr="00323835">
        <w:t xml:space="preserve">, pokud by byla zavedena obligatorně. </w:t>
      </w:r>
      <w:r>
        <w:t>Nebylo možné</w:t>
      </w:r>
      <w:r w:rsidRPr="00323835">
        <w:t xml:space="preserve"> ani využít elektronické hrací stoly v podobě, ve které se používají v některých zahraničních jurisdikcích, protože podle zákona o hazardních hrách musí mít hodnotové žetony hmotnou podstatu. Vedení denního herního výkaznictví v rozšířeném rozsahu je možné za použití vhodných technologií (žetony vybavené RFID technologií, strojové rozpoznávání žetonů z kamerových záznamů, apod.), případně zavedením opatření, která by vedení této evidence umožnila (např. sestavení výkazu obsluhou sledující stůl živé hry na kamerovém záznamu).</w:t>
      </w:r>
      <w:r>
        <w:t xml:space="preserve"> </w:t>
      </w:r>
      <w:r w:rsidRPr="00323835">
        <w:t xml:space="preserve">Lze shrnout, že </w:t>
      </w:r>
      <w:r>
        <w:t xml:space="preserve">plošné </w:t>
      </w:r>
      <w:r w:rsidRPr="00323835">
        <w:t>zavedení denního herního výkaznictví v rozšířeném</w:t>
      </w:r>
      <w:r>
        <w:t xml:space="preserve"> rozsahu </w:t>
      </w:r>
      <w:r w:rsidR="00EC7903">
        <w:t xml:space="preserve">by </w:t>
      </w:r>
      <w:r>
        <w:t>nemohlo být s ohled</w:t>
      </w:r>
      <w:r w:rsidRPr="00323835">
        <w:t>em na současnou technologickou připravenost trhu považováno za opatření při</w:t>
      </w:r>
      <w:r w:rsidRPr="00A63494">
        <w:t>měřené. Denní herní výkaznictví</w:t>
      </w:r>
      <w:r w:rsidRPr="00323835">
        <w:t xml:space="preserve"> v základ</w:t>
      </w:r>
      <w:r w:rsidRPr="00A63494">
        <w:t xml:space="preserve">ním rozsahu rovněž poskytuje </w:t>
      </w:r>
      <w:r>
        <w:t xml:space="preserve">za současného stavu na trhu hazardních her </w:t>
      </w:r>
      <w:r w:rsidRPr="00A63494">
        <w:t>do</w:t>
      </w:r>
      <w:r>
        <w:t>st</w:t>
      </w:r>
      <w:r w:rsidRPr="00323835">
        <w:t xml:space="preserve">atečné informace související s provozováním </w:t>
      </w:r>
      <w:r w:rsidRPr="00A63494">
        <w:t>živé hry v kasinu a</w:t>
      </w:r>
      <w:r>
        <w:t> </w:t>
      </w:r>
      <w:r w:rsidRPr="00A63494">
        <w:t>zárove</w:t>
      </w:r>
      <w:r>
        <w:t>ň</w:t>
      </w:r>
      <w:r w:rsidRPr="00323835">
        <w:t xml:space="preserve"> v kombinaci s kontrolou kamerového záznamu lze dosáhnout daného cíle jinými mírnějšími prostředky, </w:t>
      </w:r>
      <w:r w:rsidRPr="00A63494">
        <w:t>jde tedy o</w:t>
      </w:r>
      <w:r>
        <w:t> </w:t>
      </w:r>
      <w:r w:rsidRPr="00323835">
        <w:t>opatření přiměřené.</w:t>
      </w:r>
      <w:r>
        <w:t xml:space="preserve"> </w:t>
      </w:r>
      <w:r w:rsidRPr="00FA5720">
        <w:t>S ohledem na výše uvedené poskytují provozovatelé na základě návrhu vyhlášky denní herní výkaznictví v základním rozsahu.</w:t>
      </w:r>
      <w:r>
        <w:t xml:space="preserve"> Zároveň je však umožněno provozovatelům poskytovat celním úřadům denní herní výkaznictví v rozšířeném rozsahu</w:t>
      </w:r>
      <w:r w:rsidRPr="00C121AB">
        <w:t>.</w:t>
      </w:r>
      <w:r>
        <w:t xml:space="preserve"> Ministerstvo financí má za to, že za doby účinnosti nové právní úpravy nedošlo ke změně výše uvedeného, současně lze poskytování denního herního výkaznictví v základním rozsahu považovat s pohledu současné právní úpravy za dostačující.</w:t>
      </w:r>
    </w:p>
    <w:p w14:paraId="7545EC29" w14:textId="43DB34C7" w:rsidR="002E13BB" w:rsidRDefault="002E13BB" w:rsidP="00651FFD">
      <w:r>
        <w:t>Jelikož se jednotnému způsobu poskytování herních a finančních dat museli přizpůsobit všichni provozovatelé hazardních her, přip</w:t>
      </w:r>
      <w:r w:rsidR="00F417A9">
        <w:t>ravilo Ministerstvo financí nad </w:t>
      </w:r>
      <w:r>
        <w:t>rámec své standardní činnosti za účelem snadnější implementace reportingové vyhlášky možnost využití Playgroundu (veřejného testovacího rozhraní), několik workshopů, metodické materiály (datové modely, FAQ, interaktivní vzor pro denní herní výkaznictví aj.).</w:t>
      </w:r>
      <w:r>
        <w:rPr>
          <w:rStyle w:val="Znakapoznpodarou"/>
        </w:rPr>
        <w:footnoteReference w:id="23"/>
      </w:r>
      <w:r>
        <w:t xml:space="preserve"> Tato podpora je ze strany provozovatelů hojně využívána a velmi významně přispívá k zajištění hladkého pr</w:t>
      </w:r>
      <w:r w:rsidR="00BD153C">
        <w:t>ovozu Analytického modulu AISG.</w:t>
      </w:r>
    </w:p>
    <w:p w14:paraId="0DDEC641" w14:textId="14AD96D4" w:rsidR="002E13BB" w:rsidRDefault="002E13BB" w:rsidP="00651FFD">
      <w:r w:rsidRPr="00B04B97">
        <w:t>Je třeba vyzdvihnout, že Analytický AISG neslouží k automatizovanému vyhodnocování osobních aspektů fyzických osob zakládající právní účinky vůči těmto osobám. Smyslem není kontrola jednotlivých fyzických osob, nýbrž kontrola plnění povinností ze strany provozovatelů, což sebou sekundárně nese vazby na či</w:t>
      </w:r>
      <w:r w:rsidR="00757025">
        <w:t>nnost fyzických osob. Analytický</w:t>
      </w:r>
      <w:r w:rsidRPr="00B04B97">
        <w:t xml:space="preserve"> modul AISG neumí systematicky vyhodnocovat osobní aspekty týkající se fyzických osob.</w:t>
      </w:r>
      <w:r>
        <w:t xml:space="preserve"> </w:t>
      </w:r>
      <w:r w:rsidRPr="00B04B97">
        <w:t>Zpracová</w:t>
      </w:r>
      <w:r w:rsidR="00B94C24">
        <w:t>ní údajů v AM AISG je legální a </w:t>
      </w:r>
      <w:r w:rsidRPr="00B04B97">
        <w:t>legitimní. Je jednoznačně vymezen účel zpracování</w:t>
      </w:r>
      <w:r>
        <w:t xml:space="preserve"> </w:t>
      </w:r>
      <w:r w:rsidRPr="00B04B97">
        <w:t>a rozsah zpracovávaných dat. Některé zpracovávané údaje mají charakter</w:t>
      </w:r>
      <w:r>
        <w:t xml:space="preserve"> </w:t>
      </w:r>
      <w:r w:rsidRPr="00B04B97">
        <w:t>pseudonymizovaných osobních ú</w:t>
      </w:r>
      <w:r w:rsidR="00B94C24">
        <w:t>dajů, a </w:t>
      </w:r>
      <w:r w:rsidRPr="00B04B97">
        <w:t>jako takové jsou důsledně a na vysoké úrovni</w:t>
      </w:r>
      <w:r>
        <w:t xml:space="preserve"> </w:t>
      </w:r>
      <w:r w:rsidRPr="00B04B97">
        <w:t xml:space="preserve">chráněny z titulu naplnění požadavků kladených na významný systém </w:t>
      </w:r>
      <w:r w:rsidR="00AA6FE9">
        <w:rPr>
          <w:rFonts w:cs="Arial"/>
          <w:szCs w:val="24"/>
        </w:rPr>
        <w:t>dle zákona č. 181/2014 Sb., o </w:t>
      </w:r>
      <w:r w:rsidR="00AA6FE9" w:rsidRPr="00D951E4">
        <w:rPr>
          <w:rFonts w:cs="Arial"/>
          <w:szCs w:val="24"/>
        </w:rPr>
        <w:t>kybernetické bezpečnosti a</w:t>
      </w:r>
      <w:r w:rsidR="00AA6FE9">
        <w:rPr>
          <w:rFonts w:cs="Arial"/>
          <w:szCs w:val="24"/>
        </w:rPr>
        <w:t> </w:t>
      </w:r>
      <w:r w:rsidR="00AA6FE9" w:rsidRPr="00D951E4">
        <w:rPr>
          <w:rFonts w:cs="Arial"/>
          <w:szCs w:val="24"/>
        </w:rPr>
        <w:t>o</w:t>
      </w:r>
      <w:r w:rsidR="00AA6FE9">
        <w:rPr>
          <w:rFonts w:cs="Arial"/>
          <w:szCs w:val="24"/>
        </w:rPr>
        <w:t> </w:t>
      </w:r>
      <w:r w:rsidR="00AA6FE9" w:rsidRPr="00D951E4">
        <w:rPr>
          <w:rFonts w:cs="Arial"/>
          <w:szCs w:val="24"/>
        </w:rPr>
        <w:t>změně souvisejíc</w:t>
      </w:r>
      <w:r w:rsidR="00AA6FE9">
        <w:rPr>
          <w:rFonts w:cs="Arial"/>
          <w:szCs w:val="24"/>
        </w:rPr>
        <w:t>ích předpisů (dále jen „zákon o </w:t>
      </w:r>
      <w:r w:rsidR="00AA6FE9" w:rsidRPr="00D951E4">
        <w:rPr>
          <w:rFonts w:cs="Arial"/>
          <w:szCs w:val="24"/>
        </w:rPr>
        <w:t>kybernetické bezpečnosti“)</w:t>
      </w:r>
      <w:r w:rsidRPr="00B04B97">
        <w:t>. Úroveň ochrany je zde nadstandardní - totožná jako v případě jiných systémů s</w:t>
      </w:r>
      <w:r>
        <w:t>tátní  </w:t>
      </w:r>
      <w:r w:rsidRPr="00B04B97">
        <w:t>právy, k</w:t>
      </w:r>
      <w:r w:rsidR="00BD153C">
        <w:t>teré osobní údaje zpracovávají.</w:t>
      </w:r>
    </w:p>
    <w:p w14:paraId="5D962135" w14:textId="13884D71" w:rsidR="002E13BB" w:rsidRDefault="002E13BB" w:rsidP="00651FFD">
      <w:r>
        <w:t xml:space="preserve">Co se týká jednotlivých druhů hazardních her lze </w:t>
      </w:r>
      <w:r w:rsidR="00F417A9">
        <w:t>za období provozu pozorovat, že </w:t>
      </w:r>
      <w:r>
        <w:t xml:space="preserve">v případě technické hry nedochází k významným obtížím při poskytování herních a finančních dat. Naopak v případě kursové sázky, kdy herní a finanční data obsahují </w:t>
      </w:r>
      <w:r>
        <w:lastRenderedPageBreak/>
        <w:t>značné množství údajů o všech sázkových událostech, sázkových příležitostech, data o tiketech kursové sázky a o všech změnách kurzů, je</w:t>
      </w:r>
      <w:r w:rsidR="00842920">
        <w:t xml:space="preserve"> struktura těchto dat složitá a </w:t>
      </w:r>
      <w:r>
        <w:t>náročná na objem poskytovaných dat, proto v </w:t>
      </w:r>
      <w:r w:rsidR="00633850">
        <w:t>některých případech docházelo k </w:t>
      </w:r>
      <w:r>
        <w:t xml:space="preserve">opakovanému zasílání </w:t>
      </w:r>
      <w:r w:rsidR="000C198C">
        <w:t xml:space="preserve">(opravám) </w:t>
      </w:r>
      <w:r>
        <w:t>automatizovaných výstupů, jelikož obsahovaly značné množství chyb, které byly v roz</w:t>
      </w:r>
      <w:r w:rsidR="00F417A9">
        <w:t>poru se strukturou, formátem či </w:t>
      </w:r>
      <w:r>
        <w:t xml:space="preserve">jinými požadavky stanovenými reportingovou vyhláškou. Od 1. 6. 2019 obsahuje databáze herních a finančních dat </w:t>
      </w:r>
      <w:r w:rsidR="004B56B8">
        <w:t>v Analytickém modulu AISG přes 73 miliard záznamů</w:t>
      </w:r>
      <w:r>
        <w:t xml:space="preserve">. V rámci provozu bylo zpracováno </w:t>
      </w:r>
      <w:r w:rsidR="004B56B8">
        <w:t>přes 160 tisíc</w:t>
      </w:r>
      <w:r>
        <w:t xml:space="preserve"> automatizovaných výstupů. </w:t>
      </w:r>
      <w:r w:rsidR="004B56B8">
        <w:t xml:space="preserve"> V průměru jsou do databáze Ana</w:t>
      </w:r>
      <w:r w:rsidR="00842920">
        <w:t>lytického modulu AISG měsíčně na</w:t>
      </w:r>
      <w:r w:rsidR="004B56B8">
        <w:t>hr</w:t>
      </w:r>
      <w:r w:rsidR="00757025">
        <w:t>ána</w:t>
      </w:r>
      <w:r w:rsidR="00842920">
        <w:t xml:space="preserve"> data ve velikosti cca 1 400 </w:t>
      </w:r>
      <w:r w:rsidR="004B56B8">
        <w:t>GB. I přes značné množství dat l</w:t>
      </w:r>
      <w:r w:rsidR="00F417A9">
        <w:t>ze hodnotit, že při </w:t>
      </w:r>
      <w:r>
        <w:t xml:space="preserve">zpracování automatizovaných výstupů zpravidla nevznikají </w:t>
      </w:r>
      <w:r w:rsidR="004B56B8">
        <w:t xml:space="preserve">výrazné </w:t>
      </w:r>
      <w:r>
        <w:t>prodlevy.</w:t>
      </w:r>
      <w:r w:rsidR="00F417A9">
        <w:t xml:space="preserve"> Časy </w:t>
      </w:r>
      <w:r w:rsidR="004B56B8">
        <w:t xml:space="preserve">zpracování jednotlivých automatizovaných výstupů se liší podle jeho velikosti, přičemž standardně jsou zpracovány během desítek minut, u větším automatizovaných výstupů v řádech hodin.  </w:t>
      </w:r>
    </w:p>
    <w:p w14:paraId="78E0282C" w14:textId="21D65FAF" w:rsidR="002E13BB" w:rsidRDefault="002E13BB" w:rsidP="00651FFD">
      <w:pPr>
        <w:rPr>
          <w:rFonts w:cs="Arial"/>
          <w:sz w:val="22"/>
        </w:rPr>
      </w:pPr>
      <w:r w:rsidRPr="003D0A01">
        <w:t>Smyslem a účelem zpracování dat v Analytickém modulu AISG je především dozor nad dodržováním zákona o hazardních hrách (např. kontrola dodržování sebeomezujících opatření) a podmínek stanovených v zák</w:t>
      </w:r>
      <w:r>
        <w:t>ladním povolení a v </w:t>
      </w:r>
      <w:r w:rsidRPr="003D0A01">
        <w:t xml:space="preserve">povolení k umístění herního prostoru. Dalším účelem je efektivnější kontrola řádného plnění povinností vyplývajících z daňových a účetních předpisů. Zpracování dotčených údajů je nezbytné ke splnění právní povinnosti uložené kontrolním orgánům zákonnými a podzákonnými právními předpisy upravujícími provozování hazardních her a dalšími relevantními předpisy (např. zákon č. o dani z hazardních her). Za tímto účelem jsou v Analytickém modulu vytvořeny </w:t>
      </w:r>
      <w:r>
        <w:t xml:space="preserve">reporty a </w:t>
      </w:r>
      <w:r w:rsidR="0084748E">
        <w:t>nástroje, které </w:t>
      </w:r>
      <w:r w:rsidRPr="003D0A01">
        <w:t xml:space="preserve">umožňují jak </w:t>
      </w:r>
      <w:r w:rsidR="00C67C0B">
        <w:t>dozorující</w:t>
      </w:r>
      <w:r w:rsidRPr="003D0A01">
        <w:t>m orgánům, tak i správci daně efektivnější výkon jejich činnosti</w:t>
      </w:r>
      <w:r>
        <w:t xml:space="preserve"> a pro tuto činnost poskytují podklady</w:t>
      </w:r>
      <w:r w:rsidRPr="003D0A01">
        <w:t>.</w:t>
      </w:r>
      <w:r>
        <w:t xml:space="preserve"> Jedním z dosud spatřovaných </w:t>
      </w:r>
      <w:r w:rsidRPr="006B4A8D">
        <w:rPr>
          <w:b/>
        </w:rPr>
        <w:t>nedostatků je kvalita herních a finančních dat</w:t>
      </w:r>
      <w:r>
        <w:t xml:space="preserve">, kdy je z některých provozovatelem poskytnutých dat patrné, že jsou neúplná, nejsou dodrženy některé požadavky reportingové vyhlášky. Na tuto oblast by se měly orgány vykonávající správu v oblasti hazardních her </w:t>
      </w:r>
      <w:r w:rsidR="00B152A9">
        <w:t>nadále i </w:t>
      </w:r>
      <w:r>
        <w:t>v budoucnu zaměř</w:t>
      </w:r>
      <w:r w:rsidR="000C198C">
        <w:t>ova</w:t>
      </w:r>
      <w:r>
        <w:t xml:space="preserve">t. Tato aktivita by </w:t>
      </w:r>
      <w:r w:rsidR="000C198C">
        <w:t xml:space="preserve">měla </w:t>
      </w:r>
      <w:r>
        <w:t>velmi významným způsobem zvýšit využitelnost Analytického modulu AISG.</w:t>
      </w:r>
    </w:p>
    <w:p w14:paraId="4A720D14" w14:textId="20A7A25B" w:rsidR="002E13BB" w:rsidRDefault="002E13BB" w:rsidP="00651FFD">
      <w:r w:rsidRPr="00B822E2">
        <w:t xml:space="preserve">Lze tedy shrnout, že </w:t>
      </w:r>
      <w:r w:rsidRPr="006B4A8D">
        <w:rPr>
          <w:b/>
        </w:rPr>
        <w:t>podrobné vedení výkaznictví plní cíl poskytovat dostatečné podklady pro kontrolní činnost</w:t>
      </w:r>
      <w:r w:rsidRPr="00B822E2">
        <w:t xml:space="preserve"> jak orgánů správ</w:t>
      </w:r>
      <w:r>
        <w:t>ního dozoru v řadě oblastí, tak </w:t>
      </w:r>
      <w:r w:rsidRPr="00B822E2">
        <w:t>správců daně.</w:t>
      </w:r>
      <w:r>
        <w:t xml:space="preserve"> </w:t>
      </w:r>
      <w:r w:rsidRPr="00E02EAD">
        <w:t>V této souvislosti je třeba do</w:t>
      </w:r>
      <w:r w:rsidR="0081036E">
        <w:t>plnit, že poskytování herních a </w:t>
      </w:r>
      <w:r w:rsidRPr="00E02EAD">
        <w:t>finančních dat lze považovat za základní prostředek kontroly dodržování podmínek plynoucích ze zákona o hazardních hrách a </w:t>
      </w:r>
      <w:r>
        <w:t>základního povolení a </w:t>
      </w:r>
      <w:r w:rsidRPr="00E02EAD">
        <w:t>dále pak se</w:t>
      </w:r>
      <w:r w:rsidR="00B152A9">
        <w:t>kundární zdroj dat pro činnost F</w:t>
      </w:r>
      <w:r w:rsidRPr="00E02EAD">
        <w:t xml:space="preserve">inanční správy, bez kterého je však </w:t>
      </w:r>
      <w:r>
        <w:t xml:space="preserve">kontrola správného vyčíslení daně ze strany daňového subjektu </w:t>
      </w:r>
      <w:r w:rsidRPr="00E02EAD">
        <w:t>takřka nepředstavitelná.</w:t>
      </w:r>
      <w:r>
        <w:t xml:space="preserve"> </w:t>
      </w:r>
      <w:r w:rsidRPr="002E09CF">
        <w:rPr>
          <w:szCs w:val="24"/>
        </w:rPr>
        <w:t>Současně jde o opatření, které je obvyklé v zahraničí, a to</w:t>
      </w:r>
      <w:r>
        <w:rPr>
          <w:szCs w:val="24"/>
        </w:rPr>
        <w:t> </w:t>
      </w:r>
      <w:r w:rsidR="0084748E">
        <w:rPr>
          <w:szCs w:val="24"/>
        </w:rPr>
        <w:t>ze stejných důvodů, což </w:t>
      </w:r>
      <w:r w:rsidRPr="002E09CF">
        <w:rPr>
          <w:szCs w:val="24"/>
        </w:rPr>
        <w:t xml:space="preserve">vyplývá i ze standardizačního požadavku ke sjednocení výkaznictví v oblasti </w:t>
      </w:r>
      <w:r w:rsidR="0084748E">
        <w:rPr>
          <w:szCs w:val="24"/>
        </w:rPr>
        <w:t>on</w:t>
      </w:r>
      <w:r w:rsidR="0084748E">
        <w:rPr>
          <w:szCs w:val="24"/>
        </w:rPr>
        <w:noBreakHyphen/>
      </w:r>
      <w:r w:rsidR="002A3EE5">
        <w:rPr>
          <w:szCs w:val="24"/>
        </w:rPr>
        <w:t>line</w:t>
      </w:r>
      <w:r w:rsidRPr="002E09CF">
        <w:rPr>
          <w:szCs w:val="24"/>
        </w:rPr>
        <w:t xml:space="preserve"> hazardních her vydaného Evropskou komisí dne 4. dubna 2018 (dokument C(2018) 1815 final).</w:t>
      </w:r>
    </w:p>
    <w:p w14:paraId="721978D4" w14:textId="35B2B9C7" w:rsidR="002E13BB" w:rsidRDefault="002E13BB" w:rsidP="00651FFD">
      <w:r>
        <w:t xml:space="preserve">Dne 15. 9. 2020 byl zahájen veřejný pilotní </w:t>
      </w:r>
      <w:r w:rsidRPr="006B4A8D">
        <w:rPr>
          <w:b/>
        </w:rPr>
        <w:t>prov</w:t>
      </w:r>
      <w:r w:rsidR="00B152A9" w:rsidRPr="006B4A8D">
        <w:rPr>
          <w:b/>
        </w:rPr>
        <w:t>oz Rejstříku vyloučených osob</w:t>
      </w:r>
      <w:r w:rsidR="00B152A9">
        <w:t xml:space="preserve"> a </w:t>
      </w:r>
      <w:r>
        <w:t>současně s ním též spuštěno datové rozhraní informačního systému provozování hazardních her pro výměnu informací a dat s informačními systémy provozovatelů hazardní her zajišťující zejména dálkovým způsobem ověření totožnosti a věku osob žádajících o registraci a ověření, zda konkrét</w:t>
      </w:r>
      <w:r w:rsidR="0081036E">
        <w:t>ní osoba je nebo není zapsána v </w:t>
      </w:r>
      <w:r>
        <w:t>Rejstříku vyloučených osob. V rámci zajištění plynulého provozu využívá Dozorová část AISG údaje z dalších informačních systémů veřejné správy jako jsou základní registr</w:t>
      </w:r>
      <w:r w:rsidR="007E3008">
        <w:t xml:space="preserve">y vedené Ministerstvem vnitra, </w:t>
      </w:r>
      <w:r w:rsidR="00A819C3">
        <w:t>r</w:t>
      </w:r>
      <w:r>
        <w:t xml:space="preserve">ejstřík vedený Ministerstvem práce </w:t>
      </w:r>
      <w:r>
        <w:lastRenderedPageBreak/>
        <w:t>a sociálních věcí (OKNouze), insolvenční rejstřík vede</w:t>
      </w:r>
      <w:r w:rsidR="00BD153C">
        <w:t>ný Ministerstvem spravedlnosti.</w:t>
      </w:r>
    </w:p>
    <w:p w14:paraId="0B6A5C4E" w14:textId="177ED90C" w:rsidR="002E13BB" w:rsidRDefault="002E13BB" w:rsidP="00651FFD">
      <w:r>
        <w:t xml:space="preserve">Obdobně jako v případě plnění povinností podle reportingové vyhlášky, i v případě příprav na plnění povinností provozovatelů hazardních her poskytlo nadstandardní součinnost spočívající </w:t>
      </w:r>
      <w:r w:rsidR="00757025">
        <w:t xml:space="preserve">v </w:t>
      </w:r>
      <w:r>
        <w:t>možnosti využít neprodukčního prostředí informačního systému provozov</w:t>
      </w:r>
      <w:r w:rsidR="00442045">
        <w:t>ání hazardních her týkajících se R</w:t>
      </w:r>
      <w:r>
        <w:t xml:space="preserve">ejstříku </w:t>
      </w:r>
      <w:r w:rsidR="000F45C1">
        <w:t>vyloučených osob</w:t>
      </w:r>
      <w:r>
        <w:t xml:space="preserve"> a ověření totožnosti a věku osoby (</w:t>
      </w:r>
      <w:hyperlink r:id="rId48" w:history="1">
        <w:r w:rsidRPr="005E423C">
          <w:t>Playground RVO</w:t>
        </w:r>
      </w:hyperlink>
      <w:r>
        <w:t>). Důležité informace jim byly poskytnuty formou metodických informací a často kladených dotazů. Pro technickou a metodickou podpo</w:t>
      </w:r>
      <w:r w:rsidR="00B152A9">
        <w:t>ru provozovatelů hazardních her</w:t>
      </w:r>
      <w:r>
        <w:t xml:space="preserve"> je rovněž v provozu Service Desk Ministerstva financí.</w:t>
      </w:r>
      <w:r>
        <w:rPr>
          <w:rStyle w:val="Znakapoznpodarou"/>
        </w:rPr>
        <w:footnoteReference w:id="24"/>
      </w:r>
    </w:p>
    <w:p w14:paraId="0A63C58D" w14:textId="78595249" w:rsidR="002E13BB" w:rsidRDefault="002E13BB" w:rsidP="00651FFD">
      <w:r>
        <w:t xml:space="preserve">Dozorová část AISG, resp. služba ověření podle § 16c odst. 2 zákona o hazardních hrách je </w:t>
      </w:r>
      <w:r w:rsidRPr="00783F8D">
        <w:t xml:space="preserve">koncipována tak, že se jedná </w:t>
      </w:r>
      <w:r w:rsidRPr="006B4A8D">
        <w:rPr>
          <w:b/>
        </w:rPr>
        <w:t>o nepřetržitý provoz v bezodstávkovém režimu</w:t>
      </w:r>
      <w:r w:rsidRPr="00783F8D">
        <w:t xml:space="preserve"> 24/7, v rámci kterého by nemělo docházet k</w:t>
      </w:r>
      <w:r w:rsidR="00F371B5">
        <w:t> </w:t>
      </w:r>
      <w:r w:rsidRPr="00783F8D">
        <w:t>výpadkům</w:t>
      </w:r>
      <w:r w:rsidR="00F371B5">
        <w:t>.</w:t>
      </w:r>
      <w:r w:rsidRPr="00783F8D">
        <w:t xml:space="preserve">, </w:t>
      </w:r>
      <w:r>
        <w:t xml:space="preserve">Služba ověření </w:t>
      </w:r>
      <w:r w:rsidRPr="00783F8D">
        <w:t>je nastaven</w:t>
      </w:r>
      <w:r>
        <w:t>a</w:t>
      </w:r>
      <w:r w:rsidRPr="00783F8D">
        <w:t xml:space="preserve"> tak, aby byla minimalizována rizika případné nedost</w:t>
      </w:r>
      <w:r w:rsidR="0084748E">
        <w:t>upnosti, a to i v návaznosti na </w:t>
      </w:r>
      <w:r w:rsidRPr="00783F8D">
        <w:t>napojení resp. případnou nedostupnost systémů třetích stran např. registru obyvatel - ROB.</w:t>
      </w:r>
      <w:r>
        <w:t xml:space="preserve"> Po zahájení ostrého provozu Ministerstvo financí neeviduje výpadky poskytovaných služeb, které by dlouhodobě a významným způsobem omezovaly fungování poskytovaných služeb</w:t>
      </w:r>
      <w:r w:rsidR="00F371B5">
        <w:t xml:space="preserve"> (byť k několika drobným výpadkům služby došlo)</w:t>
      </w:r>
      <w:r>
        <w:t xml:space="preserve">. </w:t>
      </w:r>
      <w:r w:rsidR="00093CD6">
        <w:t>V pravidelných intervalech dochází k provedení plánované odstávky Registru obyvatel, i v této době je Dozorová část AISG plně v</w:t>
      </w:r>
      <w:r w:rsidR="00FA335B">
        <w:t> </w:t>
      </w:r>
      <w:r w:rsidR="00093CD6">
        <w:t>provozu. Odstávka Registru obyvatel má dopady na malou část ověření pouze u</w:t>
      </w:r>
      <w:r w:rsidR="00611336">
        <w:t> </w:t>
      </w:r>
      <w:r w:rsidR="00093CD6">
        <w:t xml:space="preserve">některých důvodů ověření, přičemž nejčastěji využívaného důvodu, a to kontroly při přihlášení k uživatelskému kontu se tyto odstávky Registru obyvatel nedotýkají. </w:t>
      </w:r>
      <w:r w:rsidR="00B152A9">
        <w:t>Ačkoliv R</w:t>
      </w:r>
      <w:r w:rsidR="00F371B5">
        <w:t>ejstřík vyloučených osob, resp. s ním související služby běží bez zásadnějších problémů, je nutné nadále pracovat na minimalizac</w:t>
      </w:r>
      <w:r w:rsidR="00633850">
        <w:t>i</w:t>
      </w:r>
      <w:r w:rsidR="00F371B5">
        <w:t xml:space="preserve"> potenciálních výpadků. </w:t>
      </w:r>
      <w:r w:rsidR="009D7420">
        <w:t>Zásadním opatření</w:t>
      </w:r>
      <w:r w:rsidR="00314835">
        <w:t>m</w:t>
      </w:r>
      <w:r w:rsidR="009D7420">
        <w:t>, které lze</w:t>
      </w:r>
      <w:r w:rsidR="00C26C28">
        <w:t xml:space="preserve"> </w:t>
      </w:r>
      <w:r w:rsidR="00093CD6">
        <w:t>doporučit</w:t>
      </w:r>
      <w:r w:rsidR="009D7420">
        <w:t>, je</w:t>
      </w:r>
      <w:r w:rsidR="00093CD6">
        <w:t>, aby základní registry fungovaly v</w:t>
      </w:r>
      <w:r w:rsidR="00BD153C">
        <w:t> </w:t>
      </w:r>
      <w:r w:rsidR="00093CD6">
        <w:t xml:space="preserve">bezodstávkovém režimu. </w:t>
      </w:r>
      <w:r w:rsidR="00B152A9">
        <w:t>K R</w:t>
      </w:r>
      <w:r>
        <w:t xml:space="preserve">ejstříku vyloučených osob blíže </w:t>
      </w:r>
      <w:r w:rsidR="00624E21">
        <w:t>v příloze č. 3</w:t>
      </w:r>
      <w:r>
        <w:t xml:space="preserve"> – Opatření zodpovědného hraní.</w:t>
      </w:r>
    </w:p>
    <w:p w14:paraId="309E61F4" w14:textId="41BC6053" w:rsidR="002E13BB" w:rsidRDefault="002E13BB" w:rsidP="00651FFD">
      <w:pPr>
        <w:rPr>
          <w:rFonts w:cs="Arial"/>
          <w:szCs w:val="24"/>
        </w:rPr>
      </w:pPr>
      <w:r w:rsidRPr="00D951E4">
        <w:rPr>
          <w:rFonts w:cs="Arial"/>
          <w:szCs w:val="24"/>
        </w:rPr>
        <w:t xml:space="preserve">Ministerstvo financí zvolilo </w:t>
      </w:r>
      <w:r w:rsidRPr="004E5E6E">
        <w:rPr>
          <w:rFonts w:cs="Arial"/>
          <w:b/>
          <w:szCs w:val="24"/>
        </w:rPr>
        <w:t>nadstandardní opatření a mechanismy pro ochranu dat v AISG</w:t>
      </w:r>
      <w:r w:rsidRPr="00D951E4">
        <w:rPr>
          <w:rFonts w:cs="Arial"/>
          <w:szCs w:val="24"/>
        </w:rPr>
        <w:t>. Samotná technická specifikace sta</w:t>
      </w:r>
      <w:r w:rsidR="0084748E">
        <w:rPr>
          <w:rFonts w:cs="Arial"/>
          <w:szCs w:val="24"/>
        </w:rPr>
        <w:t>noví bezpečnostní požadavky pro </w:t>
      </w:r>
      <w:r w:rsidRPr="00D951E4">
        <w:rPr>
          <w:rFonts w:cs="Arial"/>
          <w:szCs w:val="24"/>
        </w:rPr>
        <w:t>šifrovaný autentizovaný</w:t>
      </w:r>
      <w:r>
        <w:rPr>
          <w:rFonts w:cs="Arial"/>
          <w:szCs w:val="24"/>
        </w:rPr>
        <w:t xml:space="preserve"> </w:t>
      </w:r>
      <w:r w:rsidRPr="00D951E4">
        <w:rPr>
          <w:rFonts w:cs="Arial"/>
          <w:szCs w:val="24"/>
        </w:rPr>
        <w:t>přenos, kdy mimo jiné vyžaduje použití kryptografických algoritmů, kryptografických klíčů</w:t>
      </w:r>
      <w:r>
        <w:rPr>
          <w:rFonts w:cs="Arial"/>
          <w:szCs w:val="24"/>
        </w:rPr>
        <w:t xml:space="preserve"> </w:t>
      </w:r>
      <w:r w:rsidRPr="00D951E4">
        <w:rPr>
          <w:rFonts w:cs="Arial"/>
          <w:szCs w:val="24"/>
        </w:rPr>
        <w:t>a certifikátů, kdy s ohledem na nastavenou míru zabezpečení přenosu se nepředpokládají</w:t>
      </w:r>
      <w:r>
        <w:rPr>
          <w:rFonts w:cs="Arial"/>
          <w:szCs w:val="24"/>
        </w:rPr>
        <w:t xml:space="preserve"> </w:t>
      </w:r>
      <w:r w:rsidR="00B94C24">
        <w:rPr>
          <w:rFonts w:cs="Arial"/>
          <w:szCs w:val="24"/>
        </w:rPr>
        <w:t>negativní dopady ve vztahu k </w:t>
      </w:r>
      <w:r w:rsidRPr="00D951E4">
        <w:rPr>
          <w:rFonts w:cs="Arial"/>
          <w:szCs w:val="24"/>
        </w:rPr>
        <w:t>poskytovaným datům, tzn.</w:t>
      </w:r>
      <w:r w:rsidR="00E722EC">
        <w:rPr>
          <w:rFonts w:cs="Arial"/>
          <w:szCs w:val="24"/>
        </w:rPr>
        <w:t> </w:t>
      </w:r>
      <w:r w:rsidRPr="00D951E4">
        <w:rPr>
          <w:rFonts w:cs="Arial"/>
          <w:szCs w:val="24"/>
        </w:rPr>
        <w:t xml:space="preserve">i </w:t>
      </w:r>
      <w:r w:rsidR="00B152A9">
        <w:rPr>
          <w:rFonts w:cs="Arial"/>
          <w:szCs w:val="24"/>
        </w:rPr>
        <w:t> </w:t>
      </w:r>
      <w:r w:rsidRPr="00D951E4">
        <w:rPr>
          <w:rFonts w:cs="Arial"/>
          <w:szCs w:val="24"/>
        </w:rPr>
        <w:t>k ochraně soukromí a osobních</w:t>
      </w:r>
      <w:r>
        <w:rPr>
          <w:rFonts w:cs="Arial"/>
          <w:szCs w:val="24"/>
        </w:rPr>
        <w:t xml:space="preserve"> </w:t>
      </w:r>
      <w:r w:rsidRPr="00D951E4">
        <w:rPr>
          <w:rFonts w:cs="Arial"/>
          <w:szCs w:val="24"/>
        </w:rPr>
        <w:t>údajů. Veškerá data jsou zpracovávána a</w:t>
      </w:r>
      <w:r w:rsidR="00E722EC">
        <w:rPr>
          <w:rFonts w:cs="Arial"/>
          <w:szCs w:val="24"/>
        </w:rPr>
        <w:t> </w:t>
      </w:r>
      <w:r w:rsidRPr="00D951E4">
        <w:rPr>
          <w:rFonts w:cs="Arial"/>
          <w:szCs w:val="24"/>
        </w:rPr>
        <w:t>chráněna moderními kontrolními, technickými</w:t>
      </w:r>
      <w:r>
        <w:rPr>
          <w:rFonts w:cs="Arial"/>
          <w:szCs w:val="24"/>
        </w:rPr>
        <w:t xml:space="preserve"> </w:t>
      </w:r>
      <w:r w:rsidRPr="00D951E4">
        <w:rPr>
          <w:rFonts w:cs="Arial"/>
          <w:szCs w:val="24"/>
        </w:rPr>
        <w:t>a</w:t>
      </w:r>
      <w:r w:rsidR="00E722EC">
        <w:rPr>
          <w:rFonts w:cs="Arial"/>
          <w:szCs w:val="24"/>
        </w:rPr>
        <w:t> </w:t>
      </w:r>
      <w:r w:rsidRPr="00D951E4">
        <w:rPr>
          <w:rFonts w:cs="Arial"/>
          <w:szCs w:val="24"/>
        </w:rPr>
        <w:t>bezpečnostními mechanismy zajišťujícími jejich maximální možnou ochranu před</w:t>
      </w:r>
      <w:r>
        <w:rPr>
          <w:rFonts w:cs="Arial"/>
          <w:szCs w:val="24"/>
        </w:rPr>
        <w:t xml:space="preserve"> </w:t>
      </w:r>
      <w:r w:rsidRPr="00D951E4">
        <w:rPr>
          <w:rFonts w:cs="Arial"/>
          <w:szCs w:val="24"/>
        </w:rPr>
        <w:t>neoprávněným přístupem nebo přenosem, před jejich ztrátou nebo zničením, jakož i</w:t>
      </w:r>
      <w:r w:rsidR="00E722EC">
        <w:rPr>
          <w:rFonts w:cs="Arial"/>
          <w:szCs w:val="24"/>
        </w:rPr>
        <w:t> </w:t>
      </w:r>
      <w:r w:rsidRPr="00D951E4">
        <w:rPr>
          <w:rFonts w:cs="Arial"/>
          <w:szCs w:val="24"/>
        </w:rPr>
        <w:t>před</w:t>
      </w:r>
      <w:r>
        <w:rPr>
          <w:rFonts w:cs="Arial"/>
          <w:szCs w:val="24"/>
        </w:rPr>
        <w:t xml:space="preserve"> </w:t>
      </w:r>
      <w:r w:rsidRPr="00D951E4">
        <w:rPr>
          <w:rFonts w:cs="Arial"/>
          <w:szCs w:val="24"/>
        </w:rPr>
        <w:t>jiným možným zneužitím. Veškeré osoby, které s daty přicházejí do styku v</w:t>
      </w:r>
      <w:r>
        <w:rPr>
          <w:rFonts w:cs="Arial"/>
          <w:szCs w:val="24"/>
        </w:rPr>
        <w:t> </w:t>
      </w:r>
      <w:r w:rsidRPr="00D951E4">
        <w:rPr>
          <w:rFonts w:cs="Arial"/>
          <w:szCs w:val="24"/>
        </w:rPr>
        <w:t>rámci</w:t>
      </w:r>
      <w:r>
        <w:rPr>
          <w:rFonts w:cs="Arial"/>
          <w:szCs w:val="24"/>
        </w:rPr>
        <w:t xml:space="preserve"> </w:t>
      </w:r>
      <w:r w:rsidRPr="00D951E4">
        <w:rPr>
          <w:rFonts w:cs="Arial"/>
          <w:szCs w:val="24"/>
        </w:rPr>
        <w:t>plnění svých pracovních či smluvně převzatých povinností, jsou a budou vázány zákonnou</w:t>
      </w:r>
      <w:r>
        <w:rPr>
          <w:rFonts w:cs="Arial"/>
          <w:szCs w:val="24"/>
        </w:rPr>
        <w:t xml:space="preserve"> </w:t>
      </w:r>
      <w:r w:rsidRPr="00D951E4">
        <w:rPr>
          <w:rFonts w:cs="Arial"/>
          <w:szCs w:val="24"/>
        </w:rPr>
        <w:t>nebo smluvní povinností mlčenlivosti, která trvá i po skončení jejich pracovního nebo</w:t>
      </w:r>
      <w:r>
        <w:rPr>
          <w:rFonts w:cs="Arial"/>
          <w:szCs w:val="24"/>
        </w:rPr>
        <w:t xml:space="preserve"> </w:t>
      </w:r>
      <w:r w:rsidRPr="00D951E4">
        <w:rPr>
          <w:rFonts w:cs="Arial"/>
          <w:szCs w:val="24"/>
        </w:rPr>
        <w:t>smluvního vztahu. AISG je navržen, impleme</w:t>
      </w:r>
      <w:r w:rsidR="00B94C24">
        <w:rPr>
          <w:rFonts w:cs="Arial"/>
          <w:szCs w:val="24"/>
        </w:rPr>
        <w:t>ntován a provozován v</w:t>
      </w:r>
      <w:r w:rsidR="00E722EC">
        <w:rPr>
          <w:rFonts w:cs="Arial"/>
          <w:szCs w:val="24"/>
        </w:rPr>
        <w:t> </w:t>
      </w:r>
      <w:r w:rsidR="00B94C24">
        <w:rPr>
          <w:rFonts w:cs="Arial"/>
          <w:szCs w:val="24"/>
        </w:rPr>
        <w:t>souladu s </w:t>
      </w:r>
      <w:r w:rsidRPr="00D951E4">
        <w:rPr>
          <w:rFonts w:cs="Arial"/>
          <w:szCs w:val="24"/>
        </w:rPr>
        <w:t xml:space="preserve">požadavky na významný </w:t>
      </w:r>
      <w:r>
        <w:rPr>
          <w:rFonts w:cs="Arial"/>
          <w:szCs w:val="24"/>
        </w:rPr>
        <w:t>informační systém</w:t>
      </w:r>
      <w:r w:rsidR="00AA6FE9">
        <w:rPr>
          <w:rFonts w:cs="Arial"/>
          <w:szCs w:val="24"/>
        </w:rPr>
        <w:t xml:space="preserve"> dle zákona o kybernetické bezpečnosti</w:t>
      </w:r>
      <w:r w:rsidRPr="00D951E4">
        <w:rPr>
          <w:rFonts w:cs="Arial"/>
          <w:szCs w:val="24"/>
        </w:rPr>
        <w:t>, ve znění po</w:t>
      </w:r>
      <w:r>
        <w:rPr>
          <w:rFonts w:cs="Arial"/>
          <w:szCs w:val="24"/>
        </w:rPr>
        <w:t>zdějších předpisů</w:t>
      </w:r>
      <w:r w:rsidR="00F74683">
        <w:rPr>
          <w:rFonts w:cs="Arial"/>
          <w:szCs w:val="24"/>
        </w:rPr>
        <w:t>,</w:t>
      </w:r>
      <w:r>
        <w:rPr>
          <w:rFonts w:cs="Arial"/>
          <w:szCs w:val="24"/>
        </w:rPr>
        <w:t xml:space="preserve"> a</w:t>
      </w:r>
      <w:r w:rsidR="00E722EC">
        <w:rPr>
          <w:rFonts w:cs="Arial"/>
          <w:szCs w:val="24"/>
        </w:rPr>
        <w:t> </w:t>
      </w:r>
      <w:r>
        <w:rPr>
          <w:rFonts w:cs="Arial"/>
          <w:szCs w:val="24"/>
        </w:rPr>
        <w:t>vyhlášky</w:t>
      </w:r>
      <w:r w:rsidR="00E722EC">
        <w:rPr>
          <w:rFonts w:cs="Arial"/>
          <w:szCs w:val="24"/>
        </w:rPr>
        <w:t> </w:t>
      </w:r>
      <w:r>
        <w:rPr>
          <w:rFonts w:cs="Arial"/>
          <w:szCs w:val="24"/>
        </w:rPr>
        <w:t>č. </w:t>
      </w:r>
      <w:r w:rsidRPr="00D951E4">
        <w:rPr>
          <w:rFonts w:cs="Arial"/>
          <w:szCs w:val="24"/>
        </w:rPr>
        <w:t>82/2018</w:t>
      </w:r>
      <w:r w:rsidR="00E722EC">
        <w:rPr>
          <w:rFonts w:cs="Arial"/>
          <w:szCs w:val="24"/>
        </w:rPr>
        <w:t> </w:t>
      </w:r>
      <w:r w:rsidR="00F74683">
        <w:rPr>
          <w:rFonts w:cs="Arial"/>
          <w:szCs w:val="24"/>
        </w:rPr>
        <w:t>Sb., o </w:t>
      </w:r>
      <w:r w:rsidRPr="00D951E4">
        <w:rPr>
          <w:rFonts w:cs="Arial"/>
          <w:szCs w:val="24"/>
        </w:rPr>
        <w:t>bezpečnostních opatřeních, kybernetických bezpečnostních incidentech, reaktivních opatřeních, náležitostech podání v obl</w:t>
      </w:r>
      <w:r w:rsidR="00B94C24">
        <w:rPr>
          <w:rFonts w:cs="Arial"/>
          <w:szCs w:val="24"/>
        </w:rPr>
        <w:t>asti kybernetické bezpečnosti a </w:t>
      </w:r>
      <w:r w:rsidRPr="00D951E4">
        <w:rPr>
          <w:rFonts w:cs="Arial"/>
          <w:szCs w:val="24"/>
        </w:rPr>
        <w:t>likvidaci dat (dále jen „vyhláška o</w:t>
      </w:r>
      <w:r w:rsidR="00E722EC">
        <w:rPr>
          <w:rFonts w:cs="Arial"/>
          <w:szCs w:val="24"/>
        </w:rPr>
        <w:t> </w:t>
      </w:r>
      <w:r w:rsidRPr="00D951E4">
        <w:rPr>
          <w:rFonts w:cs="Arial"/>
          <w:szCs w:val="24"/>
        </w:rPr>
        <w:t xml:space="preserve">kybernetické bezpečnosti“). Pro ochranu dat </w:t>
      </w:r>
      <w:r>
        <w:rPr>
          <w:rFonts w:cs="Arial"/>
          <w:szCs w:val="24"/>
        </w:rPr>
        <w:t>jsou</w:t>
      </w:r>
      <w:r w:rsidRPr="00D951E4">
        <w:rPr>
          <w:rFonts w:cs="Arial"/>
          <w:szCs w:val="24"/>
        </w:rPr>
        <w:t xml:space="preserve"> </w:t>
      </w:r>
      <w:r w:rsidRPr="00D951E4">
        <w:rPr>
          <w:rFonts w:cs="Arial"/>
          <w:szCs w:val="24"/>
        </w:rPr>
        <w:lastRenderedPageBreak/>
        <w:t xml:space="preserve">využity bezpečnostní </w:t>
      </w:r>
      <w:r>
        <w:rPr>
          <w:rFonts w:cs="Arial"/>
          <w:szCs w:val="24"/>
        </w:rPr>
        <w:t>mechanismy v</w:t>
      </w:r>
      <w:r w:rsidR="00E722EC">
        <w:rPr>
          <w:rFonts w:cs="Arial"/>
          <w:szCs w:val="24"/>
        </w:rPr>
        <w:t> </w:t>
      </w:r>
      <w:r>
        <w:rPr>
          <w:rFonts w:cs="Arial"/>
          <w:szCs w:val="24"/>
        </w:rPr>
        <w:t>souladu s </w:t>
      </w:r>
      <w:r w:rsidRPr="00D951E4">
        <w:rPr>
          <w:rFonts w:cs="Arial"/>
          <w:szCs w:val="24"/>
        </w:rPr>
        <w:t>požadavky vyhlášky o kybernetické bezpečnosti a nejl</w:t>
      </w:r>
      <w:r w:rsidR="0084748E">
        <w:rPr>
          <w:rFonts w:cs="Arial"/>
          <w:szCs w:val="24"/>
        </w:rPr>
        <w:t>epší aktuální praxí - půjde mj. </w:t>
      </w:r>
      <w:r w:rsidRPr="00D951E4">
        <w:rPr>
          <w:rFonts w:cs="Arial"/>
          <w:szCs w:val="24"/>
        </w:rPr>
        <w:t>o oboustrannou autentizaci na rozhraní m</w:t>
      </w:r>
      <w:r w:rsidR="0084748E">
        <w:rPr>
          <w:rFonts w:cs="Arial"/>
          <w:szCs w:val="24"/>
        </w:rPr>
        <w:t>ezi provozovatelem a správcem s </w:t>
      </w:r>
      <w:r w:rsidRPr="00D951E4">
        <w:rPr>
          <w:rFonts w:cs="Arial"/>
          <w:szCs w:val="24"/>
        </w:rPr>
        <w:t>využitím PKI (certifikáty veřejných klíčů), šifrování dat při pře</w:t>
      </w:r>
      <w:r>
        <w:rPr>
          <w:rFonts w:cs="Arial"/>
          <w:szCs w:val="24"/>
        </w:rPr>
        <w:t>nosu, autentizaci, autorizaci a </w:t>
      </w:r>
      <w:r w:rsidR="00B94C24">
        <w:rPr>
          <w:rFonts w:cs="Arial"/>
          <w:szCs w:val="24"/>
        </w:rPr>
        <w:t>auditu přístupu uživatelů i </w:t>
      </w:r>
      <w:r w:rsidRPr="00D951E4">
        <w:rPr>
          <w:rFonts w:cs="Arial"/>
          <w:szCs w:val="24"/>
        </w:rPr>
        <w:t>administrátorů k datům - bezpečnostní dohled. Případná rizika zneužití jsou dále minimalizována ochranou osobních údajů spočívající ve využití pseudonymizovaného jedinečného identifikátoru osoby (</w:t>
      </w:r>
      <w:r w:rsidR="0084748E">
        <w:rPr>
          <w:rFonts w:cs="Arial"/>
          <w:szCs w:val="24"/>
        </w:rPr>
        <w:t>dále </w:t>
      </w:r>
      <w:r w:rsidR="00E722EC">
        <w:rPr>
          <w:rFonts w:cs="Arial"/>
          <w:szCs w:val="24"/>
        </w:rPr>
        <w:t>jen „</w:t>
      </w:r>
      <w:r w:rsidRPr="00D951E4">
        <w:rPr>
          <w:rFonts w:cs="Arial"/>
          <w:szCs w:val="24"/>
        </w:rPr>
        <w:t>HID</w:t>
      </w:r>
      <w:r w:rsidR="00E722EC">
        <w:rPr>
          <w:rFonts w:cs="Arial"/>
          <w:szCs w:val="24"/>
        </w:rPr>
        <w:t>“</w:t>
      </w:r>
      <w:r w:rsidRPr="00D951E4">
        <w:rPr>
          <w:rFonts w:cs="Arial"/>
          <w:szCs w:val="24"/>
        </w:rPr>
        <w:t>) pro sekundární ověřování osob provozovateli.</w:t>
      </w:r>
    </w:p>
    <w:p w14:paraId="47209C2A" w14:textId="442A82B0" w:rsidR="002E13BB" w:rsidRPr="00D951E4" w:rsidRDefault="002E13BB" w:rsidP="00651FFD">
      <w:pPr>
        <w:rPr>
          <w:rFonts w:cs="Arial"/>
          <w:szCs w:val="24"/>
        </w:rPr>
      </w:pPr>
      <w:r>
        <w:rPr>
          <w:rFonts w:cs="Arial"/>
          <w:szCs w:val="24"/>
        </w:rPr>
        <w:t>Na novou právní úpravu bylo nutné reagovat také v rámci IS SDSL, který slouží především k evidenci, monitoringu a sdílení dalších výše neuvedených informací v oblasti regulace hazardních her napříč orgány vykonávajícími státní správu v oblasti hazardních her. Jedná se t</w:t>
      </w:r>
      <w:r w:rsidR="00707BE0">
        <w:rPr>
          <w:rFonts w:cs="Arial"/>
          <w:szCs w:val="24"/>
        </w:rPr>
        <w:t xml:space="preserve"> </w:t>
      </w:r>
      <w:r>
        <w:rPr>
          <w:rFonts w:cs="Arial"/>
          <w:szCs w:val="24"/>
        </w:rPr>
        <w:t>zejména o údaje o vydaných základních povolení, povoleních k umístění herního prostoru, úd</w:t>
      </w:r>
      <w:r w:rsidR="0084748E">
        <w:rPr>
          <w:rFonts w:cs="Arial"/>
          <w:szCs w:val="24"/>
        </w:rPr>
        <w:t>aje o provedených kontrolách či </w:t>
      </w:r>
      <w:r>
        <w:rPr>
          <w:rFonts w:cs="Arial"/>
          <w:szCs w:val="24"/>
        </w:rPr>
        <w:t xml:space="preserve">správních řízení o přestupku. V tomto kontextu je </w:t>
      </w:r>
      <w:r w:rsidR="0084748E">
        <w:rPr>
          <w:rFonts w:cs="Arial"/>
          <w:szCs w:val="24"/>
        </w:rPr>
        <w:t>třeba podotknout, že </w:t>
      </w:r>
      <w:r>
        <w:rPr>
          <w:rFonts w:cs="Arial"/>
          <w:szCs w:val="24"/>
        </w:rPr>
        <w:t xml:space="preserve">stávající nastavení neposkytuje podporu orgánům vykonávajícím státní správu </w:t>
      </w:r>
      <w:r w:rsidR="009D7420">
        <w:rPr>
          <w:rFonts w:cs="Arial"/>
          <w:szCs w:val="24"/>
        </w:rPr>
        <w:t>v</w:t>
      </w:r>
      <w:r w:rsidR="005E0822">
        <w:rPr>
          <w:rFonts w:cs="Arial"/>
          <w:szCs w:val="24"/>
        </w:rPr>
        <w:t> dostatečném a </w:t>
      </w:r>
      <w:r>
        <w:rPr>
          <w:rFonts w:cs="Arial"/>
          <w:szCs w:val="24"/>
        </w:rPr>
        <w:t>odpovídajícím rozsahu. V některých ohledech pro ně může být práce s IS SDSL limitující a nést s sebou zvýšenou administrativní zátěž spočívající například v nutnosti dodatečné komunikace mezi Minister</w:t>
      </w:r>
      <w:r w:rsidR="00B94C24">
        <w:rPr>
          <w:rFonts w:cs="Arial"/>
          <w:szCs w:val="24"/>
        </w:rPr>
        <w:t>stvem financí, obecními úřady a </w:t>
      </w:r>
      <w:r>
        <w:rPr>
          <w:rFonts w:cs="Arial"/>
          <w:szCs w:val="24"/>
        </w:rPr>
        <w:t xml:space="preserve">celními úřady, kterou by bylo </w:t>
      </w:r>
      <w:r w:rsidR="009D7420">
        <w:rPr>
          <w:rFonts w:cs="Arial"/>
          <w:szCs w:val="24"/>
        </w:rPr>
        <w:t xml:space="preserve">vhodné </w:t>
      </w:r>
      <w:r>
        <w:rPr>
          <w:rFonts w:cs="Arial"/>
          <w:szCs w:val="24"/>
        </w:rPr>
        <w:t xml:space="preserve">odstranit </w:t>
      </w:r>
      <w:r w:rsidR="009D7420">
        <w:rPr>
          <w:rFonts w:cs="Arial"/>
          <w:szCs w:val="24"/>
        </w:rPr>
        <w:t>lepším</w:t>
      </w:r>
      <w:r>
        <w:rPr>
          <w:rFonts w:cs="Arial"/>
          <w:szCs w:val="24"/>
        </w:rPr>
        <w:t xml:space="preserve"> nastavením stávajícího informačního systému</w:t>
      </w:r>
      <w:r w:rsidR="009D7420">
        <w:rPr>
          <w:rFonts w:cs="Arial"/>
          <w:szCs w:val="24"/>
        </w:rPr>
        <w:t>, resp.</w:t>
      </w:r>
      <w:r>
        <w:rPr>
          <w:rFonts w:cs="Arial"/>
          <w:szCs w:val="24"/>
        </w:rPr>
        <w:t xml:space="preserve"> rozšířením </w:t>
      </w:r>
      <w:r w:rsidR="009D7420">
        <w:rPr>
          <w:rFonts w:cs="Arial"/>
          <w:szCs w:val="24"/>
        </w:rPr>
        <w:t xml:space="preserve">a rozvojem </w:t>
      </w:r>
      <w:r>
        <w:rPr>
          <w:rFonts w:cs="Arial"/>
          <w:szCs w:val="24"/>
        </w:rPr>
        <w:t xml:space="preserve">AISG. </w:t>
      </w:r>
    </w:p>
    <w:p w14:paraId="049705FD" w14:textId="1BEA169E" w:rsidR="002E13BB" w:rsidRDefault="002E13BB" w:rsidP="00651FFD">
      <w:pPr>
        <w:rPr>
          <w:rFonts w:cs="Arial"/>
          <w:szCs w:val="24"/>
        </w:rPr>
      </w:pPr>
      <w:r w:rsidRPr="00197315">
        <w:rPr>
          <w:rFonts w:cs="Arial"/>
          <w:szCs w:val="24"/>
        </w:rPr>
        <w:t>Souběžným záměrem Ministerstva financí v rámci rekodifikace oblasti hazardních her bylo i vybudování informačního systému provozování hazardních her spravujícího veškerá data a údaje v oblasti hazardních her.</w:t>
      </w:r>
      <w:r>
        <w:rPr>
          <w:rFonts w:cs="Arial"/>
          <w:szCs w:val="24"/>
        </w:rPr>
        <w:t xml:space="preserve"> Lze konstatovat, že se</w:t>
      </w:r>
      <w:r w:rsidRPr="00F56EED">
        <w:rPr>
          <w:rFonts w:cs="Arial"/>
          <w:szCs w:val="24"/>
        </w:rPr>
        <w:t xml:space="preserve"> do velké míry </w:t>
      </w:r>
      <w:r>
        <w:rPr>
          <w:rFonts w:cs="Arial"/>
          <w:szCs w:val="24"/>
        </w:rPr>
        <w:t xml:space="preserve">podařilo tento cíl naplnit. V současnosti </w:t>
      </w:r>
      <w:r w:rsidRPr="00DC3F22">
        <w:rPr>
          <w:rFonts w:cs="Arial"/>
          <w:b/>
          <w:szCs w:val="24"/>
        </w:rPr>
        <w:t>jsou herní a finanční data poskytována jednotným a standardizovaným způsobem</w:t>
      </w:r>
      <w:r>
        <w:rPr>
          <w:rFonts w:cs="Arial"/>
          <w:szCs w:val="24"/>
        </w:rPr>
        <w:t xml:space="preserve">. Současně </w:t>
      </w:r>
      <w:r w:rsidRPr="00DC3F22">
        <w:rPr>
          <w:rFonts w:cs="Arial"/>
          <w:b/>
          <w:szCs w:val="24"/>
        </w:rPr>
        <w:t>Ministerstvo financí poskytuje provozovatelům hazardních her veškeré služby umožňující dálkový přístup, jejich existenci zákon o hazardních hrách předvídá</w:t>
      </w:r>
      <w:r>
        <w:rPr>
          <w:rFonts w:cs="Arial"/>
          <w:szCs w:val="24"/>
        </w:rPr>
        <w:t xml:space="preserve">, což je podpořeno souběžným </w:t>
      </w:r>
      <w:r w:rsidRPr="00DC3F22">
        <w:rPr>
          <w:rFonts w:cs="Arial"/>
          <w:b/>
          <w:szCs w:val="24"/>
        </w:rPr>
        <w:t>provozem testovacích prostředí</w:t>
      </w:r>
      <w:r>
        <w:rPr>
          <w:rFonts w:cs="Arial"/>
          <w:szCs w:val="24"/>
        </w:rPr>
        <w:t xml:space="preserve"> a umožnění</w:t>
      </w:r>
      <w:r w:rsidR="00E722EC">
        <w:rPr>
          <w:rFonts w:cs="Arial"/>
          <w:szCs w:val="24"/>
        </w:rPr>
        <w:t>m</w:t>
      </w:r>
      <w:r>
        <w:rPr>
          <w:rFonts w:cs="Arial"/>
          <w:szCs w:val="24"/>
        </w:rPr>
        <w:t xml:space="preserve"> operativní komunikace prostřednictvím </w:t>
      </w:r>
      <w:r w:rsidRPr="00DC3F22">
        <w:rPr>
          <w:rFonts w:cs="Arial"/>
          <w:b/>
          <w:szCs w:val="24"/>
        </w:rPr>
        <w:t>Service Desku</w:t>
      </w:r>
      <w:r>
        <w:rPr>
          <w:rFonts w:cs="Arial"/>
          <w:szCs w:val="24"/>
        </w:rPr>
        <w:t xml:space="preserve"> Ministerstva financí.</w:t>
      </w:r>
      <w:r w:rsidR="00487953">
        <w:rPr>
          <w:rFonts w:cs="Arial"/>
          <w:szCs w:val="24"/>
        </w:rPr>
        <w:t xml:space="preserve"> Současně je zajištěno poskytování informací napříč orgány státní správy vykonávajícími působnost podle zákona o hazardních hrá</w:t>
      </w:r>
      <w:r w:rsidR="00B152A9">
        <w:rPr>
          <w:rFonts w:cs="Arial"/>
          <w:szCs w:val="24"/>
        </w:rPr>
        <w:t xml:space="preserve">ch, ať už se jedná o </w:t>
      </w:r>
      <w:r w:rsidR="007253D5">
        <w:rPr>
          <w:rFonts w:cs="Arial"/>
          <w:szCs w:val="24"/>
        </w:rPr>
        <w:t>o</w:t>
      </w:r>
      <w:r w:rsidR="00B152A9">
        <w:rPr>
          <w:rFonts w:cs="Arial"/>
          <w:szCs w:val="24"/>
        </w:rPr>
        <w:t xml:space="preserve">rgány </w:t>
      </w:r>
      <w:r w:rsidR="007253D5">
        <w:rPr>
          <w:rFonts w:cs="Arial"/>
          <w:szCs w:val="24"/>
        </w:rPr>
        <w:t>C</w:t>
      </w:r>
      <w:r w:rsidR="00487953">
        <w:rPr>
          <w:rFonts w:cs="Arial"/>
          <w:szCs w:val="24"/>
        </w:rPr>
        <w:t>elní správy, Specializovaný finanční úřad či obecní úřady.</w:t>
      </w:r>
    </w:p>
    <w:p w14:paraId="28F024BA" w14:textId="7E726CE2" w:rsidR="000C198C" w:rsidRPr="00651FFD" w:rsidRDefault="000C198C" w:rsidP="00651FFD">
      <w:pPr>
        <w:rPr>
          <w:b/>
        </w:rPr>
      </w:pPr>
      <w:r w:rsidRPr="00651FFD">
        <w:rPr>
          <w:b/>
        </w:rPr>
        <w:t>Vybudování informačního systému AISG, sběr dat a práce s nimi byl</w:t>
      </w:r>
      <w:r w:rsidR="00E722EC">
        <w:rPr>
          <w:b/>
        </w:rPr>
        <w:t>y</w:t>
      </w:r>
      <w:r w:rsidRPr="00651FFD">
        <w:rPr>
          <w:b/>
        </w:rPr>
        <w:t xml:space="preserve"> z hlediska časového posledními střípky do mozaiky nové komplexní regulace hazardn</w:t>
      </w:r>
      <w:r w:rsidR="00B152A9" w:rsidRPr="00651FFD">
        <w:rPr>
          <w:b/>
        </w:rPr>
        <w:t>ích her. Kromě vlivu samotného R</w:t>
      </w:r>
      <w:r w:rsidRPr="00651FFD">
        <w:rPr>
          <w:b/>
        </w:rPr>
        <w:t xml:space="preserve">ejstříku vyloučených osob je zásadním benefitem zvýšení efektivity práce </w:t>
      </w:r>
      <w:r w:rsidR="00C67C0B">
        <w:rPr>
          <w:b/>
        </w:rPr>
        <w:t>dozorující</w:t>
      </w:r>
      <w:r w:rsidRPr="00651FFD">
        <w:rPr>
          <w:b/>
        </w:rPr>
        <w:t xml:space="preserve">ch orgánů a správce daně, zejména s ohledem na dostupnost a kvalitu finančních a herních dat. Tato data nejsou využívána jen pro kontrolní činnost. Na jejich základě jsou tvořeny různé analýzy, které významně napomáhají k zabezpečení dostatečného přehledu </w:t>
      </w:r>
      <w:r w:rsidR="00B94C24" w:rsidRPr="00651FFD">
        <w:rPr>
          <w:b/>
        </w:rPr>
        <w:t>o </w:t>
      </w:r>
      <w:r w:rsidRPr="00651FFD">
        <w:rPr>
          <w:b/>
        </w:rPr>
        <w:t xml:space="preserve">dění na trhu hazardních her, jeho průběžnému monitoringu a vyhodnocování nastavené regulace. </w:t>
      </w:r>
    </w:p>
    <w:p w14:paraId="604DEFAA" w14:textId="3045EA73" w:rsidR="000C198C" w:rsidRPr="00651FFD" w:rsidRDefault="000C198C" w:rsidP="00651FFD">
      <w:pPr>
        <w:rPr>
          <w:rFonts w:cs="Arial"/>
          <w:b/>
          <w:szCs w:val="24"/>
        </w:rPr>
      </w:pPr>
      <w:r w:rsidRPr="00651FFD">
        <w:rPr>
          <w:b/>
        </w:rPr>
        <w:t xml:space="preserve">V tomto ohledu lze změnu </w:t>
      </w:r>
      <w:r w:rsidR="00E722EC">
        <w:rPr>
          <w:b/>
        </w:rPr>
        <w:t>v porovnání s</w:t>
      </w:r>
      <w:r w:rsidR="00E722EC" w:rsidRPr="00651FFD">
        <w:rPr>
          <w:b/>
        </w:rPr>
        <w:t xml:space="preserve"> </w:t>
      </w:r>
      <w:r w:rsidRPr="00651FFD">
        <w:rPr>
          <w:b/>
        </w:rPr>
        <w:t>předchozí regulac</w:t>
      </w:r>
      <w:r w:rsidR="00E722EC">
        <w:rPr>
          <w:b/>
        </w:rPr>
        <w:t>í</w:t>
      </w:r>
      <w:r w:rsidRPr="00651FFD">
        <w:rPr>
          <w:b/>
        </w:rPr>
        <w:t xml:space="preserve"> označit za významný kvalitativní posun.  </w:t>
      </w:r>
    </w:p>
    <w:p w14:paraId="2693B9C5" w14:textId="08490B94" w:rsidR="00B658DF" w:rsidRDefault="00093CD6" w:rsidP="00755B08">
      <w:pPr>
        <w:pStyle w:val="Nadpis4"/>
      </w:pPr>
      <w:bookmarkStart w:id="124" w:name="_Toc72999573"/>
      <w:r>
        <w:t>Efektivní zdanění hazardních her</w:t>
      </w:r>
      <w:bookmarkEnd w:id="124"/>
    </w:p>
    <w:p w14:paraId="3315A985" w14:textId="06C810DE" w:rsidR="00B658DF" w:rsidRDefault="00B658DF" w:rsidP="00651FFD">
      <w:r>
        <w:t>Hlavním</w:t>
      </w:r>
      <w:r w:rsidRPr="00B92A13">
        <w:t xml:space="preserve"> cíle</w:t>
      </w:r>
      <w:r>
        <w:t>m</w:t>
      </w:r>
      <w:r w:rsidRPr="00B92A13">
        <w:t xml:space="preserve"> nové právní úpravy</w:t>
      </w:r>
      <w:r>
        <w:t xml:space="preserve"> upravující zdanění hazardních her bylo </w:t>
      </w:r>
      <w:r w:rsidRPr="00B92A13">
        <w:t>zajištění opatření k předcházení a potírání sociálně</w:t>
      </w:r>
      <w:r>
        <w:t xml:space="preserve"> patologických jevů spojených </w:t>
      </w:r>
      <w:r>
        <w:lastRenderedPageBreak/>
        <w:t>s </w:t>
      </w:r>
      <w:r w:rsidRPr="00B92A13">
        <w:t xml:space="preserve">provozováním hazardních her a ochrana </w:t>
      </w:r>
      <w:r w:rsidR="009F71E7">
        <w:t>účastníků hazardních her</w:t>
      </w:r>
      <w:r w:rsidRPr="00B92A13">
        <w:t xml:space="preserve">. </w:t>
      </w:r>
      <w:r>
        <w:t xml:space="preserve">Dalším </w:t>
      </w:r>
      <w:r w:rsidR="00975D49">
        <w:t xml:space="preserve">byť sekundárním </w:t>
      </w:r>
      <w:r>
        <w:t xml:space="preserve">sledovaným cílem bylo </w:t>
      </w:r>
      <w:r w:rsidRPr="00B92A13">
        <w:t>zvýšení daňových výnosů</w:t>
      </w:r>
      <w:r>
        <w:t xml:space="preserve"> z provozování hazardních her</w:t>
      </w:r>
      <w:r w:rsidRPr="00B92A13">
        <w:t>.</w:t>
      </w:r>
    </w:p>
    <w:p w14:paraId="61151A1F" w14:textId="4122219B" w:rsidR="00B658DF" w:rsidRDefault="00B658DF" w:rsidP="00651FFD">
      <w:r>
        <w:t xml:space="preserve">V období přípravy zákona o dani z hazardních her bylo </w:t>
      </w:r>
      <w:r w:rsidR="00B94C24">
        <w:t>zavedením daně z </w:t>
      </w:r>
      <w:r w:rsidRPr="00B92A13">
        <w:t xml:space="preserve">hazardních her </w:t>
      </w:r>
      <w:r>
        <w:t>předpokládáno z</w:t>
      </w:r>
      <w:r w:rsidRPr="00B92A13">
        <w:t xml:space="preserve">výšení příjmů státního rozpočtu (cca </w:t>
      </w:r>
      <w:r w:rsidR="00442045">
        <w:t>o 1,9 </w:t>
      </w:r>
      <w:r w:rsidR="0084748E">
        <w:t>až </w:t>
      </w:r>
      <w:r w:rsidR="00B94C24">
        <w:t>2,3</w:t>
      </w:r>
      <w:r w:rsidR="004C5B90">
        <w:t> </w:t>
      </w:r>
      <w:r w:rsidRPr="00B92A13">
        <w:t>mld.</w:t>
      </w:r>
      <w:r w:rsidR="004C5B90">
        <w:t> </w:t>
      </w:r>
      <w:r w:rsidRPr="00B92A13">
        <w:t>Kč)</w:t>
      </w:r>
      <w:r>
        <w:t>,</w:t>
      </w:r>
      <w:r w:rsidRPr="00B92A13">
        <w:t xml:space="preserve"> namísto zvyšování sazeb daně z příjmů právnických osob nebo sazeb daně z přidané hodnoty</w:t>
      </w:r>
      <w:r w:rsidR="004C5B90">
        <w:t>..</w:t>
      </w:r>
      <w:r>
        <w:t xml:space="preserve"> </w:t>
      </w:r>
      <w:r w:rsidR="004C5B90">
        <w:t xml:space="preserve">Primární snahou bylo </w:t>
      </w:r>
      <w:r>
        <w:t>zachovat v </w:t>
      </w:r>
      <w:r w:rsidRPr="00B92A13">
        <w:t>České republice stabilní podnikatelské prostředí s ra</w:t>
      </w:r>
      <w:r>
        <w:t>cionálním daňovým zatížením.</w:t>
      </w:r>
    </w:p>
    <w:p w14:paraId="01980A0E" w14:textId="443BC461" w:rsidR="00B658DF" w:rsidRPr="00CF22B7" w:rsidRDefault="00B658DF" w:rsidP="00651FFD">
      <w:bookmarkStart w:id="125" w:name="_Ref37929348"/>
      <w:r w:rsidRPr="00CF22B7">
        <w:rPr>
          <w:b/>
        </w:rPr>
        <w:t>Ochranná funkce</w:t>
      </w:r>
      <w:r w:rsidRPr="00CF22B7">
        <w:t xml:space="preserve"> daně vedla k původně navržen</w:t>
      </w:r>
      <w:r w:rsidR="0084748E">
        <w:t>ému rozdělení hazardních her do </w:t>
      </w:r>
      <w:r w:rsidRPr="00CF22B7">
        <w:t>jednoho ze tří pásem zdanění podle škodlivosti, a sice hry vysoce škodlivé, středně škodlivé a nízce škodlivé. Na tom v zásadě nic nezměnilo ani člen</w:t>
      </w:r>
      <w:r w:rsidR="004C5B90">
        <w:t>ěn</w:t>
      </w:r>
      <w:r w:rsidRPr="00CF22B7">
        <w:t xml:space="preserve">í hazardní hry </w:t>
      </w:r>
      <w:r w:rsidR="004C5B90">
        <w:t xml:space="preserve">novou právní úpravou </w:t>
      </w:r>
      <w:r w:rsidRPr="00CF22B7">
        <w:t xml:space="preserve">pouze do </w:t>
      </w:r>
      <w:r w:rsidR="004C5B90">
        <w:t xml:space="preserve">dvou </w:t>
      </w:r>
      <w:r w:rsidRPr="00CF22B7">
        <w:t xml:space="preserve">pásem, a sice </w:t>
      </w:r>
      <w:r w:rsidR="004C5B90">
        <w:t xml:space="preserve">na </w:t>
      </w:r>
      <w:r w:rsidRPr="00CF22B7">
        <w:t>hazardní hry vysoce škodlivé a hazardní hry méně škod</w:t>
      </w:r>
      <w:r w:rsidR="0084748E">
        <w:t>livé. Od </w:t>
      </w:r>
      <w:r w:rsidRPr="00CF22B7">
        <w:t xml:space="preserve">těchto pásem škodlivosti se pak odvíjí sazby dílčích daní pro jednotlivé hazardní hry, které vyjadřují míru škodlivosti té které hry. </w:t>
      </w:r>
      <w:r w:rsidRPr="00CF22B7">
        <w:rPr>
          <w:b/>
        </w:rPr>
        <w:t>Hazardní hry s vysokou mírou škodlivosti by měly být daněny sazbou, která odpovídá kritickému bodu Lafferovy křivky</w:t>
      </w:r>
      <w:r w:rsidRPr="00CF22B7">
        <w:t xml:space="preserve">, po kterém následuje strmý pokles </w:t>
      </w:r>
      <w:r w:rsidR="0084748E">
        <w:t>výnosu daně, tedy by mělo jít o </w:t>
      </w:r>
      <w:r w:rsidRPr="00CF22B7">
        <w:t>maximální sazbu, která ještě umožňuje provozovat danou hazardní hru, aniž by došlo k ekonomickým problémům provozovatele. Cílem zdanění hazardních her totiž není provozování hazardních her „zardousit“, ale pouze jej učinit méně atraktivním. Podle odborných názorů</w:t>
      </w:r>
      <w:r w:rsidRPr="00CF22B7">
        <w:rPr>
          <w:rStyle w:val="Znakapoznpodarou"/>
          <w:rFonts w:cs="Arial"/>
        </w:rPr>
        <w:footnoteReference w:id="25"/>
      </w:r>
      <w:r>
        <w:t xml:space="preserve"> </w:t>
      </w:r>
      <w:r w:rsidRPr="00CF22B7">
        <w:t>by zdanění sazbou daně nad kritickým bodem Lafferovy křivky nevedlo k utlumení provozování škodlivých hazardních her, a</w:t>
      </w:r>
      <w:r w:rsidR="004C5B90">
        <w:t> </w:t>
      </w:r>
      <w:r w:rsidRPr="00CF22B7">
        <w:t>tedy ke</w:t>
      </w:r>
      <w:r w:rsidR="0084748E">
        <w:t> </w:t>
      </w:r>
      <w:r w:rsidRPr="00CF22B7">
        <w:t>snížení jejich dostupnosti, ale spíše k přesunu těchto aktivit na černý trh, tedy mimo zákonný rámec právní regulace provozování hazardních her</w:t>
      </w:r>
      <w:r w:rsidR="004C5B90">
        <w:t>.</w:t>
      </w:r>
      <w:r w:rsidRPr="00CF22B7">
        <w:t xml:space="preserve"> </w:t>
      </w:r>
      <w:r w:rsidR="004C5B90">
        <w:t>Tím</w:t>
      </w:r>
      <w:r w:rsidR="004C5B90" w:rsidRPr="00CF22B7">
        <w:t xml:space="preserve"> </w:t>
      </w:r>
      <w:r w:rsidRPr="00CF22B7">
        <w:t xml:space="preserve">by došlo k celkovému snížení ochrany </w:t>
      </w:r>
      <w:r w:rsidR="009F71E7">
        <w:t xml:space="preserve">účastníků hazardních her </w:t>
      </w:r>
      <w:r w:rsidRPr="00CF22B7">
        <w:t xml:space="preserve">a společnosti před sociálně patologickými efekty hazardních her. </w:t>
      </w:r>
      <w:r w:rsidR="004C5B90">
        <w:t>M</w:t>
      </w:r>
      <w:r w:rsidRPr="00CF22B7">
        <w:rPr>
          <w:b/>
        </w:rPr>
        <w:t xml:space="preserve">éně škodlivé hry </w:t>
      </w:r>
      <w:r w:rsidR="004C5B90">
        <w:rPr>
          <w:b/>
        </w:rPr>
        <w:t xml:space="preserve">naopak </w:t>
      </w:r>
      <w:r w:rsidRPr="00CF22B7">
        <w:rPr>
          <w:b/>
        </w:rPr>
        <w:t>mohou být zdaněny nižší sazbou, než která odpovídá kritickému bodu Lafferovy křivky</w:t>
      </w:r>
      <w:r w:rsidRPr="00CF22B7">
        <w:t>, což umožní provozovateli ponechat si vyšší zisk, a tedy bude provozování této hry pro něj atraktivnější.</w:t>
      </w:r>
      <w:bookmarkEnd w:id="125"/>
      <w:r>
        <w:t xml:space="preserve"> V důsledku by tak měli na trhu hazardních her tvořit větší podíl provozovatelé méně škodlivých hazardních her.</w:t>
      </w:r>
    </w:p>
    <w:p w14:paraId="40C6790D" w14:textId="77777777" w:rsidR="00B658DF" w:rsidRDefault="00B658DF" w:rsidP="00651FFD">
      <w:r>
        <w:t xml:space="preserve">Vývoj výše daňových sazeb zdanění hazardních her v čase podle rozdělení druhu hazardní hry ukazuje následující tabulka. </w:t>
      </w:r>
    </w:p>
    <w:p w14:paraId="7A3FF1B1" w14:textId="40D58FD0" w:rsidR="00B11A9D" w:rsidRDefault="00B11A9D" w:rsidP="00B11A9D">
      <w:pPr>
        <w:pStyle w:val="Titulek"/>
        <w:keepNext/>
      </w:pPr>
      <w:bookmarkStart w:id="126" w:name="_Toc73524686"/>
      <w:r>
        <w:t xml:space="preserve">Tabulka č. </w:t>
      </w:r>
      <w:fldSimple w:instr=" SEQ Tabulka_č. \* ARABIC ">
        <w:r w:rsidR="00B0565F">
          <w:rPr>
            <w:noProof/>
          </w:rPr>
          <w:t>9</w:t>
        </w:r>
      </w:fldSimple>
      <w:r>
        <w:t xml:space="preserve">: </w:t>
      </w:r>
      <w:r w:rsidRPr="00155F01">
        <w:t>Historický přehled zdanění v oblasti hazardních her</w:t>
      </w:r>
      <w:bookmarkEnd w:id="126"/>
    </w:p>
    <w:tbl>
      <w:tblPr>
        <w:tblStyle w:val="Mkatabulky"/>
        <w:tblW w:w="5000" w:type="pct"/>
        <w:jc w:val="center"/>
        <w:tblLook w:val="04A0" w:firstRow="1" w:lastRow="0" w:firstColumn="1" w:lastColumn="0" w:noHBand="0" w:noVBand="1"/>
      </w:tblPr>
      <w:tblGrid>
        <w:gridCol w:w="1512"/>
        <w:gridCol w:w="1449"/>
        <w:gridCol w:w="1980"/>
        <w:gridCol w:w="1449"/>
        <w:gridCol w:w="1449"/>
        <w:gridCol w:w="1449"/>
      </w:tblGrid>
      <w:tr w:rsidR="00B658DF" w:rsidRPr="008B41FA" w14:paraId="58B64CFB" w14:textId="77777777" w:rsidTr="00B11A9D">
        <w:trPr>
          <w:cantSplit/>
          <w:jc w:val="center"/>
        </w:trPr>
        <w:tc>
          <w:tcPr>
            <w:tcW w:w="814" w:type="pct"/>
            <w:shd w:val="clear" w:color="auto" w:fill="E7E6E6" w:themeFill="background2"/>
            <w:vAlign w:val="center"/>
          </w:tcPr>
          <w:p w14:paraId="4D33A018"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Sazby</w:t>
            </w:r>
          </w:p>
        </w:tc>
        <w:tc>
          <w:tcPr>
            <w:tcW w:w="780" w:type="pct"/>
            <w:shd w:val="clear" w:color="auto" w:fill="E7E6E6" w:themeFill="background2"/>
            <w:vAlign w:val="center"/>
          </w:tcPr>
          <w:p w14:paraId="50918D03"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Odvod</w:t>
            </w:r>
          </w:p>
          <w:p w14:paraId="7ADB9330"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2012-2015</w:t>
            </w:r>
          </w:p>
        </w:tc>
        <w:tc>
          <w:tcPr>
            <w:tcW w:w="1065" w:type="pct"/>
            <w:shd w:val="clear" w:color="auto" w:fill="E7E6E6" w:themeFill="background2"/>
            <w:vAlign w:val="center"/>
          </w:tcPr>
          <w:p w14:paraId="54AA963E"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Odvod 2016 („vládní lex Volný“)</w:t>
            </w:r>
          </w:p>
        </w:tc>
        <w:tc>
          <w:tcPr>
            <w:tcW w:w="780" w:type="pct"/>
            <w:shd w:val="clear" w:color="auto" w:fill="E7E6E6" w:themeFill="background2"/>
            <w:vAlign w:val="center"/>
          </w:tcPr>
          <w:p w14:paraId="2F52A177"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Původně navrhované sazby DHH MF v PSP (nepřijato)</w:t>
            </w:r>
          </w:p>
        </w:tc>
        <w:tc>
          <w:tcPr>
            <w:tcW w:w="780" w:type="pct"/>
            <w:shd w:val="clear" w:color="auto" w:fill="E7E6E6" w:themeFill="background2"/>
          </w:tcPr>
          <w:p w14:paraId="10091D03"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 xml:space="preserve">Sazby DHH platné od 1. 1. 2017 do 31. 12. 2019 </w:t>
            </w:r>
          </w:p>
        </w:tc>
        <w:tc>
          <w:tcPr>
            <w:tcW w:w="780" w:type="pct"/>
            <w:shd w:val="clear" w:color="auto" w:fill="E7E6E6" w:themeFill="background2"/>
            <w:vAlign w:val="center"/>
          </w:tcPr>
          <w:p w14:paraId="48AABA35" w14:textId="77777777" w:rsidR="00B658DF" w:rsidRPr="00BD153C" w:rsidRDefault="00B658DF" w:rsidP="00BD153C">
            <w:pPr>
              <w:rPr>
                <w:rFonts w:eastAsia="Times New Roman" w:cs="Arial"/>
                <w:b/>
                <w:bCs/>
                <w:szCs w:val="24"/>
                <w:lang w:eastAsia="cs-CZ"/>
              </w:rPr>
            </w:pPr>
            <w:r w:rsidRPr="00BD153C">
              <w:rPr>
                <w:rFonts w:eastAsia="Times New Roman" w:cs="Arial"/>
                <w:b/>
                <w:bCs/>
                <w:szCs w:val="24"/>
                <w:lang w:eastAsia="cs-CZ"/>
              </w:rPr>
              <w:t>Aktuální sazby  DHH (účinnost od 1. 1. 2020)</w:t>
            </w:r>
          </w:p>
        </w:tc>
      </w:tr>
      <w:tr w:rsidR="00B658DF" w:rsidRPr="008B41FA" w14:paraId="098BFBFB" w14:textId="77777777" w:rsidTr="00B11A9D">
        <w:trPr>
          <w:cantSplit/>
          <w:trHeight w:val="418"/>
          <w:jc w:val="center"/>
        </w:trPr>
        <w:tc>
          <w:tcPr>
            <w:tcW w:w="814" w:type="pct"/>
            <w:shd w:val="clear" w:color="auto" w:fill="DBDBDB" w:themeFill="accent3" w:themeFillTint="66"/>
            <w:vAlign w:val="center"/>
          </w:tcPr>
          <w:p w14:paraId="64B42F32"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lastRenderedPageBreak/>
              <w:t>Technická hra</w:t>
            </w:r>
          </w:p>
        </w:tc>
        <w:tc>
          <w:tcPr>
            <w:tcW w:w="780" w:type="pct"/>
            <w:shd w:val="clear" w:color="auto" w:fill="F2F2F2" w:themeFill="background1" w:themeFillShade="F2"/>
            <w:vAlign w:val="center"/>
          </w:tcPr>
          <w:p w14:paraId="6F836E3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 +</w:t>
            </w:r>
            <w:r w:rsidRPr="00BD153C">
              <w:rPr>
                <w:rFonts w:eastAsia="Times New Roman" w:cs="Arial"/>
                <w:bCs/>
                <w:color w:val="000000"/>
                <w:szCs w:val="24"/>
                <w:lang w:eastAsia="cs-CZ"/>
              </w:rPr>
              <w:br/>
              <w:t>55 Kč/přístroj/den</w:t>
            </w:r>
          </w:p>
          <w:p w14:paraId="2028717A"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(efektivně cca 25 %)</w:t>
            </w:r>
          </w:p>
        </w:tc>
        <w:tc>
          <w:tcPr>
            <w:tcW w:w="1065" w:type="pct"/>
            <w:shd w:val="clear" w:color="auto" w:fill="F2F2F2" w:themeFill="background1" w:themeFillShade="F2"/>
            <w:vAlign w:val="center"/>
          </w:tcPr>
          <w:p w14:paraId="4A961708"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28 % + 80 Kč/přístroj/den</w:t>
            </w:r>
          </w:p>
          <w:p w14:paraId="7AFE7335"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(efektivně cca 35 %)</w:t>
            </w:r>
          </w:p>
        </w:tc>
        <w:tc>
          <w:tcPr>
            <w:tcW w:w="780" w:type="pct"/>
            <w:shd w:val="clear" w:color="auto" w:fill="F2F2F2" w:themeFill="background1" w:themeFillShade="F2"/>
            <w:vAlign w:val="center"/>
          </w:tcPr>
          <w:p w14:paraId="0E96A846"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35 %, min. cca 100 Kč/přístroj/den</w:t>
            </w:r>
          </w:p>
        </w:tc>
        <w:tc>
          <w:tcPr>
            <w:tcW w:w="780" w:type="pct"/>
            <w:shd w:val="clear" w:color="auto" w:fill="F2F2F2" w:themeFill="background1" w:themeFillShade="F2"/>
            <w:vAlign w:val="center"/>
          </w:tcPr>
          <w:p w14:paraId="44C24E2F"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35 %, min. cca 100 Kč/přístroj/den</w:t>
            </w:r>
          </w:p>
        </w:tc>
        <w:tc>
          <w:tcPr>
            <w:tcW w:w="780" w:type="pct"/>
            <w:shd w:val="clear" w:color="auto" w:fill="F2F2F2" w:themeFill="background1" w:themeFillShade="F2"/>
            <w:vAlign w:val="center"/>
          </w:tcPr>
          <w:p w14:paraId="6D3E493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35 %, min. cca 100 Kč/přístroj/den</w:t>
            </w:r>
          </w:p>
        </w:tc>
      </w:tr>
      <w:tr w:rsidR="00B658DF" w:rsidRPr="008B41FA" w14:paraId="7A2E48E8" w14:textId="77777777" w:rsidTr="00B11A9D">
        <w:trPr>
          <w:cantSplit/>
          <w:trHeight w:val="418"/>
          <w:jc w:val="center"/>
        </w:trPr>
        <w:tc>
          <w:tcPr>
            <w:tcW w:w="814" w:type="pct"/>
            <w:shd w:val="clear" w:color="auto" w:fill="DBDBDB" w:themeFill="accent3" w:themeFillTint="66"/>
            <w:vAlign w:val="center"/>
          </w:tcPr>
          <w:p w14:paraId="5A4E91CA"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Kursová sázka</w:t>
            </w:r>
          </w:p>
        </w:tc>
        <w:tc>
          <w:tcPr>
            <w:tcW w:w="780" w:type="pct"/>
            <w:shd w:val="clear" w:color="auto" w:fill="F2F2F2" w:themeFill="background1" w:themeFillShade="F2"/>
            <w:vAlign w:val="center"/>
          </w:tcPr>
          <w:p w14:paraId="133BE8C6"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7C5DA71A"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2FE092F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25 %</w:t>
            </w:r>
          </w:p>
        </w:tc>
        <w:tc>
          <w:tcPr>
            <w:tcW w:w="780" w:type="pct"/>
            <w:shd w:val="clear" w:color="auto" w:fill="F2F2F2" w:themeFill="background1" w:themeFillShade="F2"/>
            <w:vAlign w:val="center"/>
          </w:tcPr>
          <w:p w14:paraId="55731E1E"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3C573F90"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r w:rsidR="00B658DF" w:rsidRPr="008B41FA" w14:paraId="3C8B9124" w14:textId="77777777" w:rsidTr="00B11A9D">
        <w:trPr>
          <w:cantSplit/>
          <w:trHeight w:val="418"/>
          <w:jc w:val="center"/>
        </w:trPr>
        <w:tc>
          <w:tcPr>
            <w:tcW w:w="814" w:type="pct"/>
            <w:shd w:val="clear" w:color="auto" w:fill="DBDBDB" w:themeFill="accent3" w:themeFillTint="66"/>
            <w:vAlign w:val="center"/>
          </w:tcPr>
          <w:p w14:paraId="5CAFE510"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Totalizátorová hra</w:t>
            </w:r>
          </w:p>
        </w:tc>
        <w:tc>
          <w:tcPr>
            <w:tcW w:w="780" w:type="pct"/>
            <w:shd w:val="clear" w:color="auto" w:fill="F2F2F2" w:themeFill="background1" w:themeFillShade="F2"/>
            <w:vAlign w:val="center"/>
          </w:tcPr>
          <w:p w14:paraId="62F38F85"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34D5D30F"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0A0EB5F4"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25 %</w:t>
            </w:r>
          </w:p>
        </w:tc>
        <w:tc>
          <w:tcPr>
            <w:tcW w:w="780" w:type="pct"/>
            <w:shd w:val="clear" w:color="auto" w:fill="F2F2F2" w:themeFill="background1" w:themeFillShade="F2"/>
            <w:vAlign w:val="center"/>
          </w:tcPr>
          <w:p w14:paraId="7166FA66"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16A11411"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r w:rsidR="00B658DF" w:rsidRPr="008B41FA" w14:paraId="38881944" w14:textId="77777777" w:rsidTr="00B11A9D">
        <w:trPr>
          <w:cantSplit/>
          <w:trHeight w:val="418"/>
          <w:jc w:val="center"/>
        </w:trPr>
        <w:tc>
          <w:tcPr>
            <w:tcW w:w="814" w:type="pct"/>
            <w:shd w:val="clear" w:color="auto" w:fill="DBDBDB" w:themeFill="accent3" w:themeFillTint="66"/>
            <w:vAlign w:val="center"/>
          </w:tcPr>
          <w:p w14:paraId="514BD80F"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Bingo</w:t>
            </w:r>
          </w:p>
        </w:tc>
        <w:tc>
          <w:tcPr>
            <w:tcW w:w="780" w:type="pct"/>
            <w:shd w:val="clear" w:color="auto" w:fill="F2F2F2" w:themeFill="background1" w:themeFillShade="F2"/>
            <w:vAlign w:val="center"/>
          </w:tcPr>
          <w:p w14:paraId="65ACAA50"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2C0EAA5D"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49AA6975"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30 %</w:t>
            </w:r>
          </w:p>
        </w:tc>
        <w:tc>
          <w:tcPr>
            <w:tcW w:w="780" w:type="pct"/>
            <w:shd w:val="clear" w:color="auto" w:fill="F2F2F2" w:themeFill="background1" w:themeFillShade="F2"/>
            <w:vAlign w:val="center"/>
          </w:tcPr>
          <w:p w14:paraId="299C85C5"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74C4AF5B"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r w:rsidR="00B658DF" w:rsidRPr="008B41FA" w14:paraId="69A8E4A9" w14:textId="77777777" w:rsidTr="00B11A9D">
        <w:trPr>
          <w:cantSplit/>
          <w:trHeight w:val="418"/>
          <w:jc w:val="center"/>
        </w:trPr>
        <w:tc>
          <w:tcPr>
            <w:tcW w:w="814" w:type="pct"/>
            <w:shd w:val="clear" w:color="auto" w:fill="DBDBDB" w:themeFill="accent3" w:themeFillTint="66"/>
            <w:vAlign w:val="center"/>
          </w:tcPr>
          <w:p w14:paraId="583E0C0F"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 xml:space="preserve">Loterie </w:t>
            </w:r>
          </w:p>
        </w:tc>
        <w:tc>
          <w:tcPr>
            <w:tcW w:w="780" w:type="pct"/>
            <w:shd w:val="clear" w:color="auto" w:fill="F2F2F2" w:themeFill="background1" w:themeFillShade="F2"/>
            <w:vAlign w:val="center"/>
          </w:tcPr>
          <w:p w14:paraId="5F618ACB"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3C166470"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4217FC9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30 %</w:t>
            </w:r>
          </w:p>
        </w:tc>
        <w:tc>
          <w:tcPr>
            <w:tcW w:w="780" w:type="pct"/>
            <w:shd w:val="clear" w:color="auto" w:fill="F2F2F2" w:themeFill="background1" w:themeFillShade="F2"/>
            <w:vAlign w:val="center"/>
          </w:tcPr>
          <w:p w14:paraId="2D42403E"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61A74903"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35 %</w:t>
            </w:r>
          </w:p>
        </w:tc>
      </w:tr>
      <w:tr w:rsidR="00B658DF" w:rsidRPr="008B41FA" w14:paraId="7FE0B6C7" w14:textId="77777777" w:rsidTr="00B11A9D">
        <w:trPr>
          <w:cantSplit/>
          <w:trHeight w:val="418"/>
          <w:jc w:val="center"/>
        </w:trPr>
        <w:tc>
          <w:tcPr>
            <w:tcW w:w="814" w:type="pct"/>
            <w:shd w:val="clear" w:color="auto" w:fill="DBDBDB" w:themeFill="accent3" w:themeFillTint="66"/>
            <w:vAlign w:val="center"/>
          </w:tcPr>
          <w:p w14:paraId="0F5908CE"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Živá hra</w:t>
            </w:r>
          </w:p>
        </w:tc>
        <w:tc>
          <w:tcPr>
            <w:tcW w:w="780" w:type="pct"/>
            <w:shd w:val="clear" w:color="auto" w:fill="F2F2F2" w:themeFill="background1" w:themeFillShade="F2"/>
            <w:vAlign w:val="center"/>
          </w:tcPr>
          <w:p w14:paraId="65B37F68"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322B97F1"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4D70C640"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30 %</w:t>
            </w:r>
          </w:p>
        </w:tc>
        <w:tc>
          <w:tcPr>
            <w:tcW w:w="780" w:type="pct"/>
            <w:shd w:val="clear" w:color="auto" w:fill="F2F2F2" w:themeFill="background1" w:themeFillShade="F2"/>
            <w:vAlign w:val="center"/>
          </w:tcPr>
          <w:p w14:paraId="7A726CF3"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12CA8F1B"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r w:rsidR="00B658DF" w:rsidRPr="008B41FA" w14:paraId="3649892A" w14:textId="77777777" w:rsidTr="00B11A9D">
        <w:trPr>
          <w:cantSplit/>
          <w:trHeight w:val="418"/>
          <w:jc w:val="center"/>
        </w:trPr>
        <w:tc>
          <w:tcPr>
            <w:tcW w:w="814" w:type="pct"/>
            <w:shd w:val="clear" w:color="auto" w:fill="DBDBDB" w:themeFill="accent3" w:themeFillTint="66"/>
            <w:vAlign w:val="center"/>
          </w:tcPr>
          <w:p w14:paraId="6AD0E46E"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Tombola</w:t>
            </w:r>
          </w:p>
        </w:tc>
        <w:tc>
          <w:tcPr>
            <w:tcW w:w="780" w:type="pct"/>
            <w:shd w:val="clear" w:color="auto" w:fill="F2F2F2" w:themeFill="background1" w:themeFillShade="F2"/>
            <w:vAlign w:val="center"/>
          </w:tcPr>
          <w:p w14:paraId="6AD83EC7"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20 %</w:t>
            </w:r>
          </w:p>
        </w:tc>
        <w:tc>
          <w:tcPr>
            <w:tcW w:w="1065" w:type="pct"/>
            <w:shd w:val="clear" w:color="auto" w:fill="F2F2F2" w:themeFill="background1" w:themeFillShade="F2"/>
            <w:vAlign w:val="center"/>
          </w:tcPr>
          <w:p w14:paraId="04ED4B03"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1E63692A"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25 %</w:t>
            </w:r>
          </w:p>
        </w:tc>
        <w:tc>
          <w:tcPr>
            <w:tcW w:w="780" w:type="pct"/>
            <w:shd w:val="clear" w:color="auto" w:fill="F2F2F2" w:themeFill="background1" w:themeFillShade="F2"/>
            <w:vAlign w:val="center"/>
          </w:tcPr>
          <w:p w14:paraId="66C63723"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5D3E337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r w:rsidR="00B658DF" w:rsidRPr="008B41FA" w14:paraId="7B89469A" w14:textId="77777777" w:rsidTr="00B11A9D">
        <w:trPr>
          <w:cantSplit/>
          <w:trHeight w:val="418"/>
          <w:jc w:val="center"/>
        </w:trPr>
        <w:tc>
          <w:tcPr>
            <w:tcW w:w="814" w:type="pct"/>
            <w:shd w:val="clear" w:color="auto" w:fill="DBDBDB" w:themeFill="accent3" w:themeFillTint="66"/>
            <w:vAlign w:val="center"/>
          </w:tcPr>
          <w:p w14:paraId="3E1FF2CA" w14:textId="77777777" w:rsidR="00B658DF" w:rsidRPr="00BD153C" w:rsidRDefault="00B658DF" w:rsidP="00BD153C">
            <w:pPr>
              <w:rPr>
                <w:rFonts w:eastAsia="Times New Roman" w:cs="Arial"/>
                <w:b/>
                <w:bCs/>
                <w:color w:val="000000"/>
                <w:szCs w:val="24"/>
                <w:lang w:eastAsia="cs-CZ"/>
              </w:rPr>
            </w:pPr>
            <w:r w:rsidRPr="00BD153C">
              <w:rPr>
                <w:rFonts w:eastAsia="Times New Roman" w:cs="Arial"/>
                <w:b/>
                <w:bCs/>
                <w:color w:val="000000"/>
                <w:szCs w:val="24"/>
                <w:lang w:eastAsia="cs-CZ"/>
              </w:rPr>
              <w:t>Turnaj malého rozsahu</w:t>
            </w:r>
          </w:p>
        </w:tc>
        <w:tc>
          <w:tcPr>
            <w:tcW w:w="780" w:type="pct"/>
            <w:shd w:val="clear" w:color="auto" w:fill="F2F2F2" w:themeFill="background1" w:themeFillShade="F2"/>
            <w:vAlign w:val="center"/>
          </w:tcPr>
          <w:p w14:paraId="6AB203C0"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Tato kategorie hry zavedena až  novým ZHH od 1. 1. 2017</w:t>
            </w:r>
          </w:p>
        </w:tc>
        <w:tc>
          <w:tcPr>
            <w:tcW w:w="1065" w:type="pct"/>
            <w:shd w:val="clear" w:color="auto" w:fill="F2F2F2" w:themeFill="background1" w:themeFillShade="F2"/>
            <w:vAlign w:val="center"/>
          </w:tcPr>
          <w:p w14:paraId="4A46CAD2"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Tato kategorie hry zavedena až  novým ZHH od 1. 1. 2017</w:t>
            </w:r>
          </w:p>
        </w:tc>
        <w:tc>
          <w:tcPr>
            <w:tcW w:w="780" w:type="pct"/>
            <w:shd w:val="clear" w:color="auto" w:fill="F2F2F2" w:themeFill="background1" w:themeFillShade="F2"/>
            <w:vAlign w:val="center"/>
          </w:tcPr>
          <w:p w14:paraId="18DFAD9D"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25 %</w:t>
            </w:r>
          </w:p>
        </w:tc>
        <w:tc>
          <w:tcPr>
            <w:tcW w:w="780" w:type="pct"/>
            <w:shd w:val="clear" w:color="auto" w:fill="F2F2F2" w:themeFill="background1" w:themeFillShade="F2"/>
            <w:vAlign w:val="center"/>
          </w:tcPr>
          <w:p w14:paraId="581412E9" w14:textId="77777777" w:rsidR="00B658DF" w:rsidRPr="00BD153C" w:rsidRDefault="00B658DF"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c>
          <w:tcPr>
            <w:tcW w:w="780" w:type="pct"/>
            <w:shd w:val="clear" w:color="auto" w:fill="F2F2F2" w:themeFill="background1" w:themeFillShade="F2"/>
            <w:vAlign w:val="center"/>
          </w:tcPr>
          <w:p w14:paraId="15265B4D" w14:textId="479D1459" w:rsidR="00B658DF" w:rsidRPr="00BD153C" w:rsidRDefault="00BD153C" w:rsidP="00BD153C">
            <w:pPr>
              <w:rPr>
                <w:rFonts w:eastAsia="Times New Roman" w:cs="Arial"/>
                <w:bCs/>
                <w:color w:val="000000"/>
                <w:szCs w:val="24"/>
                <w:lang w:eastAsia="cs-CZ"/>
              </w:rPr>
            </w:pPr>
            <w:r w:rsidRPr="00BD153C">
              <w:rPr>
                <w:rFonts w:eastAsia="Times New Roman" w:cs="Arial"/>
                <w:bCs/>
                <w:color w:val="000000"/>
                <w:szCs w:val="24"/>
                <w:lang w:eastAsia="cs-CZ"/>
              </w:rPr>
              <w:t>23 %</w:t>
            </w:r>
          </w:p>
        </w:tc>
      </w:tr>
    </w:tbl>
    <w:p w14:paraId="5C667389" w14:textId="51A35B1B" w:rsidR="00B658DF" w:rsidRDefault="00B658DF" w:rsidP="00BD153C">
      <w:pPr>
        <w:rPr>
          <w:i/>
          <w:sz w:val="20"/>
        </w:rPr>
      </w:pPr>
      <w:r w:rsidRPr="00F374F6">
        <w:rPr>
          <w:i/>
          <w:sz w:val="20"/>
        </w:rPr>
        <w:t>Zdroj: Ministerstvo financí</w:t>
      </w:r>
      <w:r w:rsidR="00B11A9D">
        <w:rPr>
          <w:i/>
          <w:sz w:val="20"/>
        </w:rPr>
        <w:t>.</w:t>
      </w:r>
    </w:p>
    <w:p w14:paraId="616B36B1" w14:textId="2DD93EB7" w:rsidR="00B658DF" w:rsidRDefault="00B658DF" w:rsidP="00651FFD">
      <w:r w:rsidRPr="003316D9">
        <w:t>V konkrétní výši sazby se odráží zejména funkce fiská</w:t>
      </w:r>
      <w:r>
        <w:t>lní, a to především pokud jde o </w:t>
      </w:r>
      <w:r w:rsidRPr="003316D9">
        <w:t>sazbu nižší než je sazba odpovídající kritickému</w:t>
      </w:r>
      <w:r w:rsidR="0084748E">
        <w:t xml:space="preserve"> bodu Lafferovy křivky, protože </w:t>
      </w:r>
      <w:r>
        <w:t>kritický</w:t>
      </w:r>
      <w:r w:rsidRPr="003316D9">
        <w:t xml:space="preserve"> bod je dán pro daný druh hazardní hry</w:t>
      </w:r>
      <w:r w:rsidR="0084748E">
        <w:t xml:space="preserve"> objektivně. Současně platí, že </w:t>
      </w:r>
      <w:r w:rsidRPr="003316D9">
        <w:t>by mělo zdanění stejně nebo obdobně škodlivých her zatěžovat jejich provozování stejně nebo obdobně.</w:t>
      </w:r>
      <w:bookmarkStart w:id="127" w:name="_Ref36027924"/>
    </w:p>
    <w:p w14:paraId="691E2207" w14:textId="08AF1AD8" w:rsidR="00B658DF" w:rsidRDefault="00B658DF" w:rsidP="00651FFD">
      <w:r w:rsidRPr="00FB1708">
        <w:t xml:space="preserve">V případě </w:t>
      </w:r>
      <w:r w:rsidRPr="004A08BE">
        <w:t>technické hry se</w:t>
      </w:r>
      <w:r w:rsidRPr="00FB1708">
        <w:t xml:space="preserve"> jedná o hazardní hru, která z </w:t>
      </w:r>
      <w:r>
        <w:t>hlediska rozvoje problémového a </w:t>
      </w:r>
      <w:r w:rsidR="00E14A7B">
        <w:t>p</w:t>
      </w:r>
      <w:r w:rsidRPr="00FB1708">
        <w:t xml:space="preserve">atologického hráčství přináší nejvyšší rizika. Vyšší rizikovost </w:t>
      </w:r>
      <w:r>
        <w:t>technické hry vyplývá především z </w:t>
      </w:r>
      <w:r w:rsidRPr="00FB1708">
        <w:t>jej</w:t>
      </w:r>
      <w:r>
        <w:t>í</w:t>
      </w:r>
      <w:r w:rsidRPr="00FB1708">
        <w:t>ch tzv. str</w:t>
      </w:r>
      <w:r w:rsidR="0084748E">
        <w:t>ukturních charakteristik (např. </w:t>
      </w:r>
      <w:r w:rsidRPr="00FB1708">
        <w:t>rychlost hry, časová prodleva mezi hrami, dostupnost n</w:t>
      </w:r>
      <w:r w:rsidR="0081036E">
        <w:t>ebo vizuální efekty zařízení) a </w:t>
      </w:r>
      <w:r w:rsidRPr="00FB1708">
        <w:t>z faktorů prostředí, kde se hry hrají – tyto faktory podněcují vtažení do hry.</w:t>
      </w:r>
      <w:r>
        <w:rPr>
          <w:rStyle w:val="Znakapoznpodarou"/>
        </w:rPr>
        <w:footnoteReference w:id="26"/>
      </w:r>
      <w:r>
        <w:t xml:space="preserve"> </w:t>
      </w:r>
      <w:r w:rsidR="004C5B90">
        <w:t>V</w:t>
      </w:r>
      <w:r w:rsidRPr="003316D9">
        <w:t xml:space="preserve"> případě </w:t>
      </w:r>
      <w:r w:rsidRPr="00ED24B6">
        <w:t>technické hry</w:t>
      </w:r>
      <w:r w:rsidRPr="003316D9">
        <w:t xml:space="preserve"> musí být sazba ve výši 35 %, protože </w:t>
      </w:r>
      <w:r w:rsidR="00E75052">
        <w:t>(</w:t>
      </w:r>
      <w:r w:rsidRPr="003316D9">
        <w:t>jak bylo uvedeno výše</w:t>
      </w:r>
      <w:r w:rsidR="00E75052">
        <w:t>)</w:t>
      </w:r>
      <w:r w:rsidRPr="003316D9">
        <w:t xml:space="preserve"> jde o vysoce škodlivou hazardní hru, u které musí sazba daně odpovídat tomuto kritickému bodu.</w:t>
      </w:r>
      <w:bookmarkEnd w:id="127"/>
      <w:r w:rsidRPr="003316D9">
        <w:t xml:space="preserve"> </w:t>
      </w:r>
      <w:bookmarkStart w:id="128" w:name="_Ref36027929"/>
    </w:p>
    <w:p w14:paraId="440C5ECE" w14:textId="132F4E3D" w:rsidR="00B658DF" w:rsidRDefault="00B658DF" w:rsidP="00651FFD">
      <w:r w:rsidRPr="00FB1708">
        <w:t xml:space="preserve">V případě </w:t>
      </w:r>
      <w:r w:rsidRPr="004A08BE">
        <w:t>ostatních her</w:t>
      </w:r>
      <w:r w:rsidRPr="00ED24B6">
        <w:rPr>
          <w:rStyle w:val="Znakapoznpodarou"/>
        </w:rPr>
        <w:footnoteReference w:id="27"/>
      </w:r>
      <w:r>
        <w:t>, tedy loterie, kursové sázky, totalizátorové hry, živé hry, binga, tomboly a turnaje malého rozsahu se jedná o hazardní hry</w:t>
      </w:r>
      <w:r w:rsidRPr="00FB1708">
        <w:t>, jej</w:t>
      </w:r>
      <w:r>
        <w:t>ich</w:t>
      </w:r>
      <w:r w:rsidRPr="00FB1708">
        <w:t>ž míra rizikovosti je v porovnání s technickou hrou nižší.</w:t>
      </w:r>
      <w:r>
        <w:rPr>
          <w:rStyle w:val="Znakapoznpodarou"/>
        </w:rPr>
        <w:footnoteReference w:id="28"/>
      </w:r>
      <w:r>
        <w:t xml:space="preserve"> Uvedené </w:t>
      </w:r>
      <w:r w:rsidR="0084748E">
        <w:t>znamená, že </w:t>
      </w:r>
      <w:r w:rsidR="00E75052">
        <w:t>u</w:t>
      </w:r>
      <w:r w:rsidR="00442045">
        <w:t> </w:t>
      </w:r>
      <w:r w:rsidRPr="006E2150">
        <w:t>ostatních hazardních her</w:t>
      </w:r>
      <w:r w:rsidRPr="003316D9">
        <w:t xml:space="preserve"> může být sazba nižší, aby byl vstup na český trh </w:t>
      </w:r>
      <w:r w:rsidRPr="003316D9">
        <w:lastRenderedPageBreak/>
        <w:t>s hazardními hrami dostatečně atraktivním</w:t>
      </w:r>
      <w:r>
        <w:t xml:space="preserve"> a aby byly méně škodlivé hazardní hry na trhu s hazardními hrami dostupnější než hazardní hry vysoce škodlivé</w:t>
      </w:r>
      <w:r w:rsidR="00E75052">
        <w:t>.</w:t>
      </w:r>
      <w:r w:rsidRPr="003316D9">
        <w:t xml:space="preserve"> </w:t>
      </w:r>
      <w:r w:rsidR="00E75052">
        <w:t>S</w:t>
      </w:r>
      <w:r>
        <w:t>oučasně</w:t>
      </w:r>
      <w:r w:rsidR="00E75052">
        <w:t xml:space="preserve"> musí být sazba</w:t>
      </w:r>
      <w:r>
        <w:t xml:space="preserve"> </w:t>
      </w:r>
      <w:r w:rsidRPr="003316D9">
        <w:t>taková, aby zaručila dostatečný výnos daně.</w:t>
      </w:r>
      <w:bookmarkEnd w:id="128"/>
      <w:r w:rsidRPr="003316D9">
        <w:t xml:space="preserve"> </w:t>
      </w:r>
      <w:bookmarkStart w:id="129" w:name="_Ref37864045"/>
    </w:p>
    <w:p w14:paraId="299DCCC5" w14:textId="508F12D3" w:rsidR="00B658DF" w:rsidRDefault="00B658DF" w:rsidP="00651FFD">
      <w:pPr>
        <w:rPr>
          <w:b/>
        </w:rPr>
      </w:pPr>
      <w:r w:rsidRPr="005E0822">
        <w:rPr>
          <w:b/>
        </w:rPr>
        <w:t>V případě loterií jde o hru natolik ziskovou</w:t>
      </w:r>
      <w:r w:rsidRPr="004A08BE">
        <w:t>, že sazba ve výši 23</w:t>
      </w:r>
      <w:r w:rsidR="00E75052">
        <w:t> </w:t>
      </w:r>
      <w:r w:rsidRPr="004A08BE">
        <w:t>% na její provozování nedopadá stejně, jako na provozování</w:t>
      </w:r>
      <w:r w:rsidR="0084748E">
        <w:t xml:space="preserve"> jiných druhů hazardních her ze </w:t>
      </w:r>
      <w:r w:rsidRPr="004A08BE">
        <w:t>skupiny ostatních hazardních her.</w:t>
      </w:r>
      <w:r w:rsidRPr="003316D9">
        <w:t xml:space="preserve"> Z tohoto důvodu byla průběžně zpochybňována sazba dílčí daně z loterií ve výši 23 %, protože neodpovídala záměru zdanit loterie obdobně jako jiné méně škodlivé hazardní hry. Tyto d</w:t>
      </w:r>
      <w:r w:rsidR="0084748E">
        <w:t>ebaty nakonec vyústily v to, že </w:t>
      </w:r>
      <w:r w:rsidRPr="003316D9">
        <w:t>sazba pro dílčí daň z loterií byla zvýšena na 35</w:t>
      </w:r>
      <w:r>
        <w:t> </w:t>
      </w:r>
      <w:r w:rsidR="0084748E">
        <w:t>%, což je nadále výrazně pod </w:t>
      </w:r>
      <w:r w:rsidRPr="003316D9">
        <w:t xml:space="preserve">kritickým bodem Lafferovy křivky pro loterie, a tedy </w:t>
      </w:r>
      <w:r w:rsidRPr="003B58C1">
        <w:rPr>
          <w:b/>
        </w:rPr>
        <w:t>z pohledu zdanění provozování hazardních her byla narovnána situace mezi zdaněním jednotlivých hazardních her.</w:t>
      </w:r>
      <w:bookmarkEnd w:id="129"/>
    </w:p>
    <w:p w14:paraId="25C5636E" w14:textId="77777777" w:rsidR="00B658DF" w:rsidRDefault="00B658DF" w:rsidP="00651FFD">
      <w:r>
        <w:t>P</w:t>
      </w:r>
      <w:r w:rsidRPr="003316D9">
        <w:t xml:space="preserve">ro přehlednost </w:t>
      </w:r>
      <w:r>
        <w:t xml:space="preserve">Ministerstvo financí </w:t>
      </w:r>
      <w:r w:rsidRPr="003316D9">
        <w:t xml:space="preserve">uvádí procentuální ziskovost </w:t>
      </w:r>
      <w:r>
        <w:t>relevantních</w:t>
      </w:r>
      <w:r w:rsidRPr="003316D9">
        <w:t xml:space="preserve"> druhů hazardních her ve formě grafu.</w:t>
      </w:r>
    </w:p>
    <w:p w14:paraId="5421E2BE" w14:textId="690FE6A1" w:rsidR="00573400" w:rsidRPr="00573400" w:rsidRDefault="00573400" w:rsidP="00573400">
      <w:pPr>
        <w:pStyle w:val="Titulek"/>
        <w:keepNext/>
        <w:rPr>
          <w:b/>
        </w:rPr>
      </w:pPr>
      <w:bookmarkStart w:id="130" w:name="_Toc73611461"/>
      <w:r>
        <w:t xml:space="preserve">Graf č. </w:t>
      </w:r>
      <w:fldSimple w:instr=" SEQ Graf_č. \* ARABIC ">
        <w:r w:rsidR="00A860B8">
          <w:rPr>
            <w:noProof/>
          </w:rPr>
          <w:t>33</w:t>
        </w:r>
      </w:fldSimple>
      <w:r>
        <w:t xml:space="preserve">: </w:t>
      </w:r>
      <w:r w:rsidRPr="00953166">
        <w:t>Procentuální ziskovost některých druhů hazardních her</w:t>
      </w:r>
      <w:bookmarkEnd w:id="130"/>
    </w:p>
    <w:p w14:paraId="0C91DC85" w14:textId="77777777" w:rsidR="00B658DF" w:rsidRPr="003316D9" w:rsidRDefault="00B658DF" w:rsidP="00B658DF">
      <w:pPr>
        <w:jc w:val="center"/>
        <w:rPr>
          <w:sz w:val="23"/>
          <w:szCs w:val="23"/>
        </w:rPr>
      </w:pPr>
      <w:r>
        <w:rPr>
          <w:noProof/>
          <w:lang w:eastAsia="cs-CZ"/>
        </w:rPr>
        <w:drawing>
          <wp:inline distT="0" distB="0" distL="0" distR="0" wp14:anchorId="2FDCE9D5" wp14:editId="490365A6">
            <wp:extent cx="5486400" cy="3200400"/>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2C5A3BF" w14:textId="7A0167D6" w:rsidR="00B658DF" w:rsidRPr="006003CE" w:rsidRDefault="00B658DF" w:rsidP="00B658DF">
      <w:pPr>
        <w:rPr>
          <w:sz w:val="20"/>
          <w:szCs w:val="20"/>
        </w:rPr>
      </w:pPr>
      <w:r w:rsidRPr="006003CE">
        <w:rPr>
          <w:rFonts w:cs="Arial"/>
          <w:i/>
          <w:sz w:val="20"/>
          <w:szCs w:val="20"/>
        </w:rPr>
        <w:t>Zdroj: Agregovaná data z daňových přizn</w:t>
      </w:r>
      <w:r>
        <w:rPr>
          <w:rFonts w:cs="Arial"/>
          <w:i/>
          <w:sz w:val="20"/>
          <w:szCs w:val="20"/>
        </w:rPr>
        <w:t>ání k dani z hazardních her (GFŘ</w:t>
      </w:r>
      <w:r w:rsidRPr="006003CE">
        <w:rPr>
          <w:rFonts w:cs="Arial"/>
          <w:i/>
          <w:sz w:val="20"/>
          <w:szCs w:val="20"/>
        </w:rPr>
        <w:t>)</w:t>
      </w:r>
      <w:r w:rsidR="00573400">
        <w:rPr>
          <w:rFonts w:cs="Arial"/>
          <w:i/>
          <w:sz w:val="20"/>
          <w:szCs w:val="20"/>
        </w:rPr>
        <w:t>.</w:t>
      </w:r>
    </w:p>
    <w:p w14:paraId="0327B088" w14:textId="56B400D2" w:rsidR="00B658DF" w:rsidRPr="00651FFD" w:rsidRDefault="00B658DF" w:rsidP="00651FFD">
      <w:pPr>
        <w:rPr>
          <w:b/>
        </w:rPr>
      </w:pPr>
      <w:r w:rsidRPr="00651FFD">
        <w:rPr>
          <w:b/>
        </w:rPr>
        <w:t>Přijatá právní úprava vychází nejen z myšlenky, že více rizikové hry by měly být zatíženy vyšší daňovou sazbou, ale také z konceptu, že provozovatelé různých druhů hazardních her pocítí sazbu dan</w:t>
      </w:r>
      <w:r w:rsidR="0084748E">
        <w:rPr>
          <w:b/>
        </w:rPr>
        <w:t>ě odlišně, a to v závislosti na </w:t>
      </w:r>
      <w:r w:rsidRPr="00651FFD">
        <w:rPr>
          <w:b/>
        </w:rPr>
        <w:t>ziskovosti provozování hazardní hry. Jinými slovy, aby míra zdanění motivovala subjekt k</w:t>
      </w:r>
      <w:r w:rsidR="00E75052">
        <w:rPr>
          <w:b/>
        </w:rPr>
        <w:t> </w:t>
      </w:r>
      <w:r w:rsidRPr="00651FFD">
        <w:rPr>
          <w:b/>
        </w:rPr>
        <w:t>cílovému chování (</w:t>
      </w:r>
      <w:r w:rsidR="00E75052">
        <w:rPr>
          <w:b/>
        </w:rPr>
        <w:t xml:space="preserve">kterým je v důsledku </w:t>
      </w:r>
      <w:r w:rsidRPr="00651FFD">
        <w:rPr>
          <w:b/>
        </w:rPr>
        <w:t>sníž</w:t>
      </w:r>
      <w:r w:rsidR="00573400" w:rsidRPr="00651FFD">
        <w:rPr>
          <w:b/>
        </w:rPr>
        <w:t xml:space="preserve">ení atraktivity provozování </w:t>
      </w:r>
      <w:r w:rsidR="00442045">
        <w:rPr>
          <w:b/>
        </w:rPr>
        <w:t>i </w:t>
      </w:r>
      <w:r w:rsidRPr="00651FFD">
        <w:rPr>
          <w:b/>
        </w:rPr>
        <w:t>související snížení dostupnosti hazardní hry), je nutné stanov</w:t>
      </w:r>
      <w:r w:rsidR="00573400" w:rsidRPr="00651FFD">
        <w:rPr>
          <w:b/>
        </w:rPr>
        <w:t>it daňové sazby v </w:t>
      </w:r>
      <w:r w:rsidRPr="00651FFD">
        <w:rPr>
          <w:b/>
        </w:rPr>
        <w:t>odpovídající výši pro provozování konkrétního druhu hazardní hry. Tento koncept zdanění podporuje sledovaný cíl nové právní regulace hazardních her.</w:t>
      </w:r>
    </w:p>
    <w:p w14:paraId="24ABF23A" w14:textId="77777777" w:rsidR="00B658DF" w:rsidRDefault="00B658DF" w:rsidP="00651FFD">
      <w:r>
        <w:t xml:space="preserve">Základ daně se podle právní úpravy platné a účinné do 31. 3. 2019 vypočetl jako součet dílčích základů daně za každý jednotlivý druh hazardní hry. Tyto dílčí základy daně byly určeny jako rozdíl mezi přijatými a nevrácenými vklady a vyplacenými výhrami. Pro účely určení dílčích základů daně se zohledňují pouze přijaté vklady, </w:t>
      </w:r>
      <w:r>
        <w:lastRenderedPageBreak/>
        <w:t xml:space="preserve">které nejsou účastníkovi hazardní hry vráceny. Právní úprava základu daně původně neobsahovala vracení vkladů jako samostatnou veličinu přímo, nýbrž </w:t>
      </w:r>
      <w:r w:rsidRPr="00272124">
        <w:t>vrácené vklady jsou do základu daně zahrnuty nepř</w:t>
      </w:r>
      <w:r>
        <w:t xml:space="preserve">ímo jako součást přijatých a nevrácených vkladů. </w:t>
      </w:r>
    </w:p>
    <w:p w14:paraId="737863FA" w14:textId="4C55455F" w:rsidR="00B658DF" w:rsidRDefault="00B658DF" w:rsidP="00651FFD">
      <w:r>
        <w:t xml:space="preserve">Bylo proto podstatné sledovat jednotlivé přijaté vklady a jejich vracení, a u vracení vkladů dbát na to, v jakém zdaňovacím období byl přijat vklad, který se takto vrací. Vzhledem k tomu, že k vrácení vkladu </w:t>
      </w:r>
      <w:r w:rsidR="0081544F">
        <w:t xml:space="preserve">mohlo </w:t>
      </w:r>
      <w:r>
        <w:t>dojít i s větším časovým odstupem od jeho přijetí, měla právní úprava za následek v řadě případů vracení vkladů nutnost podávat dodatečné daňové</w:t>
      </w:r>
      <w:r w:rsidR="0084748E">
        <w:t xml:space="preserve"> přiznání. Ukázalo se totiž, že </w:t>
      </w:r>
      <w:r>
        <w:t xml:space="preserve">s ohledem na marketingovou činnost některých provozovatelů může docházet k vracení vkladů, tedy </w:t>
      </w:r>
      <w:r w:rsidRPr="001D0C2F">
        <w:t>ke zpětné změně základu daně</w:t>
      </w:r>
      <w:r>
        <w:t xml:space="preserve">, poměrně často. V důsledku vracení vkladu z těchto důvodů bylo nutné se vracet do předchozích zdaňovacích období, ve kterých byl vklad přijat, což znamená nutnost podat dodatečné daňové přiznání, pokud již uplynula lhůta pro podání daňového přiznání. Důsledkem bylo navyšování počtu podávaných daňových přiznání a zvýšená administrativní náročnost správy daně z hazardních her pro poplatníky i správce daně. </w:t>
      </w:r>
    </w:p>
    <w:p w14:paraId="6CA0548B" w14:textId="7E533C1A" w:rsidR="00B658DF" w:rsidRDefault="00B658DF" w:rsidP="00651FFD">
      <w:r>
        <w:t xml:space="preserve">Ministerstvo financí proto navrhlo změnu právní úpravy, která řeší problematiku vracení vkladů tak, že základem daně je od 1. 4. 2019 </w:t>
      </w:r>
      <w:r w:rsidRPr="00515DF9">
        <w:t xml:space="preserve">součet dílčích základů daně, které tvoří částka, o kterou </w:t>
      </w:r>
      <w:r w:rsidRPr="00821EC4">
        <w:t>úhrn přijatých vkladů převyšuje součet úhrnu vyplacených výher a úhrnu vrácených vkladů</w:t>
      </w:r>
      <w:r w:rsidRPr="00515DF9">
        <w:t>.</w:t>
      </w:r>
      <w:r>
        <w:t xml:space="preserve"> Základ daně je tak přímo ovlivňován vracením vkladů, a to obdobným způsobem jako v případě vyplácení výher. Vrácený vklad se zohlední v tom zdaňovacím období, ve kterém byl vrácen, nikoliv v tom, ve kterém byl přijat vklad, který se takto vrací, čímž došlo k vyřešení výše nastíněného problému a snížení administrativní zátěže jak</w:t>
      </w:r>
      <w:r w:rsidR="0084748E">
        <w:t xml:space="preserve"> na straně provozovatelů, tak </w:t>
      </w:r>
      <w:r w:rsidR="0081036E">
        <w:t>i </w:t>
      </w:r>
      <w:r>
        <w:t>správce daně.</w:t>
      </w:r>
    </w:p>
    <w:p w14:paraId="5DD859E5" w14:textId="43129736" w:rsidR="00B658DF" w:rsidRPr="004A08BE" w:rsidRDefault="00B658DF" w:rsidP="00651FFD">
      <w:r>
        <w:t>Druhým cílem zákona o dani z hazardních her bylo zvýšení daňových výnosů z provozování hazardních her, což je odrazem fiskální funkce t</w:t>
      </w:r>
      <w:r w:rsidR="00B95FD7">
        <w:t>éto daně, která</w:t>
      </w:r>
      <w:r>
        <w:t xml:space="preserve"> je v případě daně z hazardních her sekundární. Do </w:t>
      </w:r>
      <w:r w:rsidRPr="004A08BE">
        <w:t>roku 2016 nedocházelo k žádným výraznějším výkyvům ve výši výnosu daně z hazardních her, ovšem v roce 2016 se daňový výnos zvýšil o více než 3 mld. Kč</w:t>
      </w:r>
      <w:r>
        <w:t>, potvrdily se tak očekávané predikce</w:t>
      </w:r>
      <w:r w:rsidRPr="004A08BE">
        <w:t>. Důvodem tohoto nárůstu bylo především zvýšení daňových sazeb u všech druhů hazardních her</w:t>
      </w:r>
      <w:r>
        <w:t>, potvrdilo se tak očekávané zvýšení daňového výnosu přijetím nové právní úpravy</w:t>
      </w:r>
      <w:r w:rsidRPr="004A08BE">
        <w:t>. Příčinou dalšího navýšení výnosů daně v roce 2017 bylo povolení internetového způsobu provozování u většiny druhů hazardních her. Následující pokles v roce 2018 byl způsoben poklesem dílčího daňového výnosu daně z technické hry, který pravděpodobně zapříčinilo uplynutí platnosti povolení vydaných podle zákona o loteriích.</w:t>
      </w:r>
      <w:r>
        <w:t xml:space="preserve"> Výnos se na svou původní hodnotu již nevrátil, což může </w:t>
      </w:r>
      <w:r w:rsidR="00314835">
        <w:t xml:space="preserve">být </w:t>
      </w:r>
      <w:r>
        <w:t>způsobeno zejména tím, že trvale klesá počet povolených herních pozic technické hry.</w:t>
      </w:r>
    </w:p>
    <w:p w14:paraId="1A1DE598" w14:textId="6E016C30" w:rsidR="00B91238" w:rsidRDefault="00B91238" w:rsidP="00B91238">
      <w:pPr>
        <w:pStyle w:val="Titulek"/>
        <w:keepNext/>
      </w:pPr>
      <w:bookmarkStart w:id="131" w:name="_Toc73611462"/>
      <w:r>
        <w:lastRenderedPageBreak/>
        <w:t xml:space="preserve">Graf č. </w:t>
      </w:r>
      <w:fldSimple w:instr=" SEQ Graf_č. \* ARABIC ">
        <w:r w:rsidR="00A860B8">
          <w:rPr>
            <w:noProof/>
          </w:rPr>
          <w:t>34</w:t>
        </w:r>
      </w:fldSimple>
      <w:r>
        <w:t xml:space="preserve">: </w:t>
      </w:r>
      <w:r w:rsidRPr="00903E7A">
        <w:t>Vývoj daňového výnosu z hazardních her za období 2012–2020</w:t>
      </w:r>
      <w:bookmarkEnd w:id="131"/>
    </w:p>
    <w:p w14:paraId="4F24D68A" w14:textId="77777777" w:rsidR="00B658DF" w:rsidRDefault="00B658DF" w:rsidP="00B658DF">
      <w:pPr>
        <w:spacing w:after="0"/>
        <w:rPr>
          <w:rFonts w:cs="Arial"/>
        </w:rPr>
      </w:pPr>
      <w:r>
        <w:rPr>
          <w:rFonts w:cs="Arial"/>
          <w:noProof/>
          <w:lang w:eastAsia="cs-CZ"/>
        </w:rPr>
        <w:drawing>
          <wp:inline distT="0" distB="0" distL="0" distR="0" wp14:anchorId="225F5FE8" wp14:editId="3FEF0F83">
            <wp:extent cx="5495925" cy="3209925"/>
            <wp:effectExtent l="0" t="0" r="9525" b="9525"/>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3473C3B" w14:textId="51B6D618" w:rsidR="00B658DF" w:rsidRPr="006003CE" w:rsidRDefault="00B658DF" w:rsidP="00B658DF">
      <w:pPr>
        <w:rPr>
          <w:sz w:val="20"/>
          <w:szCs w:val="20"/>
        </w:rPr>
      </w:pPr>
      <w:r w:rsidRPr="006003CE">
        <w:rPr>
          <w:rFonts w:cs="Arial"/>
          <w:i/>
          <w:sz w:val="20"/>
          <w:szCs w:val="20"/>
        </w:rPr>
        <w:t>Zdroj: Agregovaná data z daňových přizn</w:t>
      </w:r>
      <w:r>
        <w:rPr>
          <w:rFonts w:cs="Arial"/>
          <w:i/>
          <w:sz w:val="20"/>
          <w:szCs w:val="20"/>
        </w:rPr>
        <w:t>ání k dani z hazardních her (GFŘ</w:t>
      </w:r>
      <w:r w:rsidRPr="006003CE">
        <w:rPr>
          <w:rFonts w:cs="Arial"/>
          <w:i/>
          <w:sz w:val="20"/>
          <w:szCs w:val="20"/>
        </w:rPr>
        <w:t>)</w:t>
      </w:r>
      <w:r w:rsidR="00B91238">
        <w:rPr>
          <w:rFonts w:cs="Arial"/>
          <w:i/>
          <w:sz w:val="20"/>
          <w:szCs w:val="20"/>
        </w:rPr>
        <w:t>.</w:t>
      </w:r>
    </w:p>
    <w:p w14:paraId="6EDE83F0" w14:textId="43E98BC3" w:rsidR="00B658DF" w:rsidRDefault="00B658DF" w:rsidP="00651FFD">
      <w:r>
        <w:t>Jak je vidět z </w:t>
      </w:r>
      <w:r w:rsidR="003C3B30">
        <w:t>grafu č. 3</w:t>
      </w:r>
      <w:r w:rsidR="00BE434B">
        <w:t>5</w:t>
      </w:r>
      <w:r>
        <w:t>, trh hazardních her od roku 2012 nepřetržitě roste, co</w:t>
      </w:r>
      <w:r w:rsidR="0084748E">
        <w:t>ž </w:t>
      </w:r>
      <w:r>
        <w:t xml:space="preserve">dokazuje zvětšující se objem </w:t>
      </w:r>
      <w:r w:rsidR="00124290" w:rsidRPr="00124290">
        <w:t>přijatých (a nevrácených) vkladů a vyplacených výher</w:t>
      </w:r>
      <w:r>
        <w:t xml:space="preserve">. K přerušení, resp. stagnaci tohoto trendu došlo v roce 2020, kdy byl trh hazardních her </w:t>
      </w:r>
      <w:r w:rsidR="00CB1C17">
        <w:t xml:space="preserve">jako většina jiných odvětví významně </w:t>
      </w:r>
      <w:r>
        <w:t>zasažen pandemickou situací související s </w:t>
      </w:r>
      <w:r w:rsidR="0081544F">
        <w:t>covid</w:t>
      </w:r>
      <w:r>
        <w:t xml:space="preserve">-19, která společně s vládními nařízeními na zastavení jejího šíření znemožnila provozování </w:t>
      </w:r>
      <w:r w:rsidR="0081544F">
        <w:t xml:space="preserve">v land-based prostředí </w:t>
      </w:r>
      <w:r>
        <w:t xml:space="preserve">po velkou část roku. Přesto se objem vložených a vyplacených finančních prostředků nepatrně zvýšil, důvodem je především přechod </w:t>
      </w:r>
      <w:r w:rsidR="009F71E7">
        <w:t xml:space="preserve">účastníků hazardních her </w:t>
      </w:r>
      <w:r>
        <w:t>k internetovým hazardním hrám. V roce 2020 dosahoval objem vložených prostředků do hazardních her téměř 400</w:t>
      </w:r>
      <w:r w:rsidR="00611336">
        <w:t> </w:t>
      </w:r>
      <w:r>
        <w:t>mld. Kč.</w:t>
      </w:r>
    </w:p>
    <w:p w14:paraId="447525D0" w14:textId="606D2A63" w:rsidR="00B91238" w:rsidRDefault="00B91238" w:rsidP="00B91238">
      <w:pPr>
        <w:pStyle w:val="Titulek"/>
        <w:keepNext/>
      </w:pPr>
      <w:bookmarkStart w:id="132" w:name="_Toc73611463"/>
      <w:r>
        <w:lastRenderedPageBreak/>
        <w:t xml:space="preserve">Graf č. </w:t>
      </w:r>
      <w:fldSimple w:instr=" SEQ Graf_č. \* ARABIC ">
        <w:r w:rsidR="00A860B8">
          <w:rPr>
            <w:noProof/>
          </w:rPr>
          <w:t>35</w:t>
        </w:r>
      </w:fldSimple>
      <w:r>
        <w:t xml:space="preserve">: </w:t>
      </w:r>
      <w:r w:rsidR="00124290" w:rsidRPr="00D627D6">
        <w:t xml:space="preserve">Vývoj </w:t>
      </w:r>
      <w:r w:rsidR="00124290">
        <w:t>přijatých (a nevrácených) vkladů a vyplacených výher</w:t>
      </w:r>
      <w:r w:rsidR="00124290" w:rsidRPr="00D627D6">
        <w:t xml:space="preserve"> </w:t>
      </w:r>
      <w:r w:rsidRPr="002829A4">
        <w:t>u hazardních her za období 2012–2020 (v mil.)</w:t>
      </w:r>
      <w:bookmarkEnd w:id="132"/>
    </w:p>
    <w:p w14:paraId="50B6672E" w14:textId="77777777" w:rsidR="00B658DF" w:rsidRDefault="00B658DF" w:rsidP="00B658DF">
      <w:pPr>
        <w:spacing w:after="0"/>
        <w:rPr>
          <w:rFonts w:cs="Arial"/>
        </w:rPr>
      </w:pPr>
      <w:r>
        <w:rPr>
          <w:rFonts w:cs="Arial"/>
          <w:noProof/>
          <w:lang w:eastAsia="cs-CZ"/>
        </w:rPr>
        <w:drawing>
          <wp:inline distT="0" distB="0" distL="0" distR="0" wp14:anchorId="5132F253" wp14:editId="2A873CE9">
            <wp:extent cx="5495925" cy="3209925"/>
            <wp:effectExtent l="0" t="0" r="9525" b="9525"/>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0A11FE3" w14:textId="660413EE" w:rsidR="00B658DF" w:rsidRPr="006003CE" w:rsidRDefault="00B658DF" w:rsidP="00B658DF">
      <w:pPr>
        <w:rPr>
          <w:rFonts w:cs="Arial"/>
          <w:i/>
          <w:sz w:val="20"/>
          <w:szCs w:val="20"/>
        </w:rPr>
      </w:pPr>
      <w:r w:rsidRPr="006003CE">
        <w:rPr>
          <w:rFonts w:cs="Arial"/>
          <w:i/>
          <w:sz w:val="20"/>
          <w:szCs w:val="20"/>
        </w:rPr>
        <w:t>Zdroj: Agregovaná data z daňových přizn</w:t>
      </w:r>
      <w:r>
        <w:rPr>
          <w:rFonts w:cs="Arial"/>
          <w:i/>
          <w:sz w:val="20"/>
          <w:szCs w:val="20"/>
        </w:rPr>
        <w:t>ání k dani z hazardních her (GFŘ</w:t>
      </w:r>
      <w:r w:rsidRPr="006003CE">
        <w:rPr>
          <w:rFonts w:cs="Arial"/>
          <w:i/>
          <w:sz w:val="20"/>
          <w:szCs w:val="20"/>
        </w:rPr>
        <w:t>)</w:t>
      </w:r>
      <w:r w:rsidR="00B91238">
        <w:rPr>
          <w:rFonts w:cs="Arial"/>
          <w:i/>
          <w:sz w:val="20"/>
          <w:szCs w:val="20"/>
        </w:rPr>
        <w:t>.</w:t>
      </w:r>
    </w:p>
    <w:p w14:paraId="40510894" w14:textId="37BD0E90" w:rsidR="00B658DF" w:rsidRDefault="00B658DF" w:rsidP="00B658DF">
      <w:pPr>
        <w:rPr>
          <w:rFonts w:cs="Arial"/>
        </w:rPr>
      </w:pPr>
      <w:r w:rsidRPr="005E0822">
        <w:rPr>
          <w:b/>
        </w:rPr>
        <w:t>Postupně dochází ke změně struktury trhu hazardních her ve prospěch hazardních her provozovaných prostřednictvím internetu.</w:t>
      </w:r>
      <w:r>
        <w:rPr>
          <w:i/>
        </w:rPr>
        <w:t xml:space="preserve"> </w:t>
      </w:r>
      <w:r w:rsidRPr="00103268">
        <w:t>Tento t</w:t>
      </w:r>
      <w:r w:rsidR="00B91238">
        <w:t xml:space="preserve">rend je zobrazen také na </w:t>
      </w:r>
      <w:r w:rsidR="00B91238" w:rsidRPr="00B91238">
        <w:t>g</w:t>
      </w:r>
      <w:r w:rsidRPr="00B91238">
        <w:t xml:space="preserve">rafu </w:t>
      </w:r>
      <w:r w:rsidR="00B91238" w:rsidRPr="00B91238">
        <w:t xml:space="preserve">č. </w:t>
      </w:r>
      <w:r w:rsidRPr="00B91238">
        <w:t>3</w:t>
      </w:r>
      <w:r w:rsidR="00BE434B">
        <w:t>6</w:t>
      </w:r>
      <w:r w:rsidRPr="00B91238">
        <w:t>.</w:t>
      </w:r>
      <w:r>
        <w:t xml:space="preserve"> </w:t>
      </w:r>
    </w:p>
    <w:p w14:paraId="334BC663" w14:textId="2EB28785" w:rsidR="00B91238" w:rsidRDefault="00B91238" w:rsidP="00B91238">
      <w:pPr>
        <w:pStyle w:val="Titulek"/>
        <w:keepNext/>
      </w:pPr>
      <w:bookmarkStart w:id="133" w:name="_Toc73611464"/>
      <w:r>
        <w:t xml:space="preserve">Graf č. </w:t>
      </w:r>
      <w:fldSimple w:instr=" SEQ Graf_č. \* ARABIC ">
        <w:r w:rsidR="00A860B8">
          <w:rPr>
            <w:noProof/>
          </w:rPr>
          <w:t>36</w:t>
        </w:r>
      </w:fldSimple>
      <w:r>
        <w:t xml:space="preserve">: </w:t>
      </w:r>
      <w:r w:rsidRPr="00173853">
        <w:t xml:space="preserve">Vývoj výnosu dílčí daně z jednotlivých druhů hazardních her a vývoj podílu </w:t>
      </w:r>
      <w:r w:rsidR="0081544F">
        <w:t xml:space="preserve">her v </w:t>
      </w:r>
      <w:r w:rsidRPr="00173853">
        <w:t>land</w:t>
      </w:r>
      <w:r w:rsidR="001C5AA1">
        <w:t>-</w:t>
      </w:r>
      <w:r w:rsidRPr="00173853">
        <w:t>based</w:t>
      </w:r>
      <w:r w:rsidR="0081544F">
        <w:t xml:space="preserve"> prostředí</w:t>
      </w:r>
      <w:r w:rsidRPr="00173853">
        <w:t xml:space="preserve"> a</w:t>
      </w:r>
      <w:r w:rsidR="0081544F">
        <w:t xml:space="preserve"> her na</w:t>
      </w:r>
      <w:r w:rsidRPr="00173853">
        <w:t xml:space="preserve"> internetu na tomto výnosu za období 2013–2020</w:t>
      </w:r>
      <w:bookmarkEnd w:id="133"/>
    </w:p>
    <w:p w14:paraId="738BD4A9" w14:textId="77777777" w:rsidR="00B658DF" w:rsidRDefault="00B658DF" w:rsidP="00B658DF">
      <w:pPr>
        <w:keepNext/>
        <w:spacing w:after="80"/>
      </w:pPr>
      <w:r>
        <w:rPr>
          <w:rFonts w:cs="Arial"/>
          <w:noProof/>
          <w:lang w:eastAsia="cs-CZ"/>
        </w:rPr>
        <w:drawing>
          <wp:inline distT="0" distB="0" distL="0" distR="0" wp14:anchorId="2138798F" wp14:editId="0E9C1E4C">
            <wp:extent cx="5495925" cy="3209925"/>
            <wp:effectExtent l="0" t="0" r="9525" b="9525"/>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66A3B6C" w14:textId="5F23C777" w:rsidR="00B658DF" w:rsidRDefault="00B658DF" w:rsidP="00B658DF">
      <w:pPr>
        <w:rPr>
          <w:rFonts w:cs="Arial"/>
          <w:i/>
          <w:sz w:val="20"/>
          <w:szCs w:val="20"/>
        </w:rPr>
      </w:pPr>
      <w:r w:rsidRPr="006003CE">
        <w:rPr>
          <w:rFonts w:cs="Arial"/>
          <w:i/>
          <w:sz w:val="20"/>
          <w:szCs w:val="20"/>
        </w:rPr>
        <w:t>Zdroj: Agregovaná data z daňových přiznání k dani</w:t>
      </w:r>
      <w:r>
        <w:rPr>
          <w:rFonts w:cs="Arial"/>
          <w:i/>
          <w:sz w:val="20"/>
          <w:szCs w:val="20"/>
        </w:rPr>
        <w:t xml:space="preserve"> z hazardních her (GFŘ</w:t>
      </w:r>
      <w:r w:rsidRPr="006003CE">
        <w:rPr>
          <w:rFonts w:cs="Arial"/>
          <w:i/>
          <w:sz w:val="20"/>
          <w:szCs w:val="20"/>
        </w:rPr>
        <w:t>)</w:t>
      </w:r>
      <w:r w:rsidR="00B91238">
        <w:rPr>
          <w:rFonts w:cs="Arial"/>
          <w:i/>
          <w:sz w:val="20"/>
          <w:szCs w:val="20"/>
        </w:rPr>
        <w:t>.</w:t>
      </w:r>
    </w:p>
    <w:p w14:paraId="44768AF5" w14:textId="62A18042" w:rsidR="00B658DF" w:rsidRDefault="00B91238" w:rsidP="00651FFD">
      <w:r w:rsidRPr="00B91238">
        <w:lastRenderedPageBreak/>
        <w:t>Graf č. 3</w:t>
      </w:r>
      <w:r w:rsidR="00BE434B">
        <w:t>7</w:t>
      </w:r>
      <w:r w:rsidR="00B658DF" w:rsidRPr="00B91238">
        <w:t xml:space="preserve"> ukazuje</w:t>
      </w:r>
      <w:r w:rsidR="00B658DF">
        <w:t xml:space="preserve"> relativní podíly jednotlivých druhů hazardních her na celostátních výnosech daně z hazardních her. V období od roku 2013 se postupně oslabuje dominantní postavení technické hry v rámci daňo</w:t>
      </w:r>
      <w:r>
        <w:t>vých příjmů, přesto za rok 2020 </w:t>
      </w:r>
      <w:r w:rsidR="00B658DF">
        <w:t>dosáhla přes 50 %. Druhé největší výnosy byly do roku 2019 zaznamenány u</w:t>
      </w:r>
      <w:r w:rsidR="0081544F">
        <w:t> </w:t>
      </w:r>
      <w:r w:rsidR="00B658DF">
        <w:t xml:space="preserve">kursové sázky, ovšem v roce 2020 se daňové výnosy </w:t>
      </w:r>
      <w:r w:rsidR="0084748E">
        <w:t>u loterie znatelně zvýšily, což </w:t>
      </w:r>
      <w:r w:rsidR="00B658DF">
        <w:t>je způsobeno zejména zvýšením daňové sazby na 35 % a rovněž bylo možné pozorovat navýšení základu daně z loterií. Daňový výnos z loterie vykazoval do roku 2019 pouze pomalejší meziroční tempo růstu.</w:t>
      </w:r>
    </w:p>
    <w:p w14:paraId="6FFA53FD" w14:textId="75EC2101" w:rsidR="00B91238" w:rsidRDefault="00B91238" w:rsidP="00B91238">
      <w:pPr>
        <w:pStyle w:val="Titulek"/>
        <w:keepNext/>
      </w:pPr>
      <w:bookmarkStart w:id="134" w:name="_Toc73611465"/>
      <w:r>
        <w:t xml:space="preserve">Graf č. </w:t>
      </w:r>
      <w:fldSimple w:instr=" SEQ Graf_č. \* ARABIC ">
        <w:r w:rsidR="00A860B8">
          <w:rPr>
            <w:noProof/>
          </w:rPr>
          <w:t>37</w:t>
        </w:r>
      </w:fldSimple>
      <w:r>
        <w:t xml:space="preserve">: </w:t>
      </w:r>
      <w:r w:rsidRPr="00EB3702">
        <w:t>Podíl jednotlivých druhů hazardních her na výnosu daně z hazardních her za období 2013–2020</w:t>
      </w:r>
      <w:bookmarkEnd w:id="134"/>
    </w:p>
    <w:p w14:paraId="0FFC173E" w14:textId="77777777" w:rsidR="00B658DF" w:rsidRDefault="00B658DF" w:rsidP="00B658DF">
      <w:pPr>
        <w:keepNext/>
        <w:spacing w:after="80"/>
      </w:pPr>
      <w:r>
        <w:rPr>
          <w:rFonts w:cs="Arial"/>
          <w:noProof/>
          <w:lang w:eastAsia="cs-CZ"/>
        </w:rPr>
        <w:drawing>
          <wp:inline distT="0" distB="0" distL="0" distR="0" wp14:anchorId="1642F7B1" wp14:editId="274C648B">
            <wp:extent cx="5486400" cy="3200400"/>
            <wp:effectExtent l="0" t="0" r="0" b="0"/>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5145F11" w14:textId="77777777" w:rsidR="00B658DF" w:rsidRPr="00EC3CF3" w:rsidRDefault="00B658DF" w:rsidP="00B658DF">
      <w:pPr>
        <w:rPr>
          <w:i/>
          <w:sz w:val="20"/>
        </w:rPr>
      </w:pPr>
      <w:r w:rsidRPr="00EC3CF3">
        <w:rPr>
          <w:i/>
          <w:sz w:val="20"/>
        </w:rPr>
        <w:t>Zdroj: Agregovaná data z daňových přizn</w:t>
      </w:r>
      <w:r>
        <w:rPr>
          <w:i/>
          <w:sz w:val="20"/>
        </w:rPr>
        <w:t>ání k dani z hazardních her (GFŘ</w:t>
      </w:r>
      <w:r w:rsidRPr="00EC3CF3">
        <w:rPr>
          <w:i/>
          <w:sz w:val="20"/>
        </w:rPr>
        <w:t>).</w:t>
      </w:r>
    </w:p>
    <w:p w14:paraId="098FFC33" w14:textId="2A7F64DF" w:rsidR="00B658DF" w:rsidRDefault="00BE434B" w:rsidP="00651FFD">
      <w:r>
        <w:t>Graf č. 38</w:t>
      </w:r>
      <w:r w:rsidR="00B658DF">
        <w:t xml:space="preserve"> ukazuje vývoj inkasa daně z hazardních her a jeho rozdělení mezi státní a</w:t>
      </w:r>
      <w:r w:rsidR="00611336">
        <w:t> </w:t>
      </w:r>
      <w:r w:rsidR="00B658DF">
        <w:t>obecní rozpočty. Příjmy obcí z daní z hazardních</w:t>
      </w:r>
      <w:r w:rsidR="00B91238">
        <w:t xml:space="preserve"> her dosahovaly mezi roky 2018  a </w:t>
      </w:r>
      <w:r w:rsidR="00B658DF">
        <w:t>2020 nejnižších hodnot za celé sledované období. Důvodem je nejen snížení podílu obcí z výnosu daně z technické hry, ale také celkové snížení daňových výnosů z technické hry za tyto roky. Z grafu je také patrné, že příjmy státního rozpočtu z daně z hazardních her postupně téměř dorovnaly příjmy obcí,</w:t>
      </w:r>
      <w:r w:rsidR="00B658DF" w:rsidRPr="002B7C34">
        <w:t xml:space="preserve"> </w:t>
      </w:r>
      <w:r w:rsidR="00B658DF">
        <w:t>což se</w:t>
      </w:r>
      <w:r w:rsidR="0084748E">
        <w:t xml:space="preserve"> ale neděje na </w:t>
      </w:r>
      <w:r w:rsidR="00B658DF">
        <w:t>úkor obcí, jelikož jejich příjmy neklesají. Do konce roku 2015 netvořily výnosy plynoucí státu ani 50 % obecních příjmů z hazardních her, ovšem po úpravě poměru rozpočtového určení daní v roce 2016 došlo k velkému nárůstu příjmů státního rozpočtu z hazardních her, který se v následujících letech relativně přibližoval k úrovni příjmů obcí, což bylo způsobeno p</w:t>
      </w:r>
      <w:r w:rsidR="0084748E">
        <w:t>oklesem podílu technické hry na </w:t>
      </w:r>
      <w:r w:rsidR="00B658DF">
        <w:t>celkových výnosech daně z technických her.</w:t>
      </w:r>
    </w:p>
    <w:p w14:paraId="73A71E03" w14:textId="379522C5" w:rsidR="00B96839" w:rsidRDefault="00B96839" w:rsidP="00B96839">
      <w:pPr>
        <w:pStyle w:val="Titulek"/>
        <w:keepNext/>
      </w:pPr>
      <w:bookmarkStart w:id="135" w:name="_Toc73611466"/>
      <w:r>
        <w:lastRenderedPageBreak/>
        <w:t xml:space="preserve">Graf č. </w:t>
      </w:r>
      <w:fldSimple w:instr=" SEQ Graf_č. \* ARABIC ">
        <w:r w:rsidR="00A860B8">
          <w:rPr>
            <w:noProof/>
          </w:rPr>
          <w:t>38</w:t>
        </w:r>
      </w:fldSimple>
      <w:r>
        <w:t xml:space="preserve">: </w:t>
      </w:r>
      <w:r w:rsidRPr="004938B0">
        <w:t>Rozpočtové určení daní z hazard</w:t>
      </w:r>
      <w:r w:rsidR="0084748E">
        <w:t>ních her za období 2012–2020 (v </w:t>
      </w:r>
      <w:r w:rsidRPr="004938B0">
        <w:t>mld.</w:t>
      </w:r>
      <w:r w:rsidR="0084748E">
        <w:t> </w:t>
      </w:r>
      <w:r w:rsidR="00560FF2">
        <w:t>Kč</w:t>
      </w:r>
      <w:r w:rsidRPr="004938B0">
        <w:t>)</w:t>
      </w:r>
      <w:bookmarkEnd w:id="135"/>
    </w:p>
    <w:p w14:paraId="73CAEF04" w14:textId="2825F739" w:rsidR="00B658DF" w:rsidRDefault="00B658DF" w:rsidP="00B658DF">
      <w:pPr>
        <w:pStyle w:val="Titulek"/>
      </w:pPr>
      <w:r>
        <w:rPr>
          <w:noProof/>
          <w:lang w:eastAsia="cs-CZ"/>
        </w:rPr>
        <w:drawing>
          <wp:inline distT="0" distB="0" distL="0" distR="0" wp14:anchorId="02E2B906" wp14:editId="4EE0CE6E">
            <wp:extent cx="5495925" cy="3209925"/>
            <wp:effectExtent l="0" t="0" r="9525" b="952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B405906" w14:textId="359CD2E2" w:rsidR="00B658DF" w:rsidRPr="00B96839" w:rsidRDefault="00B96839" w:rsidP="00B658DF">
      <w:pPr>
        <w:spacing w:before="120" w:after="240"/>
        <w:rPr>
          <w:rFonts w:cs="Arial"/>
          <w:i/>
          <w:sz w:val="20"/>
          <w:szCs w:val="24"/>
        </w:rPr>
      </w:pPr>
      <w:r w:rsidRPr="00B96839">
        <w:rPr>
          <w:rFonts w:cs="Arial"/>
          <w:i/>
          <w:sz w:val="20"/>
          <w:szCs w:val="24"/>
        </w:rPr>
        <w:t>Zdroj:</w:t>
      </w:r>
      <w:r w:rsidR="00916F46">
        <w:rPr>
          <w:rFonts w:cs="Arial"/>
          <w:i/>
          <w:sz w:val="20"/>
          <w:szCs w:val="24"/>
        </w:rPr>
        <w:t xml:space="preserve"> Ministerstvo financí.</w:t>
      </w:r>
    </w:p>
    <w:p w14:paraId="7EA41CA8" w14:textId="6204B816" w:rsidR="00B658DF" w:rsidRDefault="00B658DF" w:rsidP="00651FFD">
      <w:r w:rsidRPr="005E0822">
        <w:rPr>
          <w:b/>
        </w:rPr>
        <w:t xml:space="preserve">Zákon o dani z hazardních her umožnil také </w:t>
      </w:r>
      <w:r w:rsidR="00246653">
        <w:rPr>
          <w:b/>
        </w:rPr>
        <w:t>z</w:t>
      </w:r>
      <w:r w:rsidRPr="005E0822">
        <w:rPr>
          <w:b/>
        </w:rPr>
        <w:t>danění nelegálních provozovatelů.</w:t>
      </w:r>
      <w:r>
        <w:t xml:space="preserve"> Tato úprava je uplatňována a její cíl</w:t>
      </w:r>
      <w:r w:rsidR="006B5535">
        <w:t xml:space="preserve"> zaměřující se na srovnání podmínek na trhu s hazardními hrami a učinění nelegálního provozování méně výhodným</w:t>
      </w:r>
      <w:r>
        <w:t xml:space="preserve">, je tedy plněn. </w:t>
      </w:r>
      <w:r w:rsidRPr="00B96839">
        <w:t xml:space="preserve">Tabulka </w:t>
      </w:r>
      <w:r w:rsidR="00B96839" w:rsidRPr="00B96839">
        <w:t>č. 9</w:t>
      </w:r>
      <w:r>
        <w:t xml:space="preserve"> ukazuje mimo jiné částky, které se díky možnosti zdanění nelegálních provozovatelů podařilo státu na dani z hazardních her vybrat.</w:t>
      </w:r>
    </w:p>
    <w:p w14:paraId="79F59032" w14:textId="516F5DDA" w:rsidR="00B96839" w:rsidRDefault="00B96839" w:rsidP="00B96839">
      <w:pPr>
        <w:pStyle w:val="Titulek"/>
        <w:keepNext/>
      </w:pPr>
      <w:bookmarkStart w:id="136" w:name="_Toc73524687"/>
      <w:r>
        <w:t xml:space="preserve">Tabulka č. </w:t>
      </w:r>
      <w:fldSimple w:instr=" SEQ Tabulka_č. \* ARABIC ">
        <w:r w:rsidR="00B0565F">
          <w:rPr>
            <w:noProof/>
          </w:rPr>
          <w:t>10</w:t>
        </w:r>
      </w:fldSimple>
      <w:r>
        <w:t xml:space="preserve">: </w:t>
      </w:r>
      <w:r w:rsidRPr="0034227E">
        <w:t>Přehled zdanění nelegálních provozovatelů za období 2017–2020</w:t>
      </w:r>
      <w:bookmarkEnd w:id="136"/>
    </w:p>
    <w:tbl>
      <w:tblPr>
        <w:tblStyle w:val="Mkatabulky"/>
        <w:tblW w:w="0" w:type="auto"/>
        <w:tblLook w:val="04A0" w:firstRow="1" w:lastRow="0" w:firstColumn="1" w:lastColumn="0" w:noHBand="0" w:noVBand="1"/>
      </w:tblPr>
      <w:tblGrid>
        <w:gridCol w:w="3292"/>
        <w:gridCol w:w="1418"/>
        <w:gridCol w:w="1417"/>
        <w:gridCol w:w="1098"/>
        <w:gridCol w:w="1477"/>
      </w:tblGrid>
      <w:tr w:rsidR="00B658DF" w14:paraId="1E422F58" w14:textId="77777777" w:rsidTr="00B658DF">
        <w:tc>
          <w:tcPr>
            <w:tcW w:w="3292" w:type="dxa"/>
          </w:tcPr>
          <w:p w14:paraId="1FF6EFA6" w14:textId="77777777" w:rsidR="00B658DF" w:rsidRPr="005E0822" w:rsidRDefault="00B658DF" w:rsidP="00B658DF">
            <w:pPr>
              <w:pStyle w:val="Odstavecseseznamem"/>
              <w:spacing w:after="120"/>
              <w:ind w:left="0"/>
              <w:rPr>
                <w:rFonts w:ascii="Arial" w:hAnsi="Arial" w:cs="Arial"/>
                <w:sz w:val="24"/>
              </w:rPr>
            </w:pPr>
          </w:p>
        </w:tc>
        <w:tc>
          <w:tcPr>
            <w:tcW w:w="1418" w:type="dxa"/>
          </w:tcPr>
          <w:p w14:paraId="5F548174" w14:textId="77777777" w:rsidR="00B658DF" w:rsidRPr="005E0822" w:rsidRDefault="00B658DF" w:rsidP="00B658DF">
            <w:pPr>
              <w:pStyle w:val="Odstavecseseznamem"/>
              <w:spacing w:after="120"/>
              <w:ind w:left="0"/>
              <w:jc w:val="center"/>
              <w:rPr>
                <w:rFonts w:ascii="Arial" w:hAnsi="Arial" w:cs="Arial"/>
                <w:b/>
                <w:sz w:val="24"/>
              </w:rPr>
            </w:pPr>
            <w:r w:rsidRPr="005E0822">
              <w:rPr>
                <w:rFonts w:ascii="Arial" w:hAnsi="Arial" w:cs="Arial"/>
                <w:b/>
                <w:sz w:val="24"/>
              </w:rPr>
              <w:t>2017</w:t>
            </w:r>
          </w:p>
        </w:tc>
        <w:tc>
          <w:tcPr>
            <w:tcW w:w="1417" w:type="dxa"/>
          </w:tcPr>
          <w:p w14:paraId="47F72A4A" w14:textId="77777777" w:rsidR="00B658DF" w:rsidRPr="005E0822" w:rsidRDefault="00B658DF" w:rsidP="00B658DF">
            <w:pPr>
              <w:pStyle w:val="Odstavecseseznamem"/>
              <w:spacing w:after="120"/>
              <w:ind w:left="0"/>
              <w:jc w:val="center"/>
              <w:rPr>
                <w:rFonts w:ascii="Arial" w:hAnsi="Arial" w:cs="Arial"/>
                <w:b/>
                <w:sz w:val="24"/>
              </w:rPr>
            </w:pPr>
            <w:r w:rsidRPr="005E0822">
              <w:rPr>
                <w:rFonts w:ascii="Arial" w:hAnsi="Arial" w:cs="Arial"/>
                <w:b/>
                <w:sz w:val="24"/>
              </w:rPr>
              <w:t>2018</w:t>
            </w:r>
          </w:p>
        </w:tc>
        <w:tc>
          <w:tcPr>
            <w:tcW w:w="1098" w:type="dxa"/>
          </w:tcPr>
          <w:p w14:paraId="701E28FB" w14:textId="77777777" w:rsidR="00B658DF" w:rsidRPr="005E0822" w:rsidRDefault="00B658DF" w:rsidP="00B658DF">
            <w:pPr>
              <w:pStyle w:val="Odstavecseseznamem"/>
              <w:spacing w:after="120"/>
              <w:ind w:left="0"/>
              <w:jc w:val="center"/>
              <w:rPr>
                <w:rFonts w:ascii="Arial" w:hAnsi="Arial" w:cs="Arial"/>
                <w:b/>
                <w:sz w:val="24"/>
              </w:rPr>
            </w:pPr>
            <w:r w:rsidRPr="005E0822">
              <w:rPr>
                <w:rFonts w:ascii="Arial" w:hAnsi="Arial" w:cs="Arial"/>
                <w:b/>
                <w:sz w:val="24"/>
              </w:rPr>
              <w:t>2019</w:t>
            </w:r>
          </w:p>
        </w:tc>
        <w:tc>
          <w:tcPr>
            <w:tcW w:w="1477" w:type="dxa"/>
          </w:tcPr>
          <w:p w14:paraId="501705B1" w14:textId="77777777" w:rsidR="00B658DF" w:rsidRPr="005E0822" w:rsidRDefault="00B658DF" w:rsidP="00B658DF">
            <w:pPr>
              <w:pStyle w:val="Odstavecseseznamem"/>
              <w:spacing w:after="120"/>
              <w:ind w:left="0"/>
              <w:jc w:val="center"/>
              <w:rPr>
                <w:rFonts w:ascii="Arial" w:hAnsi="Arial" w:cs="Arial"/>
                <w:b/>
                <w:sz w:val="24"/>
              </w:rPr>
            </w:pPr>
            <w:r w:rsidRPr="005E0822">
              <w:rPr>
                <w:rFonts w:ascii="Arial" w:hAnsi="Arial" w:cs="Arial"/>
                <w:b/>
                <w:sz w:val="24"/>
              </w:rPr>
              <w:t>2020</w:t>
            </w:r>
          </w:p>
        </w:tc>
      </w:tr>
      <w:tr w:rsidR="00B658DF" w14:paraId="078BCB27" w14:textId="77777777" w:rsidTr="00B658DF">
        <w:tc>
          <w:tcPr>
            <w:tcW w:w="3292" w:type="dxa"/>
          </w:tcPr>
          <w:p w14:paraId="6C1F06DA"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Daňová přiznání (ks)</w:t>
            </w:r>
          </w:p>
        </w:tc>
        <w:tc>
          <w:tcPr>
            <w:tcW w:w="1418" w:type="dxa"/>
          </w:tcPr>
          <w:p w14:paraId="7D56C8C3"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3</w:t>
            </w:r>
          </w:p>
        </w:tc>
        <w:tc>
          <w:tcPr>
            <w:tcW w:w="1417" w:type="dxa"/>
          </w:tcPr>
          <w:p w14:paraId="0560CC84"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w:t>
            </w:r>
          </w:p>
        </w:tc>
        <w:tc>
          <w:tcPr>
            <w:tcW w:w="1098" w:type="dxa"/>
          </w:tcPr>
          <w:p w14:paraId="6D92982D"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0</w:t>
            </w:r>
          </w:p>
        </w:tc>
        <w:tc>
          <w:tcPr>
            <w:tcW w:w="1477" w:type="dxa"/>
          </w:tcPr>
          <w:p w14:paraId="2BE4E757"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0</w:t>
            </w:r>
          </w:p>
        </w:tc>
      </w:tr>
      <w:tr w:rsidR="00B658DF" w14:paraId="71DFCA94" w14:textId="77777777" w:rsidTr="00B658DF">
        <w:tc>
          <w:tcPr>
            <w:tcW w:w="3292" w:type="dxa"/>
          </w:tcPr>
          <w:p w14:paraId="18FD42C7"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Výše přiznaných částek za daňová přiznání (Kč)</w:t>
            </w:r>
          </w:p>
        </w:tc>
        <w:tc>
          <w:tcPr>
            <w:tcW w:w="1418" w:type="dxa"/>
          </w:tcPr>
          <w:p w14:paraId="46F79B31"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1 576 443</w:t>
            </w:r>
          </w:p>
        </w:tc>
        <w:tc>
          <w:tcPr>
            <w:tcW w:w="1417" w:type="dxa"/>
          </w:tcPr>
          <w:p w14:paraId="24098AE8"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810 267</w:t>
            </w:r>
          </w:p>
        </w:tc>
        <w:tc>
          <w:tcPr>
            <w:tcW w:w="1098" w:type="dxa"/>
          </w:tcPr>
          <w:p w14:paraId="1D22B389"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0</w:t>
            </w:r>
          </w:p>
        </w:tc>
        <w:tc>
          <w:tcPr>
            <w:tcW w:w="1477" w:type="dxa"/>
          </w:tcPr>
          <w:p w14:paraId="574E4CA9"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0</w:t>
            </w:r>
          </w:p>
        </w:tc>
      </w:tr>
      <w:tr w:rsidR="00B658DF" w14:paraId="21CFF1E3" w14:textId="77777777" w:rsidTr="00B658DF">
        <w:tc>
          <w:tcPr>
            <w:tcW w:w="3292" w:type="dxa"/>
          </w:tcPr>
          <w:p w14:paraId="316B9224"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Výzvy k podání dodatečného daňového přiznání (ks)</w:t>
            </w:r>
          </w:p>
        </w:tc>
        <w:tc>
          <w:tcPr>
            <w:tcW w:w="1418" w:type="dxa"/>
          </w:tcPr>
          <w:p w14:paraId="06D24B05"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50</w:t>
            </w:r>
          </w:p>
        </w:tc>
        <w:tc>
          <w:tcPr>
            <w:tcW w:w="1417" w:type="dxa"/>
          </w:tcPr>
          <w:p w14:paraId="4C94AD6C"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12</w:t>
            </w:r>
          </w:p>
        </w:tc>
        <w:tc>
          <w:tcPr>
            <w:tcW w:w="1098" w:type="dxa"/>
          </w:tcPr>
          <w:p w14:paraId="7ECDE152"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291</w:t>
            </w:r>
          </w:p>
        </w:tc>
        <w:tc>
          <w:tcPr>
            <w:tcW w:w="1477" w:type="dxa"/>
          </w:tcPr>
          <w:p w14:paraId="3B4A05DE"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576</w:t>
            </w:r>
          </w:p>
        </w:tc>
      </w:tr>
      <w:tr w:rsidR="00B658DF" w14:paraId="56400065" w14:textId="77777777" w:rsidTr="00B658DF">
        <w:tc>
          <w:tcPr>
            <w:tcW w:w="3292" w:type="dxa"/>
          </w:tcPr>
          <w:p w14:paraId="417F5BF2"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Dodatečná daňová přiznání na základě výzvy (ks)</w:t>
            </w:r>
          </w:p>
        </w:tc>
        <w:tc>
          <w:tcPr>
            <w:tcW w:w="1418" w:type="dxa"/>
          </w:tcPr>
          <w:p w14:paraId="4DF71B85"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10</w:t>
            </w:r>
          </w:p>
        </w:tc>
        <w:tc>
          <w:tcPr>
            <w:tcW w:w="1417" w:type="dxa"/>
          </w:tcPr>
          <w:p w14:paraId="1BE79788"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12</w:t>
            </w:r>
          </w:p>
        </w:tc>
        <w:tc>
          <w:tcPr>
            <w:tcW w:w="1098" w:type="dxa"/>
          </w:tcPr>
          <w:p w14:paraId="1EAD0A8F"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136</w:t>
            </w:r>
          </w:p>
        </w:tc>
        <w:tc>
          <w:tcPr>
            <w:tcW w:w="1477" w:type="dxa"/>
          </w:tcPr>
          <w:p w14:paraId="6F7AD4BB"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273</w:t>
            </w:r>
          </w:p>
        </w:tc>
      </w:tr>
      <w:tr w:rsidR="00B658DF" w14:paraId="105C247E" w14:textId="77777777" w:rsidTr="00B658DF">
        <w:tc>
          <w:tcPr>
            <w:tcW w:w="3292" w:type="dxa"/>
          </w:tcPr>
          <w:p w14:paraId="705C0345"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Výše přiznaných částek za dodatečná daňová přiznání (Kč)</w:t>
            </w:r>
          </w:p>
        </w:tc>
        <w:tc>
          <w:tcPr>
            <w:tcW w:w="1418" w:type="dxa"/>
          </w:tcPr>
          <w:p w14:paraId="14F67371"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20 011 831</w:t>
            </w:r>
          </w:p>
        </w:tc>
        <w:tc>
          <w:tcPr>
            <w:tcW w:w="1417" w:type="dxa"/>
          </w:tcPr>
          <w:p w14:paraId="4DB775D0"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12 226 079</w:t>
            </w:r>
          </w:p>
        </w:tc>
        <w:tc>
          <w:tcPr>
            <w:tcW w:w="1098" w:type="dxa"/>
          </w:tcPr>
          <w:p w14:paraId="122F9C82"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715 780</w:t>
            </w:r>
          </w:p>
        </w:tc>
        <w:tc>
          <w:tcPr>
            <w:tcW w:w="1477" w:type="dxa"/>
          </w:tcPr>
          <w:p w14:paraId="4793E8F0"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2 501 121</w:t>
            </w:r>
          </w:p>
        </w:tc>
      </w:tr>
      <w:tr w:rsidR="00B658DF" w14:paraId="3D310190" w14:textId="77777777" w:rsidTr="00B658DF">
        <w:tc>
          <w:tcPr>
            <w:tcW w:w="3292" w:type="dxa"/>
          </w:tcPr>
          <w:p w14:paraId="39F0BF6E" w14:textId="77777777" w:rsidR="00B658DF" w:rsidRPr="005E0822" w:rsidRDefault="00B658DF" w:rsidP="00B658DF">
            <w:pPr>
              <w:pStyle w:val="Odstavecseseznamem"/>
              <w:spacing w:after="120"/>
              <w:ind w:left="0"/>
              <w:rPr>
                <w:rFonts w:ascii="Arial" w:hAnsi="Arial" w:cs="Arial"/>
                <w:b/>
                <w:sz w:val="24"/>
              </w:rPr>
            </w:pPr>
            <w:r w:rsidRPr="005E0822">
              <w:rPr>
                <w:rFonts w:ascii="Arial" w:hAnsi="Arial" w:cs="Arial"/>
                <w:b/>
                <w:sz w:val="24"/>
              </w:rPr>
              <w:t>Počet zahájených daňových kontrol</w:t>
            </w:r>
          </w:p>
        </w:tc>
        <w:tc>
          <w:tcPr>
            <w:tcW w:w="1418" w:type="dxa"/>
          </w:tcPr>
          <w:p w14:paraId="63ECA7A4"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0</w:t>
            </w:r>
          </w:p>
        </w:tc>
        <w:tc>
          <w:tcPr>
            <w:tcW w:w="1417" w:type="dxa"/>
          </w:tcPr>
          <w:p w14:paraId="08E81FC4"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10</w:t>
            </w:r>
          </w:p>
        </w:tc>
        <w:tc>
          <w:tcPr>
            <w:tcW w:w="1098" w:type="dxa"/>
          </w:tcPr>
          <w:p w14:paraId="4C1745DE"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12</w:t>
            </w:r>
          </w:p>
        </w:tc>
        <w:tc>
          <w:tcPr>
            <w:tcW w:w="1477" w:type="dxa"/>
          </w:tcPr>
          <w:p w14:paraId="33E0412C" w14:textId="77777777" w:rsidR="00B658DF" w:rsidRPr="005E0822" w:rsidRDefault="00B658DF" w:rsidP="00B658DF">
            <w:pPr>
              <w:pStyle w:val="Odstavecseseznamem"/>
              <w:spacing w:after="120"/>
              <w:ind w:left="0"/>
              <w:jc w:val="center"/>
              <w:rPr>
                <w:rFonts w:ascii="Arial" w:hAnsi="Arial" w:cs="Arial"/>
                <w:sz w:val="24"/>
              </w:rPr>
            </w:pPr>
            <w:r w:rsidRPr="005E0822">
              <w:rPr>
                <w:rFonts w:ascii="Arial" w:hAnsi="Arial" w:cs="Arial"/>
                <w:sz w:val="24"/>
              </w:rPr>
              <w:t>115</w:t>
            </w:r>
          </w:p>
        </w:tc>
      </w:tr>
    </w:tbl>
    <w:p w14:paraId="1C15BD38" w14:textId="77777777" w:rsidR="00B658DF" w:rsidRPr="002C583A" w:rsidRDefault="00B658DF" w:rsidP="00B658DF">
      <w:pPr>
        <w:rPr>
          <w:i/>
          <w:sz w:val="20"/>
        </w:rPr>
      </w:pPr>
      <w:r w:rsidRPr="002C583A">
        <w:rPr>
          <w:i/>
          <w:sz w:val="20"/>
        </w:rPr>
        <w:t>Zdroj: Specializovaný finanční úřad.</w:t>
      </w:r>
    </w:p>
    <w:p w14:paraId="3ABC723C" w14:textId="71A39F77" w:rsidR="00586306" w:rsidRPr="005E0822" w:rsidRDefault="00217926" w:rsidP="00B01C1B">
      <w:pPr>
        <w:rPr>
          <w:rFonts w:cs="Arial"/>
          <w:szCs w:val="24"/>
        </w:rPr>
      </w:pPr>
      <w:r w:rsidRPr="00E03B34">
        <w:rPr>
          <w:rFonts w:cs="Arial"/>
          <w:szCs w:val="24"/>
        </w:rPr>
        <w:t>V</w:t>
      </w:r>
      <w:r w:rsidR="00B658DF" w:rsidRPr="00E03B34">
        <w:rPr>
          <w:rFonts w:cs="Arial"/>
          <w:szCs w:val="24"/>
        </w:rPr>
        <w:t>ýnosy daně z hazardních h</w:t>
      </w:r>
      <w:r w:rsidR="00B94C24" w:rsidRPr="00E03B34">
        <w:rPr>
          <w:rFonts w:cs="Arial"/>
          <w:szCs w:val="24"/>
        </w:rPr>
        <w:t>er odráží výše uvedené závěry o </w:t>
      </w:r>
      <w:r w:rsidR="00B658DF" w:rsidRPr="00E03B34">
        <w:rPr>
          <w:rFonts w:cs="Arial"/>
          <w:szCs w:val="24"/>
        </w:rPr>
        <w:t>vývoji na trhu hazardních her jako je</w:t>
      </w:r>
      <w:r w:rsidR="00B658DF" w:rsidRPr="005E0822">
        <w:rPr>
          <w:rFonts w:cs="Arial"/>
          <w:b/>
          <w:szCs w:val="24"/>
        </w:rPr>
        <w:t xml:space="preserve"> zvy</w:t>
      </w:r>
      <w:r w:rsidR="00B94C24">
        <w:rPr>
          <w:rFonts w:cs="Arial"/>
          <w:b/>
          <w:szCs w:val="24"/>
        </w:rPr>
        <w:t>šování podílu internetové hry a </w:t>
      </w:r>
      <w:r w:rsidR="00B658DF" w:rsidRPr="005E0822">
        <w:rPr>
          <w:rFonts w:cs="Arial"/>
          <w:b/>
          <w:szCs w:val="24"/>
        </w:rPr>
        <w:t xml:space="preserve">pokles povolených </w:t>
      </w:r>
      <w:r w:rsidR="00B658DF" w:rsidRPr="005E0822">
        <w:rPr>
          <w:rFonts w:cs="Arial"/>
          <w:b/>
          <w:szCs w:val="24"/>
        </w:rPr>
        <w:lastRenderedPageBreak/>
        <w:t>herních pozic technické hry.</w:t>
      </w:r>
      <w:r w:rsidRPr="005E0822">
        <w:rPr>
          <w:rFonts w:cs="Arial"/>
          <w:b/>
          <w:szCs w:val="24"/>
        </w:rPr>
        <w:t xml:space="preserve"> </w:t>
      </w:r>
      <w:r w:rsidRPr="00F8198A">
        <w:rPr>
          <w:rFonts w:cs="Arial"/>
          <w:szCs w:val="24"/>
        </w:rPr>
        <w:t>K zásadnímu</w:t>
      </w:r>
      <w:r w:rsidRPr="005E0822">
        <w:rPr>
          <w:rFonts w:cs="Arial"/>
          <w:b/>
          <w:szCs w:val="24"/>
        </w:rPr>
        <w:t xml:space="preserve"> navýšení výnosu daně z hazardních her nedošlo, </w:t>
      </w:r>
      <w:r w:rsidRPr="00F8198A">
        <w:rPr>
          <w:rFonts w:cs="Arial"/>
          <w:szCs w:val="24"/>
        </w:rPr>
        <w:t xml:space="preserve">což </w:t>
      </w:r>
      <w:r w:rsidR="006646BC" w:rsidRPr="00F8198A">
        <w:rPr>
          <w:rFonts w:cs="Arial"/>
          <w:szCs w:val="24"/>
        </w:rPr>
        <w:t>koresponduje se skutečností, že</w:t>
      </w:r>
      <w:r w:rsidR="006646BC" w:rsidRPr="005E0822">
        <w:rPr>
          <w:rFonts w:cs="Arial"/>
          <w:b/>
          <w:szCs w:val="24"/>
        </w:rPr>
        <w:t xml:space="preserve"> fisk</w:t>
      </w:r>
      <w:r w:rsidR="0084748E">
        <w:rPr>
          <w:rFonts w:cs="Arial"/>
          <w:b/>
          <w:szCs w:val="24"/>
        </w:rPr>
        <w:t xml:space="preserve">ální efekt této daně </w:t>
      </w:r>
      <w:r w:rsidR="00F8198A">
        <w:rPr>
          <w:rFonts w:cs="Arial"/>
          <w:b/>
          <w:szCs w:val="24"/>
        </w:rPr>
        <w:t>není upřednostněn</w:t>
      </w:r>
      <w:r w:rsidR="00F8198A" w:rsidRPr="005E0822">
        <w:rPr>
          <w:rFonts w:cs="Arial"/>
          <w:b/>
          <w:szCs w:val="24"/>
        </w:rPr>
        <w:t xml:space="preserve"> </w:t>
      </w:r>
      <w:r w:rsidR="006646BC" w:rsidRPr="005E0822">
        <w:rPr>
          <w:rFonts w:cs="Arial"/>
          <w:b/>
          <w:szCs w:val="24"/>
        </w:rPr>
        <w:t xml:space="preserve">a i do budoucna bude limitován </w:t>
      </w:r>
      <w:r w:rsidR="00F8198A">
        <w:rPr>
          <w:rFonts w:cs="Arial"/>
          <w:b/>
          <w:szCs w:val="24"/>
        </w:rPr>
        <w:t xml:space="preserve">zejména </w:t>
      </w:r>
      <w:r w:rsidR="006646BC" w:rsidRPr="005E0822">
        <w:rPr>
          <w:rFonts w:cs="Arial"/>
          <w:b/>
          <w:szCs w:val="24"/>
        </w:rPr>
        <w:t>opatřeními zodpovědn</w:t>
      </w:r>
      <w:r w:rsidR="000F3028">
        <w:rPr>
          <w:rFonts w:cs="Arial"/>
          <w:b/>
          <w:szCs w:val="24"/>
        </w:rPr>
        <w:t xml:space="preserve">ého hraní </w:t>
      </w:r>
      <w:r w:rsidR="000F3028" w:rsidRPr="00F8198A">
        <w:rPr>
          <w:rFonts w:cs="Arial"/>
          <w:szCs w:val="24"/>
        </w:rPr>
        <w:t>(nejnověji spuštěním R</w:t>
      </w:r>
      <w:r w:rsidR="006646BC" w:rsidRPr="00F8198A">
        <w:rPr>
          <w:rFonts w:cs="Arial"/>
          <w:szCs w:val="24"/>
        </w:rPr>
        <w:t>ejstříku vyloučených osob).</w:t>
      </w:r>
      <w:r w:rsidR="005C5CB0" w:rsidRPr="005E0822">
        <w:rPr>
          <w:rFonts w:cs="Arial"/>
          <w:b/>
          <w:szCs w:val="24"/>
        </w:rPr>
        <w:t xml:space="preserve"> Negativní dopad </w:t>
      </w:r>
      <w:r w:rsidR="005C5CB0" w:rsidRPr="00F8198A">
        <w:rPr>
          <w:rFonts w:cs="Arial"/>
          <w:szCs w:val="24"/>
        </w:rPr>
        <w:t>na výnos má v posledním roce i</w:t>
      </w:r>
      <w:r w:rsidR="005C5CB0" w:rsidRPr="005E0822">
        <w:rPr>
          <w:rFonts w:cs="Arial"/>
          <w:b/>
          <w:szCs w:val="24"/>
        </w:rPr>
        <w:t xml:space="preserve"> situace způsobená pandemií </w:t>
      </w:r>
      <w:r w:rsidR="0081544F">
        <w:rPr>
          <w:rFonts w:cs="Arial"/>
          <w:b/>
          <w:szCs w:val="24"/>
        </w:rPr>
        <w:t>covid-</w:t>
      </w:r>
      <w:r w:rsidR="0081544F" w:rsidRPr="005E0822">
        <w:rPr>
          <w:rFonts w:cs="Arial"/>
          <w:b/>
          <w:szCs w:val="24"/>
        </w:rPr>
        <w:t>19</w:t>
      </w:r>
      <w:r w:rsidR="005C5CB0" w:rsidRPr="005E0822">
        <w:rPr>
          <w:rFonts w:cs="Arial"/>
          <w:b/>
          <w:szCs w:val="24"/>
        </w:rPr>
        <w:t>.</w:t>
      </w:r>
      <w:r w:rsidR="00B658DF">
        <w:rPr>
          <w:rFonts w:cs="Arial"/>
          <w:szCs w:val="24"/>
        </w:rPr>
        <w:t xml:space="preserve"> Podrobněji k dalším otázkám ke zdanění provozování hazardních </w:t>
      </w:r>
      <w:r w:rsidR="00B7225A">
        <w:rPr>
          <w:rFonts w:cs="Arial"/>
          <w:szCs w:val="24"/>
        </w:rPr>
        <w:t>v příloze č. 14</w:t>
      </w:r>
      <w:r w:rsidR="00B658DF">
        <w:rPr>
          <w:rFonts w:cs="Arial"/>
          <w:szCs w:val="24"/>
        </w:rPr>
        <w:t xml:space="preserve"> – Daň z hazardní</w:t>
      </w:r>
      <w:r w:rsidR="00314835">
        <w:rPr>
          <w:rFonts w:cs="Arial"/>
          <w:szCs w:val="24"/>
        </w:rPr>
        <w:t>ch</w:t>
      </w:r>
      <w:r w:rsidR="00B658DF">
        <w:rPr>
          <w:rFonts w:cs="Arial"/>
          <w:szCs w:val="24"/>
        </w:rPr>
        <w:t xml:space="preserve"> her. </w:t>
      </w:r>
    </w:p>
    <w:p w14:paraId="5CD7B06B" w14:textId="1BA1C4F3" w:rsidR="00374764" w:rsidRDefault="00374764" w:rsidP="00610772">
      <w:pPr>
        <w:pStyle w:val="Nadpis3"/>
      </w:pPr>
      <w:bookmarkStart w:id="137" w:name="_Toc72999574"/>
      <w:bookmarkStart w:id="138" w:name="_Toc73613634"/>
      <w:r w:rsidRPr="00374764">
        <w:rPr>
          <w:rStyle w:val="Nadpis3Char"/>
          <w:b/>
        </w:rPr>
        <w:t>Obecné d</w:t>
      </w:r>
      <w:r w:rsidR="00807112" w:rsidRPr="00374764">
        <w:rPr>
          <w:rStyle w:val="Nadpis3Char"/>
          <w:b/>
        </w:rPr>
        <w:t xml:space="preserve">opady nové </w:t>
      </w:r>
      <w:r w:rsidR="007D6A29" w:rsidRPr="00374764">
        <w:t>právní úpravy</w:t>
      </w:r>
      <w:r w:rsidR="00807112" w:rsidRPr="00374764">
        <w:t xml:space="preserve"> na dotčené subjekty</w:t>
      </w:r>
      <w:bookmarkEnd w:id="137"/>
      <w:bookmarkEnd w:id="138"/>
    </w:p>
    <w:p w14:paraId="2F50EB9B" w14:textId="576E5C8F" w:rsidR="00374764" w:rsidRPr="00F20D47" w:rsidRDefault="00374764" w:rsidP="00C55173">
      <w:pPr>
        <w:pStyle w:val="Nadpis6"/>
        <w:numPr>
          <w:ilvl w:val="0"/>
          <w:numId w:val="19"/>
        </w:numPr>
      </w:pPr>
      <w:bookmarkStart w:id="139" w:name="_Toc72999575"/>
      <w:r w:rsidRPr="00F20D47">
        <w:t>Provozovatelé hazardních her a další subjekty</w:t>
      </w:r>
      <w:bookmarkEnd w:id="139"/>
    </w:p>
    <w:p w14:paraId="4E6B607D" w14:textId="54CC46A8" w:rsidR="00374764" w:rsidRDefault="00374764" w:rsidP="00651FFD">
      <w:r w:rsidRPr="006519C6">
        <w:t xml:space="preserve">Novou právní úpravou </w:t>
      </w:r>
      <w:r>
        <w:t>regulace hazardních her byli</w:t>
      </w:r>
      <w:r w:rsidRPr="006519C6">
        <w:t xml:space="preserve"> </w:t>
      </w:r>
      <w:r w:rsidRPr="005947D8">
        <w:rPr>
          <w:b/>
        </w:rPr>
        <w:t>nejvíce dotčeni provozovatelé hazardních her</w:t>
      </w:r>
      <w:r w:rsidRPr="006519C6">
        <w:t>, pro které se zásadní</w:t>
      </w:r>
      <w:r w:rsidR="0084748E">
        <w:t>m způsobem změnily požadavky na </w:t>
      </w:r>
      <w:r w:rsidRPr="006519C6">
        <w:t>provozování</w:t>
      </w:r>
      <w:r>
        <w:t xml:space="preserve">. </w:t>
      </w:r>
      <w:r w:rsidRPr="00A21842">
        <w:t>Pokud jde o náklady spojené s</w:t>
      </w:r>
      <w:r w:rsidR="003D18CD">
        <w:t>e změnou</w:t>
      </w:r>
      <w:r w:rsidRPr="00A21842">
        <w:t xml:space="preserve"> právní úpravy v oblasti hazardních her, byly </w:t>
      </w:r>
      <w:r w:rsidRPr="001E5E08">
        <w:rPr>
          <w:b/>
        </w:rPr>
        <w:t>dle vyjádření provozovatelů hazardních her tyto náklady značné</w:t>
      </w:r>
      <w:r w:rsidR="00355CF5">
        <w:rPr>
          <w:b/>
        </w:rPr>
        <w:t>,</w:t>
      </w:r>
      <w:r w:rsidRPr="001E5E08">
        <w:rPr>
          <w:b/>
        </w:rPr>
        <w:t xml:space="preserve"> a to ve všech směrech, tedy finančních, personálních i časových</w:t>
      </w:r>
      <w:r w:rsidRPr="00A21842">
        <w:t xml:space="preserve">. </w:t>
      </w:r>
      <w:r w:rsidR="0084748E">
        <w:t>Po </w:t>
      </w:r>
      <w:r>
        <w:t>nabytí účinnosti zákona o hazardních hrách museli v</w:t>
      </w:r>
      <w:r w:rsidRPr="00A21842">
        <w:t xml:space="preserve">šichni provozovatelé </w:t>
      </w:r>
      <w:r w:rsidR="003D18CD">
        <w:t>získat základní povolení</w:t>
      </w:r>
      <w:r w:rsidRPr="00A21842">
        <w:t xml:space="preserve"> k provozování hazardních her</w:t>
      </w:r>
      <w:r>
        <w:t xml:space="preserve"> (v </w:t>
      </w:r>
      <w:r w:rsidRPr="00A21842">
        <w:t xml:space="preserve">přechodném období).  Na plnění nově nastavených podmínek </w:t>
      </w:r>
      <w:r>
        <w:t>podle zákona o </w:t>
      </w:r>
      <w:r w:rsidRPr="00A21842">
        <w:t xml:space="preserve">hazardních hrách bylo nutné vyvinout, zakoupit a instalovat nové programové technologie včetně nových systémů kamerových záznamů s délkou ukládání záznamů z herních prostorů 24 měsíců. Nemalé finanční prostředky nebylo nutné vynaložit pouze na zprovoznění těchto systémů, ale je nutné vynakládat je průběžně i na jejich </w:t>
      </w:r>
      <w:r w:rsidR="00624C9A">
        <w:t xml:space="preserve">provoz, </w:t>
      </w:r>
      <w:r w:rsidRPr="00A21842">
        <w:t xml:space="preserve">údržbu </w:t>
      </w:r>
      <w:r w:rsidR="00624C9A">
        <w:t>i potenciální</w:t>
      </w:r>
      <w:r w:rsidRPr="00A21842">
        <w:t xml:space="preserve"> úprav</w:t>
      </w:r>
      <w:r w:rsidR="00624C9A">
        <w:t>y</w:t>
      </w:r>
      <w:r w:rsidRPr="00A21842">
        <w:t xml:space="preserve"> v návaznosti na případné změny zákona o hazardních hrách a rovněž reportingovou vyhlášku</w:t>
      </w:r>
      <w:r>
        <w:t>. V </w:t>
      </w:r>
      <w:r w:rsidRPr="00A21842">
        <w:t>souvislosti s tím je rovněž nezbytné zaměstnávat vyšší počet odborného personálu pro zajištění funkcionality a kontroly tohoto systému. Provozovatelé museli rovněž vynaložit náklady na přizpůsobení herních prostorů, které spočívaly kromě zajištění kamerových záznamů také v </w:t>
      </w:r>
      <w:r w:rsidR="003D18CD">
        <w:t>přebudování</w:t>
      </w:r>
      <w:r w:rsidR="003D18CD" w:rsidRPr="00A21842">
        <w:t xml:space="preserve"> </w:t>
      </w:r>
      <w:r w:rsidRPr="00A21842">
        <w:t>technických zařízení, úpravě vnějšího označení herních prostorů apod. Stejně tak provozovatelé hazardních her vynakládají zvýšené náklady na provoz dedikovaných datových linek pro zajištění komunikace všech zap</w:t>
      </w:r>
      <w:r w:rsidR="00B94C24">
        <w:t>ojených informačních systémů. U </w:t>
      </w:r>
      <w:r w:rsidRPr="00A21842">
        <w:t>některých provozovatelů hazardních her toto přizpůsobení představovalo investici v řádech desítek</w:t>
      </w:r>
      <w:r>
        <w:t>,</w:t>
      </w:r>
      <w:r w:rsidRPr="00A21842">
        <w:t xml:space="preserve"> spíše však stamilionů korun českých.</w:t>
      </w:r>
    </w:p>
    <w:p w14:paraId="211204F0" w14:textId="1D17A492" w:rsidR="00374764" w:rsidRDefault="00374764" w:rsidP="00651FFD">
      <w:pPr>
        <w:rPr>
          <w:u w:val="single"/>
        </w:rPr>
      </w:pPr>
      <w:r w:rsidRPr="00B76CD1">
        <w:t>Povinnost provozovatelů provozovat hazardní hry v souladu s požad</w:t>
      </w:r>
      <w:r>
        <w:t>avky zákona o hazardních hrách (</w:t>
      </w:r>
      <w:r w:rsidRPr="00B76CD1">
        <w:t>např. povinnost nabídnout sebeomezující opatření a poskytnout rozsáhlé spektrum informací týkajících</w:t>
      </w:r>
      <w:r>
        <w:t xml:space="preserve"> se účasti na hazardních hrách,</w:t>
      </w:r>
      <w:r w:rsidRPr="00B76CD1">
        <w:t xml:space="preserve"> implementovat </w:t>
      </w:r>
      <w:r w:rsidR="004958BE">
        <w:t>R</w:t>
      </w:r>
      <w:r w:rsidRPr="00B76CD1">
        <w:t xml:space="preserve">ejstřík vyloučených </w:t>
      </w:r>
      <w:r>
        <w:t>osob, nově zavedený systém vedení výkaznictví)</w:t>
      </w:r>
      <w:r w:rsidR="0084748E">
        <w:t xml:space="preserve"> měl na </w:t>
      </w:r>
      <w:r w:rsidRPr="005947D8">
        <w:rPr>
          <w:b/>
        </w:rPr>
        <w:t xml:space="preserve">provozovatele hazardních her zejména </w:t>
      </w:r>
      <w:r>
        <w:rPr>
          <w:b/>
        </w:rPr>
        <w:t xml:space="preserve">citelný </w:t>
      </w:r>
      <w:r w:rsidRPr="005947D8">
        <w:rPr>
          <w:b/>
        </w:rPr>
        <w:t>finanční dopad</w:t>
      </w:r>
      <w:r w:rsidR="0084748E">
        <w:rPr>
          <w:b/>
        </w:rPr>
        <w:t>, a to </w:t>
      </w:r>
      <w:r>
        <w:rPr>
          <w:b/>
        </w:rPr>
        <w:t>především v období bezprostředně následující</w:t>
      </w:r>
      <w:r w:rsidR="00314835">
        <w:rPr>
          <w:b/>
        </w:rPr>
        <w:t>m</w:t>
      </w:r>
      <w:r>
        <w:rPr>
          <w:b/>
        </w:rPr>
        <w:t xml:space="preserve"> po přizpůsobení se nové regulace (2017</w:t>
      </w:r>
      <w:r w:rsidR="00355CF5">
        <w:rPr>
          <w:b/>
        </w:rPr>
        <w:noBreakHyphen/>
      </w:r>
      <w:r>
        <w:rPr>
          <w:b/>
        </w:rPr>
        <w:t>2018)</w:t>
      </w:r>
      <w:r w:rsidR="001E6B79">
        <w:rPr>
          <w:b/>
        </w:rPr>
        <w:t xml:space="preserve"> a následně při imple</w:t>
      </w:r>
      <w:r w:rsidR="0084748E">
        <w:rPr>
          <w:b/>
        </w:rPr>
        <w:t>mentaci reportingové vyhlášky a </w:t>
      </w:r>
      <w:r w:rsidR="001E6B79">
        <w:rPr>
          <w:b/>
        </w:rPr>
        <w:t>Rejstříku vyloučených osob (2019, resp. 2020)</w:t>
      </w:r>
      <w:r w:rsidR="00355CF5">
        <w:t>.</w:t>
      </w:r>
      <w:r w:rsidRPr="00B76CD1">
        <w:t xml:space="preserve"> </w:t>
      </w:r>
      <w:r w:rsidR="00355CF5">
        <w:t xml:space="preserve">Tato přizpůsoben </w:t>
      </w:r>
      <w:r>
        <w:t>je nutno vnímat jako investice, které</w:t>
      </w:r>
      <w:r w:rsidRPr="005947D8">
        <w:rPr>
          <w:b/>
        </w:rPr>
        <w:t xml:space="preserve"> lze považovat vzhledem k benefitu jak z pohledu účastníků hazardních her, tak i výkonu dozoru v oblasti provozování ha</w:t>
      </w:r>
      <w:r>
        <w:rPr>
          <w:b/>
        </w:rPr>
        <w:t xml:space="preserve">zardních her za </w:t>
      </w:r>
      <w:r w:rsidR="001E6B79">
        <w:rPr>
          <w:b/>
        </w:rPr>
        <w:t xml:space="preserve">odpovídající a </w:t>
      </w:r>
      <w:r>
        <w:rPr>
          <w:b/>
        </w:rPr>
        <w:t>akceptovatelné</w:t>
      </w:r>
      <w:r w:rsidR="0084748E">
        <w:rPr>
          <w:b/>
        </w:rPr>
        <w:t xml:space="preserve"> ve </w:t>
      </w:r>
      <w:r w:rsidR="001E6B79">
        <w:rPr>
          <w:b/>
        </w:rPr>
        <w:t>vazbě na cíle nové regulace</w:t>
      </w:r>
      <w:r>
        <w:t>.</w:t>
      </w:r>
    </w:p>
    <w:p w14:paraId="4B5428DA" w14:textId="678DE3D8" w:rsidR="00374764" w:rsidRDefault="00374764" w:rsidP="00651FFD">
      <w:r w:rsidRPr="00B76CD1">
        <w:t xml:space="preserve">Právní úprava přinesla transparentní prostředí v oblasti provozování hazardních her, a to jak z pohledu zajištění vysoké úrovně ochrany </w:t>
      </w:r>
      <w:r>
        <w:t xml:space="preserve">účastníků hazardních her, </w:t>
      </w:r>
      <w:r>
        <w:lastRenderedPageBreak/>
        <w:t>tak</w:t>
      </w:r>
      <w:r w:rsidR="0084748E">
        <w:t> </w:t>
      </w:r>
      <w:r>
        <w:t>i </w:t>
      </w:r>
      <w:r w:rsidRPr="00B76CD1">
        <w:t xml:space="preserve">ochrany podnikatelského prostředí proti konkurenci ze strany nelegálních provozovatelů hazardních her. Pozitivním dopadem pro provozovatele </w:t>
      </w:r>
      <w:r>
        <w:t xml:space="preserve">hazardních her </w:t>
      </w:r>
      <w:r w:rsidRPr="00B76CD1">
        <w:t xml:space="preserve">je bezesporu </w:t>
      </w:r>
      <w:r w:rsidRPr="005947D8">
        <w:rPr>
          <w:b/>
        </w:rPr>
        <w:t>zajištění konkuren</w:t>
      </w:r>
      <w:r w:rsidR="00355CF5">
        <w:rPr>
          <w:b/>
        </w:rPr>
        <w:t>ce</w:t>
      </w:r>
      <w:r w:rsidRPr="005947D8">
        <w:rPr>
          <w:b/>
        </w:rPr>
        <w:t>schopného</w:t>
      </w:r>
      <w:r w:rsidR="001E6B79">
        <w:rPr>
          <w:b/>
        </w:rPr>
        <w:t xml:space="preserve"> a transparentního</w:t>
      </w:r>
      <w:r w:rsidRPr="005947D8">
        <w:rPr>
          <w:b/>
        </w:rPr>
        <w:t xml:space="preserve"> podnikatelského prostředí</w:t>
      </w:r>
      <w:r w:rsidRPr="00B76CD1">
        <w:t xml:space="preserve">, neboť </w:t>
      </w:r>
      <w:r>
        <w:t>proti provozování nepovolených her je ze strany orgánů vykonávajících dozor aktivně zakročováno (blíže</w:t>
      </w:r>
      <w:r w:rsidR="00B94C24">
        <w:t xml:space="preserve"> </w:t>
      </w:r>
      <w:r w:rsidR="002B5FE7">
        <w:t>příloha č. 12 -</w:t>
      </w:r>
      <w:r w:rsidR="00B94C24">
        <w:t xml:space="preserve"> Dozor a </w:t>
      </w:r>
      <w:r w:rsidR="002B5FE7">
        <w:t xml:space="preserve">příloha č. 8 - </w:t>
      </w:r>
      <w:r>
        <w:t>Nepovolené internetové hry)</w:t>
      </w:r>
      <w:r w:rsidRPr="00B76CD1">
        <w:t>. Možnost dalšího zefektivnění</w:t>
      </w:r>
      <w:r>
        <w:t xml:space="preserve"> zejména v oblasti potlačování nelegálního provozování prostřednictvím internetu je blíže rozpracována </w:t>
      </w:r>
      <w:r w:rsidR="002B5FE7">
        <w:t>v přílo</w:t>
      </w:r>
      <w:r w:rsidR="00CF0E13">
        <w:t>ze č. 11 – Internetová hra</w:t>
      </w:r>
      <w:r>
        <w:t>.</w:t>
      </w:r>
    </w:p>
    <w:p w14:paraId="76B01FD7" w14:textId="0C800D05" w:rsidR="00374764" w:rsidRDefault="00374764" w:rsidP="00651FFD">
      <w:r w:rsidRPr="00B76CD1">
        <w:t xml:space="preserve">Ačkoli </w:t>
      </w:r>
      <w:r w:rsidR="00355CF5">
        <w:t xml:space="preserve">se </w:t>
      </w:r>
      <w:r w:rsidRPr="00B76CD1">
        <w:t xml:space="preserve">v důsledku povinnosti provozovatelů nabízet své produkty v takové formě, aby byly minimalizovány negativní dopady spojené s účastí na hazardních hrách, může jevit nabídka provozovatelů disponujících základním povolením vydaným Ministerstvem financí jako méně rozmanitá oproti zahraničním provozovatelům provozujícím hazardní hry bez tohoto základního povolení, je nutné </w:t>
      </w:r>
      <w:r w:rsidR="0084748E">
        <w:t>zdůraznit, že </w:t>
      </w:r>
      <w:r w:rsidRPr="00B76CD1">
        <w:t>právní úprava v oblasti hazardních her je neharmonizovaná a tedy pouze provozovatelé disponující základním povolením mohou na území České republiky hazardní hry legálně provozovat. Tato skutečnos</w:t>
      </w:r>
      <w:r w:rsidR="0084748E">
        <w:t>t má významný vliv na dopady na </w:t>
      </w:r>
      <w:r w:rsidRPr="00B76CD1">
        <w:t xml:space="preserve">konkurenceschopnost, neboť ta není mezi legálně provozujícími subjekty snížena, </w:t>
      </w:r>
      <w:r>
        <w:t>jelikož</w:t>
      </w:r>
      <w:r w:rsidRPr="00B76CD1">
        <w:t xml:space="preserve"> všichni tito provozovatelé mají totožné povinnosti.</w:t>
      </w:r>
    </w:p>
    <w:p w14:paraId="5DC2637B" w14:textId="797C9E86" w:rsidR="00374764" w:rsidRDefault="00374764" w:rsidP="00651FFD">
      <w:r>
        <w:t>V rámci provádění ex post RIA s</w:t>
      </w:r>
      <w:r w:rsidRPr="00B76CD1">
        <w:t xml:space="preserve">e </w:t>
      </w:r>
      <w:r>
        <w:t>Ministerstvo financí zaměřilo mimo j</w:t>
      </w:r>
      <w:r w:rsidRPr="00B76CD1">
        <w:t>i</w:t>
      </w:r>
      <w:r>
        <w:t>né</w:t>
      </w:r>
      <w:r w:rsidRPr="00B76CD1">
        <w:t xml:space="preserve"> </w:t>
      </w:r>
      <w:r w:rsidR="0084748E">
        <w:t>na </w:t>
      </w:r>
      <w:r w:rsidRPr="00B76CD1">
        <w:t>zhodnocení právě konkurenceschopnosti provozovatelů legálně provozujících hazardní hry vůči provozovatelům nelegálním</w:t>
      </w:r>
      <w:r w:rsidR="00355CF5">
        <w:t>.</w:t>
      </w:r>
      <w:r w:rsidRPr="00B76CD1">
        <w:t xml:space="preserve"> </w:t>
      </w:r>
      <w:r w:rsidR="00355CF5">
        <w:t>I</w:t>
      </w:r>
      <w:r w:rsidRPr="00B76CD1">
        <w:t xml:space="preserve"> z pohledu ochrany účastníků hazardních her je </w:t>
      </w:r>
      <w:r w:rsidRPr="001E5E08">
        <w:rPr>
          <w:b/>
        </w:rPr>
        <w:t>zcela zásadní, aby legální provozovatelé nebyli znevýhodňování</w:t>
      </w:r>
      <w:r>
        <w:t>, jelikož</w:t>
      </w:r>
      <w:r w:rsidRPr="00B76CD1">
        <w:t xml:space="preserve"> nabízejí své produkty zodpovědným způsobem </w:t>
      </w:r>
      <w:r w:rsidRPr="009C4326">
        <w:t>podle požadavků zákona o hazardních hrách</w:t>
      </w:r>
      <w:r w:rsidR="00355CF5">
        <w:t>. Na</w:t>
      </w:r>
      <w:r w:rsidR="00707BE0">
        <w:t xml:space="preserve"> </w:t>
      </w:r>
      <w:r w:rsidR="00355CF5">
        <w:t>rozdíl od legálních provozovatelů nelze u  nelegálních provozovatelů (</w:t>
      </w:r>
      <w:r w:rsidRPr="00D50F42">
        <w:t>bez základního povolení</w:t>
      </w:r>
      <w:r w:rsidR="00355CF5">
        <w:t>)</w:t>
      </w:r>
      <w:r w:rsidRPr="009C4326">
        <w:t>zajistit dostatečnou ochranu účastníků hazardních her jako je např. ověřování v Rejstříku vyloučených osob, řádné provádění registrace aj.</w:t>
      </w:r>
      <w:r>
        <w:t xml:space="preserve"> </w:t>
      </w:r>
      <w:r w:rsidR="002B5FE7">
        <w:t>Přílohy</w:t>
      </w:r>
      <w:r>
        <w:t xml:space="preserve"> ex post RIA</w:t>
      </w:r>
      <w:r w:rsidRPr="00B76CD1">
        <w:t xml:space="preserve"> </w:t>
      </w:r>
      <w:r w:rsidR="00D50F42">
        <w:t xml:space="preserve">se </w:t>
      </w:r>
      <w:r w:rsidRPr="00B76CD1">
        <w:t>zaměřuj</w:t>
      </w:r>
      <w:r w:rsidR="002B5FE7">
        <w:t>í</w:t>
      </w:r>
      <w:r w:rsidRPr="00B76CD1">
        <w:t xml:space="preserve"> </w:t>
      </w:r>
      <w:r w:rsidR="00D50F42">
        <w:t xml:space="preserve">i </w:t>
      </w:r>
      <w:r w:rsidRPr="00B76CD1">
        <w:t>na oblasti, které jsou ať již Ministerstvem financí nebo samotnými provozovateli (ať již se sídlem v České republice nebo v jiném členském státě Evropské unie) označovány za největší překážky,</w:t>
      </w:r>
      <w:r w:rsidR="0084748E">
        <w:t xml:space="preserve"> resp. konkurenční nevýhody pro </w:t>
      </w:r>
      <w:r w:rsidRPr="00B76CD1">
        <w:t>legální provozovatele</w:t>
      </w:r>
      <w:r w:rsidR="00D50F42">
        <w:t xml:space="preserve"> v České republice</w:t>
      </w:r>
      <w:r w:rsidRPr="00B76CD1">
        <w:t>. Jako příklad lze uvést např. nemožnost legálních provozovatelů nabízet určité pr</w:t>
      </w:r>
      <w:r>
        <w:t xml:space="preserve">odukty, jejichž nabízení je </w:t>
      </w:r>
      <w:r w:rsidR="00D50F42">
        <w:t>v </w:t>
      </w:r>
      <w:r>
        <w:t>zahraničí</w:t>
      </w:r>
      <w:r w:rsidR="00D50F42">
        <w:t xml:space="preserve"> s jinou úrovní regulace </w:t>
      </w:r>
      <w:r>
        <w:t xml:space="preserve">běžné. Nelegální </w:t>
      </w:r>
      <w:r w:rsidRPr="00B76CD1">
        <w:t xml:space="preserve">provozovatelé jsou nicméně ze strany </w:t>
      </w:r>
      <w:r>
        <w:t>orgánů vykonávajících dozor</w:t>
      </w:r>
      <w:r w:rsidRPr="00B76CD1">
        <w:t xml:space="preserve"> </w:t>
      </w:r>
      <w:r>
        <w:t>aktivně vyhledáváni, jejich protiprávní jednání je sankcionováno.</w:t>
      </w:r>
      <w:r w:rsidRPr="00B76CD1">
        <w:t xml:space="preserve"> </w:t>
      </w:r>
      <w:r>
        <w:t>V případě</w:t>
      </w:r>
      <w:r w:rsidRPr="00B76CD1">
        <w:t xml:space="preserve"> provozování </w:t>
      </w:r>
      <w:r>
        <w:t>prostřednictvím internetu jsou internetové stránky, na kterých je provozována nepovolená hazardní hra, blokovány, přičemž toto opatření je doplněno rovněž institutem blokace plateb.</w:t>
      </w:r>
      <w:r w:rsidR="005E0822">
        <w:t xml:space="preserve"> </w:t>
      </w:r>
      <w:r w:rsidR="00D50F42">
        <w:t>Podle nové právní úpravy je jejich protiprávní činnost také dodaněna.</w:t>
      </w:r>
      <w:r>
        <w:t xml:space="preserve"> Ex post </w:t>
      </w:r>
      <w:r w:rsidR="00355CF5">
        <w:t xml:space="preserve">RIA </w:t>
      </w:r>
      <w:r>
        <w:t xml:space="preserve">se </w:t>
      </w:r>
      <w:r w:rsidR="002B5FE7">
        <w:t>v přílohách</w:t>
      </w:r>
      <w:r>
        <w:t xml:space="preserve"> zaměřuje také na vyhodnocení těchto institutů a navrhuje varianty, jak by bylo možné jejich účinnost více posílit, čímž by došlo k </w:t>
      </w:r>
      <w:r w:rsidR="00D50F42">
        <w:t>dalšímu zefektivnění</w:t>
      </w:r>
      <w:r>
        <w:t>.</w:t>
      </w:r>
    </w:p>
    <w:p w14:paraId="056F4093" w14:textId="251AD299" w:rsidR="00374764" w:rsidRDefault="00374764" w:rsidP="00651FFD">
      <w:r w:rsidRPr="00696FCA">
        <w:t xml:space="preserve">Také další soukromoprávní subjekty jsou právní úpravou v oblasti  hazardních her přímo dotčeny. Jedná se </w:t>
      </w:r>
      <w:r>
        <w:t>mimo</w:t>
      </w:r>
      <w:r w:rsidRPr="00696FCA">
        <w:t xml:space="preserve"> </w:t>
      </w:r>
      <w:r w:rsidR="00120816">
        <w:t xml:space="preserve">jiné </w:t>
      </w:r>
      <w:r w:rsidR="00120816" w:rsidRPr="00120816">
        <w:rPr>
          <w:b/>
        </w:rPr>
        <w:t>o pověřené osoby</w:t>
      </w:r>
      <w:r w:rsidRPr="00696FCA">
        <w:t>, kterými jsou subjekty s odbornou znalostí v obla</w:t>
      </w:r>
      <w:r>
        <w:t>sti provozování hazardních her</w:t>
      </w:r>
      <w:r w:rsidR="006C1106">
        <w:t>. U pověřených osob</w:t>
      </w:r>
      <w:r>
        <w:t xml:space="preserve"> došlo </w:t>
      </w:r>
      <w:r w:rsidRPr="00D72E97">
        <w:t>k </w:t>
      </w:r>
      <w:r w:rsidRPr="00A8683E">
        <w:rPr>
          <w:b/>
        </w:rPr>
        <w:t>významnému rozšíření co do počtu druhů hazardních her, které je pověřená osoba povinna osvědčovat</w:t>
      </w:r>
      <w:r>
        <w:t xml:space="preserve">. </w:t>
      </w:r>
      <w:r w:rsidRPr="00AB2E77">
        <w:t xml:space="preserve">Také proces výběru pověřených osob doznal výrazných změn, jejichž účelem je umožnění výraznější kontroly Ministerstva financí nad výběrem konkrétních subjektů, které mají možnost ověřovat technické požadavky zákona o hazardních hrách. Kromě zvýšení vlivu Ministerstva financí na samotný výběr subjektů, které mají oprávnění ověřit splnění technických požadavků </w:t>
      </w:r>
      <w:r w:rsidRPr="00AB2E77">
        <w:lastRenderedPageBreak/>
        <w:t>stanovených v zákoně, došlo také k nastavení požadavků týkajících se výstupních dokumentů.</w:t>
      </w:r>
      <w:r w:rsidR="0084748E">
        <w:t xml:space="preserve"> Lze předpokládat, že </w:t>
      </w:r>
      <w:r w:rsidRPr="00A8683E">
        <w:t>výše popsané změny</w:t>
      </w:r>
      <w:r>
        <w:t xml:space="preserve"> měly na st</w:t>
      </w:r>
      <w:r w:rsidRPr="00A8683E">
        <w:t>r</w:t>
      </w:r>
      <w:r>
        <w:t>a</w:t>
      </w:r>
      <w:r w:rsidRPr="00A8683E">
        <w:t>ně pověřených osob dopad zejména z hlediska nutnosti přizpůsob</w:t>
      </w:r>
      <w:r w:rsidR="001A3165">
        <w:t>ení</w:t>
      </w:r>
      <w:r w:rsidRPr="00A8683E">
        <w:t xml:space="preserve"> sv</w:t>
      </w:r>
      <w:r w:rsidR="001A3165">
        <w:t>ých</w:t>
      </w:r>
      <w:r w:rsidRPr="00A8683E">
        <w:t xml:space="preserve"> interních</w:t>
      </w:r>
      <w:r>
        <w:t xml:space="preserve"> postup</w:t>
      </w:r>
      <w:r w:rsidR="001A3165">
        <w:t>ů</w:t>
      </w:r>
      <w:r w:rsidR="00442045">
        <w:t xml:space="preserve"> a </w:t>
      </w:r>
      <w:r w:rsidRPr="00A8683E">
        <w:t xml:space="preserve">systémů </w:t>
      </w:r>
      <w:r>
        <w:t>po</w:t>
      </w:r>
      <w:r w:rsidR="00B94C24">
        <w:t>žadavkům nové právní regulace a </w:t>
      </w:r>
      <w:r>
        <w:t>zajištění odborných znalostí na straně odpovědných zaměstnanců</w:t>
      </w:r>
      <w:r w:rsidRPr="00A8683E">
        <w:t>. Dopady mohly být patrné rovněž v administrativní rovině. Po finanční stránce lze odhadovat, že zavedení regulace nemělo na pověřené osoby negativní dopad, spíše lze předpokládat</w:t>
      </w:r>
      <w:r w:rsidR="003D18CD">
        <w:t xml:space="preserve"> </w:t>
      </w:r>
      <w:r w:rsidRPr="00A8683E">
        <w:t>dopad</w:t>
      </w:r>
      <w:r w:rsidR="003D18CD">
        <w:t xml:space="preserve"> pozitivní</w:t>
      </w:r>
      <w:r w:rsidRPr="00A8683E">
        <w:t>, jelikož došlo k rozšíření posuzovaných hazardních her</w:t>
      </w:r>
      <w:r w:rsidR="001A3165">
        <w:t xml:space="preserve">, množství „zakázek“ a </w:t>
      </w:r>
      <w:r w:rsidR="00F33DCF">
        <w:t> </w:t>
      </w:r>
      <w:r w:rsidR="001A3165">
        <w:t>podnikatelských příležitostí</w:t>
      </w:r>
      <w:r w:rsidRPr="00A8683E">
        <w:t>. Naopak jednorázový náklad mohlo v některých případech představovat zřízení úložiště d</w:t>
      </w:r>
      <w:r w:rsidR="00F33DCF">
        <w:t>okumentů odborného pověřování a </w:t>
      </w:r>
      <w:r w:rsidRPr="00A8683E">
        <w:t xml:space="preserve">osvědčování. Obecně nová regulace hazardních her vedla ze </w:t>
      </w:r>
      <w:r w:rsidRPr="005E0822">
        <w:rPr>
          <w:b/>
        </w:rPr>
        <w:t>zvýšení počtu pověřených osob</w:t>
      </w:r>
      <w:r w:rsidR="001A3165">
        <w:t xml:space="preserve"> (i ze zahraničí) a konkurence v této oblasti</w:t>
      </w:r>
      <w:r>
        <w:t xml:space="preserve">, což rovněž svědčí </w:t>
      </w:r>
      <w:r w:rsidRPr="005E0822">
        <w:rPr>
          <w:b/>
        </w:rPr>
        <w:t>o vhodnosti jejího nastavení.</w:t>
      </w:r>
    </w:p>
    <w:p w14:paraId="180D078B" w14:textId="6AA90C5C" w:rsidR="00374764" w:rsidRDefault="00374764" w:rsidP="00651FFD">
      <w:r>
        <w:t>R</w:t>
      </w:r>
      <w:r w:rsidRPr="00B76CD1">
        <w:t xml:space="preserve">egulace obsažená v zákoně o hazardních hrách má dopad také na podnikatele, kteří jsou </w:t>
      </w:r>
      <w:r w:rsidRPr="00FF2A9E">
        <w:rPr>
          <w:b/>
        </w:rPr>
        <w:t>poskytovateli připojení k internetu</w:t>
      </w:r>
      <w:r w:rsidRPr="00B76CD1">
        <w:t xml:space="preserve">, neboť ti </w:t>
      </w:r>
      <w:r>
        <w:t>byli s novou právní úpravou zatížení povinností</w:t>
      </w:r>
      <w:r w:rsidRPr="00B76CD1">
        <w:t xml:space="preserve"> </w:t>
      </w:r>
      <w:r>
        <w:t>zamezit v přístupu k internetovým strán</w:t>
      </w:r>
      <w:r w:rsidRPr="00B76CD1">
        <w:t>k</w:t>
      </w:r>
      <w:r w:rsidR="0084748E">
        <w:t>ám zapsaným na </w:t>
      </w:r>
      <w:r>
        <w:t>seznamu nepovolených hazardních her</w:t>
      </w:r>
      <w:r w:rsidR="006C1106">
        <w:t>. Dále dopadá n</w:t>
      </w:r>
      <w:r w:rsidRPr="00B76CD1">
        <w:t xml:space="preserve">a </w:t>
      </w:r>
      <w:r w:rsidRPr="00FF2A9E">
        <w:rPr>
          <w:b/>
        </w:rPr>
        <w:t>poskytovatel</w:t>
      </w:r>
      <w:r w:rsidR="006C1106">
        <w:rPr>
          <w:b/>
        </w:rPr>
        <w:t>e</w:t>
      </w:r>
      <w:r w:rsidRPr="00FF2A9E">
        <w:rPr>
          <w:b/>
        </w:rPr>
        <w:t xml:space="preserve"> platebních služeb</w:t>
      </w:r>
      <w:r>
        <w:t>, neboť ti nesmějí</w:t>
      </w:r>
      <w:r w:rsidRPr="00B76CD1">
        <w:t xml:space="preserve"> </w:t>
      </w:r>
      <w:r>
        <w:t>provádět pla</w:t>
      </w:r>
      <w:r w:rsidR="0084748E">
        <w:t>tební transakce ve prospěch ani </w:t>
      </w:r>
      <w:r>
        <w:t>k tíži platebních účtů uvedených na výše zmiňovaném seznamu</w:t>
      </w:r>
      <w:r w:rsidRPr="00B76CD1">
        <w:t xml:space="preserve">. Ačkoli tato povinnost subjektům přinesla určité finanční náklady, jednalo se zejména o náklady jednorázové, spojené s implementací technického řešení. </w:t>
      </w:r>
      <w:r>
        <w:t>I v tomto kontextu lze konstatovat, že tyto náklady byly v porovnání s pozitivními důsledky, kter</w:t>
      </w:r>
      <w:r w:rsidR="00212908">
        <w:t>é</w:t>
      </w:r>
      <w:r>
        <w:t xml:space="preserve"> zavedené opatření přineslo</w:t>
      </w:r>
      <w:r w:rsidR="001A3165">
        <w:t>,</w:t>
      </w:r>
      <w:r>
        <w:t xml:space="preserve"> přiměřené.</w:t>
      </w:r>
    </w:p>
    <w:p w14:paraId="46E7258E" w14:textId="036681EF" w:rsidR="00374764" w:rsidRDefault="00374764" w:rsidP="00651FFD">
      <w:r w:rsidRPr="00123734">
        <w:t xml:space="preserve">Nepřímo se vliv zákona o hazardních hrách a souvisejících právní předpisů projevil rovněž u </w:t>
      </w:r>
      <w:r w:rsidRPr="00696FCA">
        <w:rPr>
          <w:b/>
        </w:rPr>
        <w:t>výrobců a dodavatel</w:t>
      </w:r>
      <w:r w:rsidR="003D18CD">
        <w:rPr>
          <w:b/>
        </w:rPr>
        <w:t>ů</w:t>
      </w:r>
      <w:r w:rsidRPr="00696FCA">
        <w:rPr>
          <w:b/>
        </w:rPr>
        <w:t xml:space="preserve"> herních zařízení a další</w:t>
      </w:r>
      <w:r w:rsidR="003D18CD">
        <w:rPr>
          <w:b/>
        </w:rPr>
        <w:t>ch</w:t>
      </w:r>
      <w:r w:rsidRPr="00696FCA">
        <w:rPr>
          <w:b/>
        </w:rPr>
        <w:t xml:space="preserve"> podnikatelsk</w:t>
      </w:r>
      <w:r w:rsidR="003D18CD">
        <w:rPr>
          <w:b/>
        </w:rPr>
        <w:t>ých</w:t>
      </w:r>
      <w:r w:rsidRPr="00696FCA">
        <w:rPr>
          <w:b/>
        </w:rPr>
        <w:t xml:space="preserve"> subjekt</w:t>
      </w:r>
      <w:r w:rsidR="003D18CD">
        <w:rPr>
          <w:b/>
        </w:rPr>
        <w:t>ů</w:t>
      </w:r>
      <w:r w:rsidRPr="00123734">
        <w:t>, kdy i na jejich straně bylo nutné implem</w:t>
      </w:r>
      <w:r w:rsidR="00F33DCF">
        <w:t>entovat nové požadavky zákona o </w:t>
      </w:r>
      <w:r w:rsidRPr="00123734">
        <w:t>hazardních hrách specifické pro český trh</w:t>
      </w:r>
      <w:r>
        <w:t xml:space="preserve"> (např. programátorské práce)</w:t>
      </w:r>
      <w:r w:rsidRPr="00123734">
        <w:t>.</w:t>
      </w:r>
    </w:p>
    <w:p w14:paraId="2C988C0F" w14:textId="03F37C1D" w:rsidR="00374764" w:rsidRDefault="00374764" w:rsidP="00C55173">
      <w:pPr>
        <w:pStyle w:val="Nadpis6"/>
      </w:pPr>
      <w:bookmarkStart w:id="140" w:name="_Toc72999576"/>
      <w:r w:rsidRPr="00F20D47">
        <w:t>Spotřebitelé</w:t>
      </w:r>
      <w:r>
        <w:t xml:space="preserve"> a</w:t>
      </w:r>
      <w:r w:rsidRPr="00F20D47">
        <w:t xml:space="preserve"> další fyzické osoby</w:t>
      </w:r>
      <w:bookmarkEnd w:id="140"/>
    </w:p>
    <w:p w14:paraId="7341DC42" w14:textId="236807D9" w:rsidR="00374764" w:rsidRPr="00B76CD1" w:rsidRDefault="00374764" w:rsidP="00651FFD">
      <w:r w:rsidRPr="00B76CD1">
        <w:t xml:space="preserve">Cílem zákona o hazardních hrách byla zejména ochrana účastníků hazardních her proti negativním dopadům účasti na hazardních hrách. Tyto dopady se navíc neomezují pouze na </w:t>
      </w:r>
      <w:r w:rsidRPr="00FF2A9E">
        <w:rPr>
          <w:b/>
        </w:rPr>
        <w:t xml:space="preserve">samotné účastníky hazardních her, ale také jejich rodinu a </w:t>
      </w:r>
      <w:r w:rsidR="00F33DCF">
        <w:rPr>
          <w:b/>
        </w:rPr>
        <w:t> </w:t>
      </w:r>
      <w:r w:rsidRPr="00FF2A9E">
        <w:rPr>
          <w:b/>
        </w:rPr>
        <w:t>okolí</w:t>
      </w:r>
      <w:r w:rsidRPr="00B76CD1">
        <w:t>. Z tohoto důvodu byla do právní úpravy zahrnuta řada adiktologických brzd, které rizikové chování pomáhají limitovat, ať už se jedná o nástroje sloužící k seberegulaci, tzv. sebeomezující opatření, nebo nástroje, které jsou provozovatelé povinni implementovat bez ohledu na vůli účastníků hazardních her, jako například rozsáhlá informační povinnost nebo omezování účasti</w:t>
      </w:r>
      <w:r w:rsidR="00212908">
        <w:t xml:space="preserve"> na hazardních hrách u</w:t>
      </w:r>
      <w:r w:rsidR="000F3028">
        <w:t xml:space="preserve"> osob, které jsou zapsány v R</w:t>
      </w:r>
      <w:r w:rsidRPr="00B76CD1">
        <w:t xml:space="preserve">ejstříku </w:t>
      </w:r>
      <w:r>
        <w:t>vyloučených osob.</w:t>
      </w:r>
      <w:r w:rsidR="00212908">
        <w:t xml:space="preserve"> Zásadním bylo zcela jistě i snížení dostupnosti hazardních her.</w:t>
      </w:r>
      <w:r>
        <w:t xml:space="preserve"> </w:t>
      </w:r>
      <w:r w:rsidRPr="00B76CD1">
        <w:t>Pozitivní dopad výše uvedených opatření zodpovědného hraní je patrný nejen pro účastníky hazardních h</w:t>
      </w:r>
      <w:r>
        <w:t>er, ale také jim blízkých osob.</w:t>
      </w:r>
    </w:p>
    <w:p w14:paraId="40ABD4C0" w14:textId="3CDA866C" w:rsidR="00374764" w:rsidRDefault="00374764" w:rsidP="00651FFD">
      <w:r w:rsidRPr="00123734">
        <w:rPr>
          <w:b/>
        </w:rPr>
        <w:t>Kombinace institutů opatření pro zodpovědné hraní zajišťuje vysokou úroveň ochrany účastníků hazardních her a tak i snižování rizika vzniku problémového hráčského chování a vzniku dalších nákladů souvisejících s tímto chováním.</w:t>
      </w:r>
      <w:r w:rsidRPr="00123734">
        <w:t xml:space="preserve"> Uvedené lze podpořit především údaji uvedenými k vývoji počtu problémových </w:t>
      </w:r>
      <w:r w:rsidR="009F71E7">
        <w:t xml:space="preserve">účastníků hazardních her </w:t>
      </w:r>
      <w:r w:rsidRPr="00123734">
        <w:t>ve Výroční zprávě k hazardnímu hraní v České republi</w:t>
      </w:r>
      <w:r w:rsidR="0084748E">
        <w:t>ce v roce 2019, která uvádí, že </w:t>
      </w:r>
      <w:r w:rsidRPr="00123734">
        <w:rPr>
          <w:b/>
        </w:rPr>
        <w:t>počty osob s problémovým hráčským chováním postupně klesají</w:t>
      </w:r>
      <w:r w:rsidRPr="00123734">
        <w:t>. Konkrétně v letech 2017</w:t>
      </w:r>
      <w:r w:rsidR="006C1106">
        <w:noBreakHyphen/>
      </w:r>
      <w:r w:rsidRPr="00123734">
        <w:t xml:space="preserve">2019 odpovídal </w:t>
      </w:r>
      <w:r w:rsidR="004E5980">
        <w:t>počet</w:t>
      </w:r>
      <w:r w:rsidR="004E5980" w:rsidRPr="00123734">
        <w:t xml:space="preserve"> </w:t>
      </w:r>
      <w:r w:rsidRPr="00123734">
        <w:t>osob v riziku v</w:t>
      </w:r>
      <w:r w:rsidR="00611336">
        <w:t> </w:t>
      </w:r>
      <w:r w:rsidRPr="00123734">
        <w:t>souvislosti s hraním hazardních her přibližně 144</w:t>
      </w:r>
      <w:r w:rsidR="00707BE0">
        <w:t> </w:t>
      </w:r>
      <w:r w:rsidR="00707BE0">
        <w:noBreakHyphen/>
        <w:t> </w:t>
      </w:r>
      <w:r w:rsidRPr="00123734">
        <w:t xml:space="preserve">168 tis. osob, přičemž odhady </w:t>
      </w:r>
      <w:r w:rsidRPr="00123734">
        <w:lastRenderedPageBreak/>
        <w:t>z let 2013</w:t>
      </w:r>
      <w:r w:rsidR="00707BE0">
        <w:t> </w:t>
      </w:r>
      <w:r w:rsidR="006C1106">
        <w:noBreakHyphen/>
      </w:r>
      <w:r w:rsidR="00707BE0">
        <w:t> </w:t>
      </w:r>
      <w:r w:rsidRPr="00123734">
        <w:t>2014 dosahovaly přibližně 320</w:t>
      </w:r>
      <w:r w:rsidR="00707BE0">
        <w:t> </w:t>
      </w:r>
      <w:r w:rsidR="006C1106">
        <w:noBreakHyphen/>
      </w:r>
      <w:r w:rsidRPr="00123734">
        <w:t xml:space="preserve"> 350 tis. osob. Ve vysokém riziku problémového hráčství se v letech 2013</w:t>
      </w:r>
      <w:r w:rsidR="006C1106">
        <w:noBreakHyphen/>
      </w:r>
      <w:r w:rsidRPr="00123734">
        <w:t>2014 nacházelo odhadem 115</w:t>
      </w:r>
      <w:r w:rsidR="00707BE0">
        <w:t> </w:t>
      </w:r>
      <w:r w:rsidR="00611336">
        <w:t>–</w:t>
      </w:r>
      <w:r w:rsidRPr="00123734">
        <w:t xml:space="preserve"> 130</w:t>
      </w:r>
      <w:r w:rsidR="00611336">
        <w:t> </w:t>
      </w:r>
      <w:r w:rsidRPr="00123734">
        <w:t>tis.</w:t>
      </w:r>
      <w:r w:rsidR="00611336">
        <w:t xml:space="preserve"> </w:t>
      </w:r>
      <w:r w:rsidRPr="00123734">
        <w:t>osob, v letech 2017</w:t>
      </w:r>
      <w:r w:rsidR="006C1106">
        <w:noBreakHyphen/>
      </w:r>
      <w:r w:rsidRPr="00123734">
        <w:t> 2019 se odhadují přibližně 60</w:t>
      </w:r>
      <w:r w:rsidR="00707BE0">
        <w:t> </w:t>
      </w:r>
      <w:r w:rsidR="006C1106">
        <w:noBreakHyphen/>
      </w:r>
      <w:r w:rsidRPr="00123734">
        <w:t xml:space="preserve"> 74 tis osob. Z uvedeného je patrné, že se odhady počtu osob v riziku v souvislosti s hraním hazardních her v porovnání s lety 2013</w:t>
      </w:r>
      <w:r w:rsidR="00707BE0">
        <w:t> </w:t>
      </w:r>
      <w:r w:rsidR="006C1106">
        <w:noBreakHyphen/>
      </w:r>
      <w:r w:rsidR="00707BE0">
        <w:t> </w:t>
      </w:r>
      <w:r w:rsidR="0084748E">
        <w:t>2014 snížil téměř na </w:t>
      </w:r>
      <w:r w:rsidRPr="00123734">
        <w:t>polovinu</w:t>
      </w:r>
      <w:r w:rsidRPr="003D18CD">
        <w:t>.</w:t>
      </w:r>
      <w:r w:rsidR="008D3782" w:rsidRPr="005E0822">
        <w:rPr>
          <w:b/>
        </w:rPr>
        <w:t xml:space="preserve"> </w:t>
      </w:r>
      <w:r w:rsidR="003D18CD" w:rsidRPr="005E0822">
        <w:rPr>
          <w:b/>
        </w:rPr>
        <w:t xml:space="preserve">Lze předpokládat, že </w:t>
      </w:r>
      <w:r w:rsidR="003D18CD" w:rsidRPr="003D18CD">
        <w:rPr>
          <w:b/>
        </w:rPr>
        <w:t>v</w:t>
      </w:r>
      <w:r w:rsidR="008D3782" w:rsidRPr="005E0822">
        <w:rPr>
          <w:b/>
        </w:rPr>
        <w:t>ýše uvedené má i významné pozitivní společenské dopady, zejména z hlediska snížení socioekonomických nákladů na řešení negativních efektů souvisejících s hazardním hraním.</w:t>
      </w:r>
    </w:p>
    <w:p w14:paraId="1B0D9E7F" w14:textId="2663ADEF" w:rsidR="00374764" w:rsidRPr="00FE27A0" w:rsidRDefault="00374764" w:rsidP="00651FFD">
      <w:r>
        <w:t xml:space="preserve">Vzhledem k zajištění komplexní a vysoké ochrany účastníků hazardních her lze </w:t>
      </w:r>
      <w:r w:rsidRPr="00FE27A0">
        <w:t xml:space="preserve">účast na legálně provozovaných hazardních hrách považovat za obecně </w:t>
      </w:r>
      <w:r w:rsidR="0084748E">
        <w:t>bezpečnější a </w:t>
      </w:r>
      <w:r w:rsidRPr="00FE27A0">
        <w:t>tím</w:t>
      </w:r>
      <w:r w:rsidR="0084748E">
        <w:t> </w:t>
      </w:r>
      <w:r w:rsidRPr="00FE27A0">
        <w:t xml:space="preserve">pádem i jistým způsobem </w:t>
      </w:r>
      <w:r w:rsidR="008D3782" w:rsidRPr="00FE27A0">
        <w:t>p</w:t>
      </w:r>
      <w:r w:rsidR="008D3782">
        <w:t>referovanější než účast u nelegálních provozovatelů</w:t>
      </w:r>
      <w:r w:rsidRPr="00FE27A0">
        <w:t>, neboť legální provozovatelé hazardních her musí</w:t>
      </w:r>
      <w:r>
        <w:t xml:space="preserve"> </w:t>
      </w:r>
      <w:r w:rsidRPr="00FE27A0">
        <w:t xml:space="preserve">splňovat přísné podmínky zákona o </w:t>
      </w:r>
      <w:r w:rsidR="00F33DCF">
        <w:t> </w:t>
      </w:r>
      <w:r w:rsidRPr="00FE27A0">
        <w:t>hazardních hrách. Z tohoto důvodu je i pro účastníky</w:t>
      </w:r>
      <w:r>
        <w:t xml:space="preserve"> </w:t>
      </w:r>
      <w:r w:rsidRPr="00FE27A0">
        <w:t xml:space="preserve">hazardních her a jejich okolí vhodnější, bezpečnější a </w:t>
      </w:r>
      <w:r w:rsidR="003D18CD">
        <w:t>tedy i</w:t>
      </w:r>
      <w:r w:rsidRPr="00FE27A0">
        <w:t xml:space="preserve"> méně rizikové účastnit se</w:t>
      </w:r>
      <w:r>
        <w:t xml:space="preserve"> </w:t>
      </w:r>
      <w:r w:rsidRPr="00FE27A0">
        <w:t xml:space="preserve">hazardní hry u legálního provozovatele hazardních her, kde tyto jsou </w:t>
      </w:r>
      <w:r w:rsidR="00C67C0B">
        <w:t>dozorující</w:t>
      </w:r>
      <w:r w:rsidR="009F23FC">
        <w:t>mi</w:t>
      </w:r>
      <w:r w:rsidRPr="00FE27A0">
        <w:t xml:space="preserve"> orgány</w:t>
      </w:r>
      <w:r>
        <w:t xml:space="preserve"> </w:t>
      </w:r>
      <w:r w:rsidRPr="00FE27A0">
        <w:t>kontrolovatelné. Účastníci hazardních her mohou uspokojit svoji potřebu hazardního hraní, aniž by se museli obávat o svoji bezpečnost, která je zajištěna odborně vyškolenými zaměstnanci, registrací k hazardní hře</w:t>
      </w:r>
      <w:r w:rsidR="00442045">
        <w:t xml:space="preserve"> a řádným ověřením totožnosti a </w:t>
      </w:r>
      <w:r w:rsidRPr="00FE27A0">
        <w:t>věku</w:t>
      </w:r>
      <w:r w:rsidR="00B94C24">
        <w:t xml:space="preserve"> a </w:t>
      </w:r>
      <w:r w:rsidR="00492738">
        <w:t>dalšími zákonnými opatřeními</w:t>
      </w:r>
      <w:r w:rsidRPr="00FE27A0">
        <w:t xml:space="preserve">. </w:t>
      </w:r>
      <w:r w:rsidR="00492738">
        <w:t>Naopak ú</w:t>
      </w:r>
      <w:r w:rsidRPr="00FE27A0">
        <w:t xml:space="preserve">častník hazardní hry nemá v případě účasti na </w:t>
      </w:r>
      <w:r w:rsidR="00492738">
        <w:t xml:space="preserve">nelegální </w:t>
      </w:r>
      <w:r w:rsidRPr="00FE27A0">
        <w:t>hazardní hře zajištěnou dostatečnou míru ochrany, ani zajištěno, že nebude provozovatelem okraden a jeho výhra mu bude řádně vyplacena. V tomto kontextu nelze opomíje</w:t>
      </w:r>
      <w:r w:rsidR="00492738">
        <w:t>t</w:t>
      </w:r>
      <w:r w:rsidRPr="00FE27A0">
        <w:t xml:space="preserve"> významnou úlohu dohledu na</w:t>
      </w:r>
      <w:r w:rsidR="00F717BF">
        <w:t>d </w:t>
      </w:r>
      <w:r w:rsidR="00F33DCF">
        <w:t>provozováním hazardních her a </w:t>
      </w:r>
      <w:r w:rsidRPr="00FE27A0">
        <w:t>garance státu.</w:t>
      </w:r>
    </w:p>
    <w:p w14:paraId="74863252" w14:textId="6A52AA93" w:rsidR="00374764" w:rsidRDefault="00374764" w:rsidP="00651FFD">
      <w:r w:rsidRPr="00B76CD1">
        <w:t>Zá</w:t>
      </w:r>
      <w:r>
        <w:t>kon o hazardních hrách odstranil</w:t>
      </w:r>
      <w:r w:rsidRPr="00B76CD1">
        <w:t xml:space="preserve"> protiprávnost chování těch účastníků hazardních her, kteří se přes varování Ministerstva financí i dalších institucí hazardních her u</w:t>
      </w:r>
      <w:r w:rsidR="006C1106">
        <w:t> </w:t>
      </w:r>
      <w:r w:rsidRPr="00B76CD1">
        <w:t xml:space="preserve">nelegálních provozovatelů účastní. </w:t>
      </w:r>
      <w:r>
        <w:t>Současně</w:t>
      </w:r>
      <w:r w:rsidRPr="00B76CD1">
        <w:t xml:space="preserve"> je v zákoně </w:t>
      </w:r>
      <w:r w:rsidR="00B94C24">
        <w:t>o </w:t>
      </w:r>
      <w:r>
        <w:t xml:space="preserve">hazardních hrách </w:t>
      </w:r>
      <w:r w:rsidRPr="00B76CD1">
        <w:t>obsažena právní úprava, která umožňuje efektivní boj proti nelegálnímu provozování hazardních her, čímž dochází i ke snižování nabídky nelegálních hazardních her</w:t>
      </w:r>
      <w:r w:rsidR="00492738">
        <w:t>, a to i v prostředí internetu</w:t>
      </w:r>
      <w:r w:rsidRPr="00B76CD1">
        <w:t xml:space="preserve">. Regulace zaměřená na </w:t>
      </w:r>
      <w:r w:rsidRPr="005947D8">
        <w:t>och</w:t>
      </w:r>
      <w:r w:rsidR="00F33DCF">
        <w:t>ranu účastníků hazardních her s </w:t>
      </w:r>
      <w:r w:rsidRPr="005947D8">
        <w:t xml:space="preserve">sebou </w:t>
      </w:r>
      <w:r>
        <w:t>může nést</w:t>
      </w:r>
      <w:r w:rsidRPr="005947D8">
        <w:t xml:space="preserve"> i určitý negativní dop</w:t>
      </w:r>
      <w:r w:rsidR="00F717BF">
        <w:t>ad na </w:t>
      </w:r>
      <w:r w:rsidRPr="005947D8">
        <w:t xml:space="preserve">účastníky v tom smyslu, že ne vždy </w:t>
      </w:r>
      <w:r>
        <w:t>jsou nabízeny veškeré</w:t>
      </w:r>
      <w:r w:rsidR="00F717BF">
        <w:t xml:space="preserve"> hazardní hry, neboť </w:t>
      </w:r>
      <w:r w:rsidRPr="005947D8">
        <w:t>některé nejsou v souladu s požadavky zákona o hazardních hrách</w:t>
      </w:r>
      <w:r>
        <w:t>.</w:t>
      </w:r>
    </w:p>
    <w:p w14:paraId="5B4558DE" w14:textId="77777777" w:rsidR="00374764" w:rsidRDefault="00374764" w:rsidP="00C55173">
      <w:pPr>
        <w:pStyle w:val="Nadpis6"/>
      </w:pPr>
      <w:bookmarkStart w:id="141" w:name="_Toc72999577"/>
      <w:r>
        <w:t>Veřejná správa</w:t>
      </w:r>
      <w:bookmarkEnd w:id="141"/>
    </w:p>
    <w:p w14:paraId="0E6F17D7" w14:textId="5914755A" w:rsidR="00374764" w:rsidRDefault="00374764" w:rsidP="00651FFD">
      <w:r w:rsidRPr="00CD3B8D">
        <w:t xml:space="preserve">Dopad nové právní regulace hazardních her měl významný dopad rovněž na orgány státní správy. V prvé řadě se jedná o </w:t>
      </w:r>
      <w:r w:rsidRPr="005E0822">
        <w:rPr>
          <w:b/>
        </w:rPr>
        <w:t>Ministerstvo financí</w:t>
      </w:r>
      <w:r w:rsidRPr="00CD3B8D">
        <w:t>, které nejen že je gestorem zákona  o hazardních hrách (včetně p</w:t>
      </w:r>
      <w:r w:rsidR="00B94C24">
        <w:t>rováděcích právních předpisů) a </w:t>
      </w:r>
      <w:r w:rsidRPr="00CD3B8D">
        <w:t xml:space="preserve">zákona o dani z hazardních her, ale plní i další oprávnění či role, které mu stanoví </w:t>
      </w:r>
      <w:r>
        <w:t>právní předpisy. Od účinnosti zákona o hazardních hrách Ministerstvo financí poskytuje metodické výklady a stanoviska k otázkám souvisejícím s novou právní úpravou uvedenou nejenom v zákoně o hazardních hr</w:t>
      </w:r>
      <w:r w:rsidR="00F717BF">
        <w:t>ách, dani z hazardních her, ale </w:t>
      </w:r>
      <w:r>
        <w:t>rovněž v oblasti prováděcích předpisů (např. reportingová vyhláška)</w:t>
      </w:r>
      <w:r w:rsidR="00492738">
        <w:t>.</w:t>
      </w:r>
      <w:r>
        <w:t xml:space="preserve"> Zcela nově byla do pravomoci Ministerstva financí svěřena oblast blokace n</w:t>
      </w:r>
      <w:r w:rsidR="00097F70">
        <w:t>epovolených internetových her a </w:t>
      </w:r>
      <w:r>
        <w:t xml:space="preserve">udělování </w:t>
      </w:r>
      <w:r w:rsidRPr="00CD3B8D">
        <w:t>po</w:t>
      </w:r>
      <w:r>
        <w:t>věření k odbornému posuzování a </w:t>
      </w:r>
      <w:r w:rsidRPr="00CD3B8D">
        <w:t>osvědčování</w:t>
      </w:r>
      <w:r>
        <w:t xml:space="preserve">. Ministerstvo financí </w:t>
      </w:r>
      <w:r w:rsidR="00697559">
        <w:t>jakožto</w:t>
      </w:r>
      <w:r>
        <w:t xml:space="preserve"> </w:t>
      </w:r>
      <w:r w:rsidR="00C67C0B">
        <w:t>dozorující</w:t>
      </w:r>
      <w:r w:rsidRPr="00CD3B8D">
        <w:t xml:space="preserve"> orgán v oblasti zákona o hazardních hrách</w:t>
      </w:r>
      <w:r w:rsidR="00697559">
        <w:t xml:space="preserve"> musel</w:t>
      </w:r>
      <w:r>
        <w:t xml:space="preserve"> reagovat na rozvoj internetového provozování </w:t>
      </w:r>
      <w:r w:rsidR="00697559">
        <w:t>hazardních her</w:t>
      </w:r>
      <w:r>
        <w:t xml:space="preserve">, </w:t>
      </w:r>
      <w:r w:rsidR="00697559">
        <w:t>přičemž jeho výkon byl ztížen</w:t>
      </w:r>
      <w:r>
        <w:t xml:space="preserve"> nedostatečným technických vybavením.</w:t>
      </w:r>
    </w:p>
    <w:p w14:paraId="56F248C1" w14:textId="1963CA97" w:rsidR="00374764" w:rsidRDefault="00374764" w:rsidP="00651FFD">
      <w:r>
        <w:lastRenderedPageBreak/>
        <w:t xml:space="preserve">V porovnání s předchozí právní úpravou lze konstatovat, že došlo k významnému zvýšení zátěže Ministerstva financí jak v oblasti povolovacího řízení, kdy je v porovnání se zákonem o hazardních hrách vedeno sice co do počtu menší množství správních řízení, nicméně tato správní řízení jsou administrativně </w:t>
      </w:r>
      <w:r w:rsidR="00F717BF">
        <w:t>i co do </w:t>
      </w:r>
      <w:r w:rsidR="00E824EE">
        <w:t xml:space="preserve">věcné stránky a požadavků na odbornost dotčených osob </w:t>
      </w:r>
      <w:r>
        <w:t>mnohem více náročná s ohledem na množství a rozsah požadovaných podkladů</w:t>
      </w:r>
      <w:r w:rsidR="00B94C24">
        <w:t xml:space="preserve"> a jejich posuzování a </w:t>
      </w:r>
      <w:r w:rsidR="00E824EE">
        <w:t>prověřování</w:t>
      </w:r>
      <w:r>
        <w:t>. Ministerstvo financí rovněž v rámci své činnosti reagovalo na využití nových možností provozování hazardních her ze strany provozovatelů, o čemž svědčí například množství vydaných základních povolení, jimiž je povoleno provozování hazardních her prostřednictvím internetu, vydaná pověření k odbornému posuzování a osvědčování, počet internetových stránek uvedených na seznamu nepovolených internetových her a další.</w:t>
      </w:r>
    </w:p>
    <w:p w14:paraId="27DDF00D" w14:textId="00E6DB23" w:rsidR="00374764" w:rsidRDefault="00374764" w:rsidP="00651FFD">
      <w:r>
        <w:t xml:space="preserve">Ministerstvo financí je zároveň </w:t>
      </w:r>
      <w:r w:rsidRPr="00697559">
        <w:rPr>
          <w:b/>
        </w:rPr>
        <w:t>správcem informačních systémů v oblasti hazardních her</w:t>
      </w:r>
      <w:r>
        <w:t>, kde došlo v posledních letech k velmi podstatnému vývoji. V rámci Analytického modulu AISG dochází ke sběru herních a finančních dat, která je Ministerstvo financí oprávněno zpracovávat. Rovněž období p</w:t>
      </w:r>
      <w:r w:rsidR="00B94C24">
        <w:t>řípravy reportingové vyhlášky a </w:t>
      </w:r>
      <w:r>
        <w:t>v návaznosti na její přijetí i vývoje Analytického modulu AISG bylo nad míru náročným nejenom po odborné stránce, kde pracovníci Ministerstva financí museli prokázat nejen odbornou znalosti v oblasti hazardních her, která je předvídána, ale rovněž se rozvíjet v dalších oblastech (analýza, databáze aj.), které standardně nespadají do požadavků kladených na funkční místa zařazená v rámci útvaru, nicméně jejich znalost a aplikace byla pro výkon agendy nutná. Tyto znalosti bude však třeba aplikovat také v budoucnu při dalším případném vývoji nejenom Analytického modulu AISG. V tomto ohledu lze rovněž konstatova</w:t>
      </w:r>
      <w:r w:rsidR="00097F70">
        <w:t>t, že v návaznosti na spuštění R</w:t>
      </w:r>
      <w:r>
        <w:t>ejstříku vyloučených osob, jehož je Ministerstvo financí správcem, došlo k dalšímu zatíže</w:t>
      </w:r>
      <w:r w:rsidR="00314835">
        <w:t>ní útvaru jak v oblasti standard</w:t>
      </w:r>
      <w:r>
        <w:t xml:space="preserve">ního provozu tohoto </w:t>
      </w:r>
      <w:r w:rsidR="000F3028">
        <w:t>R</w:t>
      </w:r>
      <w:r>
        <w:t>ejstříku, tak i v rámci vyřizování žádostí zápisu, podnětů k výmazu, vydá</w:t>
      </w:r>
      <w:r w:rsidR="000F3028">
        <w:t>vání výpisu a dalších dotazů s</w:t>
      </w:r>
      <w:r w:rsidR="000F45C1">
        <w:t> </w:t>
      </w:r>
      <w:r w:rsidR="000F3028">
        <w:t>R</w:t>
      </w:r>
      <w:r>
        <w:t>ejstříkem</w:t>
      </w:r>
      <w:r w:rsidR="000F45C1">
        <w:t xml:space="preserve"> vyloučených osob</w:t>
      </w:r>
      <w:r>
        <w:t xml:space="preserve"> souvisejících. </w:t>
      </w:r>
      <w:r w:rsidR="00CC288C" w:rsidRPr="00B46247">
        <w:t xml:space="preserve">Na tyto </w:t>
      </w:r>
      <w:r w:rsidR="00F717BF" w:rsidRPr="00697559">
        <w:rPr>
          <w:b/>
        </w:rPr>
        <w:t>zvýšené požadavky</w:t>
      </w:r>
      <w:r w:rsidR="00F717BF">
        <w:t xml:space="preserve"> bude nutné do </w:t>
      </w:r>
      <w:r w:rsidR="00CC288C" w:rsidRPr="00B46247">
        <w:t xml:space="preserve">budoucna reagovat z hlediska kapacitního </w:t>
      </w:r>
      <w:r w:rsidR="00BB021E">
        <w:t>a </w:t>
      </w:r>
      <w:r w:rsidR="00B46247" w:rsidRPr="00B46247">
        <w:t xml:space="preserve">odborného </w:t>
      </w:r>
      <w:r w:rsidR="00CC288C" w:rsidRPr="00B46247">
        <w:t xml:space="preserve">pokrytí, tak aby nebyla narušena efektivita </w:t>
      </w:r>
      <w:r w:rsidR="00B46247" w:rsidRPr="00B46247">
        <w:t>vykonávaných činností.</w:t>
      </w:r>
      <w:r w:rsidR="00CC288C">
        <w:t xml:space="preserve"> </w:t>
      </w:r>
    </w:p>
    <w:p w14:paraId="084EF7B2" w14:textId="401C12E0" w:rsidR="00374764" w:rsidRDefault="00374764" w:rsidP="00651FFD">
      <w:r>
        <w:t>V rámci všech správních řízení a dalších vykonávaných agend bylo nutné zavést zcela nové interní postupy, jelikož došlo ke komplexní změně agendy a průběžně nastavovat správní praxi, sjednocovat požadavky a reagovat na případné nejasnosti, ať již zodpovídáním individuálních dotazů, tak přípravou metodických stanovisek. S ohledem na tyto skutečnosti lze uvedené období hodnotit jak co do objemu vykonané práce a vytvořených výstupů sledujících naplnění cílů nové právní regulace jako velmi náročné, za hranou alokovaných kapacit pro zajištění této agendy, avšak úspěšné. O náročnosti spojené s vedením této agendy svědčí zejména relativně velká fluktuace pracovníků Ministerstva financí, kteří agendu hazardních her vykonávají</w:t>
      </w:r>
      <w:r w:rsidR="00B46247">
        <w:t>.</w:t>
      </w:r>
      <w:r>
        <w:t xml:space="preserve"> </w:t>
      </w:r>
      <w:r w:rsidR="00B46247">
        <w:t>D</w:t>
      </w:r>
      <w:r>
        <w:t>o budoucna by proto bylo vhodné v rámci Ministerstva financí posílit útvar vykonávající regulaci hazardních her. Rovněž lze doporučit klást</w:t>
      </w:r>
      <w:r w:rsidR="00F717BF">
        <w:t xml:space="preserve"> velký důraz na </w:t>
      </w:r>
      <w:r>
        <w:t xml:space="preserve">vzdělávání státních zaměstnanců a prohlubování jejich odborných znalostí zejména v takto specifické </w:t>
      </w:r>
      <w:r w:rsidR="00097F70">
        <w:t>a </w:t>
      </w:r>
      <w:r w:rsidR="00B46247">
        <w:t xml:space="preserve">zároveň z hlediska potřebných znalostí obsáhlé </w:t>
      </w:r>
      <w:r>
        <w:t xml:space="preserve">oblasti, kterým provozování hazardních her bezesporu je. K tomuto by bylo vhodné využít </w:t>
      </w:r>
      <w:r w:rsidR="00F717BF">
        <w:t>i </w:t>
      </w:r>
      <w:r>
        <w:t xml:space="preserve">větší spolupráci se zahraničními regulátory </w:t>
      </w:r>
      <w:r w:rsidR="00F717BF">
        <w:t>např. v rámci platformy GREF či </w:t>
      </w:r>
      <w:r w:rsidR="00FD1121">
        <w:t xml:space="preserve">případných </w:t>
      </w:r>
      <w:r>
        <w:t>pracovních skupin při Evropské komisi.</w:t>
      </w:r>
    </w:p>
    <w:p w14:paraId="58811A64" w14:textId="0B040269" w:rsidR="00374764" w:rsidRPr="00D10196" w:rsidRDefault="00374764" w:rsidP="00651FFD">
      <w:r w:rsidRPr="00BB021E">
        <w:rPr>
          <w:b/>
        </w:rPr>
        <w:t xml:space="preserve">Významnou úlohu </w:t>
      </w:r>
      <w:r w:rsidR="00B46247" w:rsidRPr="00BB021E">
        <w:rPr>
          <w:b/>
        </w:rPr>
        <w:t> v oblasti regulace hazardu</w:t>
      </w:r>
      <w:r w:rsidRPr="00BB021E">
        <w:rPr>
          <w:b/>
        </w:rPr>
        <w:t xml:space="preserve"> hraje Celní správa České republiky</w:t>
      </w:r>
      <w:r w:rsidR="00C27DDB">
        <w:rPr>
          <w:b/>
        </w:rPr>
        <w:t>.</w:t>
      </w:r>
      <w:r w:rsidRPr="00D10196">
        <w:t xml:space="preserve"> </w:t>
      </w:r>
      <w:r w:rsidR="00C27DDB">
        <w:t>Jedná se o</w:t>
      </w:r>
      <w:r w:rsidR="00C27DDB" w:rsidRPr="00D10196">
        <w:t xml:space="preserve"> </w:t>
      </w:r>
      <w:r w:rsidRPr="00D10196">
        <w:t xml:space="preserve">primární </w:t>
      </w:r>
      <w:r w:rsidR="00C67C0B">
        <w:t>dozorující</w:t>
      </w:r>
      <w:r w:rsidRPr="00D10196">
        <w:t xml:space="preserve"> orgán, a to neje</w:t>
      </w:r>
      <w:r w:rsidR="00097F70">
        <w:t>n v oblasti působnosti zákona o </w:t>
      </w:r>
      <w:r w:rsidRPr="00D10196">
        <w:t>hazardních hrách, ale i v oblasti ochrany spotřebitele, či</w:t>
      </w:r>
      <w:r w:rsidR="00F717BF">
        <w:t> </w:t>
      </w:r>
      <w:r w:rsidRPr="00D10196">
        <w:t xml:space="preserve">reklamy týkající se </w:t>
      </w:r>
      <w:r w:rsidRPr="00D10196">
        <w:lastRenderedPageBreak/>
        <w:t>hazardních her (vedle živnostenských úřadů). Celní úřady jsou primární</w:t>
      </w:r>
      <w:r w:rsidR="00314835">
        <w:t>m</w:t>
      </w:r>
      <w:r w:rsidRPr="00D10196">
        <w:t xml:space="preserve"> orgánem, který vykonává dozor nad dodržováním zákona o hazardních</w:t>
      </w:r>
      <w:r w:rsidR="00C27DDB">
        <w:t xml:space="preserve"> hrách</w:t>
      </w:r>
      <w:r w:rsidRPr="00D10196">
        <w:t>, podmínek uvedených v základním povolení a povolení k umístění herního prostoru. Od</w:t>
      </w:r>
      <w:r w:rsidR="00C27DDB">
        <w:t> </w:t>
      </w:r>
      <w:r w:rsidRPr="00D10196">
        <w:t>1.</w:t>
      </w:r>
      <w:r w:rsidR="00C27DDB">
        <w:t> </w:t>
      </w:r>
      <w:r w:rsidRPr="00D10196">
        <w:t>1.</w:t>
      </w:r>
      <w:r w:rsidR="00C27DDB">
        <w:t> </w:t>
      </w:r>
      <w:r w:rsidRPr="00D10196">
        <w:t>2021 byla přenesena pravomoc k projednávání přestupků v oblasti internetových her na Celní úřad pro Plzeňský kraj. Se zvýšenou mírou regulace rostla i roste nutnost vyšší míry kontroly nad vymáháním této regulace, ať již v oblasti potírání nelegální</w:t>
      </w:r>
      <w:r w:rsidR="00187F36">
        <w:t>ho</w:t>
      </w:r>
      <w:r w:rsidRPr="00D10196">
        <w:t xml:space="preserve"> provozování hazardních her, tak i řádné kontrole legálních provozovatelů</w:t>
      </w:r>
      <w:r w:rsidR="00F73138">
        <w:t xml:space="preserve">. Celní správa se s těmito požadavky a úkoly vyrovnala se ctí, </w:t>
      </w:r>
      <w:r w:rsidR="00F73138" w:rsidRPr="00C55173">
        <w:t xml:space="preserve">podrobněji viz </w:t>
      </w:r>
      <w:r w:rsidR="000F54D1">
        <w:t>příloha č. 12</w:t>
      </w:r>
      <w:r w:rsidR="00C27DDB">
        <w:t>  - </w:t>
      </w:r>
      <w:r w:rsidR="00BB021E" w:rsidRPr="00C55173">
        <w:t>D</w:t>
      </w:r>
      <w:r w:rsidR="00F73138" w:rsidRPr="00C55173">
        <w:t>o</w:t>
      </w:r>
      <w:r w:rsidR="00BB021E" w:rsidRPr="00C55173">
        <w:t>zor</w:t>
      </w:r>
      <w:r w:rsidR="00F73138" w:rsidRPr="00C55173">
        <w:t>.</w:t>
      </w:r>
      <w:r w:rsidRPr="00D10196">
        <w:t xml:space="preserve"> </w:t>
      </w:r>
      <w:r w:rsidR="00F73138">
        <w:t xml:space="preserve">Samozřejmě je však nutné pokračovat v intenzivním </w:t>
      </w:r>
      <w:r w:rsidR="00115126">
        <w:t xml:space="preserve">monitoringu a </w:t>
      </w:r>
      <w:r w:rsidR="00097F70">
        <w:t>dozoru v této oblasti a </w:t>
      </w:r>
      <w:r w:rsidR="00F73138">
        <w:t>d</w:t>
      </w:r>
      <w:r w:rsidR="00F717BF">
        <w:t>ůsledném vymáhání práva, a to i </w:t>
      </w:r>
      <w:r w:rsidR="00F73138">
        <w:t>s ohledem na technologický pokrok a nové trendy. Zejména oblast provozování hazardních (ať již legálních nebo nelegálních) her prostřednictvím internetu bude nutné věnovat</w:t>
      </w:r>
      <w:r w:rsidR="00115126">
        <w:t xml:space="preserve"> </w:t>
      </w:r>
      <w:r w:rsidR="00F73138">
        <w:t>zvýšenou pozornost, j</w:t>
      </w:r>
      <w:r w:rsidR="00097F70">
        <w:t>edině tak bude i </w:t>
      </w:r>
      <w:r w:rsidR="00F717BF">
        <w:t>nadále možné zabezpečit a </w:t>
      </w:r>
      <w:r w:rsidRPr="00D10196">
        <w:t xml:space="preserve">konstantně naplňovat cíle této regulace. Tento požadavek s sebou nese </w:t>
      </w:r>
      <w:r w:rsidR="00C27DDB">
        <w:t xml:space="preserve">personální </w:t>
      </w:r>
      <w:r w:rsidRPr="00D10196">
        <w:t>kapacitní požadavky a současně požadavky na odbornost pracovníků vykonávaných dozor nad dodržování zákona o hazardních hrách, což by mělo být podpořeno rovněž i dostatečný</w:t>
      </w:r>
      <w:r w:rsidR="00187F36">
        <w:t>m</w:t>
      </w:r>
      <w:r w:rsidRPr="00D10196">
        <w:t xml:space="preserve"> technickým zázemí</w:t>
      </w:r>
      <w:r w:rsidR="00187F36">
        <w:t>m</w:t>
      </w:r>
      <w:r w:rsidRPr="00D10196">
        <w:t xml:space="preserve">. </w:t>
      </w:r>
    </w:p>
    <w:p w14:paraId="6BDE470A" w14:textId="0D5B9451" w:rsidR="00374764" w:rsidRPr="00C61EA1" w:rsidRDefault="00374764" w:rsidP="00651FFD">
      <w:r w:rsidRPr="00BB021E">
        <w:rPr>
          <w:b/>
        </w:rPr>
        <w:t>Dalšími přímo dotčenými subjekty jsou obecní úřady</w:t>
      </w:r>
      <w:r w:rsidRPr="00C61EA1">
        <w:t>, které jsou povolovacím orgánem v případě povolení k umístění herního prostoru. V této oblasti lze konstatovat, že došlo k hladkému přesunu vykonávaných agend na obecní úřady, jeji</w:t>
      </w:r>
      <w:r>
        <w:t>ch</w:t>
      </w:r>
      <w:r w:rsidRPr="00C61EA1">
        <w:t>ž zatížení se odvíjí od počtu povolených herních prostorů na svém území. Vytížení konkrétních obecních úřadů, potažmo odpovědných pracovn</w:t>
      </w:r>
      <w:r>
        <w:t>íků se může lišit,</w:t>
      </w:r>
      <w:r w:rsidRPr="00C61EA1">
        <w:t xml:space="preserve"> zpravidla </w:t>
      </w:r>
      <w:r>
        <w:t xml:space="preserve">pak </w:t>
      </w:r>
      <w:r w:rsidRPr="00C61EA1">
        <w:t>vedení správních řízení o vydání, změně či zrušení povolení k umístění herního prostoru</w:t>
      </w:r>
      <w:r>
        <w:t xml:space="preserve"> tvoří spíše okrajovou náplň vykonávané pozice. Došlo především ke zvýšení administrativní zátěže, </w:t>
      </w:r>
      <w:r w:rsidR="00C27DDB">
        <w:t xml:space="preserve">kterou </w:t>
      </w:r>
      <w:r>
        <w:t>by bylo vhodné v budoucnu snížit, k čemuž by významným způsobem dopomohla úprava informačního systému sloužícího jako podpora jejich činnosti a zároveň ke sdílení informací napříč všemi zúčastněnými orgány státní správy.</w:t>
      </w:r>
      <w:r w:rsidRPr="00C61EA1">
        <w:t xml:space="preserve"> Obec, resp. zastupitelstvo obce má pak možnost regulovat hazardní hry na svém území pomocí obecně závazných vyhlášek. V neposlední řadě jsou i příjemci části výnosu daně z hazardních her</w:t>
      </w:r>
      <w:r>
        <w:t>, kdy se výše přijatého výnosu z dílčího základu daně z technické hry odvíjí od počtu povolených herních pozic technické hry na území konkrétní obce.</w:t>
      </w:r>
    </w:p>
    <w:p w14:paraId="49584D3C" w14:textId="248C48A2" w:rsidR="00374764" w:rsidRDefault="00374764" w:rsidP="00651FFD">
      <w:r>
        <w:t xml:space="preserve">V oblasti daně z hazardních her je pak </w:t>
      </w:r>
      <w:r w:rsidRPr="00BB021E">
        <w:rPr>
          <w:b/>
        </w:rPr>
        <w:t>významná činnost Finanční správy</w:t>
      </w:r>
      <w:r>
        <w:t xml:space="preserve"> České republiky. Od 1. 4. 2019 došlo k změně právní úpravy v tom smyslu, že se správcem daně pro oblast hazardních her stal</w:t>
      </w:r>
      <w:r w:rsidRPr="00EC2CD6">
        <w:t xml:space="preserve"> Specializovaný fin</w:t>
      </w:r>
      <w:r w:rsidR="00314835">
        <w:t>anční úřad. Zavedení</w:t>
      </w:r>
      <w:r>
        <w:t xml:space="preserve"> této koncentrace lze hodnotit pozitivně, neboť daň z hazardních her, která dopadá pouze na omezené množství subjektů, je spravována pou</w:t>
      </w:r>
      <w:r w:rsidR="00F717BF">
        <w:t>ze jedním správcem daně, což ve </w:t>
      </w:r>
      <w:r>
        <w:t xml:space="preserve">svém kontextu vede ke </w:t>
      </w:r>
      <w:r w:rsidRPr="00640472">
        <w:t>zvýšení efektivity a jednotnosti při správě této daně.</w:t>
      </w:r>
      <w:r>
        <w:t xml:space="preserve"> </w:t>
      </w:r>
    </w:p>
    <w:p w14:paraId="519E85C3" w14:textId="58E50788" w:rsidR="00115126" w:rsidRDefault="00115126" w:rsidP="00651FFD">
      <w:r>
        <w:t>Míra nastavené regulace má tak</w:t>
      </w:r>
      <w:r w:rsidR="00C876E8">
        <w:t>é</w:t>
      </w:r>
      <w:r>
        <w:t xml:space="preserve"> významný vliv na </w:t>
      </w:r>
      <w:r w:rsidR="00C876E8">
        <w:t>subjekty, které řeší negativní dopady hazardního hraní,</w:t>
      </w:r>
      <w:r>
        <w:t xml:space="preserve"> </w:t>
      </w:r>
      <w:r w:rsidR="00C876E8">
        <w:t>zejména</w:t>
      </w:r>
      <w:r>
        <w:t xml:space="preserve"> adiktologických poraden, léčeben a dalších zařízení poskytujících pomoc mimo jiné osobám, kte</w:t>
      </w:r>
      <w:r w:rsidR="00314835">
        <w:t>ré</w:t>
      </w:r>
      <w:r>
        <w:t xml:space="preserve"> mohou být ohrožené závislostí na hazardních hrách.</w:t>
      </w:r>
      <w:r w:rsidR="00C876E8">
        <w:t xml:space="preserve"> Byť tyto subjekty ne</w:t>
      </w:r>
      <w:r w:rsidR="00097F70">
        <w:t>jsou přímo regulovány zákonem o </w:t>
      </w:r>
      <w:r w:rsidR="00C876E8">
        <w:t>hazardních hrách a jejich činnost není primární oblastí tohoto hodnocení, je jejich role v</w:t>
      </w:r>
      <w:r w:rsidR="0018733A">
        <w:t xml:space="preserve"> celospolečenském </w:t>
      </w:r>
      <w:r w:rsidR="00C876E8">
        <w:t xml:space="preserve">pohledu zásadní a nezastupitelná a zcela jistě si </w:t>
      </w:r>
      <w:r w:rsidR="0018733A">
        <w:t xml:space="preserve">jejich činnost </w:t>
      </w:r>
      <w:r w:rsidR="00C876E8">
        <w:t>zaslouží</w:t>
      </w:r>
      <w:r w:rsidR="0018733A">
        <w:t xml:space="preserve"> uznání a maximální možnou podporu.</w:t>
      </w:r>
      <w:r w:rsidR="00C876E8">
        <w:t xml:space="preserve">  </w:t>
      </w:r>
    </w:p>
    <w:p w14:paraId="5B97C159" w14:textId="2D915AE0" w:rsidR="00374764" w:rsidRDefault="00374764" w:rsidP="00651FFD">
      <w:r>
        <w:t>Nová právní úprava měla bezpochyby dopad také na činnosti</w:t>
      </w:r>
      <w:r w:rsidRPr="00640472">
        <w:t xml:space="preserve"> Úřad</w:t>
      </w:r>
      <w:r>
        <w:t>u</w:t>
      </w:r>
      <w:r w:rsidR="00F717BF">
        <w:t xml:space="preserve"> vlády, resp. </w:t>
      </w:r>
      <w:r w:rsidRPr="00640472">
        <w:t>Odbor protidrogové politiky, jakožto koordinátor</w:t>
      </w:r>
      <w:r>
        <w:t>a</w:t>
      </w:r>
      <w:r w:rsidRPr="00640472">
        <w:t xml:space="preserve"> boje se závislostmi. </w:t>
      </w:r>
      <w:r>
        <w:t xml:space="preserve">Ačkoli tento orgán není přímo orgánem vykonávajícím státní správu podle zákona </w:t>
      </w:r>
      <w:r>
        <w:lastRenderedPageBreak/>
        <w:t>o</w:t>
      </w:r>
      <w:r w:rsidR="00F717BF">
        <w:t> </w:t>
      </w:r>
      <w:r>
        <w:t>hazardních hrách, plní zde velmi významnou roli, a to v ob</w:t>
      </w:r>
      <w:r w:rsidR="0081036E">
        <w:t>lasti koordinace protidrogové a </w:t>
      </w:r>
      <w:r>
        <w:t xml:space="preserve">závislostní politiky. Působí na druhé straně regulace a je tak partnerem Ministerstva financí při nastavování pravidel v oblasti regulace hazardního hraní. </w:t>
      </w:r>
      <w:r w:rsidRPr="001C4257">
        <w:t>Jejich konečným cílem je co nejvíce snížit sociá</w:t>
      </w:r>
      <w:r w:rsidR="00F717BF">
        <w:t>lní, zdravotní a další škody a </w:t>
      </w:r>
      <w:r w:rsidRPr="001C4257">
        <w:t>rizika, která s sebou užívání návykových látek a hazardní hráčství nese j</w:t>
      </w:r>
      <w:r w:rsidR="006A6EB5">
        <w:t>ak pro jednotlivé občany, tak i </w:t>
      </w:r>
      <w:r w:rsidRPr="001C4257">
        <w:t>pro společnost jako celek.</w:t>
      </w:r>
      <w:r>
        <w:t xml:space="preserve"> Odbor protidrogové politiky působí v této roli dlouhodobě a zavedení nové právní úpravy mělo vliv spíše faktický (např. snížení počtu osob ohrožených závislostí), než přímo dopad na rozsah vykonávaných činností.</w:t>
      </w:r>
    </w:p>
    <w:p w14:paraId="348E740C" w14:textId="5921EDD9" w:rsidR="00374764" w:rsidRDefault="00374764" w:rsidP="00C55173">
      <w:pPr>
        <w:pStyle w:val="Nadpis6"/>
      </w:pPr>
      <w:bookmarkStart w:id="142" w:name="_Toc72999578"/>
      <w:r>
        <w:t>Shrnutí</w:t>
      </w:r>
      <w:bookmarkEnd w:id="142"/>
    </w:p>
    <w:p w14:paraId="0F22241A" w14:textId="33DD249A" w:rsidR="00631134" w:rsidRPr="002C29D4" w:rsidRDefault="00374764" w:rsidP="002C29D4">
      <w:r w:rsidRPr="00BB021E">
        <w:rPr>
          <w:rFonts w:cs="Arial"/>
          <w:b/>
          <w:szCs w:val="24"/>
        </w:rPr>
        <w:t>Závěrem lze shrnout, že pro všechny aktéry</w:t>
      </w:r>
      <w:r w:rsidR="00C27DDB">
        <w:rPr>
          <w:rFonts w:cs="Arial"/>
          <w:b/>
          <w:szCs w:val="24"/>
        </w:rPr>
        <w:t>,</w:t>
      </w:r>
      <w:r w:rsidRPr="00BB021E">
        <w:rPr>
          <w:rFonts w:cs="Arial"/>
          <w:b/>
          <w:szCs w:val="24"/>
        </w:rPr>
        <w:t xml:space="preserve"> ať již v rovině orgánů státní správy, tak i podnikatelských subjektů znamenalo přijetí nové právní úpravy významné dopady věcného, personálního, časového</w:t>
      </w:r>
      <w:r w:rsidR="0018733A" w:rsidRPr="00BB021E">
        <w:rPr>
          <w:rFonts w:cs="Arial"/>
          <w:b/>
          <w:szCs w:val="24"/>
        </w:rPr>
        <w:t>, administrativního</w:t>
      </w:r>
      <w:r w:rsidRPr="00BB021E">
        <w:rPr>
          <w:rFonts w:cs="Arial"/>
          <w:b/>
          <w:szCs w:val="24"/>
        </w:rPr>
        <w:t xml:space="preserve"> </w:t>
      </w:r>
      <w:r w:rsidR="0018733A" w:rsidRPr="00BB021E">
        <w:rPr>
          <w:rFonts w:cs="Arial"/>
          <w:b/>
          <w:szCs w:val="24"/>
        </w:rPr>
        <w:t>i</w:t>
      </w:r>
      <w:r w:rsidR="0081036E">
        <w:rPr>
          <w:rFonts w:cs="Arial"/>
          <w:b/>
          <w:szCs w:val="24"/>
        </w:rPr>
        <w:t> </w:t>
      </w:r>
      <w:r w:rsidRPr="00BB021E">
        <w:rPr>
          <w:rFonts w:cs="Arial"/>
          <w:b/>
          <w:szCs w:val="24"/>
        </w:rPr>
        <w:t>finančního charakteru. Tyto zvýšené náklady, j</w:t>
      </w:r>
      <w:r w:rsidR="00F717BF">
        <w:rPr>
          <w:rFonts w:cs="Arial"/>
          <w:b/>
          <w:szCs w:val="24"/>
        </w:rPr>
        <w:t>ak na straně státní správy, tak </w:t>
      </w:r>
      <w:r w:rsidRPr="00BB021E">
        <w:rPr>
          <w:rFonts w:cs="Arial"/>
          <w:b/>
          <w:szCs w:val="24"/>
        </w:rPr>
        <w:t xml:space="preserve">na straně provozovatelů </w:t>
      </w:r>
      <w:r w:rsidR="0018733A" w:rsidRPr="00BB021E">
        <w:rPr>
          <w:rFonts w:cs="Arial"/>
          <w:b/>
          <w:szCs w:val="24"/>
        </w:rPr>
        <w:t xml:space="preserve">lze však považovat za </w:t>
      </w:r>
      <w:r w:rsidRPr="00BB021E">
        <w:rPr>
          <w:rFonts w:cs="Arial"/>
          <w:b/>
          <w:szCs w:val="24"/>
        </w:rPr>
        <w:t>marginální v porovnání s pozitivními přínosy regulace hazardních her ve vztahu k</w:t>
      </w:r>
      <w:r w:rsidR="0018733A" w:rsidRPr="00BB021E">
        <w:rPr>
          <w:rFonts w:cs="Arial"/>
          <w:b/>
          <w:szCs w:val="24"/>
        </w:rPr>
        <w:t> prevenci a</w:t>
      </w:r>
      <w:r w:rsidRPr="00BB021E">
        <w:rPr>
          <w:rFonts w:cs="Arial"/>
          <w:b/>
          <w:szCs w:val="24"/>
        </w:rPr>
        <w:t xml:space="preserve"> snížení celospolečenských nákladů hazardního hraní</w:t>
      </w:r>
      <w:r w:rsidR="0018733A" w:rsidRPr="00BB021E">
        <w:rPr>
          <w:rFonts w:cs="Arial"/>
          <w:b/>
          <w:szCs w:val="24"/>
        </w:rPr>
        <w:t xml:space="preserve"> a snížení negativních důsledků hazardních her na jednotlivé </w:t>
      </w:r>
      <w:r w:rsidR="009F71E7" w:rsidRPr="0095756F">
        <w:rPr>
          <w:b/>
        </w:rPr>
        <w:t>účastníky hazardních her</w:t>
      </w:r>
      <w:r w:rsidR="009F71E7">
        <w:t xml:space="preserve"> </w:t>
      </w:r>
      <w:r w:rsidR="0018733A" w:rsidRPr="00BB021E">
        <w:rPr>
          <w:rFonts w:cs="Arial"/>
          <w:b/>
          <w:szCs w:val="24"/>
        </w:rPr>
        <w:t>a jejich blízké</w:t>
      </w:r>
      <w:r w:rsidRPr="00BB021E">
        <w:rPr>
          <w:rFonts w:cs="Arial"/>
          <w:b/>
          <w:szCs w:val="24"/>
        </w:rPr>
        <w:t xml:space="preserve">. Tyto vynaložené </w:t>
      </w:r>
      <w:r w:rsidR="006A6EB5">
        <w:rPr>
          <w:rFonts w:cs="Arial"/>
          <w:b/>
          <w:szCs w:val="24"/>
        </w:rPr>
        <w:t>a </w:t>
      </w:r>
      <w:r w:rsidR="009C4AD8" w:rsidRPr="00BB021E">
        <w:rPr>
          <w:rFonts w:cs="Arial"/>
          <w:b/>
          <w:szCs w:val="24"/>
        </w:rPr>
        <w:t xml:space="preserve">opodstatněné </w:t>
      </w:r>
      <w:r w:rsidRPr="00BB021E">
        <w:rPr>
          <w:rFonts w:cs="Arial"/>
          <w:b/>
          <w:szCs w:val="24"/>
        </w:rPr>
        <w:t>náklady měly bezpochyby p</w:t>
      </w:r>
      <w:r w:rsidR="0081036E">
        <w:rPr>
          <w:rFonts w:cs="Arial"/>
          <w:b/>
          <w:szCs w:val="24"/>
        </w:rPr>
        <w:t>ozitivní vliv při zabezpečení a </w:t>
      </w:r>
      <w:r w:rsidRPr="00BB021E">
        <w:rPr>
          <w:rFonts w:cs="Arial"/>
          <w:b/>
          <w:szCs w:val="24"/>
        </w:rPr>
        <w:t>plnění cílů této nové regulace a bez jejich vynaložení by nebylo možné těchto cílů dosáhnout.</w:t>
      </w:r>
      <w:r w:rsidRPr="00687F92">
        <w:rPr>
          <w:rFonts w:cs="Arial"/>
          <w:szCs w:val="24"/>
        </w:rPr>
        <w:t xml:space="preserve"> Aby byly tyto cíle naplňovány v dlouhodobém měřítku, bude i</w:t>
      </w:r>
      <w:r>
        <w:rPr>
          <w:rFonts w:cs="Arial"/>
          <w:szCs w:val="24"/>
        </w:rPr>
        <w:t> </w:t>
      </w:r>
      <w:r w:rsidRPr="00687F92">
        <w:rPr>
          <w:rFonts w:cs="Arial"/>
          <w:szCs w:val="24"/>
        </w:rPr>
        <w:t xml:space="preserve">nadále nutné, nést nižší náklady, které s sebou provozování hazardních her a jeho regulace logicky nese. </w:t>
      </w:r>
      <w:r w:rsidR="00B06AF5">
        <w:rPr>
          <w:rFonts w:cs="Arial"/>
          <w:szCs w:val="24"/>
        </w:rPr>
        <w:t>Zároveň je nutné</w:t>
      </w:r>
      <w:r w:rsidRPr="00687F92">
        <w:rPr>
          <w:rFonts w:cs="Arial"/>
          <w:szCs w:val="24"/>
        </w:rPr>
        <w:t xml:space="preserve"> </w:t>
      </w:r>
      <w:r w:rsidRPr="00BB021E">
        <w:rPr>
          <w:rFonts w:cs="Arial"/>
          <w:b/>
          <w:szCs w:val="24"/>
        </w:rPr>
        <w:t xml:space="preserve">vytvoření dlouhodobě stabilního prostředí </w:t>
      </w:r>
      <w:r w:rsidR="00B06AF5" w:rsidRPr="00BB021E">
        <w:rPr>
          <w:rFonts w:cs="Arial"/>
          <w:b/>
          <w:szCs w:val="24"/>
        </w:rPr>
        <w:t>na trhu</w:t>
      </w:r>
      <w:r w:rsidRPr="00BB021E">
        <w:rPr>
          <w:rFonts w:cs="Arial"/>
          <w:b/>
          <w:szCs w:val="24"/>
        </w:rPr>
        <w:t xml:space="preserve"> hazardních her</w:t>
      </w:r>
      <w:r w:rsidRPr="00687F92">
        <w:rPr>
          <w:rFonts w:cs="Arial"/>
          <w:szCs w:val="24"/>
        </w:rPr>
        <w:t xml:space="preserve"> bez častých změn právní úpravy a narušování </w:t>
      </w:r>
      <w:r w:rsidR="00FD1121">
        <w:rPr>
          <w:rFonts w:cs="Arial"/>
          <w:szCs w:val="24"/>
        </w:rPr>
        <w:t xml:space="preserve">právní </w:t>
      </w:r>
      <w:r w:rsidRPr="00687F92">
        <w:rPr>
          <w:rFonts w:cs="Arial"/>
          <w:szCs w:val="24"/>
        </w:rPr>
        <w:t>jistoty provozovatelů hazardních her a tehdy, pokud budou tito provozovatelé zodpovědně plnit požadavky kladené právní úpravou.</w:t>
      </w:r>
      <w:r w:rsidR="009C4AD8">
        <w:rPr>
          <w:rFonts w:cs="Arial"/>
          <w:szCs w:val="24"/>
        </w:rPr>
        <w:t xml:space="preserve"> Na druhou stranu je vhodné se zaměřit i na parciální zlepšení v některých oblaste</w:t>
      </w:r>
      <w:r w:rsidR="00F717BF">
        <w:rPr>
          <w:rFonts w:cs="Arial"/>
          <w:szCs w:val="24"/>
        </w:rPr>
        <w:t>ch, kde by mohlo ještě dojít ke </w:t>
      </w:r>
      <w:r w:rsidR="009C4AD8" w:rsidRPr="00BB021E">
        <w:rPr>
          <w:rFonts w:cs="Arial"/>
          <w:b/>
          <w:szCs w:val="24"/>
        </w:rPr>
        <w:t>zvýšení efektivity</w:t>
      </w:r>
      <w:r w:rsidR="009C4AD8">
        <w:rPr>
          <w:rFonts w:cs="Arial"/>
          <w:szCs w:val="24"/>
        </w:rPr>
        <w:t>, či při jejím zachování ke snížení</w:t>
      </w:r>
      <w:r w:rsidR="00700AF7">
        <w:rPr>
          <w:rFonts w:cs="Arial"/>
          <w:szCs w:val="24"/>
        </w:rPr>
        <w:t xml:space="preserve"> nákladů. Jedná se však pouze o </w:t>
      </w:r>
      <w:r w:rsidR="00FD1121">
        <w:rPr>
          <w:rFonts w:cs="Arial"/>
          <w:szCs w:val="24"/>
        </w:rPr>
        <w:t>dílčí zásahy</w:t>
      </w:r>
      <w:r w:rsidR="00B06AF5">
        <w:rPr>
          <w:rFonts w:cs="Arial"/>
          <w:szCs w:val="24"/>
        </w:rPr>
        <w:t>, jejichž potenciál může pomoci zefektivnit již tak velmi vhodně nastavenou míru regulace.</w:t>
      </w:r>
    </w:p>
    <w:p w14:paraId="4C22441A" w14:textId="206E9FD2" w:rsidR="006C6138" w:rsidRPr="009F6E49" w:rsidRDefault="006C6138" w:rsidP="006C6138">
      <w:pPr>
        <w:pStyle w:val="Nadpis2"/>
      </w:pPr>
      <w:bookmarkStart w:id="143" w:name="_Toc71880536"/>
      <w:bookmarkStart w:id="144" w:name="_Toc71881096"/>
      <w:bookmarkStart w:id="145" w:name="_Toc72999579"/>
      <w:bookmarkStart w:id="146" w:name="_Toc73613635"/>
      <w:r w:rsidRPr="009F6E49">
        <w:t>Závěry a doporučení</w:t>
      </w:r>
      <w:bookmarkEnd w:id="143"/>
      <w:bookmarkEnd w:id="144"/>
      <w:bookmarkEnd w:id="145"/>
      <w:bookmarkEnd w:id="146"/>
    </w:p>
    <w:p w14:paraId="4FA1D31A" w14:textId="759B3B4F" w:rsidR="00890908" w:rsidRPr="00AB4746" w:rsidRDefault="00890908" w:rsidP="00890908">
      <w:pPr>
        <w:pStyle w:val="Nadpis3"/>
      </w:pPr>
      <w:bookmarkStart w:id="147" w:name="_Toc72999580"/>
      <w:bookmarkStart w:id="148" w:name="_Toc73613636"/>
      <w:r w:rsidRPr="00AB4746">
        <w:t>Nedostatky původní regulace</w:t>
      </w:r>
      <w:bookmarkEnd w:id="147"/>
      <w:bookmarkEnd w:id="148"/>
    </w:p>
    <w:p w14:paraId="0E2C7AF8" w14:textId="45D1F319" w:rsidR="00890908" w:rsidRPr="00AB4746" w:rsidRDefault="00890908" w:rsidP="00890908">
      <w:pPr>
        <w:rPr>
          <w:rFonts w:cs="Arial"/>
          <w:b/>
          <w:szCs w:val="24"/>
        </w:rPr>
      </w:pPr>
      <w:r w:rsidRPr="00AB4746">
        <w:rPr>
          <w:rFonts w:cs="Arial"/>
          <w:szCs w:val="24"/>
        </w:rPr>
        <w:t xml:space="preserve">Původní regulace hazardních her obsažená zejména v zákoně o loteriích byla zatížena řadou nedostatků jak po stránce formální, tak po stránce věcné. V obsahové rovině </w:t>
      </w:r>
      <w:r w:rsidRPr="00AB4746">
        <w:rPr>
          <w:rFonts w:cs="Arial"/>
          <w:b/>
          <w:szCs w:val="24"/>
        </w:rPr>
        <w:t xml:space="preserve">právní úprava nevytvářela dostatečně efektivní zábrany před neúměrným nárůstem podnikatelských aktivit v této oblasti a před projevy některých společenských rizik, jež jsou s touto činností, vzhledem k její značně specifické povaze a jejím negativním dopadům, spojeny. </w:t>
      </w:r>
      <w:r w:rsidRPr="00AB4746">
        <w:rPr>
          <w:rFonts w:cs="Arial"/>
          <w:szCs w:val="24"/>
        </w:rPr>
        <w:t>Zásadním nedostatkem byla zejména</w:t>
      </w:r>
      <w:r w:rsidRPr="00AB4746">
        <w:rPr>
          <w:rFonts w:cs="Arial"/>
          <w:b/>
          <w:szCs w:val="24"/>
        </w:rPr>
        <w:t xml:space="preserve"> vysoká dostupnost hazardních her, nízká úroveň ochrany </w:t>
      </w:r>
      <w:r w:rsidR="009F71E7" w:rsidRPr="00CF0E13">
        <w:rPr>
          <w:b/>
        </w:rPr>
        <w:t>účastníků hazardních her</w:t>
      </w:r>
      <w:r w:rsidRPr="00AB4746">
        <w:rPr>
          <w:rFonts w:cs="Arial"/>
          <w:b/>
          <w:szCs w:val="24"/>
        </w:rPr>
        <w:t>. Samotná systematika povolovacích řízení a</w:t>
      </w:r>
      <w:r w:rsidR="00611336">
        <w:rPr>
          <w:rFonts w:cs="Arial"/>
          <w:b/>
          <w:szCs w:val="24"/>
        </w:rPr>
        <w:t> </w:t>
      </w:r>
      <w:r w:rsidRPr="00AB4746">
        <w:rPr>
          <w:rFonts w:cs="Arial"/>
          <w:b/>
          <w:szCs w:val="24"/>
        </w:rPr>
        <w:t>povolovaných her byla nastaven</w:t>
      </w:r>
      <w:r>
        <w:rPr>
          <w:rFonts w:cs="Arial"/>
          <w:b/>
          <w:szCs w:val="24"/>
        </w:rPr>
        <w:t>a</w:t>
      </w:r>
      <w:r w:rsidRPr="00AB4746">
        <w:rPr>
          <w:rFonts w:cs="Arial"/>
          <w:b/>
          <w:szCs w:val="24"/>
        </w:rPr>
        <w:t xml:space="preserve"> touto úpravou nekoncepčně a ne příliš transparentně. Právní úprava nebyla schopna reflektovat technologický pokrok (např. nedostatečná regulace internetových her) a problematická byla i</w:t>
      </w:r>
      <w:r w:rsidR="00611336">
        <w:rPr>
          <w:rFonts w:cs="Arial"/>
          <w:b/>
          <w:szCs w:val="24"/>
        </w:rPr>
        <w:t> </w:t>
      </w:r>
      <w:r w:rsidRPr="00AB4746">
        <w:rPr>
          <w:rFonts w:cs="Arial"/>
          <w:b/>
          <w:szCs w:val="24"/>
        </w:rPr>
        <w:t>a</w:t>
      </w:r>
      <w:r w:rsidR="00B0565F">
        <w:rPr>
          <w:rFonts w:cs="Arial"/>
          <w:b/>
          <w:szCs w:val="24"/>
        </w:rPr>
        <w:t>bsence dostatečných informací o </w:t>
      </w:r>
      <w:r w:rsidRPr="00AB4746">
        <w:rPr>
          <w:rFonts w:cs="Arial"/>
          <w:b/>
          <w:szCs w:val="24"/>
        </w:rPr>
        <w:t xml:space="preserve">trhu a jeho fungování pro dozorové orgány. </w:t>
      </w:r>
      <w:r w:rsidRPr="00AB4746">
        <w:rPr>
          <w:rFonts w:cs="Arial"/>
          <w:szCs w:val="24"/>
        </w:rPr>
        <w:t xml:space="preserve">Omezená možnost subjektů se sídlem v ostatních členských státech Evropské unie získat povolení k provozování podle zákona o loteriích vedla </w:t>
      </w:r>
      <w:r w:rsidRPr="00AB4746">
        <w:rPr>
          <w:rFonts w:cs="Arial"/>
          <w:szCs w:val="24"/>
        </w:rPr>
        <w:lastRenderedPageBreak/>
        <w:t>i</w:t>
      </w:r>
      <w:r w:rsidR="00611336">
        <w:rPr>
          <w:rFonts w:cs="Arial"/>
          <w:szCs w:val="24"/>
        </w:rPr>
        <w:t> </w:t>
      </w:r>
      <w:r w:rsidRPr="00AB4746">
        <w:rPr>
          <w:rFonts w:cs="Arial"/>
          <w:szCs w:val="24"/>
        </w:rPr>
        <w:t xml:space="preserve">k zahájení řízení proti České republice pro podezření z porušení evropského práva, tzv. </w:t>
      </w:r>
      <w:r w:rsidRPr="00AB4746">
        <w:rPr>
          <w:rFonts w:cs="Arial"/>
          <w:b/>
          <w:szCs w:val="24"/>
        </w:rPr>
        <w:t>infringement</w:t>
      </w:r>
      <w:r w:rsidRPr="00AB4746">
        <w:rPr>
          <w:rFonts w:cs="Arial"/>
          <w:szCs w:val="24"/>
        </w:rPr>
        <w:t>.</w:t>
      </w:r>
      <w:r w:rsidRPr="00AB4746">
        <w:rPr>
          <w:rFonts w:cs="Arial"/>
          <w:b/>
          <w:szCs w:val="24"/>
        </w:rPr>
        <w:t xml:space="preserve">    </w:t>
      </w:r>
    </w:p>
    <w:p w14:paraId="1565BAFE" w14:textId="329A4488" w:rsidR="00890908" w:rsidRPr="00AB4746" w:rsidRDefault="00890908" w:rsidP="00FA7491">
      <w:pPr>
        <w:pStyle w:val="Nadpis3"/>
      </w:pPr>
      <w:bookmarkStart w:id="149" w:name="_Toc72999581"/>
      <w:bookmarkStart w:id="150" w:name="_Toc73613637"/>
      <w:r>
        <w:t>Zhodnocení</w:t>
      </w:r>
      <w:r w:rsidRPr="00AB4746">
        <w:t xml:space="preserve"> nové regulace hazardních her</w:t>
      </w:r>
      <w:bookmarkEnd w:id="149"/>
      <w:bookmarkEnd w:id="150"/>
    </w:p>
    <w:p w14:paraId="7AC36123" w14:textId="77777777" w:rsidR="00890908" w:rsidRPr="00AB4746" w:rsidRDefault="00890908" w:rsidP="00890908">
      <w:pPr>
        <w:rPr>
          <w:rFonts w:cs="Arial"/>
          <w:b/>
          <w:szCs w:val="24"/>
        </w:rPr>
      </w:pPr>
      <w:r w:rsidRPr="00AB4746">
        <w:rPr>
          <w:rFonts w:cs="Arial"/>
          <w:b/>
          <w:bCs/>
          <w:szCs w:val="24"/>
        </w:rPr>
        <w:t xml:space="preserve">Komplexní a moderní právní úprava hazardu od roku 2017 přinesla </w:t>
      </w:r>
      <w:r w:rsidRPr="00AB4746">
        <w:rPr>
          <w:rFonts w:cs="Arial"/>
          <w:b/>
          <w:szCs w:val="24"/>
        </w:rPr>
        <w:t>celkovou kultivaci trhu, větší transparentnost a koncepčnost regulace.</w:t>
      </w:r>
    </w:p>
    <w:p w14:paraId="347264C4" w14:textId="07174620" w:rsidR="00890908" w:rsidRPr="00AB4746" w:rsidRDefault="00890908" w:rsidP="00890908">
      <w:pPr>
        <w:rPr>
          <w:rFonts w:cs="Arial"/>
          <w:b/>
          <w:szCs w:val="24"/>
        </w:rPr>
      </w:pPr>
      <w:r w:rsidRPr="00AB4746">
        <w:rPr>
          <w:b/>
        </w:rPr>
        <w:t>Primárním c</w:t>
      </w:r>
      <w:r w:rsidRPr="00AB4746">
        <w:rPr>
          <w:rFonts w:cs="Arial"/>
          <w:b/>
          <w:szCs w:val="24"/>
        </w:rPr>
        <w:t>ílem zákona o hazardních hrách</w:t>
      </w:r>
      <w:r w:rsidRPr="00AB4746">
        <w:rPr>
          <w:rFonts w:cs="Arial"/>
          <w:szCs w:val="24"/>
        </w:rPr>
        <w:t xml:space="preserve"> byla zejména </w:t>
      </w:r>
      <w:r w:rsidRPr="00AB4746">
        <w:rPr>
          <w:rFonts w:cs="Arial"/>
          <w:b/>
          <w:szCs w:val="24"/>
        </w:rPr>
        <w:t>ochrana účastníků hazardních her</w:t>
      </w:r>
      <w:r w:rsidRPr="00AB4746">
        <w:rPr>
          <w:rFonts w:cs="Arial"/>
          <w:szCs w:val="24"/>
        </w:rPr>
        <w:t xml:space="preserve"> proti negativním dopadům účasti na hazardních hrách. Tyto dopady se navíc neomezují pouze na </w:t>
      </w:r>
      <w:r w:rsidRPr="00AB4746">
        <w:rPr>
          <w:rFonts w:cs="Arial"/>
          <w:b/>
          <w:szCs w:val="24"/>
        </w:rPr>
        <w:t xml:space="preserve">samotné účastníky hazardních her, ale také </w:t>
      </w:r>
      <w:r>
        <w:rPr>
          <w:rFonts w:cs="Arial"/>
          <w:b/>
          <w:szCs w:val="24"/>
        </w:rPr>
        <w:t xml:space="preserve">na </w:t>
      </w:r>
      <w:r w:rsidRPr="00AB4746">
        <w:rPr>
          <w:rFonts w:cs="Arial"/>
          <w:b/>
          <w:szCs w:val="24"/>
        </w:rPr>
        <w:t>jejich rodinu a okolí</w:t>
      </w:r>
      <w:r w:rsidRPr="00AB4746">
        <w:rPr>
          <w:rFonts w:cs="Arial"/>
          <w:szCs w:val="24"/>
        </w:rPr>
        <w:t>. Z tohoto důvodu byla do právní úpravy zahrnuta řada adiktologických brzd, které rizikové chování pomáh</w:t>
      </w:r>
      <w:r w:rsidR="00B0565F">
        <w:rPr>
          <w:rFonts w:cs="Arial"/>
          <w:szCs w:val="24"/>
        </w:rPr>
        <w:t>ají limitovat, ať už se jedná o </w:t>
      </w:r>
      <w:r w:rsidRPr="00AB4746">
        <w:rPr>
          <w:rFonts w:cs="Arial"/>
          <w:szCs w:val="24"/>
        </w:rPr>
        <w:t xml:space="preserve">nástroje sloužící k seberegulaci, tzv. </w:t>
      </w:r>
      <w:r w:rsidRPr="00AB4746">
        <w:rPr>
          <w:rFonts w:cs="Arial"/>
          <w:b/>
          <w:szCs w:val="24"/>
        </w:rPr>
        <w:t xml:space="preserve">sebeomezující opatření </w:t>
      </w:r>
      <w:r w:rsidRPr="00AB4746">
        <w:rPr>
          <w:rFonts w:cs="Arial"/>
          <w:szCs w:val="24"/>
        </w:rPr>
        <w:t xml:space="preserve">(nastavení limitu max. možné prohry, nastavení limitů pro </w:t>
      </w:r>
      <w:r>
        <w:rPr>
          <w:rFonts w:cs="Arial"/>
          <w:szCs w:val="24"/>
        </w:rPr>
        <w:t>sázky</w:t>
      </w:r>
      <w:r w:rsidRPr="00AB4746">
        <w:rPr>
          <w:rFonts w:cs="Arial"/>
          <w:szCs w:val="24"/>
        </w:rPr>
        <w:t xml:space="preserve"> apod.). Dalšími opatřeními jsou nástroje, které jsou provozovatelé povinni implementovat bez ohledu na vůli účastníků hazardních her, jako například rozsáhlá </w:t>
      </w:r>
      <w:r w:rsidRPr="00AB4746">
        <w:rPr>
          <w:rFonts w:cs="Arial"/>
          <w:b/>
          <w:szCs w:val="24"/>
        </w:rPr>
        <w:t>informační povinnost</w:t>
      </w:r>
      <w:r w:rsidRPr="00AB4746">
        <w:rPr>
          <w:rFonts w:cs="Arial"/>
          <w:szCs w:val="24"/>
        </w:rPr>
        <w:t xml:space="preserve"> (informace o celkové výši čisté prohry, době strávené účasti na hazardní hře, apod.), </w:t>
      </w:r>
      <w:r w:rsidRPr="00AB4746">
        <w:rPr>
          <w:rFonts w:cs="Arial"/>
          <w:b/>
          <w:bCs/>
          <w:szCs w:val="24"/>
        </w:rPr>
        <w:t xml:space="preserve">omezená otevírací doba heren </w:t>
      </w:r>
      <w:r w:rsidRPr="00AB4746">
        <w:rPr>
          <w:rFonts w:cs="Arial"/>
          <w:b/>
          <w:szCs w:val="24"/>
        </w:rPr>
        <w:t xml:space="preserve">(od 10:00 do 03:00), </w:t>
      </w:r>
      <w:r w:rsidRPr="00AB4746">
        <w:rPr>
          <w:rFonts w:cs="Arial"/>
          <w:b/>
          <w:bCs/>
          <w:szCs w:val="24"/>
        </w:rPr>
        <w:t>povinná přestávka při účasti na technické hře, omezení reklamy, zákaz podávání nápojů a cigaret ke hře zdarma (</w:t>
      </w:r>
      <w:r w:rsidRPr="00AB4746">
        <w:rPr>
          <w:rFonts w:cs="Arial"/>
          <w:b/>
          <w:szCs w:val="24"/>
        </w:rPr>
        <w:t xml:space="preserve">v hernách a kasinech), </w:t>
      </w:r>
      <w:r w:rsidRPr="00AB4746">
        <w:rPr>
          <w:rFonts w:cs="Arial"/>
          <w:b/>
          <w:bCs/>
          <w:szCs w:val="24"/>
        </w:rPr>
        <w:t xml:space="preserve">povinná registrace </w:t>
      </w:r>
      <w:r w:rsidR="009F71E7" w:rsidRPr="0095756F">
        <w:rPr>
          <w:b/>
        </w:rPr>
        <w:t>účastníků hazardních her</w:t>
      </w:r>
      <w:r w:rsidR="009F71E7">
        <w:t xml:space="preserve"> </w:t>
      </w:r>
      <w:r w:rsidRPr="00AB4746">
        <w:rPr>
          <w:rFonts w:cs="Arial"/>
          <w:b/>
          <w:szCs w:val="24"/>
        </w:rPr>
        <w:t>atd.</w:t>
      </w:r>
    </w:p>
    <w:p w14:paraId="23908002" w14:textId="77777777" w:rsidR="00890908" w:rsidRPr="00AB4746" w:rsidRDefault="00890908" w:rsidP="00890908">
      <w:pPr>
        <w:rPr>
          <w:rFonts w:cs="Arial"/>
          <w:szCs w:val="24"/>
        </w:rPr>
      </w:pPr>
      <w:r w:rsidRPr="00AB4746">
        <w:rPr>
          <w:rFonts w:cs="Arial"/>
          <w:szCs w:val="24"/>
        </w:rPr>
        <w:t xml:space="preserve">Zásadním nástrojem je i </w:t>
      </w:r>
      <w:r w:rsidRPr="00AB4746">
        <w:rPr>
          <w:rFonts w:cs="Arial"/>
          <w:b/>
          <w:szCs w:val="24"/>
        </w:rPr>
        <w:t>omezování účasti na hazardních hrách u osob, které jsou zapsány v </w:t>
      </w:r>
      <w:r>
        <w:rPr>
          <w:rFonts w:cs="Arial"/>
          <w:b/>
          <w:szCs w:val="24"/>
        </w:rPr>
        <w:t>R</w:t>
      </w:r>
      <w:r w:rsidRPr="00AB4746">
        <w:rPr>
          <w:rFonts w:cs="Arial"/>
          <w:b/>
          <w:szCs w:val="24"/>
        </w:rPr>
        <w:t>ejstříku vyloučených osob</w:t>
      </w:r>
      <w:r>
        <w:rPr>
          <w:rFonts w:cs="Arial"/>
          <w:b/>
          <w:szCs w:val="24"/>
        </w:rPr>
        <w:t xml:space="preserve"> </w:t>
      </w:r>
      <w:r w:rsidRPr="008C0241">
        <w:rPr>
          <w:rFonts w:cs="Arial"/>
          <w:szCs w:val="24"/>
        </w:rPr>
        <w:t>ať už z moci úřední nebo na vlastní žádost (cca 200 000 osob, z toho více jak 1000 na vlastní žádost)</w:t>
      </w:r>
      <w:r w:rsidRPr="00AB4746">
        <w:rPr>
          <w:rFonts w:cs="Arial"/>
          <w:szCs w:val="24"/>
        </w:rPr>
        <w:t xml:space="preserve">. </w:t>
      </w:r>
      <w:r w:rsidRPr="00AB4746">
        <w:rPr>
          <w:rFonts w:cs="Arial"/>
          <w:b/>
          <w:szCs w:val="24"/>
        </w:rPr>
        <w:t xml:space="preserve">I přes poměrně krátkou dobu fungování Rejstříku vyloučených osob </w:t>
      </w:r>
      <w:r>
        <w:rPr>
          <w:rFonts w:cs="Arial"/>
          <w:b/>
          <w:szCs w:val="24"/>
        </w:rPr>
        <w:t xml:space="preserve">lze </w:t>
      </w:r>
      <w:r w:rsidRPr="00AB4746">
        <w:rPr>
          <w:rFonts w:cs="Arial"/>
          <w:b/>
          <w:szCs w:val="24"/>
        </w:rPr>
        <w:t xml:space="preserve">konstatovat, že se jedná o velmi efektivní a fungující nástroj ochrany ohrožených skupin osob před negativními důsledky účasti na hazardních hrách. </w:t>
      </w:r>
      <w:r w:rsidRPr="00AB4746">
        <w:rPr>
          <w:rFonts w:cs="Arial"/>
          <w:szCs w:val="24"/>
        </w:rPr>
        <w:t>Např. procentuální podíl osob, jimž bylo odepřeno přihlášení k uživatelskému kontu nebo jim nebyla umožněna registrace, vůči celkovému počtu osob zapsaných v Rejstříku vyloučených osob je 15, 4 %. Výše uvedený počet osob i jejich podíl a tím i efektivita tohoto nástroje tak zcela jistě ještě významně naroste po otevření heren a kasin po rozvolnění opatření proti COVID</w:t>
      </w:r>
      <w:r>
        <w:rPr>
          <w:rFonts w:cs="Arial"/>
          <w:szCs w:val="24"/>
        </w:rPr>
        <w:t>-</w:t>
      </w:r>
      <w:r w:rsidRPr="00AB4746">
        <w:rPr>
          <w:rFonts w:cs="Arial"/>
          <w:szCs w:val="24"/>
        </w:rPr>
        <w:t>19.</w:t>
      </w:r>
    </w:p>
    <w:p w14:paraId="798B872B" w14:textId="3943D377" w:rsidR="00890908" w:rsidRPr="00AB4746" w:rsidRDefault="00890908" w:rsidP="00890908">
      <w:pPr>
        <w:rPr>
          <w:rFonts w:cs="Arial"/>
          <w:szCs w:val="24"/>
        </w:rPr>
      </w:pPr>
      <w:r w:rsidRPr="00AB4746">
        <w:rPr>
          <w:rFonts w:cs="Arial"/>
          <w:szCs w:val="24"/>
        </w:rPr>
        <w:t xml:space="preserve">Rejstřík </w:t>
      </w:r>
      <w:r>
        <w:rPr>
          <w:rFonts w:cs="Arial"/>
          <w:szCs w:val="24"/>
        </w:rPr>
        <w:t xml:space="preserve">vyloučených osob </w:t>
      </w:r>
      <w:r w:rsidRPr="00AB4746">
        <w:rPr>
          <w:rFonts w:cs="Arial"/>
          <w:szCs w:val="24"/>
        </w:rPr>
        <w:t xml:space="preserve">samozřejmě není „všelék“ na patologické hráčství, ale </w:t>
      </w:r>
      <w:r w:rsidRPr="00AB4746">
        <w:rPr>
          <w:rFonts w:cs="Arial"/>
          <w:b/>
          <w:szCs w:val="24"/>
        </w:rPr>
        <w:t>významný preventivní nástroj</w:t>
      </w:r>
      <w:r w:rsidRPr="00AB4746">
        <w:rPr>
          <w:rFonts w:cs="Arial"/>
          <w:szCs w:val="24"/>
        </w:rPr>
        <w:t xml:space="preserve">, který vhodně doplňuje další adiktologická opatření. S rizikovými skupinami či patologickými hráči je nutná další </w:t>
      </w:r>
      <w:r>
        <w:rPr>
          <w:rFonts w:cs="Arial"/>
          <w:szCs w:val="24"/>
        </w:rPr>
        <w:t>komunikace</w:t>
      </w:r>
      <w:r w:rsidR="00B0565F">
        <w:rPr>
          <w:rFonts w:cs="Arial"/>
          <w:szCs w:val="24"/>
        </w:rPr>
        <w:t xml:space="preserve"> např. v </w:t>
      </w:r>
      <w:r w:rsidRPr="00AB4746">
        <w:rPr>
          <w:rFonts w:cs="Arial"/>
          <w:szCs w:val="24"/>
        </w:rPr>
        <w:t xml:space="preserve">adiktologických poradnách či odborná léčba. Významná je zde samozřejmě úloha poskytovatelů těchto služeb. U ohrožených skupin </w:t>
      </w:r>
      <w:r w:rsidR="00B0565F">
        <w:rPr>
          <w:rFonts w:cs="Arial"/>
          <w:szCs w:val="24"/>
        </w:rPr>
        <w:t>je zásadní komplexní prevence a </w:t>
      </w:r>
      <w:r w:rsidRPr="00AB4746">
        <w:rPr>
          <w:rFonts w:cs="Arial"/>
          <w:szCs w:val="24"/>
        </w:rPr>
        <w:t>osvěta.</w:t>
      </w:r>
    </w:p>
    <w:p w14:paraId="78CD7088" w14:textId="22E9E4C9" w:rsidR="00890908" w:rsidRPr="00AB4746" w:rsidRDefault="00890908" w:rsidP="00890908">
      <w:pPr>
        <w:rPr>
          <w:rFonts w:cs="Arial"/>
          <w:szCs w:val="24"/>
        </w:rPr>
      </w:pPr>
      <w:r w:rsidRPr="00AB4746">
        <w:rPr>
          <w:rFonts w:cs="Arial"/>
          <w:szCs w:val="24"/>
        </w:rPr>
        <w:t xml:space="preserve">Riziko obcházení Rejstříku </w:t>
      </w:r>
      <w:r>
        <w:rPr>
          <w:rFonts w:cs="Arial"/>
          <w:szCs w:val="24"/>
        </w:rPr>
        <w:t xml:space="preserve">vyloučených osob </w:t>
      </w:r>
      <w:r w:rsidRPr="00AB4746">
        <w:rPr>
          <w:rFonts w:cs="Arial"/>
          <w:szCs w:val="24"/>
        </w:rPr>
        <w:t xml:space="preserve">odlivem </w:t>
      </w:r>
      <w:r w:rsidR="009F71E7">
        <w:t xml:space="preserve">účastníků hazardních her </w:t>
      </w:r>
      <w:r w:rsidRPr="00AB4746">
        <w:rPr>
          <w:rFonts w:cs="Arial"/>
          <w:szCs w:val="24"/>
        </w:rPr>
        <w:t>k</w:t>
      </w:r>
      <w:r w:rsidR="00611336">
        <w:rPr>
          <w:rFonts w:cs="Arial"/>
          <w:szCs w:val="24"/>
        </w:rPr>
        <w:t> </w:t>
      </w:r>
      <w:r w:rsidRPr="00AB4746">
        <w:rPr>
          <w:rFonts w:cs="Arial"/>
          <w:szCs w:val="24"/>
        </w:rPr>
        <w:t>nelegálním provozovatelům je minimalizováno důsledným bojem s nelegálním hazardem a další prevencí. Celní správa se, ve spolupráci s Ministerstvem financí, na tuto oblast intenzivně zaměřuje.</w:t>
      </w:r>
      <w:r>
        <w:rPr>
          <w:rFonts w:cs="Arial"/>
          <w:szCs w:val="24"/>
        </w:rPr>
        <w:t xml:space="preserve"> </w:t>
      </w:r>
    </w:p>
    <w:p w14:paraId="7C63119B" w14:textId="77777777" w:rsidR="00890908" w:rsidRDefault="00890908" w:rsidP="00890908">
      <w:pPr>
        <w:autoSpaceDE w:val="0"/>
        <w:autoSpaceDN w:val="0"/>
        <w:adjustRightInd w:val="0"/>
        <w:spacing w:after="0"/>
        <w:rPr>
          <w:rFonts w:cs="Arial"/>
          <w:szCs w:val="24"/>
        </w:rPr>
      </w:pPr>
      <w:r w:rsidRPr="00AB4746">
        <w:rPr>
          <w:rFonts w:cs="Arial"/>
          <w:b/>
          <w:szCs w:val="24"/>
        </w:rPr>
        <w:t>Kombinace institutů opatření pro zodpovědné hraní zajišťuje vysokou úroveň ochrany účastníků hazardních her a tak i snižování rizika vzniku problémového hráčského chování a vzniku dalších nákladů souvisejících s tímto chováním.</w:t>
      </w:r>
      <w:r w:rsidRPr="00AB4746">
        <w:rPr>
          <w:rFonts w:cs="Arial"/>
          <w:szCs w:val="24"/>
        </w:rPr>
        <w:t xml:space="preserve"> Uvedené dokládají postupně se snižující </w:t>
      </w:r>
      <w:r w:rsidRPr="00AB4746">
        <w:rPr>
          <w:rFonts w:cs="Arial"/>
          <w:b/>
          <w:szCs w:val="24"/>
        </w:rPr>
        <w:t>počty osob s problémovým hráčským chováním.</w:t>
      </w:r>
      <w:r>
        <w:rPr>
          <w:rFonts w:cs="Arial"/>
          <w:szCs w:val="24"/>
        </w:rPr>
        <w:t xml:space="preserve"> Odhady počtu osob v riziku v souvislosti s hraním hazardních her v porovnání s lety 2013-2014 </w:t>
      </w:r>
      <w:r w:rsidRPr="000C2E3B">
        <w:rPr>
          <w:rFonts w:cs="Arial"/>
          <w:b/>
          <w:szCs w:val="24"/>
        </w:rPr>
        <w:t>snížil téměř na polovinu.</w:t>
      </w:r>
    </w:p>
    <w:p w14:paraId="7FA75F6A" w14:textId="77777777" w:rsidR="00890908" w:rsidRPr="00AB4746" w:rsidRDefault="00890908" w:rsidP="00890908">
      <w:pPr>
        <w:rPr>
          <w:rFonts w:cs="Arial"/>
          <w:b/>
          <w:szCs w:val="24"/>
        </w:rPr>
      </w:pPr>
    </w:p>
    <w:p w14:paraId="302DE98E" w14:textId="7DB91137" w:rsidR="00B0565F" w:rsidRDefault="00B0565F" w:rsidP="00B0565F">
      <w:pPr>
        <w:pStyle w:val="Titulek"/>
        <w:keepNext/>
      </w:pPr>
      <w:bookmarkStart w:id="151" w:name="_Toc73524688"/>
      <w:r>
        <w:t>Tabulka č.</w:t>
      </w:r>
      <w:r w:rsidR="0091244D">
        <w:t xml:space="preserve"> </w:t>
      </w:r>
      <w:fldSimple w:instr=" SEQ Tabulka_č. \* ARABIC ">
        <w:r>
          <w:rPr>
            <w:noProof/>
          </w:rPr>
          <w:t>11</w:t>
        </w:r>
      </w:fldSimple>
      <w:r>
        <w:t xml:space="preserve">: </w:t>
      </w:r>
      <w:r w:rsidRPr="00B36C0B">
        <w:t>Odhadovaný počet osob v riziku problémového hráčství podle screeningové škály Lie/bet v I. 2013 – 2019 – extrapolace výsledků na počet obyvatel ČR</w:t>
      </w:r>
      <w:bookmarkEnd w:id="151"/>
    </w:p>
    <w:p w14:paraId="6BBBBD7B" w14:textId="77777777" w:rsidR="00890908" w:rsidRPr="00AB4746" w:rsidRDefault="00890908" w:rsidP="00890908">
      <w:pPr>
        <w:rPr>
          <w:rFonts w:cs="Arial"/>
          <w:noProof/>
          <w:szCs w:val="24"/>
          <w:lang w:eastAsia="cs-CZ"/>
        </w:rPr>
      </w:pPr>
      <w:r w:rsidRPr="00AB4746">
        <w:rPr>
          <w:rFonts w:cs="Arial"/>
          <w:noProof/>
          <w:szCs w:val="24"/>
          <w:lang w:eastAsia="cs-CZ"/>
        </w:rPr>
        <w:drawing>
          <wp:inline distT="0" distB="0" distL="0" distR="0" wp14:anchorId="267CEB9D" wp14:editId="2167B5D6">
            <wp:extent cx="5878918" cy="1714500"/>
            <wp:effectExtent l="0" t="0" r="762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 t="15215" r="14142" b="24405"/>
                    <a:stretch/>
                  </pic:blipFill>
                  <pic:spPr bwMode="auto">
                    <a:xfrm>
                      <a:off x="0" y="0"/>
                      <a:ext cx="5889255" cy="1717515"/>
                    </a:xfrm>
                    <a:prstGeom prst="rect">
                      <a:avLst/>
                    </a:prstGeom>
                    <a:ln>
                      <a:noFill/>
                    </a:ln>
                    <a:extLst>
                      <a:ext uri="{53640926-AAD7-44D8-BBD7-CCE9431645EC}">
                        <a14:shadowObscured xmlns:a14="http://schemas.microsoft.com/office/drawing/2010/main"/>
                      </a:ext>
                    </a:extLst>
                  </pic:spPr>
                </pic:pic>
              </a:graphicData>
            </a:graphic>
          </wp:inline>
        </w:drawing>
      </w:r>
    </w:p>
    <w:p w14:paraId="1C610D06" w14:textId="680DF30F" w:rsidR="00890908" w:rsidRPr="00AB4746" w:rsidRDefault="00890908" w:rsidP="00890908">
      <w:pPr>
        <w:rPr>
          <w:rFonts w:cs="Arial"/>
          <w:i/>
          <w:sz w:val="20"/>
          <w:szCs w:val="20"/>
        </w:rPr>
      </w:pPr>
      <w:r w:rsidRPr="00AB4746">
        <w:rPr>
          <w:rFonts w:cs="Arial"/>
          <w:i/>
          <w:sz w:val="20"/>
          <w:szCs w:val="20"/>
        </w:rPr>
        <w:t xml:space="preserve">Zdroj: Národní monitorovací středisko pro drogy a závislosti a INRES-SONES (2014); Národní monitorovací středisko pro drogy a závislosti a INRES-SONES (2015) Národní monitorovací středisko pro drogy a závislosti a Mindridge Consulting (2016); Národní monitorovací středisko </w:t>
      </w:r>
      <w:r w:rsidR="00B0565F">
        <w:rPr>
          <w:rFonts w:cs="Arial"/>
          <w:i/>
          <w:sz w:val="20"/>
          <w:szCs w:val="20"/>
        </w:rPr>
        <w:t>pro drogy a </w:t>
      </w:r>
      <w:r w:rsidRPr="00AB4746">
        <w:rPr>
          <w:rFonts w:cs="Arial"/>
          <w:i/>
          <w:sz w:val="20"/>
          <w:szCs w:val="20"/>
        </w:rPr>
        <w:t>závislosti a INRES-SONES (2018); Národní monitorovací středisko pro drogy a závislosti a INRES-SONES (2019); Národní monitorovací středisko pro drogy a závislosti a INTRES-SONES (2020)</w:t>
      </w:r>
    </w:p>
    <w:p w14:paraId="182DEAF6" w14:textId="77777777" w:rsidR="00890908" w:rsidRPr="00AB4746" w:rsidRDefault="00890908" w:rsidP="00890908">
      <w:r w:rsidRPr="00AB4746">
        <w:rPr>
          <w:rFonts w:cs="Arial"/>
          <w:szCs w:val="24"/>
        </w:rPr>
        <w:t>Pozitivní dopad výše uvedených opatření zodpovědného hraní je patrný nejen pro účastníky hazardních her, ale také jim blízkých osob.</w:t>
      </w:r>
    </w:p>
    <w:p w14:paraId="349B9DA2" w14:textId="15947165" w:rsidR="00890908" w:rsidRPr="00AB4746" w:rsidRDefault="00890908" w:rsidP="00890908">
      <w:pPr>
        <w:rPr>
          <w:b/>
        </w:rPr>
      </w:pPr>
      <w:r w:rsidRPr="00AB4746">
        <w:rPr>
          <w:rFonts w:cs="Arial"/>
          <w:szCs w:val="24"/>
        </w:rPr>
        <w:t xml:space="preserve">Výrazný dopad na ochranu účastníků hazardních her mělo také omezení prostorů, ve kterých lze provozovat technickou hru. </w:t>
      </w:r>
      <w:r w:rsidRPr="00AB4746">
        <w:rPr>
          <w:rFonts w:cs="Arial"/>
          <w:b/>
          <w:szCs w:val="24"/>
        </w:rPr>
        <w:t>Výsledkem byl výrazný pokles počtu herních prostorů, jejich koncentrace a s tím i</w:t>
      </w:r>
      <w:r w:rsidRPr="00AB4746">
        <w:rPr>
          <w:rFonts w:cs="Arial"/>
          <w:szCs w:val="24"/>
        </w:rPr>
        <w:t xml:space="preserve"> </w:t>
      </w:r>
      <w:r w:rsidRPr="00AB4746">
        <w:rPr>
          <w:rFonts w:cs="Arial"/>
          <w:b/>
          <w:szCs w:val="24"/>
        </w:rPr>
        <w:t>snížení dostupnosti technické hry a zároveň i živé hry a binga, čímž byl naplněn jeden ze</w:t>
      </w:r>
      <w:r w:rsidR="00443791">
        <w:rPr>
          <w:rFonts w:cs="Arial"/>
          <w:b/>
          <w:szCs w:val="24"/>
        </w:rPr>
        <w:t xml:space="preserve"> základních cílů nové regulace.</w:t>
      </w:r>
    </w:p>
    <w:p w14:paraId="1C844E9F" w14:textId="18D4BA07" w:rsidR="00B0565F" w:rsidRDefault="00B0565F" w:rsidP="00B0565F">
      <w:pPr>
        <w:pStyle w:val="Titulek"/>
        <w:keepNext/>
      </w:pPr>
      <w:bookmarkStart w:id="152" w:name="_Toc73611467"/>
      <w:r>
        <w:t xml:space="preserve">Graf č. </w:t>
      </w:r>
      <w:fldSimple w:instr=" SEQ Graf_č. \* ARABIC ">
        <w:r w:rsidR="00A860B8">
          <w:rPr>
            <w:noProof/>
          </w:rPr>
          <w:t>39</w:t>
        </w:r>
      </w:fldSimple>
      <w:r>
        <w:t xml:space="preserve">: </w:t>
      </w:r>
      <w:r w:rsidRPr="001B2E24">
        <w:t>Vývoj počtu míst s technickou hrou</w:t>
      </w:r>
      <w:bookmarkEnd w:id="152"/>
    </w:p>
    <w:p w14:paraId="4E27E0B9" w14:textId="77777777" w:rsidR="00890908" w:rsidRPr="00AB4746" w:rsidRDefault="00890908" w:rsidP="00890908">
      <w:pPr>
        <w:rPr>
          <w:rFonts w:cs="Arial"/>
          <w:szCs w:val="24"/>
        </w:rPr>
      </w:pPr>
      <w:r w:rsidRPr="00AB4746">
        <w:rPr>
          <w:rFonts w:cs="Arial"/>
          <w:noProof/>
          <w:szCs w:val="24"/>
          <w:lang w:eastAsia="cs-CZ"/>
        </w:rPr>
        <w:drawing>
          <wp:inline distT="0" distB="0" distL="0" distR="0" wp14:anchorId="22B79761" wp14:editId="78372666">
            <wp:extent cx="4543425" cy="1952625"/>
            <wp:effectExtent l="0" t="0" r="9525"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43425" cy="1952625"/>
                    </a:xfrm>
                    <a:prstGeom prst="rect">
                      <a:avLst/>
                    </a:prstGeom>
                    <a:noFill/>
                    <a:ln>
                      <a:noFill/>
                    </a:ln>
                  </pic:spPr>
                </pic:pic>
              </a:graphicData>
            </a:graphic>
          </wp:inline>
        </w:drawing>
      </w:r>
    </w:p>
    <w:p w14:paraId="6AE4F704" w14:textId="48BEE620" w:rsidR="00890908" w:rsidRPr="00AB4746" w:rsidRDefault="00890908" w:rsidP="00890908">
      <w:pPr>
        <w:rPr>
          <w:rFonts w:cs="Arial"/>
          <w:i/>
          <w:sz w:val="20"/>
          <w:szCs w:val="20"/>
        </w:rPr>
      </w:pPr>
      <w:r w:rsidRPr="00AB4746">
        <w:rPr>
          <w:rFonts w:cs="Arial"/>
          <w:i/>
          <w:sz w:val="20"/>
          <w:szCs w:val="20"/>
        </w:rPr>
        <w:t>Zdroj: Ministerstvo financí – Infomační systém SDSL</w:t>
      </w:r>
      <w:r w:rsidR="00B0565F">
        <w:rPr>
          <w:rFonts w:cs="Arial"/>
          <w:i/>
          <w:sz w:val="20"/>
          <w:szCs w:val="20"/>
        </w:rPr>
        <w:t>.</w:t>
      </w:r>
    </w:p>
    <w:p w14:paraId="6CE53E2D" w14:textId="77777777" w:rsidR="00890908" w:rsidRPr="00AB4746" w:rsidRDefault="00890908" w:rsidP="00890908"/>
    <w:p w14:paraId="318F2994" w14:textId="77777777" w:rsidR="00890908" w:rsidRPr="00AB4746" w:rsidRDefault="00890908" w:rsidP="00890908"/>
    <w:p w14:paraId="12D33EFC" w14:textId="14444AB7" w:rsidR="00B0565F" w:rsidRDefault="00B0565F" w:rsidP="00B0565F">
      <w:pPr>
        <w:pStyle w:val="Titulek"/>
        <w:keepNext/>
      </w:pPr>
      <w:bookmarkStart w:id="153" w:name="_Toc73611468"/>
      <w:r>
        <w:lastRenderedPageBreak/>
        <w:t xml:space="preserve">Graf č. </w:t>
      </w:r>
      <w:fldSimple w:instr=" SEQ Graf_č. \* ARABIC ">
        <w:r w:rsidR="00A860B8">
          <w:rPr>
            <w:noProof/>
          </w:rPr>
          <w:t>40</w:t>
        </w:r>
      </w:fldSimple>
      <w:r>
        <w:t xml:space="preserve">: </w:t>
      </w:r>
      <w:r w:rsidRPr="009E4F9C">
        <w:t>Počet technických zařízení</w:t>
      </w:r>
      <w:bookmarkEnd w:id="153"/>
    </w:p>
    <w:p w14:paraId="581E6FD0" w14:textId="77777777" w:rsidR="00890908" w:rsidRPr="00AB4746" w:rsidRDefault="00890908" w:rsidP="00890908">
      <w:pPr>
        <w:rPr>
          <w:rFonts w:cs="Arial"/>
          <w:szCs w:val="24"/>
        </w:rPr>
      </w:pPr>
      <w:r w:rsidRPr="00AB4746">
        <w:rPr>
          <w:rFonts w:cs="Arial"/>
          <w:noProof/>
          <w:szCs w:val="24"/>
          <w:lang w:eastAsia="cs-CZ"/>
        </w:rPr>
        <w:drawing>
          <wp:inline distT="0" distB="0" distL="0" distR="0" wp14:anchorId="76C8FFCD" wp14:editId="180A5921">
            <wp:extent cx="5762625" cy="2876550"/>
            <wp:effectExtent l="0" t="0" r="9525"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2876550"/>
                    </a:xfrm>
                    <a:prstGeom prst="rect">
                      <a:avLst/>
                    </a:prstGeom>
                    <a:noFill/>
                    <a:ln>
                      <a:noFill/>
                    </a:ln>
                  </pic:spPr>
                </pic:pic>
              </a:graphicData>
            </a:graphic>
          </wp:inline>
        </w:drawing>
      </w:r>
    </w:p>
    <w:p w14:paraId="22B45B40" w14:textId="4643CC3C" w:rsidR="00890908" w:rsidRPr="00AB4746" w:rsidRDefault="00890908" w:rsidP="00890908">
      <w:pPr>
        <w:rPr>
          <w:rFonts w:cs="Arial"/>
          <w:i/>
          <w:sz w:val="20"/>
          <w:szCs w:val="20"/>
        </w:rPr>
      </w:pPr>
      <w:r w:rsidRPr="00AB4746">
        <w:rPr>
          <w:rFonts w:cs="Arial"/>
          <w:i/>
          <w:sz w:val="20"/>
          <w:szCs w:val="20"/>
        </w:rPr>
        <w:t>Zdroj: Ministerstvo financí – Infomační systém SDSL</w:t>
      </w:r>
      <w:r w:rsidR="00B0565F">
        <w:rPr>
          <w:rFonts w:cs="Arial"/>
          <w:i/>
          <w:sz w:val="20"/>
          <w:szCs w:val="20"/>
        </w:rPr>
        <w:t>.</w:t>
      </w:r>
    </w:p>
    <w:p w14:paraId="7C1D742C" w14:textId="29476FBA" w:rsidR="00890908" w:rsidRDefault="00890908" w:rsidP="00890908">
      <w:pPr>
        <w:rPr>
          <w:b/>
        </w:rPr>
      </w:pPr>
      <w:r w:rsidRPr="00AB4746">
        <w:rPr>
          <w:b/>
        </w:rPr>
        <w:t xml:space="preserve">Dalším nezanedbatelným efektem </w:t>
      </w:r>
      <w:r w:rsidRPr="00AB4746">
        <w:t>sníže</w:t>
      </w:r>
      <w:r w:rsidR="00B0565F">
        <w:t>ní dostupnosti hazardních her a</w:t>
      </w:r>
      <w:r w:rsidR="00443791">
        <w:t> </w:t>
      </w:r>
      <w:r w:rsidRPr="00AB4746">
        <w:t xml:space="preserve">koncentrace menšího počtu větších provozoven </w:t>
      </w:r>
      <w:r>
        <w:t xml:space="preserve">je </w:t>
      </w:r>
      <w:r w:rsidRPr="00AB4746">
        <w:rPr>
          <w:b/>
        </w:rPr>
        <w:t>pozitivní dopad na kultivaci veřejného prostoru i společenského života. Úbytkem heren a provozoven</w:t>
      </w:r>
      <w:r w:rsidR="00443791">
        <w:rPr>
          <w:b/>
        </w:rPr>
        <w:t xml:space="preserve"> se zvláštním provozním režimem</w:t>
      </w:r>
      <w:r w:rsidRPr="00AB4746">
        <w:rPr>
          <w:b/>
        </w:rPr>
        <w:t xml:space="preserve"> se vytvořil prostor pro jiné a ze společenského hlediska užitečnější formy podnikání či služeb, která zaplnila tato místa. </w:t>
      </w:r>
      <w:r w:rsidRPr="00AB4746">
        <w:t xml:space="preserve">Herny tak byly nahrazeny např. kavárnami, společenskými a komunitními prostory pro děti, kadeřnictvími, obchody atd. </w:t>
      </w:r>
      <w:r w:rsidRPr="00AB4746">
        <w:rPr>
          <w:b/>
        </w:rPr>
        <w:t xml:space="preserve">Omezení dostupnosti hazardních her ve veřejném prostoru s sebou samozřejmě přineslo i omezení dalších negativních jevů, </w:t>
      </w:r>
      <w:r w:rsidRPr="00660881">
        <w:rPr>
          <w:b/>
        </w:rPr>
        <w:t>které s hazardním hraním souvisejí a doprovází jej (např. kriminalita).</w:t>
      </w:r>
    </w:p>
    <w:p w14:paraId="10FEB898" w14:textId="26F12859" w:rsidR="00890908" w:rsidRPr="000C2E3B" w:rsidRDefault="00890908" w:rsidP="00890908">
      <w:pPr>
        <w:autoSpaceDE w:val="0"/>
        <w:autoSpaceDN w:val="0"/>
        <w:adjustRightInd w:val="0"/>
        <w:rPr>
          <w:rFonts w:cs="Arial"/>
          <w:szCs w:val="24"/>
        </w:rPr>
      </w:pPr>
      <w:r>
        <w:rPr>
          <w:rFonts w:cs="Arial"/>
          <w:b/>
          <w:szCs w:val="24"/>
        </w:rPr>
        <w:t>V</w:t>
      </w:r>
      <w:r w:rsidRPr="00F86E44">
        <w:rPr>
          <w:rFonts w:cs="Arial"/>
          <w:b/>
          <w:szCs w:val="24"/>
        </w:rPr>
        <w:t> tomto ohledu byla nově přijatá regulace hazardních her velice úspěšná a plní svůj cíl.</w:t>
      </w:r>
      <w:r>
        <w:rPr>
          <w:rFonts w:cs="Arial"/>
          <w:b/>
          <w:szCs w:val="24"/>
        </w:rPr>
        <w:t xml:space="preserve"> S ohle</w:t>
      </w:r>
      <w:r w:rsidR="00443791">
        <w:rPr>
          <w:rFonts w:cs="Arial"/>
          <w:b/>
          <w:szCs w:val="24"/>
        </w:rPr>
        <w:t>dem na RIA stanovené indikátory</w:t>
      </w:r>
      <w:r>
        <w:rPr>
          <w:rFonts w:cs="Arial"/>
          <w:b/>
          <w:szCs w:val="24"/>
        </w:rPr>
        <w:t xml:space="preserve"> je dokonce násobně efektivnější oproti předpokladům. N</w:t>
      </w:r>
      <w:r w:rsidRPr="002E0DEB">
        <w:rPr>
          <w:rFonts w:cs="Arial"/>
          <w:b/>
          <w:szCs w:val="24"/>
        </w:rPr>
        <w:t xml:space="preserve">astavená opatření pro zodpovědné hraní obecně plní svou funkci, a to zejména ve vzájemné kombinaci zákonných limitů spolu s možností sebeomezení dle konkrétní situace účastníka hazardní hry. Významným je v tomto ohledu také Rejstřík vyloučených osob. </w:t>
      </w:r>
      <w:r w:rsidRPr="000C2E3B">
        <w:rPr>
          <w:rFonts w:cs="Arial"/>
          <w:szCs w:val="24"/>
        </w:rPr>
        <w:t>V rámci hodnocení funkčnosti opatření zodpovědného hraní bylo identifikováno několik oblastí, na které by bylo vhodné se dále zaměřit, přičemž se jedná zejména o otázku implementace zákonných podmínek tak, aby byl posílen pozitivní efekt opatření zodpovědného hra</w:t>
      </w:r>
      <w:r w:rsidRPr="000D4164">
        <w:rPr>
          <w:rFonts w:cs="Arial"/>
          <w:szCs w:val="24"/>
        </w:rPr>
        <w:t xml:space="preserve">ní na účastníky hazardních her. </w:t>
      </w:r>
      <w:r w:rsidRPr="000C2E3B">
        <w:rPr>
          <w:rFonts w:cs="Arial"/>
          <w:szCs w:val="24"/>
        </w:rPr>
        <w:t xml:space="preserve">Důležitou oblastí, na kterou je nutné se dále zaměřit, je </w:t>
      </w:r>
      <w:r w:rsidRPr="00247419">
        <w:rPr>
          <w:rFonts w:cs="Arial"/>
          <w:b/>
          <w:szCs w:val="24"/>
        </w:rPr>
        <w:t>dostupnost hazardních her na internetu</w:t>
      </w:r>
      <w:r w:rsidRPr="000C2E3B">
        <w:rPr>
          <w:rFonts w:cs="Arial"/>
          <w:szCs w:val="24"/>
        </w:rPr>
        <w:t>.</w:t>
      </w:r>
    </w:p>
    <w:p w14:paraId="16FC5565" w14:textId="1D4448A2" w:rsidR="00890908" w:rsidRPr="00660881" w:rsidRDefault="00890908" w:rsidP="00890908">
      <w:r w:rsidRPr="00660881">
        <w:rPr>
          <w:rFonts w:cs="Arial"/>
          <w:b/>
          <w:szCs w:val="24"/>
        </w:rPr>
        <w:t xml:space="preserve">Došlo k zásadní úpravě systematiky zákona i povolovaných her, včetně těch internetových.  Výrazný posun ve srovnání s předchozí právní úpravou znamená také otevření trhu zahraničním subjektům a soulad s právem EU. </w:t>
      </w:r>
      <w:r w:rsidRPr="00660881">
        <w:rPr>
          <w:rFonts w:cs="Arial"/>
          <w:szCs w:val="24"/>
        </w:rPr>
        <w:t xml:space="preserve">Zákon o hazardních hrách přinesl také nový koncept povolovacího řízení, kdy </w:t>
      </w:r>
      <w:r w:rsidRPr="000C2E3B">
        <w:rPr>
          <w:rFonts w:cs="Arial"/>
          <w:b/>
          <w:szCs w:val="24"/>
        </w:rPr>
        <w:t xml:space="preserve">Ministerstvo financí vydává základní povolení a </w:t>
      </w:r>
      <w:r w:rsidRPr="0089541A">
        <w:rPr>
          <w:rFonts w:cs="Arial"/>
          <w:b/>
          <w:szCs w:val="24"/>
        </w:rPr>
        <w:t>o</w:t>
      </w:r>
      <w:r w:rsidRPr="0089541A">
        <w:rPr>
          <w:rFonts w:cs="Arial"/>
          <w:b/>
          <w:szCs w:val="24"/>
          <w:lang w:val="pl-PL"/>
        </w:rPr>
        <w:t xml:space="preserve"> umístění</w:t>
      </w:r>
      <w:r w:rsidRPr="00660881">
        <w:rPr>
          <w:rFonts w:cs="Arial"/>
          <w:b/>
          <w:szCs w:val="24"/>
          <w:lang w:val="pl-PL"/>
        </w:rPr>
        <w:t xml:space="preserve"> konkrétní herny nebo kasina rozhoduje výhradně příslušná obec. </w:t>
      </w:r>
      <w:r>
        <w:rPr>
          <w:rFonts w:cs="Arial"/>
          <w:szCs w:val="24"/>
        </w:rPr>
        <w:t>Co se týká samotného procesu vydávání základního povolení, je nesporným pozitivem, že jsou jednotně stanoveny přílohy, které musí provozovatel k žádosti o vydání zák</w:t>
      </w:r>
      <w:r w:rsidR="00A860B8">
        <w:rPr>
          <w:rFonts w:cs="Arial"/>
          <w:szCs w:val="24"/>
        </w:rPr>
        <w:t>ladního povolení doložit, tak i </w:t>
      </w:r>
      <w:r>
        <w:rPr>
          <w:rFonts w:cs="Arial"/>
          <w:szCs w:val="24"/>
        </w:rPr>
        <w:t xml:space="preserve">obecným způsobem vymezeny podmínky, které musí daný subjekt pro vydání </w:t>
      </w:r>
      <w:r>
        <w:rPr>
          <w:rFonts w:cs="Arial"/>
          <w:szCs w:val="24"/>
        </w:rPr>
        <w:lastRenderedPageBreak/>
        <w:t xml:space="preserve">základního povolení splňovat. </w:t>
      </w:r>
      <w:r w:rsidRPr="00660881">
        <w:rPr>
          <w:b/>
        </w:rPr>
        <w:t>I zde lze pozitivně hodnotit především přehlednost pro orgány vykonávající státní správu a v celkovém kontextu podmínek provozování</w:t>
      </w:r>
      <w:r w:rsidRPr="00633850">
        <w:rPr>
          <w:b/>
        </w:rPr>
        <w:t xml:space="preserve"> </w:t>
      </w:r>
      <w:r>
        <w:rPr>
          <w:b/>
        </w:rPr>
        <w:t>hazardních her</w:t>
      </w:r>
      <w:r w:rsidRPr="00633850">
        <w:rPr>
          <w:b/>
        </w:rPr>
        <w:t xml:space="preserve"> rovněž možnost efektivnějšího výkonu dozoru.</w:t>
      </w:r>
      <w:r>
        <w:t xml:space="preserve"> </w:t>
      </w:r>
      <w:r w:rsidRPr="00660881">
        <w:t>V průběhu více než čtyřleté účinnosti zákona o hazardních hrách se podařilo zavést do velké míry jednotnou správní praxi a při vydávání povolení k umístění herního prostoru nedochází k velkým nedůvodným rozdílům napříč jednotlivými obecními úřady. Současně se proces vydávání povolení k umístění herního prostoru podařilo ustálit.</w:t>
      </w:r>
      <w:r w:rsidRPr="00660881">
        <w:rPr>
          <w:b/>
        </w:rPr>
        <w:t xml:space="preserve"> Cíle nové právní úpravy tak byly naplněny.</w:t>
      </w:r>
      <w:r w:rsidR="00A860B8">
        <w:rPr>
          <w:rFonts w:cs="Arial"/>
          <w:b/>
          <w:szCs w:val="24"/>
        </w:rPr>
        <w:t xml:space="preserve"> Nová regulace přinesla i </w:t>
      </w:r>
      <w:r w:rsidRPr="00660881">
        <w:rPr>
          <w:rFonts w:cs="Arial"/>
          <w:b/>
          <w:szCs w:val="24"/>
        </w:rPr>
        <w:t xml:space="preserve">některá zjednodušení povolovacího procesu např. u tombol nebo turnajů malého rozsahu. </w:t>
      </w:r>
    </w:p>
    <w:p w14:paraId="6964C3AE" w14:textId="77777777" w:rsidR="00890908" w:rsidRDefault="00890908" w:rsidP="00890908">
      <w:pPr>
        <w:rPr>
          <w:b/>
        </w:rPr>
      </w:pPr>
      <w:r w:rsidRPr="00660881">
        <w:rPr>
          <w:rFonts w:cs="Arial"/>
          <w:b/>
          <w:szCs w:val="24"/>
        </w:rPr>
        <w:t>Novou úpravu povolovacího procesu lze</w:t>
      </w:r>
      <w:r w:rsidRPr="00660881">
        <w:rPr>
          <w:rFonts w:cs="Arial"/>
          <w:szCs w:val="24"/>
        </w:rPr>
        <w:t xml:space="preserve"> </w:t>
      </w:r>
      <w:r w:rsidRPr="00660881">
        <w:rPr>
          <w:rFonts w:cs="Arial"/>
          <w:b/>
          <w:szCs w:val="24"/>
        </w:rPr>
        <w:t xml:space="preserve">hodnotit jako efektivní a vyhovující, byť v dílčích oblastech lze nalézt prostor pro určité další zefektivnění. Zásadním pozitivem je větší transparentnost, jednotnost a vyšší právní jistota dotčených subjektů. </w:t>
      </w:r>
    </w:p>
    <w:p w14:paraId="59B3C8B2" w14:textId="06F2169E" w:rsidR="00890908" w:rsidRPr="00443791" w:rsidRDefault="00890908" w:rsidP="00890908">
      <w:pPr>
        <w:rPr>
          <w:rFonts w:cs="Arial"/>
          <w:b/>
          <w:szCs w:val="24"/>
          <w:highlight w:val="yellow"/>
        </w:rPr>
      </w:pPr>
      <w:r w:rsidRPr="00AD3B22">
        <w:rPr>
          <w:rFonts w:cs="Arial"/>
          <w:szCs w:val="24"/>
        </w:rPr>
        <w:t>V roce 2021 (stav – duben 2021) disponuje povolením k provozování hazardních her podle zákona o hazardních hrách nebo zákona o loteriích celkově 52 subjektů</w:t>
      </w:r>
      <w:r w:rsidR="00A860B8">
        <w:rPr>
          <w:rFonts w:cs="Arial"/>
          <w:szCs w:val="24"/>
        </w:rPr>
        <w:t xml:space="preserve"> (v </w:t>
      </w:r>
      <w:r>
        <w:rPr>
          <w:rFonts w:cs="Arial"/>
          <w:szCs w:val="24"/>
        </w:rPr>
        <w:t>roce 2016 to bylo 71 provozovatelů)</w:t>
      </w:r>
      <w:r w:rsidRPr="00AD3B22">
        <w:rPr>
          <w:rFonts w:cs="Arial"/>
          <w:szCs w:val="24"/>
        </w:rPr>
        <w:t xml:space="preserve">. Došlo tedy k relativně velkému </w:t>
      </w:r>
      <w:r w:rsidRPr="000C2E3B">
        <w:rPr>
          <w:rFonts w:cs="Arial"/>
          <w:b/>
          <w:szCs w:val="24"/>
        </w:rPr>
        <w:t>snížení počtu subjektů</w:t>
      </w:r>
      <w:r>
        <w:rPr>
          <w:rFonts w:cs="Arial"/>
          <w:szCs w:val="24"/>
        </w:rPr>
        <w:t>, které</w:t>
      </w:r>
      <w:r w:rsidRPr="00AD3B22">
        <w:rPr>
          <w:rFonts w:cs="Arial"/>
          <w:szCs w:val="24"/>
        </w:rPr>
        <w:t xml:space="preserve"> disponují potřebným</w:t>
      </w:r>
      <w:r w:rsidRPr="004B315F">
        <w:rPr>
          <w:rFonts w:cs="Arial"/>
          <w:szCs w:val="24"/>
        </w:rPr>
        <w:t xml:space="preserve"> povolením k provozování hazardních her, i v tomto kontextu lze sledovat </w:t>
      </w:r>
      <w:r w:rsidRPr="00443791">
        <w:rPr>
          <w:rFonts w:cs="Arial"/>
          <w:szCs w:val="24"/>
        </w:rPr>
        <w:t xml:space="preserve">naplnění cílů právní úpravy regulace hazardních her, a to i z hlediska koncentrace a stability. Nabídka zůstala co do </w:t>
      </w:r>
      <w:r w:rsidRPr="00443791">
        <w:rPr>
          <w:rFonts w:cs="Arial"/>
          <w:b/>
          <w:szCs w:val="24"/>
        </w:rPr>
        <w:t>rozmanitosti hazardních her</w:t>
      </w:r>
      <w:r w:rsidRPr="00443791">
        <w:rPr>
          <w:rFonts w:cs="Arial"/>
          <w:szCs w:val="24"/>
        </w:rPr>
        <w:t xml:space="preserve"> i za účinnosti zákona o hazardních hrách </w:t>
      </w:r>
      <w:r w:rsidRPr="00443791">
        <w:rPr>
          <w:rFonts w:cs="Arial"/>
          <w:b/>
          <w:szCs w:val="24"/>
        </w:rPr>
        <w:t>zachována</w:t>
      </w:r>
      <w:r w:rsidRPr="00443791">
        <w:rPr>
          <w:rFonts w:cs="Arial"/>
          <w:szCs w:val="24"/>
        </w:rPr>
        <w:t xml:space="preserve">. Postupně dochází ke změně struktury trhu hazardních her </w:t>
      </w:r>
      <w:r w:rsidRPr="00443791">
        <w:rPr>
          <w:rFonts w:cs="Arial"/>
          <w:b/>
          <w:szCs w:val="24"/>
        </w:rPr>
        <w:t>ve prospěch hazardních her provozovaných prostřednictvím internetu</w:t>
      </w:r>
      <w:r w:rsidRPr="00443791">
        <w:rPr>
          <w:rFonts w:cs="Arial"/>
          <w:szCs w:val="24"/>
        </w:rPr>
        <w:t>. Tento trend ještě v posle</w:t>
      </w:r>
      <w:r w:rsidR="00443791">
        <w:rPr>
          <w:rFonts w:cs="Arial"/>
          <w:szCs w:val="24"/>
        </w:rPr>
        <w:t>dní době posílila pandemie Covid-19</w:t>
      </w:r>
      <w:r w:rsidRPr="00443791">
        <w:rPr>
          <w:rFonts w:cs="Arial"/>
          <w:szCs w:val="24"/>
        </w:rPr>
        <w:t>.</w:t>
      </w:r>
    </w:p>
    <w:p w14:paraId="61273060" w14:textId="5541C0A7" w:rsidR="00890908" w:rsidRDefault="00890908" w:rsidP="00890908">
      <w:r>
        <w:rPr>
          <w:rFonts w:cs="Arial"/>
          <w:szCs w:val="24"/>
        </w:rPr>
        <w:t xml:space="preserve">K zásadnímu posunu došlo také v oblasti </w:t>
      </w:r>
      <w:r w:rsidRPr="00660881">
        <w:rPr>
          <w:rFonts w:cs="Arial"/>
          <w:b/>
          <w:szCs w:val="24"/>
        </w:rPr>
        <w:t>aktivního dozoru a zlepšení vymáhání práva</w:t>
      </w:r>
      <w:r>
        <w:rPr>
          <w:rFonts w:cs="Arial"/>
          <w:szCs w:val="24"/>
        </w:rPr>
        <w:t xml:space="preserve">. </w:t>
      </w:r>
      <w:r w:rsidRPr="001F482D">
        <w:rPr>
          <w:rFonts w:cs="Arial"/>
          <w:szCs w:val="24"/>
        </w:rPr>
        <w:t>Zákon o hazardních hrách zavedl kontroln</w:t>
      </w:r>
      <w:r w:rsidR="00A860B8">
        <w:rPr>
          <w:rFonts w:cs="Arial"/>
          <w:szCs w:val="24"/>
        </w:rPr>
        <w:t>í mechanismus, který se opírá o </w:t>
      </w:r>
      <w:r w:rsidRPr="001F482D">
        <w:rPr>
          <w:rFonts w:cs="Arial"/>
          <w:szCs w:val="24"/>
        </w:rPr>
        <w:t xml:space="preserve">několik pilířů, přičemž každý z těchto pilířů plní jiný účel </w:t>
      </w:r>
      <w:r>
        <w:rPr>
          <w:rFonts w:cs="Arial"/>
          <w:szCs w:val="24"/>
        </w:rPr>
        <w:t xml:space="preserve">kontroly </w:t>
      </w:r>
      <w:r w:rsidRPr="001F482D">
        <w:rPr>
          <w:rFonts w:cs="Arial"/>
          <w:szCs w:val="24"/>
        </w:rPr>
        <w:t xml:space="preserve">a tvoří tak </w:t>
      </w:r>
      <w:r w:rsidRPr="00C55173">
        <w:rPr>
          <w:rFonts w:cs="Arial"/>
          <w:b/>
          <w:szCs w:val="24"/>
        </w:rPr>
        <w:t>komplexní celek</w:t>
      </w:r>
      <w:r w:rsidRPr="001F482D">
        <w:rPr>
          <w:rFonts w:cs="Arial"/>
          <w:szCs w:val="24"/>
        </w:rPr>
        <w:t xml:space="preserve">. Nejvýznamnějším pilířem v této oblasti je </w:t>
      </w:r>
      <w:r w:rsidRPr="00C55173">
        <w:rPr>
          <w:rFonts w:cs="Arial"/>
          <w:b/>
          <w:szCs w:val="24"/>
        </w:rPr>
        <w:t>výkon dozoru nad provozováním hazardních her, a to jak legálních, tak i nelegálních</w:t>
      </w:r>
      <w:r w:rsidRPr="001F482D">
        <w:rPr>
          <w:rFonts w:cs="Arial"/>
          <w:szCs w:val="24"/>
        </w:rPr>
        <w:t>, kde došlo oproti předchozí právní úpravě k významným změnám</w:t>
      </w:r>
      <w:r>
        <w:rPr>
          <w:rFonts w:cs="Arial"/>
          <w:szCs w:val="24"/>
        </w:rPr>
        <w:t xml:space="preserve"> a posílení oprávnění orgánů vykonávajících dozor (</w:t>
      </w:r>
      <w:r w:rsidRPr="00B41B2B">
        <w:rPr>
          <w:rFonts w:cs="Arial"/>
          <w:szCs w:val="24"/>
        </w:rPr>
        <w:t>např. právo vstoupit do příslušných prostor i za pomoci síly nebo právo zadržet věc</w:t>
      </w:r>
      <w:r>
        <w:rPr>
          <w:rFonts w:cs="Arial"/>
          <w:szCs w:val="24"/>
        </w:rPr>
        <w:t>)</w:t>
      </w:r>
      <w:r w:rsidRPr="001F482D">
        <w:rPr>
          <w:rFonts w:cs="Arial"/>
          <w:szCs w:val="24"/>
        </w:rPr>
        <w:t xml:space="preserve">. </w:t>
      </w:r>
      <w:r w:rsidRPr="00BB0110">
        <w:t>Celní správa v rámci své činnosti o</w:t>
      </w:r>
      <w:r w:rsidR="00A860B8">
        <w:t>d 1. 1. 2017 – 31. 12. </w:t>
      </w:r>
      <w:r w:rsidRPr="00BB0110">
        <w:t xml:space="preserve">2020 odhalila </w:t>
      </w:r>
      <w:r w:rsidRPr="00C55173">
        <w:rPr>
          <w:b/>
        </w:rPr>
        <w:t>944 nelegálních provozoven s technickou hrou</w:t>
      </w:r>
      <w:r>
        <w:rPr>
          <w:b/>
        </w:rPr>
        <w:t xml:space="preserve"> a</w:t>
      </w:r>
      <w:r>
        <w:t xml:space="preserve"> </w:t>
      </w:r>
      <w:r w:rsidRPr="004A6194">
        <w:rPr>
          <w:b/>
        </w:rPr>
        <w:t>zabavila 4385 nepovolených technických zařízení</w:t>
      </w:r>
      <w:r>
        <w:t xml:space="preserve"> (automatů).</w:t>
      </w:r>
    </w:p>
    <w:p w14:paraId="3777B94E" w14:textId="1F16C3FA" w:rsidR="00890908" w:rsidRPr="009A27B5" w:rsidRDefault="00890908" w:rsidP="00890908">
      <w:pPr>
        <w:rPr>
          <w:rFonts w:cs="Arial"/>
          <w:b/>
          <w:szCs w:val="24"/>
        </w:rPr>
      </w:pPr>
      <w:r w:rsidRPr="001F482D">
        <w:rPr>
          <w:rFonts w:cs="Arial"/>
          <w:szCs w:val="24"/>
        </w:rPr>
        <w:t xml:space="preserve">Další pilíř lze spatřovat v zavedení </w:t>
      </w:r>
      <w:r w:rsidR="007B1657" w:rsidRPr="0095756F">
        <w:rPr>
          <w:rFonts w:cs="Arial"/>
          <w:b/>
          <w:szCs w:val="24"/>
        </w:rPr>
        <w:t>tzv.</w:t>
      </w:r>
      <w:r w:rsidR="00A860B8" w:rsidRPr="007B1657">
        <w:rPr>
          <w:rFonts w:cs="Arial"/>
          <w:szCs w:val="24"/>
        </w:rPr>
        <w:t xml:space="preserve"> </w:t>
      </w:r>
      <w:r w:rsidR="00A860B8" w:rsidRPr="0095756F">
        <w:rPr>
          <w:rFonts w:cs="Arial"/>
          <w:b/>
          <w:szCs w:val="24"/>
        </w:rPr>
        <w:t>black-</w:t>
      </w:r>
      <w:r w:rsidRPr="0095756F">
        <w:rPr>
          <w:rFonts w:cs="Arial"/>
          <w:b/>
          <w:szCs w:val="24"/>
        </w:rPr>
        <w:t>list</w:t>
      </w:r>
      <w:r w:rsidR="007B1657" w:rsidRPr="0095756F">
        <w:rPr>
          <w:rFonts w:cs="Arial"/>
          <w:b/>
          <w:szCs w:val="24"/>
        </w:rPr>
        <w:t>u</w:t>
      </w:r>
      <w:r w:rsidRPr="0095756F">
        <w:rPr>
          <w:rFonts w:cs="Arial"/>
          <w:b/>
          <w:szCs w:val="24"/>
        </w:rPr>
        <w:t xml:space="preserve"> </w:t>
      </w:r>
      <w:r>
        <w:rPr>
          <w:rFonts w:cs="Arial"/>
          <w:szCs w:val="24"/>
        </w:rPr>
        <w:t>a s ním spojeného</w:t>
      </w:r>
      <w:r w:rsidRPr="001F482D">
        <w:rPr>
          <w:rFonts w:cs="Arial"/>
          <w:szCs w:val="24"/>
        </w:rPr>
        <w:t xml:space="preserve"> institutu </w:t>
      </w:r>
      <w:r w:rsidRPr="00A94C9C">
        <w:rPr>
          <w:rFonts w:cs="Arial"/>
          <w:b/>
          <w:szCs w:val="24"/>
        </w:rPr>
        <w:t>blokace internetových stránek a plateb</w:t>
      </w:r>
      <w:r w:rsidRPr="001F482D">
        <w:rPr>
          <w:rFonts w:cs="Arial"/>
          <w:szCs w:val="24"/>
        </w:rPr>
        <w:t xml:space="preserve">, který plní významnou </w:t>
      </w:r>
      <w:r w:rsidRPr="00FA7491">
        <w:rPr>
          <w:rFonts w:cs="Arial"/>
          <w:szCs w:val="24"/>
        </w:rPr>
        <w:t xml:space="preserve">úlohu při boji s nelegálně provozovanými hazardními hrami v internetovém prostředí. </w:t>
      </w:r>
      <w:r w:rsidRPr="00FA7491">
        <w:rPr>
          <w:rFonts w:cs="Arial"/>
          <w:b/>
          <w:szCs w:val="24"/>
        </w:rPr>
        <w:t>V období od 1. 1. 2017 do 28. 4 2021 bylo na základě kontrolní činnosti a rozhodnutí Ministerstva financí zablokováno celkem 218 internetových stránek (celkem 23</w:t>
      </w:r>
      <w:r w:rsidR="00611336">
        <w:rPr>
          <w:rFonts w:cs="Arial"/>
          <w:b/>
          <w:szCs w:val="24"/>
        </w:rPr>
        <w:t> </w:t>
      </w:r>
      <w:r w:rsidRPr="00FA7491">
        <w:rPr>
          <w:rFonts w:cs="Arial"/>
          <w:b/>
          <w:szCs w:val="24"/>
        </w:rPr>
        <w:t>subjektům), přičemž cca 70 % tvoří tzv. zrcadlené internetové stránky. S</w:t>
      </w:r>
      <w:r w:rsidR="00A860B8">
        <w:rPr>
          <w:rFonts w:cs="Arial"/>
          <w:b/>
          <w:szCs w:val="24"/>
        </w:rPr>
        <w:t xml:space="preserve">právní řízení o zápisu na </w:t>
      </w:r>
      <w:r w:rsidR="007B1657">
        <w:rPr>
          <w:rFonts w:cs="Arial"/>
          <w:b/>
          <w:szCs w:val="24"/>
        </w:rPr>
        <w:t xml:space="preserve">tzv. </w:t>
      </w:r>
      <w:r w:rsidR="00A860B8">
        <w:rPr>
          <w:rFonts w:cs="Arial"/>
          <w:b/>
          <w:szCs w:val="24"/>
        </w:rPr>
        <w:t>black-</w:t>
      </w:r>
      <w:r w:rsidRPr="00FA7491">
        <w:rPr>
          <w:rFonts w:cs="Arial"/>
          <w:b/>
          <w:szCs w:val="24"/>
        </w:rPr>
        <w:t>list bylo vedeno celkem s 50 subjekty,</w:t>
      </w:r>
      <w:r w:rsidR="00A860B8">
        <w:rPr>
          <w:rFonts w:cs="Arial"/>
          <w:b/>
          <w:szCs w:val="24"/>
        </w:rPr>
        <w:t xml:space="preserve"> nicméně 18</w:t>
      </w:r>
      <w:r w:rsidR="00611336">
        <w:rPr>
          <w:rFonts w:cs="Arial"/>
          <w:b/>
          <w:szCs w:val="24"/>
        </w:rPr>
        <w:t> </w:t>
      </w:r>
      <w:r w:rsidR="00A860B8">
        <w:rPr>
          <w:rFonts w:cs="Arial"/>
          <w:b/>
          <w:szCs w:val="24"/>
        </w:rPr>
        <w:t>subjektů přestalo v </w:t>
      </w:r>
      <w:r w:rsidRPr="00FA7491">
        <w:rPr>
          <w:rFonts w:cs="Arial"/>
          <w:b/>
          <w:szCs w:val="24"/>
        </w:rPr>
        <w:t>průběhu správního řízení cílit na občany ČR.</w:t>
      </w:r>
      <w:r w:rsidRPr="009A27B5">
        <w:rPr>
          <w:rFonts w:cs="Arial"/>
          <w:b/>
          <w:szCs w:val="24"/>
        </w:rPr>
        <w:t xml:space="preserve"> </w:t>
      </w:r>
    </w:p>
    <w:p w14:paraId="070CA46E" w14:textId="77777777" w:rsidR="00890908" w:rsidRPr="00B92D90" w:rsidRDefault="00890908" w:rsidP="00890908">
      <w:pPr>
        <w:rPr>
          <w:rFonts w:cs="Arial"/>
          <w:szCs w:val="24"/>
        </w:rPr>
      </w:pPr>
      <w:r>
        <w:rPr>
          <w:rFonts w:cs="Arial"/>
          <w:szCs w:val="24"/>
        </w:rPr>
        <w:t>Lze shrnout, že e</w:t>
      </w:r>
      <w:r w:rsidRPr="00151E92">
        <w:rPr>
          <w:rFonts w:cs="Arial"/>
          <w:szCs w:val="24"/>
        </w:rPr>
        <w:t xml:space="preserve">fektivní výkon dozoru je jedním ze základních předpokladů fungování regulace. </w:t>
      </w:r>
      <w:r w:rsidRPr="00A94C9C">
        <w:rPr>
          <w:rFonts w:cs="Arial"/>
          <w:b/>
          <w:szCs w:val="24"/>
        </w:rPr>
        <w:t>Zákon o hazardních</w:t>
      </w:r>
      <w:r w:rsidRPr="00B92D90">
        <w:rPr>
          <w:rFonts w:cs="Arial"/>
          <w:b/>
          <w:szCs w:val="24"/>
        </w:rPr>
        <w:t xml:space="preserve"> hrách zavedl efektivní soubor mechanismů a institutů pro dozor nad provozováním hazardních her ať již legálními</w:t>
      </w:r>
      <w:r>
        <w:rPr>
          <w:rFonts w:cs="Arial"/>
          <w:b/>
          <w:szCs w:val="24"/>
        </w:rPr>
        <w:t xml:space="preserve"> či nelegálními provozovateli a </w:t>
      </w:r>
      <w:r w:rsidRPr="00B92D90">
        <w:rPr>
          <w:rFonts w:cs="Arial"/>
          <w:b/>
          <w:szCs w:val="24"/>
        </w:rPr>
        <w:t>posílil kompetence orgánů vykonávajících dozo</w:t>
      </w:r>
      <w:r w:rsidRPr="00151E92">
        <w:rPr>
          <w:rFonts w:cs="Arial"/>
          <w:szCs w:val="24"/>
        </w:rPr>
        <w:t xml:space="preserve">r. Do budoucna lze však doporučit </w:t>
      </w:r>
      <w:r w:rsidRPr="00A94C9C">
        <w:rPr>
          <w:rFonts w:cs="Arial"/>
          <w:b/>
          <w:szCs w:val="24"/>
        </w:rPr>
        <w:t xml:space="preserve">zaměřit se ještě více na </w:t>
      </w:r>
      <w:r w:rsidRPr="00A94C9C">
        <w:rPr>
          <w:rFonts w:cs="Arial"/>
          <w:b/>
          <w:szCs w:val="24"/>
        </w:rPr>
        <w:lastRenderedPageBreak/>
        <w:t>jejich využívání</w:t>
      </w:r>
      <w:r w:rsidRPr="00151E92">
        <w:rPr>
          <w:rFonts w:cs="Arial"/>
          <w:szCs w:val="24"/>
        </w:rPr>
        <w:t>, aby bylo nelegální provozování hazardních her na území České republiky potlačeno v co nejvyš</w:t>
      </w:r>
      <w:r>
        <w:rPr>
          <w:rFonts w:cs="Arial"/>
          <w:szCs w:val="24"/>
        </w:rPr>
        <w:t>ší možné míře a </w:t>
      </w:r>
      <w:r w:rsidRPr="00151E92">
        <w:rPr>
          <w:rFonts w:cs="Arial"/>
          <w:szCs w:val="24"/>
        </w:rPr>
        <w:t>současně, aby byli legální provozovatelé dostatečně motivování k dodržování zákona o hazardních hrách a</w:t>
      </w:r>
      <w:r>
        <w:rPr>
          <w:rFonts w:cs="Arial"/>
          <w:szCs w:val="24"/>
        </w:rPr>
        <w:t> </w:t>
      </w:r>
      <w:r w:rsidRPr="00151E92">
        <w:rPr>
          <w:rFonts w:cs="Arial"/>
          <w:szCs w:val="24"/>
        </w:rPr>
        <w:t>souvisejících právních předpisů.</w:t>
      </w:r>
      <w:r>
        <w:rPr>
          <w:rFonts w:cs="Arial"/>
          <w:szCs w:val="24"/>
        </w:rPr>
        <w:t xml:space="preserve"> S rozvojem internetu a provozování hazardních her v tomto prostředí, bude nutné ještě zvýšit dozorovou činnost v této oblasti. </w:t>
      </w:r>
      <w:r w:rsidRPr="00151E92">
        <w:rPr>
          <w:rFonts w:cs="Arial"/>
          <w:szCs w:val="24"/>
        </w:rPr>
        <w:t>Pouze tak bude moci být v dlouhodobém měřítku zajištěna dostatečná och</w:t>
      </w:r>
      <w:r>
        <w:rPr>
          <w:rFonts w:cs="Arial"/>
          <w:szCs w:val="24"/>
        </w:rPr>
        <w:t>rana účastníků hazardních her, legálních provozovatelů a </w:t>
      </w:r>
      <w:r w:rsidRPr="00151E92">
        <w:rPr>
          <w:rFonts w:cs="Arial"/>
          <w:szCs w:val="24"/>
        </w:rPr>
        <w:t>p</w:t>
      </w:r>
      <w:r>
        <w:rPr>
          <w:rFonts w:cs="Arial"/>
          <w:szCs w:val="24"/>
        </w:rPr>
        <w:t>lnění dalších cílů předmětné regulace.</w:t>
      </w:r>
    </w:p>
    <w:p w14:paraId="0B0CC131" w14:textId="5AD2A7D2" w:rsidR="00890908" w:rsidRPr="00CE52A4" w:rsidRDefault="00890908" w:rsidP="00890908">
      <w:r w:rsidRPr="00CE52A4">
        <w:rPr>
          <w:b/>
        </w:rPr>
        <w:t>Vybudování informačního systému AISG</w:t>
      </w:r>
      <w:r w:rsidRPr="00CE52A4">
        <w:t>, sběr dat a práce s nimi byl</w:t>
      </w:r>
      <w:r>
        <w:t>y</w:t>
      </w:r>
      <w:r w:rsidRPr="00CE52A4">
        <w:t xml:space="preserve"> z hlediska časového, resp. postupného budování posledními střípky do mozaiky nové komplexní regulace hazardních her. Kromě vlivu samotného </w:t>
      </w:r>
      <w:r w:rsidR="006B3CA4">
        <w:rPr>
          <w:b/>
        </w:rPr>
        <w:t>Re</w:t>
      </w:r>
      <w:r w:rsidRPr="00CE52A4">
        <w:rPr>
          <w:b/>
        </w:rPr>
        <w:t>jstříku vyloučených osob</w:t>
      </w:r>
      <w:r w:rsidRPr="00CE52A4">
        <w:t xml:space="preserve"> je zásadním benefitem </w:t>
      </w:r>
      <w:r w:rsidRPr="00CE52A4">
        <w:rPr>
          <w:b/>
        </w:rPr>
        <w:t>zvýšení efekt</w:t>
      </w:r>
      <w:r w:rsidR="00A860B8">
        <w:rPr>
          <w:b/>
        </w:rPr>
        <w:t xml:space="preserve">ivity práce </w:t>
      </w:r>
      <w:r w:rsidR="00C67C0B">
        <w:rPr>
          <w:b/>
        </w:rPr>
        <w:t>dozorující</w:t>
      </w:r>
      <w:r w:rsidR="00A860B8">
        <w:rPr>
          <w:b/>
        </w:rPr>
        <w:t>ch orgánů a </w:t>
      </w:r>
      <w:r w:rsidRPr="00CE52A4">
        <w:rPr>
          <w:b/>
        </w:rPr>
        <w:t>správce daně</w:t>
      </w:r>
      <w:r w:rsidRPr="00CE52A4">
        <w:t>, zejména s ohledem na dostupnost a kvalitu finančních a herních dat. Tato data nejsou využívána jen pro kontrolní činnost. Na jejich základě jsou tvořeny různé analýzy, které významně napomáhají k zabezpečení dostatečného přehledu dění na trhu hazardních her, jeho pr</w:t>
      </w:r>
      <w:r w:rsidR="00A860B8">
        <w:t>ůběžnému monitoringu a </w:t>
      </w:r>
      <w:r w:rsidRPr="00CE52A4">
        <w:t xml:space="preserve">vyhodnocování nastavené regulace. </w:t>
      </w:r>
    </w:p>
    <w:p w14:paraId="03734718" w14:textId="1611596D" w:rsidR="00890908" w:rsidRPr="005512EB" w:rsidRDefault="00890908" w:rsidP="00890908">
      <w:pPr>
        <w:rPr>
          <w:b/>
        </w:rPr>
      </w:pPr>
      <w:r w:rsidRPr="00CE52A4">
        <w:rPr>
          <w:b/>
        </w:rPr>
        <w:t xml:space="preserve">V tomto ohledu lze změnu </w:t>
      </w:r>
      <w:r>
        <w:rPr>
          <w:b/>
        </w:rPr>
        <w:t>oproti</w:t>
      </w:r>
      <w:r w:rsidRPr="00CE52A4">
        <w:rPr>
          <w:b/>
        </w:rPr>
        <w:t xml:space="preserve"> předchozí regulac</w:t>
      </w:r>
      <w:r>
        <w:rPr>
          <w:b/>
        </w:rPr>
        <w:t>i</w:t>
      </w:r>
      <w:r w:rsidRPr="00CE52A4">
        <w:rPr>
          <w:b/>
        </w:rPr>
        <w:t xml:space="preserve"> označit za</w:t>
      </w:r>
      <w:r w:rsidR="005512EB">
        <w:rPr>
          <w:b/>
        </w:rPr>
        <w:t xml:space="preserve"> významný kvalitativní posun.  </w:t>
      </w:r>
    </w:p>
    <w:p w14:paraId="787B26B4" w14:textId="7B8660DD" w:rsidR="00890908" w:rsidRDefault="00890908" w:rsidP="00890908">
      <w:pPr>
        <w:rPr>
          <w:rFonts w:cs="Arial"/>
          <w:szCs w:val="24"/>
        </w:rPr>
      </w:pPr>
      <w:r w:rsidRPr="00CE52A4">
        <w:rPr>
          <w:rFonts w:cs="Arial"/>
          <w:szCs w:val="24"/>
        </w:rPr>
        <w:t xml:space="preserve">Co se týče </w:t>
      </w:r>
      <w:r w:rsidRPr="00CE52A4">
        <w:rPr>
          <w:rFonts w:cs="Arial"/>
          <w:b/>
          <w:szCs w:val="24"/>
        </w:rPr>
        <w:t xml:space="preserve">zdanění hazardu, tak v dlouhodobém konceptu jsou naplňovány obecné cíle stanovené při přijímání zákona o dani z hazardních, tzn. snížení dostupnosti a atraktivity hazardních her a </w:t>
      </w:r>
      <w:r w:rsidRPr="00CE52A4">
        <w:rPr>
          <w:b/>
        </w:rPr>
        <w:t>zaj</w:t>
      </w:r>
      <w:r w:rsidR="00A860B8">
        <w:rPr>
          <w:b/>
        </w:rPr>
        <w:t>ištění opatření k předcházení a </w:t>
      </w:r>
      <w:r w:rsidRPr="00CE52A4">
        <w:rPr>
          <w:b/>
        </w:rPr>
        <w:t xml:space="preserve">potírání sociálně patologických jevů spojených s provozováním hazardních her a ochrana </w:t>
      </w:r>
      <w:r w:rsidR="009F71E7" w:rsidRPr="00CF0E13">
        <w:rPr>
          <w:b/>
        </w:rPr>
        <w:t>účastníků hazardních her</w:t>
      </w:r>
      <w:r w:rsidRPr="00CE52A4">
        <w:rPr>
          <w:b/>
        </w:rPr>
        <w:t>.</w:t>
      </w:r>
      <w:r w:rsidRPr="00CE52A4">
        <w:rPr>
          <w:rFonts w:cs="Arial"/>
          <w:szCs w:val="24"/>
        </w:rPr>
        <w:t xml:space="preserve"> Výnosy daně z hazardních her kromě výše </w:t>
      </w:r>
      <w:r w:rsidR="00A860B8">
        <w:rPr>
          <w:rFonts w:cs="Arial"/>
          <w:szCs w:val="24"/>
        </w:rPr>
        <w:t>uvedeného odráží i </w:t>
      </w:r>
      <w:r w:rsidRPr="00CE52A4">
        <w:rPr>
          <w:rFonts w:cs="Arial"/>
          <w:szCs w:val="24"/>
        </w:rPr>
        <w:t xml:space="preserve">trendy na trhu hazardních her jako je zvyšování podílu internetové hry a pokles povolených herních pozic technické hry. </w:t>
      </w:r>
      <w:r w:rsidRPr="00CE52A4">
        <w:rPr>
          <w:rFonts w:cs="Arial"/>
          <w:b/>
          <w:szCs w:val="24"/>
        </w:rPr>
        <w:t xml:space="preserve">K zásadnímu navýšení výnosu daně z hazardních her nedošlo, což koresponduje se skutečností, že fiskální efekt této daně je až sekundární a i do budoucna bude limitován opatřeními zodpovědného hraní (nejnověji spuštěním </w:t>
      </w:r>
      <w:r w:rsidR="000F45C1">
        <w:rPr>
          <w:rFonts w:cs="Arial"/>
          <w:b/>
          <w:szCs w:val="24"/>
        </w:rPr>
        <w:t>R</w:t>
      </w:r>
      <w:r w:rsidRPr="00CE52A4">
        <w:rPr>
          <w:rFonts w:cs="Arial"/>
          <w:b/>
          <w:szCs w:val="24"/>
        </w:rPr>
        <w:t>ejstříku vyloučených osob).</w:t>
      </w:r>
      <w:r w:rsidRPr="00CE52A4">
        <w:rPr>
          <w:rFonts w:cs="Arial"/>
          <w:szCs w:val="24"/>
        </w:rPr>
        <w:t xml:space="preserve"> Negativní dopad na výnos má v posledním roce i </w:t>
      </w:r>
      <w:r w:rsidR="00443791">
        <w:rPr>
          <w:rFonts w:cs="Arial"/>
          <w:szCs w:val="24"/>
        </w:rPr>
        <w:t>situace způsobená pandemií Covid-</w:t>
      </w:r>
      <w:r w:rsidRPr="00CE52A4">
        <w:rPr>
          <w:rFonts w:cs="Arial"/>
          <w:szCs w:val="24"/>
        </w:rPr>
        <w:t xml:space="preserve">19. </w:t>
      </w:r>
    </w:p>
    <w:p w14:paraId="5AF52F91" w14:textId="77777777" w:rsidR="00A860B8" w:rsidRDefault="00A860B8" w:rsidP="00A860B8">
      <w:pPr>
        <w:pStyle w:val="Titulek"/>
        <w:keepNext/>
      </w:pPr>
    </w:p>
    <w:p w14:paraId="31B58517" w14:textId="57BA6678" w:rsidR="00A860B8" w:rsidRDefault="00A860B8" w:rsidP="00A860B8">
      <w:pPr>
        <w:pStyle w:val="Titulek"/>
        <w:keepNext/>
      </w:pPr>
    </w:p>
    <w:p w14:paraId="24F9EB87" w14:textId="28BC0A48" w:rsidR="00A860B8" w:rsidRDefault="00A860B8" w:rsidP="00A860B8"/>
    <w:p w14:paraId="50E34745" w14:textId="4847777D" w:rsidR="00A860B8" w:rsidRDefault="00A860B8" w:rsidP="00A860B8"/>
    <w:p w14:paraId="78BFD0C5" w14:textId="3BBD4EB2" w:rsidR="00A860B8" w:rsidRDefault="00A860B8" w:rsidP="00A860B8"/>
    <w:p w14:paraId="7A9835D0" w14:textId="36D14511" w:rsidR="00A860B8" w:rsidRDefault="00A860B8" w:rsidP="00A860B8">
      <w:pPr>
        <w:pStyle w:val="Titulek"/>
        <w:keepNext/>
      </w:pPr>
      <w:bookmarkStart w:id="154" w:name="_Toc73611469"/>
      <w:r>
        <w:lastRenderedPageBreak/>
        <w:t xml:space="preserve">Graf č. </w:t>
      </w:r>
      <w:fldSimple w:instr=" SEQ Graf_č. \* ARABIC ">
        <w:r>
          <w:rPr>
            <w:noProof/>
          </w:rPr>
          <w:t>41</w:t>
        </w:r>
      </w:fldSimple>
      <w:r>
        <w:t xml:space="preserve">: </w:t>
      </w:r>
      <w:r w:rsidRPr="00EA6448">
        <w:t xml:space="preserve">Vývoj výnosu dílčí daně z jednotlivých druhů hazardních her a vývoj podílu </w:t>
      </w:r>
      <w:r w:rsidR="007B336C">
        <w:t xml:space="preserve">v </w:t>
      </w:r>
      <w:r w:rsidRPr="00EA6448">
        <w:t>land</w:t>
      </w:r>
      <w:r w:rsidR="001E31A6">
        <w:t>-</w:t>
      </w:r>
      <w:r w:rsidRPr="00EA6448">
        <w:t>based</w:t>
      </w:r>
      <w:r w:rsidR="007B336C">
        <w:t xml:space="preserve"> prostředí</w:t>
      </w:r>
      <w:r w:rsidRPr="00EA6448">
        <w:t xml:space="preserve"> a internetu na tomto výnosu za období 2013–2020</w:t>
      </w:r>
      <w:bookmarkEnd w:id="154"/>
    </w:p>
    <w:p w14:paraId="41D74C93" w14:textId="77777777" w:rsidR="00890908" w:rsidRDefault="00890908" w:rsidP="00890908">
      <w:pPr>
        <w:keepNext/>
        <w:spacing w:after="80"/>
      </w:pPr>
      <w:r>
        <w:rPr>
          <w:rFonts w:cs="Arial"/>
          <w:noProof/>
          <w:lang w:eastAsia="cs-CZ"/>
        </w:rPr>
        <w:drawing>
          <wp:inline distT="0" distB="0" distL="0" distR="0" wp14:anchorId="600A11FD" wp14:editId="7D61104A">
            <wp:extent cx="5495925" cy="3209925"/>
            <wp:effectExtent l="0" t="0" r="9525" b="9525"/>
            <wp:docPr id="48" name="Graf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BA1796B" w14:textId="19D65644" w:rsidR="00890908" w:rsidRDefault="00890908" w:rsidP="00890908">
      <w:pPr>
        <w:rPr>
          <w:rFonts w:cs="Arial"/>
          <w:i/>
          <w:sz w:val="20"/>
          <w:szCs w:val="20"/>
        </w:rPr>
      </w:pPr>
      <w:r w:rsidRPr="006003CE">
        <w:rPr>
          <w:rFonts w:cs="Arial"/>
          <w:i/>
          <w:sz w:val="20"/>
          <w:szCs w:val="20"/>
        </w:rPr>
        <w:t>Zdroj: Agregovaná data z daňových přiznání k dani</w:t>
      </w:r>
      <w:r>
        <w:rPr>
          <w:rFonts w:cs="Arial"/>
          <w:i/>
          <w:sz w:val="20"/>
          <w:szCs w:val="20"/>
        </w:rPr>
        <w:t xml:space="preserve"> z hazardních her (GFŘ</w:t>
      </w:r>
      <w:r w:rsidRPr="006003CE">
        <w:rPr>
          <w:rFonts w:cs="Arial"/>
          <w:i/>
          <w:sz w:val="20"/>
          <w:szCs w:val="20"/>
        </w:rPr>
        <w:t>)</w:t>
      </w:r>
      <w:r w:rsidR="00D77EFC">
        <w:rPr>
          <w:rFonts w:cs="Arial"/>
          <w:i/>
          <w:sz w:val="20"/>
          <w:szCs w:val="20"/>
        </w:rPr>
        <w:t>.</w:t>
      </w:r>
    </w:p>
    <w:p w14:paraId="7CBBEBCA" w14:textId="2AF8AD81" w:rsidR="00890908" w:rsidRPr="00CE52A4" w:rsidRDefault="00890908" w:rsidP="00890908">
      <w:pPr>
        <w:rPr>
          <w:rFonts w:cs="Arial"/>
          <w:b/>
          <w:szCs w:val="24"/>
        </w:rPr>
      </w:pPr>
      <w:r w:rsidRPr="00CE52A4">
        <w:rPr>
          <w:rFonts w:cs="Arial"/>
          <w:szCs w:val="24"/>
        </w:rPr>
        <w:t xml:space="preserve">Drobnou změnou, kterou lze v oblasti zdanění hazardu doporučit, je parametrická úprava přerozdělení části výnosu dílčí daně z technické hry provozované prostřednictvím internetu, kdy by se daň nově mohla rozdělovat poměrně mezi všechny obce, nikoliv jako doposud jen </w:t>
      </w:r>
      <w:r>
        <w:rPr>
          <w:rFonts w:cs="Arial"/>
          <w:szCs w:val="24"/>
        </w:rPr>
        <w:t>mezi</w:t>
      </w:r>
      <w:r w:rsidRPr="00CE52A4">
        <w:rPr>
          <w:rFonts w:cs="Arial"/>
          <w:szCs w:val="24"/>
        </w:rPr>
        <w:t xml:space="preserve"> ty, které si na svém území povolily technické hry provozované</w:t>
      </w:r>
      <w:r w:rsidR="007B336C">
        <w:rPr>
          <w:rFonts w:cs="Arial"/>
          <w:szCs w:val="24"/>
        </w:rPr>
        <w:t xml:space="preserve"> formou</w:t>
      </w:r>
      <w:r w:rsidRPr="00CE52A4">
        <w:rPr>
          <w:rFonts w:cs="Arial"/>
          <w:szCs w:val="24"/>
        </w:rPr>
        <w:t xml:space="preserve"> land</w:t>
      </w:r>
      <w:r w:rsidR="00D77EFC">
        <w:rPr>
          <w:rFonts w:cs="Arial"/>
          <w:szCs w:val="24"/>
        </w:rPr>
        <w:t>-</w:t>
      </w:r>
      <w:r w:rsidRPr="00CE52A4">
        <w:rPr>
          <w:rFonts w:cs="Arial"/>
          <w:szCs w:val="24"/>
        </w:rPr>
        <w:t xml:space="preserve">based (herny a kasina).  </w:t>
      </w:r>
    </w:p>
    <w:p w14:paraId="6416036A" w14:textId="29CD890B" w:rsidR="00890908" w:rsidRPr="00CE52A4" w:rsidRDefault="005F600D" w:rsidP="00890908">
      <w:pPr>
        <w:rPr>
          <w:rFonts w:cs="Arial"/>
          <w:szCs w:val="24"/>
        </w:rPr>
      </w:pPr>
      <w:r>
        <w:rPr>
          <w:rFonts w:cs="Arial"/>
          <w:b/>
          <w:szCs w:val="24"/>
        </w:rPr>
        <w:t xml:space="preserve">Pro všechny aktéry, </w:t>
      </w:r>
      <w:r w:rsidR="00890908" w:rsidRPr="00CE52A4">
        <w:rPr>
          <w:rFonts w:cs="Arial"/>
          <w:b/>
          <w:szCs w:val="24"/>
        </w:rPr>
        <w:t>ať již v rovině orgánů státní správy, tak i podnikatelských subjektů</w:t>
      </w:r>
      <w:r>
        <w:rPr>
          <w:rFonts w:cs="Arial"/>
          <w:b/>
          <w:szCs w:val="24"/>
        </w:rPr>
        <w:t>,</w:t>
      </w:r>
      <w:r w:rsidR="00890908" w:rsidRPr="00CE52A4">
        <w:rPr>
          <w:rFonts w:cs="Arial"/>
          <w:b/>
          <w:szCs w:val="24"/>
        </w:rPr>
        <w:t xml:space="preserve"> znamenalo přijetí nové právní úpravy významné dopady věcného, personálního, časového, administrativního i finančního charakteru. Tyto zvýšené náklady, jak na straně státní správy, tak na straně provozovatelů lze však považovat za marginální v porovnání s pozitivními přínosy regulace hazardních her ve vztahu k prevenci a snížení celospolečenských nákladů hazardního hraní a se snížením negativních důsledků hazardních her na jednotlivé </w:t>
      </w:r>
      <w:r w:rsidR="00310081" w:rsidRPr="0095756F">
        <w:rPr>
          <w:b/>
        </w:rPr>
        <w:t>účastníky hazardních her</w:t>
      </w:r>
      <w:r w:rsidR="00310081">
        <w:t xml:space="preserve"> </w:t>
      </w:r>
      <w:r w:rsidR="00890908" w:rsidRPr="00CE52A4">
        <w:rPr>
          <w:rFonts w:cs="Arial"/>
          <w:b/>
          <w:szCs w:val="24"/>
        </w:rPr>
        <w:t>a jejich blízké. Tyto vynaložené a</w:t>
      </w:r>
      <w:r w:rsidR="00611336">
        <w:rPr>
          <w:rFonts w:cs="Arial"/>
          <w:b/>
          <w:szCs w:val="24"/>
        </w:rPr>
        <w:t> </w:t>
      </w:r>
      <w:r w:rsidR="00890908" w:rsidRPr="00CE52A4">
        <w:rPr>
          <w:rFonts w:cs="Arial"/>
          <w:b/>
          <w:szCs w:val="24"/>
        </w:rPr>
        <w:t>opodstatněné náklady měly bezpochyby pozitivní vliv při zabezpečení a plnění cílů této nové regulace a bez jejich vynaložení by nebylo možné těchto cílů dosáhnout.</w:t>
      </w:r>
      <w:r w:rsidR="00890908" w:rsidRPr="00CE52A4">
        <w:rPr>
          <w:rFonts w:cs="Arial"/>
          <w:szCs w:val="24"/>
        </w:rPr>
        <w:t xml:space="preserve"> Aby byly tyto cíle naplňovány v dlouhodobém měřítku, bude i nadále nutné, nést nižší náklady, které s sebou provozování hazardních her a jeho regulace logicky nese. Zároveň je nutné </w:t>
      </w:r>
      <w:r w:rsidR="00890908" w:rsidRPr="00CE52A4">
        <w:rPr>
          <w:rFonts w:cs="Arial"/>
          <w:b/>
          <w:szCs w:val="24"/>
        </w:rPr>
        <w:t>vytvoření dlouhodobě stabilního prostředí na trhu hazardních her</w:t>
      </w:r>
      <w:r w:rsidR="00890908" w:rsidRPr="00CE52A4">
        <w:rPr>
          <w:rFonts w:cs="Arial"/>
          <w:szCs w:val="24"/>
        </w:rPr>
        <w:t xml:space="preserve"> bez častých změn právní úpravy a narušování jistoty provozovatelů hazardních her</w:t>
      </w:r>
      <w:r w:rsidR="00890908">
        <w:rPr>
          <w:rFonts w:cs="Arial"/>
          <w:szCs w:val="24"/>
        </w:rPr>
        <w:t xml:space="preserve">, samozřejmě za podmínky, že </w:t>
      </w:r>
      <w:r w:rsidR="00890908" w:rsidRPr="00CE52A4">
        <w:rPr>
          <w:rFonts w:cs="Arial"/>
          <w:szCs w:val="24"/>
        </w:rPr>
        <w:t xml:space="preserve">budou tito provozovatelé zodpovědně plnit požadavky kladené právní úpravou. </w:t>
      </w:r>
      <w:r w:rsidR="00890908" w:rsidRPr="00CE52A4">
        <w:rPr>
          <w:rFonts w:cs="Arial"/>
          <w:b/>
          <w:szCs w:val="24"/>
        </w:rPr>
        <w:t xml:space="preserve">Nová regulace v oblasti hazardních her poskytuje dostatečně transparentní prostředí jak pro provozovatele hazardních her, tak i pro samotné </w:t>
      </w:r>
      <w:r w:rsidR="00310081" w:rsidRPr="00CF0E13">
        <w:rPr>
          <w:b/>
        </w:rPr>
        <w:t>účastníky hazardních her</w:t>
      </w:r>
      <w:r w:rsidR="00890908" w:rsidRPr="00CE52A4">
        <w:rPr>
          <w:rFonts w:cs="Arial"/>
          <w:b/>
          <w:szCs w:val="24"/>
        </w:rPr>
        <w:t xml:space="preserve">. To vše tak, aby byla zajištěna maximální možná ochrana </w:t>
      </w:r>
      <w:r w:rsidR="00310081" w:rsidRPr="0095756F">
        <w:rPr>
          <w:b/>
        </w:rPr>
        <w:t>účastníků hazardních her</w:t>
      </w:r>
      <w:r w:rsidR="00310081">
        <w:t xml:space="preserve"> </w:t>
      </w:r>
      <w:r w:rsidR="00890908" w:rsidRPr="00CE52A4">
        <w:rPr>
          <w:rFonts w:cs="Arial"/>
          <w:b/>
          <w:szCs w:val="24"/>
        </w:rPr>
        <w:t xml:space="preserve">a jim blízkých osob před negativními dopady, které s sebou účast na hazardních hrách nese. </w:t>
      </w:r>
    </w:p>
    <w:p w14:paraId="3B8DE242" w14:textId="4A491452" w:rsidR="00890908" w:rsidRPr="00CE52A4" w:rsidRDefault="00890908" w:rsidP="00890908">
      <w:pPr>
        <w:rPr>
          <w:rFonts w:cs="Arial"/>
          <w:b/>
          <w:szCs w:val="24"/>
        </w:rPr>
      </w:pPr>
      <w:r w:rsidRPr="00CE52A4">
        <w:rPr>
          <w:rFonts w:cs="Arial"/>
          <w:b/>
        </w:rPr>
        <w:lastRenderedPageBreak/>
        <w:t>Oblast hazardních her je velmi provázána s technologickým pokrokem.</w:t>
      </w:r>
      <w:r w:rsidRPr="00CE52A4">
        <w:rPr>
          <w:rFonts w:cs="Arial"/>
        </w:rPr>
        <w:t xml:space="preserve"> Relevantní je to zejména z hlediska nabídky nových druhů her či produktů, které mohou naplňovat některé znaky hazardních her. Zás</w:t>
      </w:r>
      <w:r w:rsidR="00D77EFC">
        <w:rPr>
          <w:rFonts w:cs="Arial"/>
        </w:rPr>
        <w:t>adní jsou také formy nabízení a </w:t>
      </w:r>
      <w:r w:rsidRPr="00CE52A4">
        <w:rPr>
          <w:rFonts w:cs="Arial"/>
        </w:rPr>
        <w:t xml:space="preserve">dostupnost těchto produktů zejména s ohledem na rozvoj internetu a jeho dostupnost pro širokou veřejnost včetně mladistvých a dětí. </w:t>
      </w:r>
      <w:r w:rsidRPr="00CE52A4">
        <w:rPr>
          <w:rFonts w:cs="Arial"/>
          <w:b/>
          <w:szCs w:val="24"/>
        </w:rPr>
        <w:t xml:space="preserve">Nárůst významu internetu v provozování hazardních her je logickým důsledkem technologického pokroku a obecných trendů. </w:t>
      </w:r>
      <w:r w:rsidRPr="00CE52A4">
        <w:rPr>
          <w:rFonts w:cs="Arial"/>
          <w:szCs w:val="24"/>
        </w:rPr>
        <w:t>Růst dostupnosti internetového připojení a význam, který hraje internet obecně v lidském životě, se samozřejmě vedle ostatních oblastí promítá i do oblasti hazardních her, což s sebou přináší nutnost právní úpravy, která by byla schopná čelit novým výzvám.</w:t>
      </w:r>
      <w:r w:rsidRPr="00CE52A4">
        <w:rPr>
          <w:rFonts w:cs="Arial"/>
          <w:b/>
          <w:szCs w:val="24"/>
        </w:rPr>
        <w:t xml:space="preserve"> </w:t>
      </w:r>
    </w:p>
    <w:p w14:paraId="4D2DD544" w14:textId="6B0515A0" w:rsidR="00890908" w:rsidRPr="00CE52A4" w:rsidRDefault="00890908" w:rsidP="00890908">
      <w:pPr>
        <w:rPr>
          <w:rFonts w:cs="Arial"/>
        </w:rPr>
      </w:pPr>
      <w:r w:rsidRPr="00CE52A4">
        <w:t>Z výsledků analýzy ASTERIG zpracované Ministerstvem financí je zřetelné, že</w:t>
      </w:r>
      <w:r w:rsidRPr="00CE52A4">
        <w:rPr>
          <w:b/>
        </w:rPr>
        <w:t xml:space="preserve"> zvýšená rizikovost se váže zejména na hazardní hry provozované jako internetové hry. </w:t>
      </w:r>
      <w:r w:rsidRPr="00CE52A4">
        <w:t xml:space="preserve">V případě technických her je rizikovost u obou způsobů provozování obdobná a je tak z pohledu nastavené regulace správné nastavení komplexu ochranných opatření na technickou hru jako druh hazardní hry. V případě všech ostatních druhů hazardních her se však významně zvyšuje rizikovost, je-li hazardní hra provozována jako internetová hra (to </w:t>
      </w:r>
      <w:r w:rsidR="00D77EFC">
        <w:t>je dáno zejména rychlostí hry a </w:t>
      </w:r>
      <w:r w:rsidRPr="00CE52A4">
        <w:t xml:space="preserve">možností nepřerušené účasti). V kontextu výše uvedeného </w:t>
      </w:r>
      <w:r w:rsidRPr="00CE52A4">
        <w:rPr>
          <w:b/>
        </w:rPr>
        <w:t xml:space="preserve">by bylo za účelem zajištění ochrany sázejících vhodné zvážit, zda by v budoucnu právní úprava neměla reagovat případným zajištěním dalších či úpravou stávajících opatření zodpovědného hraní či např. jinou mírou zdanění hazardních her podle způsobu jejich provozování při zohlednění rizikovosti. </w:t>
      </w:r>
    </w:p>
    <w:p w14:paraId="3BBD3CB1" w14:textId="1FDDA5CB" w:rsidR="00890908" w:rsidRPr="00CE52A4" w:rsidRDefault="00890908" w:rsidP="00FA7491">
      <w:pPr>
        <w:pStyle w:val="Nadpis3"/>
      </w:pPr>
      <w:bookmarkStart w:id="155" w:name="_Toc72999582"/>
      <w:bookmarkStart w:id="156" w:name="_Toc73613638"/>
      <w:r w:rsidRPr="00CE52A4">
        <w:t>Závěr</w:t>
      </w:r>
      <w:bookmarkEnd w:id="155"/>
      <w:r w:rsidR="00A76962">
        <w:t>y a doporučení</w:t>
      </w:r>
      <w:bookmarkEnd w:id="156"/>
      <w:r w:rsidR="00A76962">
        <w:t xml:space="preserve"> </w:t>
      </w:r>
    </w:p>
    <w:p w14:paraId="65CE13DC" w14:textId="13D888E4" w:rsidR="00890908" w:rsidRDefault="00890908" w:rsidP="00890908">
      <w:r w:rsidRPr="00CE52A4">
        <w:rPr>
          <w:b/>
        </w:rPr>
        <w:t xml:space="preserve">Na základě provedené analýzy ex post RIA lze konstatovat, že </w:t>
      </w:r>
      <w:r w:rsidR="0092069D">
        <w:rPr>
          <w:b/>
        </w:rPr>
        <w:t xml:space="preserve">principy </w:t>
      </w:r>
      <w:r w:rsidRPr="00CE52A4">
        <w:rPr>
          <w:b/>
        </w:rPr>
        <w:t>nastaven</w:t>
      </w:r>
      <w:r w:rsidR="0092069D">
        <w:rPr>
          <w:b/>
        </w:rPr>
        <w:t>é</w:t>
      </w:r>
      <w:r w:rsidRPr="00CE52A4">
        <w:rPr>
          <w:b/>
        </w:rPr>
        <w:t xml:space="preserve"> regulace j</w:t>
      </w:r>
      <w:r w:rsidR="0092069D">
        <w:rPr>
          <w:b/>
        </w:rPr>
        <w:t>sou</w:t>
      </w:r>
      <w:r w:rsidRPr="00CE52A4">
        <w:rPr>
          <w:b/>
        </w:rPr>
        <w:t xml:space="preserve"> nastaven</w:t>
      </w:r>
      <w:r w:rsidR="0092069D">
        <w:rPr>
          <w:b/>
        </w:rPr>
        <w:t>y</w:t>
      </w:r>
      <w:r w:rsidRPr="00CE52A4">
        <w:rPr>
          <w:b/>
        </w:rPr>
        <w:t xml:space="preserve"> optimálně, ved</w:t>
      </w:r>
      <w:r w:rsidR="0092069D">
        <w:rPr>
          <w:b/>
        </w:rPr>
        <w:t>ou</w:t>
      </w:r>
      <w:r w:rsidR="00EA19C2">
        <w:rPr>
          <w:b/>
        </w:rPr>
        <w:t xml:space="preserve"> ke stanoveným cílům a </w:t>
      </w:r>
      <w:r w:rsidR="0092069D">
        <w:rPr>
          <w:b/>
        </w:rPr>
        <w:t xml:space="preserve">regulace </w:t>
      </w:r>
      <w:r w:rsidRPr="00CE52A4">
        <w:rPr>
          <w:b/>
        </w:rPr>
        <w:t xml:space="preserve">je efektivní. Není tedy potřeba v obecné rovině na </w:t>
      </w:r>
      <w:r w:rsidR="0092069D">
        <w:rPr>
          <w:b/>
        </w:rPr>
        <w:t>těchto principech</w:t>
      </w:r>
      <w:r w:rsidRPr="00CE52A4">
        <w:rPr>
          <w:b/>
        </w:rPr>
        <w:t xml:space="preserve"> </w:t>
      </w:r>
      <w:r w:rsidR="0092069D">
        <w:rPr>
          <w:b/>
        </w:rPr>
        <w:t>realizovat významné změny a hlouběji zasahovat do základních institutů regulace</w:t>
      </w:r>
      <w:r w:rsidRPr="00CE52A4">
        <w:rPr>
          <w:b/>
        </w:rPr>
        <w:t>.</w:t>
      </w:r>
      <w:r w:rsidRPr="00CE52A4">
        <w:t xml:space="preserve"> </w:t>
      </w:r>
    </w:p>
    <w:p w14:paraId="2DDCDCA7" w14:textId="670DCF45" w:rsidR="00890908" w:rsidRDefault="00890908" w:rsidP="00890908">
      <w:pPr>
        <w:rPr>
          <w:b/>
        </w:rPr>
      </w:pPr>
      <w:r w:rsidRPr="00CE52A4">
        <w:rPr>
          <w:b/>
        </w:rPr>
        <w:t xml:space="preserve">I přesto existují dílčí oblasti, u kterých </w:t>
      </w:r>
      <w:r w:rsidR="0092069D">
        <w:rPr>
          <w:b/>
        </w:rPr>
        <w:t>je vho</w:t>
      </w:r>
      <w:r w:rsidR="00EA19C2">
        <w:rPr>
          <w:b/>
        </w:rPr>
        <w:t>dné do regulace zasáhnout, a to </w:t>
      </w:r>
      <w:r w:rsidR="0092069D">
        <w:rPr>
          <w:b/>
        </w:rPr>
        <w:t>jak v návaznosti na to, že praktická aplikace původních institutů se nejeví jako zcela optimální či v mezidobí od přijetí regulace došlo ke změně ekonomických a technických podmínek, které vyžadují změny regulace. Díky těmto změnám pak do budoucna</w:t>
      </w:r>
      <w:r w:rsidRPr="00CE52A4">
        <w:rPr>
          <w:b/>
        </w:rPr>
        <w:t xml:space="preserve"> </w:t>
      </w:r>
      <w:r w:rsidR="0092069D">
        <w:rPr>
          <w:b/>
        </w:rPr>
        <w:t xml:space="preserve">dojde </w:t>
      </w:r>
      <w:r w:rsidRPr="00CE52A4">
        <w:rPr>
          <w:b/>
        </w:rPr>
        <w:t xml:space="preserve">k dalšímu zvýšení efektivity daných nástrojů nebo při jejím zachování ke snížení nákladů na dosažení </w:t>
      </w:r>
      <w:r>
        <w:rPr>
          <w:b/>
        </w:rPr>
        <w:t xml:space="preserve">stanovených </w:t>
      </w:r>
      <w:r w:rsidRPr="00CE52A4">
        <w:rPr>
          <w:b/>
        </w:rPr>
        <w:t>cílů.</w:t>
      </w:r>
      <w:r>
        <w:rPr>
          <w:b/>
        </w:rPr>
        <w:t xml:space="preserve"> </w:t>
      </w:r>
    </w:p>
    <w:p w14:paraId="0D09C491" w14:textId="74DDCA80" w:rsidR="00890908" w:rsidRPr="00BD7193" w:rsidRDefault="0092069D" w:rsidP="00890908">
      <w:pPr>
        <w:rPr>
          <w:b/>
        </w:rPr>
      </w:pPr>
      <w:r>
        <w:rPr>
          <w:b/>
        </w:rPr>
        <w:t>Samozřejmě i</w:t>
      </w:r>
      <w:r w:rsidR="00890908" w:rsidRPr="00CE52A4">
        <w:rPr>
          <w:b/>
        </w:rPr>
        <w:t xml:space="preserve"> do budoucna </w:t>
      </w:r>
      <w:r>
        <w:rPr>
          <w:b/>
        </w:rPr>
        <w:t xml:space="preserve">platí, že </w:t>
      </w:r>
      <w:r w:rsidR="00890908" w:rsidRPr="00CE52A4">
        <w:rPr>
          <w:b/>
        </w:rPr>
        <w:t>je nezbytné nadále monitorovat a</w:t>
      </w:r>
      <w:r w:rsidR="00EA19C2">
        <w:rPr>
          <w:b/>
        </w:rPr>
        <w:t> </w:t>
      </w:r>
      <w:r w:rsidR="00890908" w:rsidRPr="00CE52A4">
        <w:rPr>
          <w:b/>
        </w:rPr>
        <w:t>analyzovat jednotlivé parametry regulace v oblasti hazardních her a</w:t>
      </w:r>
      <w:r w:rsidR="00EA19C2">
        <w:rPr>
          <w:b/>
        </w:rPr>
        <w:t> </w:t>
      </w:r>
      <w:r w:rsidR="00890908" w:rsidRPr="00CE52A4">
        <w:rPr>
          <w:b/>
        </w:rPr>
        <w:t>vyh</w:t>
      </w:r>
      <w:r w:rsidR="00D77EFC">
        <w:rPr>
          <w:b/>
        </w:rPr>
        <w:t>odnocovat jejich efektivitu a i </w:t>
      </w:r>
      <w:r w:rsidR="00890908" w:rsidRPr="00CE52A4">
        <w:rPr>
          <w:rFonts w:cs="Arial"/>
          <w:b/>
        </w:rPr>
        <w:t>reagovat na všechny technologické změny a s tím související trendy.</w:t>
      </w:r>
      <w:r w:rsidR="00890908" w:rsidRPr="00013073">
        <w:rPr>
          <w:rFonts w:cs="Arial"/>
        </w:rPr>
        <w:t xml:space="preserve">  </w:t>
      </w:r>
    </w:p>
    <w:p w14:paraId="44584089" w14:textId="77ECE458" w:rsidR="00890908" w:rsidRPr="00A76962" w:rsidRDefault="00890908" w:rsidP="00A76962">
      <w:pPr>
        <w:rPr>
          <w:b/>
          <w:u w:val="single"/>
        </w:rPr>
      </w:pPr>
      <w:bookmarkStart w:id="157" w:name="_Toc72999583"/>
      <w:r w:rsidRPr="00A76962">
        <w:rPr>
          <w:b/>
          <w:u w:val="single"/>
        </w:rPr>
        <w:t xml:space="preserve">Parciální doporučení </w:t>
      </w:r>
      <w:r w:rsidR="009E6E65" w:rsidRPr="00A76962">
        <w:rPr>
          <w:b/>
          <w:u w:val="single"/>
        </w:rPr>
        <w:t xml:space="preserve">či možné změny </w:t>
      </w:r>
      <w:r w:rsidRPr="00A76962">
        <w:rPr>
          <w:b/>
          <w:u w:val="single"/>
        </w:rPr>
        <w:t>v některých oblastech:</w:t>
      </w:r>
      <w:bookmarkEnd w:id="157"/>
    </w:p>
    <w:p w14:paraId="08B094A6" w14:textId="7DCA539D" w:rsidR="00890908" w:rsidRDefault="00890908" w:rsidP="00890908">
      <w:r>
        <w:t>Níže je uveden stručný přehled doporučení potenciálních změn v některých oblastech. S </w:t>
      </w:r>
      <w:r w:rsidR="005746B2">
        <w:t>ohledem na</w:t>
      </w:r>
      <w:r>
        <w:t xml:space="preserve"> celkovou koncepci regulace hazardních her se však jedná pouze o </w:t>
      </w:r>
      <w:r w:rsidRPr="009E6E65">
        <w:rPr>
          <w:b/>
        </w:rPr>
        <w:t xml:space="preserve">možné drobné </w:t>
      </w:r>
      <w:r w:rsidR="00025F44" w:rsidRPr="009E6E65">
        <w:rPr>
          <w:b/>
        </w:rPr>
        <w:t xml:space="preserve">dílčí </w:t>
      </w:r>
      <w:r w:rsidRPr="009E6E65">
        <w:rPr>
          <w:b/>
        </w:rPr>
        <w:t>změny</w:t>
      </w:r>
      <w:r w:rsidR="00AB613E" w:rsidRPr="009E6E65">
        <w:rPr>
          <w:b/>
        </w:rPr>
        <w:t xml:space="preserve"> systému regulace</w:t>
      </w:r>
      <w:r>
        <w:t xml:space="preserve">.  </w:t>
      </w:r>
      <w:r w:rsidRPr="00CE52A4">
        <w:t>Podrobněj</w:t>
      </w:r>
      <w:r>
        <w:t xml:space="preserve">ší analýzy k těmto oblastem </w:t>
      </w:r>
      <w:r w:rsidRPr="00CE52A4">
        <w:t xml:space="preserve">viz </w:t>
      </w:r>
      <w:r>
        <w:t>přílohy</w:t>
      </w:r>
      <w:r w:rsidRPr="00CE52A4">
        <w:t>.</w:t>
      </w:r>
      <w:r>
        <w:t xml:space="preserve"> </w:t>
      </w:r>
    </w:p>
    <w:p w14:paraId="2758AD2C" w14:textId="4F5760DA" w:rsidR="003325C1" w:rsidRPr="007B42AF" w:rsidRDefault="003325C1"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lastRenderedPageBreak/>
        <w:t xml:space="preserve">Z výsledků </w:t>
      </w:r>
      <w:r w:rsidRPr="007B42AF">
        <w:rPr>
          <w:rFonts w:ascii="Arial" w:hAnsi="Arial" w:cs="Arial"/>
          <w:b/>
          <w:sz w:val="24"/>
          <w:szCs w:val="24"/>
          <w:lang w:eastAsia="zh-CN" w:bidi="ar"/>
        </w:rPr>
        <w:t>analýzy ASTERIG</w:t>
      </w:r>
      <w:r w:rsidRPr="007B42AF">
        <w:rPr>
          <w:rFonts w:ascii="Arial" w:hAnsi="Arial" w:cs="Arial"/>
          <w:sz w:val="24"/>
          <w:szCs w:val="24"/>
          <w:lang w:eastAsia="zh-CN" w:bidi="ar"/>
        </w:rPr>
        <w:t xml:space="preserve"> je zřetelné, že </w:t>
      </w:r>
      <w:r w:rsidRPr="007B42AF">
        <w:rPr>
          <w:rFonts w:ascii="Arial" w:hAnsi="Arial" w:cs="Arial"/>
          <w:b/>
          <w:sz w:val="24"/>
          <w:szCs w:val="24"/>
          <w:lang w:eastAsia="zh-CN" w:bidi="ar"/>
        </w:rPr>
        <w:t>zvýšená rizikovost</w:t>
      </w:r>
      <w:r w:rsidRPr="007B42AF">
        <w:rPr>
          <w:rFonts w:ascii="Arial" w:hAnsi="Arial" w:cs="Arial"/>
          <w:sz w:val="24"/>
          <w:szCs w:val="24"/>
          <w:lang w:eastAsia="zh-CN" w:bidi="ar"/>
        </w:rPr>
        <w:t xml:space="preserve"> se váže zejména na hazardní hry provozované jako </w:t>
      </w:r>
      <w:r w:rsidRPr="007B42AF">
        <w:rPr>
          <w:rFonts w:ascii="Arial" w:hAnsi="Arial" w:cs="Arial"/>
          <w:b/>
          <w:sz w:val="24"/>
          <w:szCs w:val="24"/>
          <w:lang w:eastAsia="zh-CN" w:bidi="ar"/>
        </w:rPr>
        <w:t>internetové hry</w:t>
      </w:r>
      <w:r w:rsidRPr="007B42AF">
        <w:rPr>
          <w:rFonts w:ascii="Arial" w:hAnsi="Arial" w:cs="Arial"/>
          <w:sz w:val="24"/>
          <w:szCs w:val="24"/>
          <w:lang w:eastAsia="zh-CN" w:bidi="ar"/>
        </w:rPr>
        <w:t>. V případě technických her je rizikovost u obou způsobů provozování obdobná, avšak v</w:t>
      </w:r>
      <w:r w:rsidR="00611336">
        <w:rPr>
          <w:rFonts w:ascii="Arial" w:hAnsi="Arial" w:cs="Arial"/>
          <w:sz w:val="24"/>
          <w:szCs w:val="24"/>
          <w:lang w:eastAsia="zh-CN" w:bidi="ar"/>
        </w:rPr>
        <w:t> </w:t>
      </w:r>
      <w:r w:rsidRPr="007B42AF">
        <w:rPr>
          <w:rFonts w:ascii="Arial" w:hAnsi="Arial" w:cs="Arial"/>
          <w:sz w:val="24"/>
          <w:szCs w:val="24"/>
          <w:lang w:eastAsia="zh-CN" w:bidi="ar"/>
        </w:rPr>
        <w:t xml:space="preserve">případě všech ostatních druhů hazardních her se významně zvyšuje rizikovost právě při provozování prostřednictvím internetu, což je dáno zejména rychlostí hry a možností nepřerušené účasti. Z tohoto pohledu by bylo za účelem zajištění ochrany sázejících vhodné, aby v budoucnu </w:t>
      </w:r>
      <w:r w:rsidRPr="007B42AF">
        <w:rPr>
          <w:rFonts w:ascii="Arial" w:hAnsi="Arial" w:cs="Arial"/>
          <w:b/>
          <w:sz w:val="24"/>
          <w:szCs w:val="24"/>
          <w:lang w:eastAsia="zh-CN" w:bidi="ar"/>
        </w:rPr>
        <w:t>právní úprava reagovala případným zajištěním dalších či úpravou stávajících opatření zodpovědného hraní</w:t>
      </w:r>
      <w:r w:rsidRPr="007B42AF">
        <w:rPr>
          <w:rFonts w:ascii="Arial" w:hAnsi="Arial" w:cs="Arial"/>
          <w:sz w:val="24"/>
          <w:szCs w:val="24"/>
          <w:lang w:eastAsia="zh-CN" w:bidi="ar"/>
        </w:rPr>
        <w:t>.</w:t>
      </w:r>
    </w:p>
    <w:p w14:paraId="794365B7" w14:textId="16892B8E" w:rsidR="00890908" w:rsidRPr="007B42AF" w:rsidRDefault="00890908"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Vymezení </w:t>
      </w:r>
      <w:r w:rsidRPr="007B42AF">
        <w:rPr>
          <w:rFonts w:ascii="Arial" w:hAnsi="Arial" w:cs="Arial"/>
          <w:b/>
          <w:sz w:val="24"/>
          <w:szCs w:val="24"/>
          <w:lang w:eastAsia="zh-CN" w:bidi="ar"/>
        </w:rPr>
        <w:t>působnosti zákona o hazardních hrách</w:t>
      </w:r>
      <w:r w:rsidRPr="007B42AF">
        <w:rPr>
          <w:rFonts w:ascii="Arial" w:hAnsi="Arial" w:cs="Arial"/>
          <w:sz w:val="24"/>
          <w:szCs w:val="24"/>
          <w:lang w:eastAsia="zh-CN" w:bidi="ar"/>
        </w:rPr>
        <w:t xml:space="preserve"> v tom smyslu, že za provozovanou na území České republiky se považuje jakákoliv hazardní hra, která je na území České republiky dostupná </w:t>
      </w:r>
      <w:r w:rsidR="008271B6" w:rsidRPr="007B42AF">
        <w:rPr>
          <w:rFonts w:ascii="Arial" w:hAnsi="Arial" w:cs="Arial"/>
          <w:sz w:val="24"/>
          <w:szCs w:val="24"/>
          <w:lang w:eastAsia="zh-CN" w:bidi="ar"/>
        </w:rPr>
        <w:t>nikoliv pouze ta, která cílí na občany s pobytem na území České republiky.</w:t>
      </w:r>
    </w:p>
    <w:p w14:paraId="5270E067" w14:textId="417A467D"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Dílčí změny v oblasti </w:t>
      </w:r>
      <w:r w:rsidRPr="007B42AF">
        <w:rPr>
          <w:rFonts w:ascii="Arial" w:hAnsi="Arial" w:cs="Arial"/>
          <w:b/>
          <w:sz w:val="24"/>
          <w:szCs w:val="24"/>
          <w:lang w:eastAsia="zh-CN" w:bidi="ar"/>
        </w:rPr>
        <w:t>povolování</w:t>
      </w:r>
      <w:r w:rsidR="005F600D">
        <w:rPr>
          <w:rFonts w:ascii="Arial" w:hAnsi="Arial" w:cs="Arial"/>
          <w:sz w:val="24"/>
          <w:szCs w:val="24"/>
          <w:lang w:eastAsia="zh-CN" w:bidi="ar"/>
        </w:rPr>
        <w:t xml:space="preserve"> hazardních her (požadavky na p</w:t>
      </w:r>
      <w:r w:rsidRPr="007B42AF">
        <w:rPr>
          <w:rFonts w:ascii="Arial" w:hAnsi="Arial" w:cs="Arial"/>
          <w:sz w:val="24"/>
          <w:szCs w:val="24"/>
          <w:lang w:eastAsia="zh-CN" w:bidi="ar"/>
        </w:rPr>
        <w:t>rovozovatele a jejich povinnosti, oprávnění k provozování atd.)</w:t>
      </w:r>
      <w:r w:rsidR="005F600D">
        <w:rPr>
          <w:rFonts w:ascii="Arial" w:hAnsi="Arial" w:cs="Arial"/>
          <w:sz w:val="24"/>
          <w:szCs w:val="24"/>
          <w:lang w:eastAsia="zh-CN" w:bidi="ar"/>
        </w:rPr>
        <w:t>.</w:t>
      </w:r>
    </w:p>
    <w:p w14:paraId="00686903" w14:textId="3D276D7B"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Změny v oblasti výpočtu a využití </w:t>
      </w:r>
      <w:r w:rsidRPr="007B42AF">
        <w:rPr>
          <w:rFonts w:ascii="Arial" w:hAnsi="Arial" w:cs="Arial"/>
          <w:b/>
          <w:sz w:val="24"/>
          <w:szCs w:val="24"/>
          <w:lang w:eastAsia="zh-CN" w:bidi="ar"/>
        </w:rPr>
        <w:t>kaucí</w:t>
      </w:r>
      <w:r w:rsidR="005F600D">
        <w:rPr>
          <w:rFonts w:ascii="Arial" w:hAnsi="Arial" w:cs="Arial"/>
          <w:sz w:val="24"/>
          <w:szCs w:val="24"/>
          <w:lang w:eastAsia="zh-CN" w:bidi="ar"/>
        </w:rPr>
        <w:t>.</w:t>
      </w:r>
    </w:p>
    <w:p w14:paraId="0798D89D" w14:textId="4E62E49F"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b/>
          <w:sz w:val="24"/>
          <w:szCs w:val="24"/>
          <w:lang w:eastAsia="zh-CN" w:bidi="ar"/>
        </w:rPr>
        <w:t>Sjednocení</w:t>
      </w:r>
      <w:r w:rsidRPr="007B42AF">
        <w:rPr>
          <w:rFonts w:ascii="Arial" w:hAnsi="Arial" w:cs="Arial"/>
          <w:sz w:val="24"/>
          <w:szCs w:val="24"/>
          <w:lang w:eastAsia="zh-CN" w:bidi="ar"/>
        </w:rPr>
        <w:t xml:space="preserve"> obecných </w:t>
      </w:r>
      <w:r w:rsidRPr="007B42AF">
        <w:rPr>
          <w:rFonts w:ascii="Arial" w:hAnsi="Arial" w:cs="Arial"/>
          <w:b/>
          <w:sz w:val="24"/>
          <w:szCs w:val="24"/>
          <w:lang w:eastAsia="zh-CN" w:bidi="ar"/>
        </w:rPr>
        <w:t>požadavků</w:t>
      </w:r>
      <w:r w:rsidRPr="007B42AF">
        <w:rPr>
          <w:rFonts w:ascii="Arial" w:hAnsi="Arial" w:cs="Arial"/>
          <w:sz w:val="24"/>
          <w:szCs w:val="24"/>
          <w:lang w:eastAsia="zh-CN" w:bidi="ar"/>
        </w:rPr>
        <w:t xml:space="preserve"> kladených na některé druhy her</w:t>
      </w:r>
      <w:r w:rsidR="005F600D">
        <w:rPr>
          <w:rFonts w:ascii="Arial" w:hAnsi="Arial" w:cs="Arial"/>
          <w:sz w:val="24"/>
          <w:szCs w:val="24"/>
          <w:lang w:eastAsia="zh-CN" w:bidi="ar"/>
        </w:rPr>
        <w:t>.</w:t>
      </w:r>
    </w:p>
    <w:p w14:paraId="0DBAA494" w14:textId="4DDF15F1"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Zhodnocení stávajících hazardních her a </w:t>
      </w:r>
      <w:r w:rsidRPr="007B42AF">
        <w:rPr>
          <w:rFonts w:ascii="Arial" w:hAnsi="Arial" w:cs="Arial"/>
          <w:b/>
          <w:sz w:val="24"/>
          <w:szCs w:val="24"/>
          <w:lang w:eastAsia="zh-CN" w:bidi="ar"/>
        </w:rPr>
        <w:t>nových konceptů</w:t>
      </w:r>
      <w:r w:rsidR="005F600D">
        <w:rPr>
          <w:rFonts w:ascii="Arial" w:hAnsi="Arial" w:cs="Arial"/>
          <w:sz w:val="24"/>
          <w:szCs w:val="24"/>
          <w:lang w:eastAsia="zh-CN" w:bidi="ar"/>
        </w:rPr>
        <w:t xml:space="preserve"> provozování či </w:t>
      </w:r>
      <w:r w:rsidRPr="007B42AF">
        <w:rPr>
          <w:rFonts w:ascii="Arial" w:hAnsi="Arial" w:cs="Arial"/>
          <w:sz w:val="24"/>
          <w:szCs w:val="24"/>
          <w:lang w:eastAsia="zh-CN" w:bidi="ar"/>
        </w:rPr>
        <w:t xml:space="preserve">nabídek </w:t>
      </w:r>
      <w:r w:rsidRPr="007B42AF">
        <w:rPr>
          <w:rFonts w:ascii="Arial" w:hAnsi="Arial" w:cs="Arial"/>
          <w:b/>
          <w:sz w:val="24"/>
          <w:szCs w:val="24"/>
          <w:lang w:eastAsia="zh-CN" w:bidi="ar"/>
        </w:rPr>
        <w:t>her</w:t>
      </w:r>
      <w:r w:rsidR="005F600D">
        <w:rPr>
          <w:rFonts w:ascii="Arial" w:hAnsi="Arial" w:cs="Arial"/>
          <w:sz w:val="24"/>
          <w:szCs w:val="24"/>
          <w:lang w:eastAsia="zh-CN" w:bidi="ar"/>
        </w:rPr>
        <w:t>.</w:t>
      </w:r>
    </w:p>
    <w:p w14:paraId="4C487551" w14:textId="676F6C40"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Komplexnější úprava </w:t>
      </w:r>
      <w:r w:rsidRPr="007B42AF">
        <w:rPr>
          <w:rFonts w:ascii="Arial" w:hAnsi="Arial" w:cs="Arial"/>
          <w:b/>
          <w:sz w:val="24"/>
          <w:szCs w:val="24"/>
          <w:lang w:eastAsia="zh-CN" w:bidi="ar"/>
        </w:rPr>
        <w:t>internetových</w:t>
      </w:r>
      <w:r w:rsidRPr="007B42AF">
        <w:rPr>
          <w:rFonts w:ascii="Arial" w:hAnsi="Arial" w:cs="Arial"/>
          <w:sz w:val="24"/>
          <w:szCs w:val="24"/>
          <w:lang w:eastAsia="zh-CN" w:bidi="ar"/>
        </w:rPr>
        <w:t xml:space="preserve"> </w:t>
      </w:r>
      <w:r w:rsidR="005F600D">
        <w:rPr>
          <w:rFonts w:ascii="Arial" w:hAnsi="Arial" w:cs="Arial"/>
          <w:sz w:val="24"/>
          <w:szCs w:val="24"/>
          <w:lang w:eastAsia="zh-CN" w:bidi="ar"/>
        </w:rPr>
        <w:t>hazardních her.</w:t>
      </w:r>
    </w:p>
    <w:p w14:paraId="323A88DD" w14:textId="754C0B06" w:rsidR="00844ACA" w:rsidRPr="007B42AF" w:rsidRDefault="00844ACA"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Sjednocení </w:t>
      </w:r>
      <w:r w:rsidR="009E6E65" w:rsidRPr="007B42AF">
        <w:rPr>
          <w:rFonts w:ascii="Arial" w:hAnsi="Arial" w:cs="Arial"/>
          <w:sz w:val="24"/>
          <w:szCs w:val="24"/>
          <w:lang w:eastAsia="zh-CN" w:bidi="ar"/>
        </w:rPr>
        <w:t xml:space="preserve">a podrobnější úprava </w:t>
      </w:r>
      <w:r w:rsidRPr="007B42AF">
        <w:rPr>
          <w:rFonts w:ascii="Arial" w:hAnsi="Arial" w:cs="Arial"/>
          <w:sz w:val="24"/>
          <w:szCs w:val="24"/>
          <w:lang w:eastAsia="zh-CN" w:bidi="ar"/>
        </w:rPr>
        <w:t xml:space="preserve">nastavení </w:t>
      </w:r>
      <w:r w:rsidRPr="007B42AF">
        <w:rPr>
          <w:rFonts w:ascii="Arial" w:hAnsi="Arial" w:cs="Arial"/>
          <w:b/>
          <w:sz w:val="24"/>
          <w:szCs w:val="24"/>
          <w:lang w:eastAsia="zh-CN" w:bidi="ar"/>
        </w:rPr>
        <w:t>sebeomezujících opatření</w:t>
      </w:r>
      <w:r w:rsidR="00E74257" w:rsidRPr="007B42AF">
        <w:rPr>
          <w:rFonts w:ascii="Arial" w:hAnsi="Arial" w:cs="Arial"/>
          <w:b/>
          <w:sz w:val="24"/>
          <w:szCs w:val="24"/>
          <w:lang w:eastAsia="zh-CN" w:bidi="ar"/>
        </w:rPr>
        <w:t xml:space="preserve"> </w:t>
      </w:r>
      <w:r w:rsidR="005F600D">
        <w:rPr>
          <w:rFonts w:ascii="Arial" w:hAnsi="Arial" w:cs="Arial"/>
          <w:sz w:val="24"/>
          <w:szCs w:val="24"/>
          <w:lang w:eastAsia="zh-CN" w:bidi="ar"/>
        </w:rPr>
        <w:t>a </w:t>
      </w:r>
      <w:r w:rsidR="00E74257" w:rsidRPr="007B42AF">
        <w:rPr>
          <w:rFonts w:ascii="Arial" w:hAnsi="Arial" w:cs="Arial"/>
          <w:sz w:val="24"/>
          <w:szCs w:val="24"/>
          <w:lang w:eastAsia="zh-CN" w:bidi="ar"/>
        </w:rPr>
        <w:t xml:space="preserve">potenciální úpravy </w:t>
      </w:r>
      <w:r w:rsidR="00E74257" w:rsidRPr="005F600D">
        <w:rPr>
          <w:rFonts w:ascii="Arial" w:hAnsi="Arial" w:cs="Arial"/>
          <w:b/>
          <w:sz w:val="24"/>
          <w:szCs w:val="24"/>
          <w:lang w:eastAsia="zh-CN" w:bidi="ar"/>
        </w:rPr>
        <w:t>regulace reklamy a informační povinnosti</w:t>
      </w:r>
      <w:r w:rsidR="009E6E65" w:rsidRPr="007B42AF">
        <w:rPr>
          <w:rFonts w:ascii="Arial" w:hAnsi="Arial" w:cs="Arial"/>
          <w:b/>
          <w:sz w:val="24"/>
          <w:szCs w:val="24"/>
          <w:lang w:eastAsia="zh-CN" w:bidi="ar"/>
        </w:rPr>
        <w:t>.</w:t>
      </w:r>
    </w:p>
    <w:p w14:paraId="52792207" w14:textId="2E9C2418" w:rsidR="005E7782" w:rsidRPr="007B42AF" w:rsidRDefault="005E7782"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Snížení motivace zřizovat</w:t>
      </w:r>
      <w:r w:rsidRPr="007B42AF">
        <w:rPr>
          <w:rFonts w:ascii="Arial" w:hAnsi="Arial" w:cs="Arial"/>
          <w:b/>
          <w:sz w:val="24"/>
          <w:szCs w:val="24"/>
          <w:lang w:eastAsia="zh-CN" w:bidi="ar"/>
        </w:rPr>
        <w:t xml:space="preserve"> pseudokasina </w:t>
      </w:r>
      <w:r w:rsidRPr="007B42AF">
        <w:rPr>
          <w:rFonts w:ascii="Arial" w:hAnsi="Arial" w:cs="Arial"/>
          <w:sz w:val="24"/>
          <w:szCs w:val="24"/>
          <w:lang w:eastAsia="zh-CN" w:bidi="ar"/>
        </w:rPr>
        <w:t>pomocí odstranění striktnějších omezení kladených na herny</w:t>
      </w:r>
      <w:r w:rsidR="005F600D">
        <w:rPr>
          <w:rFonts w:ascii="Arial" w:hAnsi="Arial" w:cs="Arial"/>
          <w:sz w:val="24"/>
          <w:szCs w:val="24"/>
          <w:lang w:eastAsia="zh-CN" w:bidi="ar"/>
        </w:rPr>
        <w:t>.</w:t>
      </w:r>
    </w:p>
    <w:p w14:paraId="5794DE5E" w14:textId="77777777" w:rsidR="003325C1" w:rsidRPr="007B42AF" w:rsidRDefault="00F108D7"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Parametrické úpravy </w:t>
      </w:r>
      <w:r w:rsidR="00EC5FDC" w:rsidRPr="007B42AF">
        <w:rPr>
          <w:rFonts w:ascii="Arial" w:hAnsi="Arial" w:cs="Arial"/>
          <w:sz w:val="24"/>
          <w:szCs w:val="24"/>
          <w:lang w:eastAsia="zh-CN" w:bidi="ar"/>
        </w:rPr>
        <w:t xml:space="preserve">v oblasti </w:t>
      </w:r>
      <w:r w:rsidRPr="007B42AF">
        <w:rPr>
          <w:rFonts w:ascii="Arial" w:hAnsi="Arial" w:cs="Arial"/>
          <w:b/>
          <w:sz w:val="24"/>
          <w:szCs w:val="24"/>
          <w:lang w:eastAsia="zh-CN" w:bidi="ar"/>
        </w:rPr>
        <w:t>odborného posuzování a osvědčování</w:t>
      </w:r>
      <w:r w:rsidRPr="007B42AF">
        <w:rPr>
          <w:rFonts w:ascii="Arial" w:hAnsi="Arial" w:cs="Arial"/>
          <w:sz w:val="24"/>
          <w:szCs w:val="24"/>
          <w:lang w:eastAsia="zh-CN" w:bidi="ar"/>
        </w:rPr>
        <w:t xml:space="preserve"> </w:t>
      </w:r>
      <w:r w:rsidR="008271B6" w:rsidRPr="007B42AF">
        <w:rPr>
          <w:rFonts w:ascii="Arial" w:hAnsi="Arial" w:cs="Arial"/>
          <w:sz w:val="24"/>
          <w:szCs w:val="24"/>
          <w:lang w:eastAsia="zh-CN" w:bidi="ar"/>
        </w:rPr>
        <w:t xml:space="preserve">směřující zejména ke snížení administrativní zátěže u dotčených subjektů </w:t>
      </w:r>
      <w:r w:rsidRPr="007B42AF">
        <w:rPr>
          <w:rFonts w:ascii="Arial" w:hAnsi="Arial" w:cs="Arial"/>
          <w:sz w:val="24"/>
          <w:szCs w:val="24"/>
          <w:lang w:eastAsia="zh-CN" w:bidi="ar"/>
        </w:rPr>
        <w:t>(např.</w:t>
      </w:r>
      <w:r w:rsidR="004A7E28" w:rsidRPr="007B42AF">
        <w:rPr>
          <w:rFonts w:ascii="Arial" w:hAnsi="Arial" w:cs="Arial"/>
          <w:sz w:val="24"/>
          <w:szCs w:val="24"/>
          <w:lang w:eastAsia="zh-CN" w:bidi="ar"/>
        </w:rPr>
        <w:t xml:space="preserve"> úprava </w:t>
      </w:r>
      <w:r w:rsidR="00C155F6" w:rsidRPr="007B42AF">
        <w:rPr>
          <w:rFonts w:ascii="Arial" w:hAnsi="Arial" w:cs="Arial"/>
          <w:sz w:val="24"/>
          <w:szCs w:val="24"/>
          <w:lang w:eastAsia="zh-CN" w:bidi="ar"/>
        </w:rPr>
        <w:t xml:space="preserve">odborného </w:t>
      </w:r>
      <w:r w:rsidR="004A7E28" w:rsidRPr="007B42AF">
        <w:rPr>
          <w:rFonts w:ascii="Arial" w:hAnsi="Arial" w:cs="Arial"/>
          <w:sz w:val="24"/>
          <w:szCs w:val="24"/>
          <w:lang w:eastAsia="zh-CN" w:bidi="ar"/>
        </w:rPr>
        <w:t>posouzení a jeho formy a obsahu,</w:t>
      </w:r>
      <w:r w:rsidRPr="007B42AF">
        <w:rPr>
          <w:rFonts w:ascii="Arial" w:hAnsi="Arial" w:cs="Arial"/>
          <w:sz w:val="24"/>
          <w:szCs w:val="24"/>
          <w:lang w:eastAsia="zh-CN" w:bidi="ar"/>
        </w:rPr>
        <w:t xml:space="preserve"> sjednocení délky platnosti </w:t>
      </w:r>
      <w:r w:rsidR="004A7E28" w:rsidRPr="007B42AF">
        <w:rPr>
          <w:rFonts w:ascii="Arial" w:hAnsi="Arial" w:cs="Arial"/>
          <w:sz w:val="24"/>
          <w:szCs w:val="24"/>
          <w:lang w:eastAsia="zh-CN" w:bidi="ar"/>
        </w:rPr>
        <w:t xml:space="preserve">výstupních </w:t>
      </w:r>
      <w:r w:rsidR="00EC5FDC" w:rsidRPr="007B42AF">
        <w:rPr>
          <w:rFonts w:ascii="Arial" w:hAnsi="Arial" w:cs="Arial"/>
          <w:sz w:val="24"/>
          <w:szCs w:val="24"/>
          <w:lang w:eastAsia="zh-CN" w:bidi="ar"/>
        </w:rPr>
        <w:t>dokumentů, nebo úprava akreditace)</w:t>
      </w:r>
      <w:r w:rsidR="00C155F6" w:rsidRPr="007B42AF">
        <w:rPr>
          <w:rFonts w:ascii="Arial" w:hAnsi="Arial" w:cs="Arial"/>
          <w:sz w:val="24"/>
          <w:szCs w:val="24"/>
          <w:lang w:eastAsia="zh-CN" w:bidi="ar"/>
        </w:rPr>
        <w:t>.</w:t>
      </w:r>
    </w:p>
    <w:p w14:paraId="38379A26" w14:textId="0DDB52DF" w:rsidR="00891E80" w:rsidRPr="007B42AF" w:rsidRDefault="00891E80"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Dílčí úpravy týkající se </w:t>
      </w:r>
      <w:r w:rsidRPr="007B42AF">
        <w:rPr>
          <w:rFonts w:ascii="Arial" w:hAnsi="Arial" w:cs="Arial"/>
          <w:b/>
          <w:sz w:val="24"/>
          <w:szCs w:val="24"/>
          <w:lang w:eastAsia="zh-CN" w:bidi="ar"/>
        </w:rPr>
        <w:t>sázek, výher</w:t>
      </w:r>
      <w:r w:rsidRPr="007B42AF">
        <w:rPr>
          <w:rFonts w:ascii="Arial" w:hAnsi="Arial" w:cs="Arial"/>
          <w:sz w:val="24"/>
          <w:szCs w:val="24"/>
          <w:lang w:eastAsia="zh-CN" w:bidi="ar"/>
        </w:rPr>
        <w:t xml:space="preserve"> a jejich výplat</w:t>
      </w:r>
      <w:r w:rsidR="005F600D">
        <w:rPr>
          <w:rFonts w:ascii="Arial" w:hAnsi="Arial" w:cs="Arial"/>
          <w:sz w:val="24"/>
          <w:szCs w:val="24"/>
          <w:lang w:eastAsia="zh-CN" w:bidi="ar"/>
        </w:rPr>
        <w:t>.</w:t>
      </w:r>
    </w:p>
    <w:p w14:paraId="45E6EB3F" w14:textId="1BF55020" w:rsidR="00891E80" w:rsidRPr="007B42AF" w:rsidRDefault="00891E80"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Potenciální úpravy týkající se </w:t>
      </w:r>
      <w:r w:rsidR="005F600D">
        <w:rPr>
          <w:rFonts w:ascii="Arial" w:hAnsi="Arial" w:cs="Arial"/>
          <w:b/>
          <w:sz w:val="24"/>
          <w:szCs w:val="24"/>
          <w:lang w:eastAsia="zh-CN" w:bidi="ar"/>
        </w:rPr>
        <w:t>registrace</w:t>
      </w:r>
      <w:r w:rsidRPr="007B42AF">
        <w:rPr>
          <w:rFonts w:ascii="Arial" w:hAnsi="Arial" w:cs="Arial"/>
          <w:b/>
          <w:sz w:val="24"/>
          <w:szCs w:val="24"/>
          <w:lang w:eastAsia="zh-CN" w:bidi="ar"/>
        </w:rPr>
        <w:t xml:space="preserve"> a uživatelského konta</w:t>
      </w:r>
      <w:r w:rsidR="005F600D">
        <w:rPr>
          <w:rFonts w:ascii="Arial" w:hAnsi="Arial" w:cs="Arial"/>
          <w:b/>
          <w:sz w:val="24"/>
          <w:szCs w:val="24"/>
          <w:lang w:eastAsia="zh-CN" w:bidi="ar"/>
        </w:rPr>
        <w:t>.</w:t>
      </w:r>
    </w:p>
    <w:p w14:paraId="46DBA18F" w14:textId="2B1D6D45" w:rsidR="00891E80" w:rsidRPr="007B42AF" w:rsidRDefault="00891E80"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Revize skutkových podstat </w:t>
      </w:r>
      <w:r w:rsidRPr="007B42AF">
        <w:rPr>
          <w:rFonts w:ascii="Arial" w:hAnsi="Arial" w:cs="Arial"/>
          <w:b/>
          <w:sz w:val="24"/>
          <w:szCs w:val="24"/>
          <w:lang w:eastAsia="zh-CN" w:bidi="ar"/>
        </w:rPr>
        <w:t>přestupků</w:t>
      </w:r>
      <w:r w:rsidRPr="007B42AF">
        <w:rPr>
          <w:rFonts w:ascii="Arial" w:hAnsi="Arial" w:cs="Arial"/>
          <w:sz w:val="24"/>
          <w:szCs w:val="24"/>
          <w:lang w:eastAsia="zh-CN" w:bidi="ar"/>
        </w:rPr>
        <w:t xml:space="preserve"> a jejich </w:t>
      </w:r>
      <w:r w:rsidRPr="007B42AF">
        <w:rPr>
          <w:rFonts w:ascii="Arial" w:hAnsi="Arial" w:cs="Arial"/>
          <w:b/>
          <w:sz w:val="24"/>
          <w:szCs w:val="24"/>
          <w:lang w:eastAsia="zh-CN" w:bidi="ar"/>
        </w:rPr>
        <w:t>sankcí</w:t>
      </w:r>
      <w:r w:rsidR="005F600D">
        <w:rPr>
          <w:rFonts w:ascii="Arial" w:hAnsi="Arial" w:cs="Arial"/>
          <w:sz w:val="24"/>
          <w:szCs w:val="24"/>
          <w:lang w:eastAsia="zh-CN" w:bidi="ar"/>
        </w:rPr>
        <w:t xml:space="preserve"> (proporcionalita) i s </w:t>
      </w:r>
      <w:r w:rsidRPr="007B42AF">
        <w:rPr>
          <w:rFonts w:ascii="Arial" w:hAnsi="Arial" w:cs="Arial"/>
          <w:sz w:val="24"/>
          <w:szCs w:val="24"/>
          <w:lang w:eastAsia="zh-CN" w:bidi="ar"/>
        </w:rPr>
        <w:t>př</w:t>
      </w:r>
      <w:r w:rsidR="005F600D">
        <w:rPr>
          <w:rFonts w:ascii="Arial" w:hAnsi="Arial" w:cs="Arial"/>
          <w:sz w:val="24"/>
          <w:szCs w:val="24"/>
          <w:lang w:eastAsia="zh-CN" w:bidi="ar"/>
        </w:rPr>
        <w:t>esahem do trestněprávní roviny.</w:t>
      </w:r>
    </w:p>
    <w:p w14:paraId="27D92C0E" w14:textId="77777777" w:rsidR="007B42AF" w:rsidRPr="007B42AF" w:rsidRDefault="007B42AF" w:rsidP="005F600D">
      <w:pPr>
        <w:pStyle w:val="Odstavecseseznamem"/>
        <w:numPr>
          <w:ilvl w:val="0"/>
          <w:numId w:val="25"/>
        </w:numPr>
        <w:jc w:val="both"/>
        <w:rPr>
          <w:rFonts w:ascii="Arial" w:hAnsi="Arial" w:cs="Arial"/>
          <w:sz w:val="24"/>
          <w:szCs w:val="24"/>
          <w:lang w:eastAsia="zh-CN" w:bidi="ar"/>
        </w:rPr>
      </w:pPr>
      <w:r w:rsidRPr="007B42AF">
        <w:rPr>
          <w:rFonts w:ascii="Arial" w:hAnsi="Arial" w:cs="Arial"/>
          <w:sz w:val="24"/>
          <w:szCs w:val="24"/>
          <w:lang w:eastAsia="zh-CN" w:bidi="ar"/>
        </w:rPr>
        <w:t xml:space="preserve">Úpravy v oblasti </w:t>
      </w:r>
      <w:r w:rsidRPr="007B42AF">
        <w:rPr>
          <w:rFonts w:ascii="Arial" w:hAnsi="Arial" w:cs="Arial"/>
          <w:b/>
          <w:sz w:val="24"/>
          <w:szCs w:val="24"/>
          <w:lang w:eastAsia="zh-CN" w:bidi="ar"/>
        </w:rPr>
        <w:t>daně z hazardních her</w:t>
      </w:r>
      <w:r w:rsidRPr="007B42AF">
        <w:rPr>
          <w:rFonts w:ascii="Arial" w:hAnsi="Arial" w:cs="Arial"/>
          <w:sz w:val="24"/>
          <w:szCs w:val="24"/>
          <w:lang w:eastAsia="zh-CN" w:bidi="ar"/>
        </w:rPr>
        <w:t xml:space="preserve"> </w:t>
      </w:r>
    </w:p>
    <w:p w14:paraId="517BCA0F" w14:textId="1CEAA667" w:rsidR="007B42AF" w:rsidRPr="007B42AF" w:rsidRDefault="007B42AF" w:rsidP="005F600D">
      <w:pPr>
        <w:pStyle w:val="Odstavecseseznamem"/>
        <w:numPr>
          <w:ilvl w:val="1"/>
          <w:numId w:val="25"/>
        </w:numPr>
        <w:jc w:val="both"/>
        <w:rPr>
          <w:rFonts w:ascii="Arial" w:hAnsi="Arial" w:cs="Arial"/>
          <w:sz w:val="24"/>
          <w:szCs w:val="24"/>
          <w:lang w:eastAsia="zh-CN" w:bidi="ar"/>
        </w:rPr>
      </w:pPr>
      <w:r w:rsidRPr="007B42AF">
        <w:rPr>
          <w:rFonts w:ascii="Arial" w:hAnsi="Arial" w:cs="Arial"/>
          <w:sz w:val="24"/>
          <w:szCs w:val="24"/>
          <w:lang w:eastAsia="zh-CN" w:bidi="ar"/>
        </w:rPr>
        <w:t>Dle míry rizikovosti potenciálně odlišná výše zdanění provozování hazardních her dle způsobu jejich provozování - internet x land</w:t>
      </w:r>
      <w:r w:rsidR="005F600D">
        <w:rPr>
          <w:rFonts w:ascii="Arial" w:hAnsi="Arial" w:cs="Arial"/>
          <w:sz w:val="24"/>
          <w:szCs w:val="24"/>
          <w:lang w:eastAsia="zh-CN" w:bidi="ar"/>
        </w:rPr>
        <w:t>-</w:t>
      </w:r>
      <w:r w:rsidRPr="007B42AF">
        <w:rPr>
          <w:rFonts w:ascii="Arial" w:hAnsi="Arial" w:cs="Arial"/>
          <w:sz w:val="24"/>
          <w:szCs w:val="24"/>
          <w:lang w:eastAsia="zh-CN" w:bidi="ar"/>
        </w:rPr>
        <w:t xml:space="preserve">based  </w:t>
      </w:r>
    </w:p>
    <w:p w14:paraId="15038B67" w14:textId="77777777" w:rsidR="007B42AF" w:rsidRPr="007B42AF" w:rsidRDefault="007B42AF" w:rsidP="005F600D">
      <w:pPr>
        <w:pStyle w:val="Odstavecseseznamem"/>
        <w:numPr>
          <w:ilvl w:val="1"/>
          <w:numId w:val="25"/>
        </w:numPr>
        <w:jc w:val="both"/>
        <w:rPr>
          <w:rFonts w:ascii="Arial" w:hAnsi="Arial" w:cs="Arial"/>
          <w:sz w:val="24"/>
          <w:szCs w:val="24"/>
          <w:lang w:eastAsia="zh-CN" w:bidi="ar"/>
        </w:rPr>
      </w:pPr>
      <w:r w:rsidRPr="007B42AF">
        <w:rPr>
          <w:rFonts w:ascii="Arial" w:hAnsi="Arial" w:cs="Arial"/>
          <w:sz w:val="24"/>
          <w:szCs w:val="24"/>
          <w:lang w:eastAsia="zh-CN" w:bidi="ar"/>
        </w:rPr>
        <w:t>Koncept minimální dílčí daně z technických her</w:t>
      </w:r>
    </w:p>
    <w:p w14:paraId="44079BC0" w14:textId="77777777" w:rsidR="007B42AF" w:rsidRPr="007B42AF" w:rsidRDefault="007B42AF" w:rsidP="005F600D">
      <w:pPr>
        <w:pStyle w:val="Odstavecseseznamem"/>
        <w:numPr>
          <w:ilvl w:val="1"/>
          <w:numId w:val="25"/>
        </w:numPr>
        <w:jc w:val="both"/>
        <w:rPr>
          <w:rFonts w:ascii="Arial" w:hAnsi="Arial" w:cs="Arial"/>
          <w:sz w:val="24"/>
          <w:szCs w:val="24"/>
          <w:lang w:eastAsia="zh-CN" w:bidi="ar"/>
        </w:rPr>
      </w:pPr>
      <w:r w:rsidRPr="007B42AF">
        <w:rPr>
          <w:rFonts w:ascii="Arial" w:hAnsi="Arial" w:cs="Arial"/>
          <w:sz w:val="24"/>
          <w:szCs w:val="24"/>
          <w:lang w:eastAsia="zh-CN" w:bidi="ar"/>
        </w:rPr>
        <w:t>Případná změna rozpočtového určení daně v případě technických her</w:t>
      </w:r>
    </w:p>
    <w:p w14:paraId="72D1C456" w14:textId="608E430B" w:rsidR="00891E80" w:rsidRPr="007B42AF" w:rsidRDefault="005F600D" w:rsidP="005F600D">
      <w:pPr>
        <w:pStyle w:val="Odstavecseseznamem"/>
        <w:numPr>
          <w:ilvl w:val="0"/>
          <w:numId w:val="25"/>
        </w:numPr>
        <w:jc w:val="both"/>
        <w:rPr>
          <w:rFonts w:ascii="Arial" w:hAnsi="Arial" w:cs="Arial"/>
          <w:sz w:val="24"/>
          <w:szCs w:val="24"/>
          <w:lang w:eastAsia="zh-CN" w:bidi="ar"/>
        </w:rPr>
      </w:pPr>
      <w:r>
        <w:rPr>
          <w:rFonts w:ascii="Arial" w:hAnsi="Arial" w:cs="Arial"/>
          <w:sz w:val="24"/>
          <w:szCs w:val="24"/>
          <w:lang w:eastAsia="zh-CN" w:bidi="ar"/>
        </w:rPr>
        <w:t>a další.</w:t>
      </w:r>
    </w:p>
    <w:p w14:paraId="46C8C01B" w14:textId="3F6D9894" w:rsidR="00F108D7" w:rsidRPr="00891E80" w:rsidRDefault="00891E80" w:rsidP="00891E80">
      <w:pPr>
        <w:rPr>
          <w:rFonts w:cs="Arial"/>
          <w:szCs w:val="24"/>
          <w:highlight w:val="yellow"/>
          <w:lang w:eastAsia="zh-CN" w:bidi="ar"/>
        </w:rPr>
      </w:pPr>
      <w:r w:rsidRPr="00891E80">
        <w:rPr>
          <w:rFonts w:cs="Arial"/>
          <w:szCs w:val="24"/>
          <w:lang w:eastAsia="zh-CN" w:bidi="ar"/>
        </w:rPr>
        <w:t>Některé oblasti resp. navrhované změny jsou významnějšího charakteru. Další doporučení pak reagují na techno</w:t>
      </w:r>
      <w:r w:rsidR="00DE1110">
        <w:rPr>
          <w:rFonts w:cs="Arial"/>
          <w:szCs w:val="24"/>
          <w:lang w:eastAsia="zh-CN" w:bidi="ar"/>
        </w:rPr>
        <w:t xml:space="preserve">logický pokrok a nové trendy. </w:t>
      </w:r>
      <w:r w:rsidRPr="00891E80">
        <w:rPr>
          <w:rFonts w:cs="Arial"/>
          <w:szCs w:val="24"/>
          <w:lang w:eastAsia="zh-CN" w:bidi="ar"/>
        </w:rPr>
        <w:t xml:space="preserve">Ve většině případů se </w:t>
      </w:r>
      <w:r w:rsidR="00B848B6">
        <w:rPr>
          <w:rFonts w:cs="Arial"/>
          <w:szCs w:val="24"/>
          <w:lang w:eastAsia="zh-CN" w:bidi="ar"/>
        </w:rPr>
        <w:t xml:space="preserve">však </w:t>
      </w:r>
      <w:r w:rsidRPr="00891E80">
        <w:rPr>
          <w:rFonts w:cs="Arial"/>
          <w:szCs w:val="24"/>
          <w:lang w:eastAsia="zh-CN" w:bidi="ar"/>
        </w:rPr>
        <w:t>jedná pouze o drobné úpravy týkající se sjednocení, jednoznačnějšího vymezení apod. pro zvýšení právní jistoty dotčených subjektů.</w:t>
      </w:r>
    </w:p>
    <w:p w14:paraId="48E41091" w14:textId="2B109DB3" w:rsidR="00890908" w:rsidRPr="00841017" w:rsidRDefault="00890908" w:rsidP="00890908">
      <w:r w:rsidRPr="005746B2">
        <w:rPr>
          <w:b/>
          <w:lang w:eastAsia="zh-CN" w:bidi="ar"/>
        </w:rPr>
        <w:t xml:space="preserve">Výše uvedené </w:t>
      </w:r>
      <w:r w:rsidR="009D20FB">
        <w:rPr>
          <w:b/>
          <w:lang w:eastAsia="zh-CN" w:bidi="ar"/>
        </w:rPr>
        <w:t>oblasti</w:t>
      </w:r>
      <w:r w:rsidR="005E7782">
        <w:rPr>
          <w:b/>
          <w:lang w:eastAsia="zh-CN" w:bidi="ar"/>
        </w:rPr>
        <w:t>,</w:t>
      </w:r>
      <w:r w:rsidR="009D20FB">
        <w:rPr>
          <w:b/>
          <w:lang w:eastAsia="zh-CN" w:bidi="ar"/>
        </w:rPr>
        <w:t xml:space="preserve"> resp. </w:t>
      </w:r>
      <w:r w:rsidRPr="005746B2">
        <w:rPr>
          <w:b/>
          <w:lang w:eastAsia="zh-CN" w:bidi="ar"/>
        </w:rPr>
        <w:t>návrhy závěrů</w:t>
      </w:r>
      <w:r w:rsidR="005E7782">
        <w:rPr>
          <w:b/>
          <w:lang w:eastAsia="zh-CN" w:bidi="ar"/>
        </w:rPr>
        <w:t>, možných řešení</w:t>
      </w:r>
      <w:r w:rsidRPr="005746B2">
        <w:rPr>
          <w:b/>
          <w:lang w:eastAsia="zh-CN" w:bidi="ar"/>
        </w:rPr>
        <w:t xml:space="preserve"> </w:t>
      </w:r>
      <w:r w:rsidR="005E7782">
        <w:rPr>
          <w:b/>
          <w:lang w:eastAsia="zh-CN" w:bidi="ar"/>
        </w:rPr>
        <w:t>či</w:t>
      </w:r>
      <w:r w:rsidRPr="005746B2">
        <w:rPr>
          <w:b/>
          <w:lang w:eastAsia="zh-CN" w:bidi="ar"/>
        </w:rPr>
        <w:t xml:space="preserve"> doporučení</w:t>
      </w:r>
      <w:r w:rsidRPr="00372887">
        <w:rPr>
          <w:lang w:eastAsia="zh-CN" w:bidi="ar"/>
        </w:rPr>
        <w:t xml:space="preserve"> včetně těch, které mohou</w:t>
      </w:r>
      <w:r>
        <w:rPr>
          <w:lang w:eastAsia="zh-CN" w:bidi="ar"/>
        </w:rPr>
        <w:t xml:space="preserve"> směřovat k potenciální úpravě z</w:t>
      </w:r>
      <w:r w:rsidR="00AB613E">
        <w:rPr>
          <w:lang w:eastAsia="zh-CN" w:bidi="ar"/>
        </w:rPr>
        <w:t>ákona  o  hazardních hrách,</w:t>
      </w:r>
      <w:r w:rsidRPr="00372887">
        <w:rPr>
          <w:lang w:eastAsia="zh-CN" w:bidi="ar"/>
        </w:rPr>
        <w:t xml:space="preserve"> jeho prováděcích předpisů nebo souvisejících zákonů</w:t>
      </w:r>
      <w:r>
        <w:rPr>
          <w:lang w:eastAsia="zh-CN" w:bidi="ar"/>
        </w:rPr>
        <w:t xml:space="preserve"> postavené na výsledcích analýz </w:t>
      </w:r>
      <w:r w:rsidRPr="005746B2">
        <w:rPr>
          <w:b/>
          <w:lang w:eastAsia="zh-CN" w:bidi="ar"/>
        </w:rPr>
        <w:t>nejsou v čase statické</w:t>
      </w:r>
      <w:r>
        <w:rPr>
          <w:lang w:eastAsia="zh-CN" w:bidi="ar"/>
        </w:rPr>
        <w:t>. Jejich závěry, indikátory i případná doporučení vychází z  informací a dat dostupných v době zpracování</w:t>
      </w:r>
      <w:r w:rsidR="00AB613E">
        <w:rPr>
          <w:lang w:eastAsia="zh-CN" w:bidi="ar"/>
        </w:rPr>
        <w:t xml:space="preserve"> této Analýzy</w:t>
      </w:r>
      <w:r w:rsidR="00DE1110">
        <w:rPr>
          <w:lang w:eastAsia="zh-CN" w:bidi="ar"/>
        </w:rPr>
        <w:t xml:space="preserve"> </w:t>
      </w:r>
      <w:r w:rsidR="00DE1110">
        <w:rPr>
          <w:lang w:eastAsia="zh-CN" w:bidi="ar"/>
        </w:rPr>
        <w:lastRenderedPageBreak/>
        <w:t>a </w:t>
      </w:r>
      <w:r>
        <w:rPr>
          <w:lang w:eastAsia="zh-CN" w:bidi="ar"/>
        </w:rPr>
        <w:t>nelze tak vyloučit jejich potenciální změny v návaznosti na nová data či další faktory.</w:t>
      </w:r>
      <w:r w:rsidRPr="000A13CF">
        <w:t xml:space="preserve"> </w:t>
      </w:r>
      <w:r>
        <w:t>Stejně tak může v budoucnu dojít k </w:t>
      </w:r>
      <w:r w:rsidRPr="005746B2">
        <w:rPr>
          <w:b/>
        </w:rPr>
        <w:t>preferenci jiných variant řešení.</w:t>
      </w:r>
    </w:p>
    <w:p w14:paraId="457E5396" w14:textId="77777777" w:rsidR="00EA19C2" w:rsidRDefault="00EA19C2">
      <w:pPr>
        <w:spacing w:line="259" w:lineRule="auto"/>
        <w:jc w:val="left"/>
        <w:rPr>
          <w:rFonts w:eastAsiaTheme="majorEastAsia" w:cstheme="majorBidi"/>
          <w:b/>
          <w:sz w:val="36"/>
          <w:szCs w:val="26"/>
        </w:rPr>
      </w:pPr>
      <w:r>
        <w:br w:type="page"/>
      </w:r>
    </w:p>
    <w:p w14:paraId="0CE0397C" w14:textId="55A56772" w:rsidR="00D66905" w:rsidRPr="006D7A73" w:rsidRDefault="00D66905" w:rsidP="00D66905">
      <w:pPr>
        <w:pStyle w:val="Nadpis2"/>
        <w:ind w:left="578" w:hanging="578"/>
      </w:pPr>
      <w:bookmarkStart w:id="158" w:name="_Toc73613639"/>
      <w:r w:rsidRPr="006D7A73">
        <w:lastRenderedPageBreak/>
        <w:t>Zdroje</w:t>
      </w:r>
      <w:bookmarkEnd w:id="158"/>
    </w:p>
    <w:p w14:paraId="487DA1C6" w14:textId="77777777" w:rsidR="00D66905" w:rsidRPr="00133920" w:rsidRDefault="00D66905" w:rsidP="00D66905">
      <w:pPr>
        <w:pStyle w:val="Nadpis3"/>
      </w:pPr>
      <w:bookmarkStart w:id="159" w:name="_Toc73613640"/>
      <w:r w:rsidRPr="00133920">
        <w:t>Odborná literatura</w:t>
      </w:r>
      <w:bookmarkEnd w:id="159"/>
    </w:p>
    <w:p w14:paraId="76073446" w14:textId="77777777" w:rsidR="0070624F" w:rsidRPr="0070624F" w:rsidRDefault="0070624F" w:rsidP="0070624F">
      <w:pPr>
        <w:pStyle w:val="Odstavecseseznamem"/>
        <w:numPr>
          <w:ilvl w:val="0"/>
          <w:numId w:val="22"/>
        </w:numPr>
        <w:ind w:left="714" w:hanging="357"/>
        <w:jc w:val="both"/>
        <w:rPr>
          <w:rFonts w:ascii="Arial" w:hAnsi="Arial" w:cs="Arial"/>
          <w:sz w:val="24"/>
          <w:szCs w:val="24"/>
        </w:rPr>
      </w:pPr>
      <w:r w:rsidRPr="0070624F">
        <w:rPr>
          <w:rFonts w:ascii="Arial" w:hAnsi="Arial" w:cs="Arial"/>
          <w:sz w:val="24"/>
          <w:szCs w:val="24"/>
        </w:rPr>
        <w:t>BOHÁČ, Radim a Hana KRASULOVÁ. Zákon o dani z hazardních her. Komentář. Praha: Wolters Kluwer, 2017. ISBN 978-80-7552-481-2.</w:t>
      </w:r>
    </w:p>
    <w:p w14:paraId="1F2F2772" w14:textId="4FC195AE" w:rsidR="00F168DD" w:rsidRPr="00F168DD" w:rsidRDefault="00F168DD" w:rsidP="00F168DD">
      <w:pPr>
        <w:pStyle w:val="Odstavecseseznamem"/>
        <w:numPr>
          <w:ilvl w:val="0"/>
          <w:numId w:val="22"/>
        </w:numPr>
        <w:ind w:left="714" w:hanging="357"/>
        <w:jc w:val="both"/>
        <w:rPr>
          <w:rFonts w:ascii="Arial" w:hAnsi="Arial" w:cs="Arial"/>
          <w:sz w:val="24"/>
          <w:szCs w:val="24"/>
        </w:rPr>
      </w:pPr>
      <w:r w:rsidRPr="00F168DD">
        <w:rPr>
          <w:rFonts w:ascii="Arial" w:hAnsi="Arial" w:cs="Arial"/>
          <w:sz w:val="24"/>
          <w:szCs w:val="24"/>
        </w:rPr>
        <w:t>CLEMENT, Jesper. Testing the Effectiveness of Online Legal Warnings with the Help of Eye-tracking Experiments. 2020.</w:t>
      </w:r>
    </w:p>
    <w:p w14:paraId="4652E978" w14:textId="77777777" w:rsidR="00DD20D6" w:rsidRPr="00DD20D6" w:rsidRDefault="00DD20D6" w:rsidP="00DD20D6">
      <w:pPr>
        <w:pStyle w:val="Odstavecseseznamem"/>
        <w:numPr>
          <w:ilvl w:val="0"/>
          <w:numId w:val="22"/>
        </w:numPr>
        <w:ind w:left="714" w:hanging="357"/>
        <w:jc w:val="both"/>
        <w:rPr>
          <w:rFonts w:ascii="Arial" w:hAnsi="Arial" w:cs="Arial"/>
          <w:sz w:val="24"/>
          <w:szCs w:val="24"/>
        </w:rPr>
      </w:pPr>
      <w:r w:rsidRPr="00DD20D6">
        <w:rPr>
          <w:rFonts w:ascii="Arial" w:hAnsi="Arial" w:cs="Arial"/>
          <w:sz w:val="24"/>
          <w:szCs w:val="24"/>
        </w:rPr>
        <w:t>Důvodová zpráva k zákonu o hazardních hrách o zmene a doplneni niektorých zákonov.</w:t>
      </w:r>
    </w:p>
    <w:p w14:paraId="7CA01D42" w14:textId="6161A03B" w:rsidR="008C2617" w:rsidRDefault="008C2617" w:rsidP="008C2617">
      <w:pPr>
        <w:pStyle w:val="Odstavecseseznamem"/>
        <w:numPr>
          <w:ilvl w:val="0"/>
          <w:numId w:val="22"/>
        </w:numPr>
        <w:ind w:left="714" w:hanging="357"/>
        <w:jc w:val="both"/>
        <w:rPr>
          <w:rFonts w:ascii="Arial" w:hAnsi="Arial" w:cs="Arial"/>
          <w:sz w:val="24"/>
          <w:szCs w:val="24"/>
        </w:rPr>
      </w:pPr>
      <w:r w:rsidRPr="008C2617">
        <w:rPr>
          <w:rFonts w:ascii="Arial" w:hAnsi="Arial" w:cs="Arial"/>
          <w:sz w:val="24"/>
          <w:szCs w:val="24"/>
        </w:rPr>
        <w:t>FIEDOR, David. Hazard v České republice. Praha: Sociologické nakladatelství (SLON), 2020. ISBN 978-80-7419-303-3.</w:t>
      </w:r>
    </w:p>
    <w:p w14:paraId="794CD012" w14:textId="65C6A618" w:rsidR="00DB169D" w:rsidRPr="008C2617" w:rsidRDefault="00DB169D" w:rsidP="00DB169D">
      <w:pPr>
        <w:pStyle w:val="Odstavecseseznamem"/>
        <w:numPr>
          <w:ilvl w:val="0"/>
          <w:numId w:val="22"/>
        </w:numPr>
        <w:jc w:val="both"/>
        <w:rPr>
          <w:rFonts w:ascii="Arial" w:hAnsi="Arial" w:cs="Arial"/>
          <w:sz w:val="24"/>
          <w:szCs w:val="24"/>
        </w:rPr>
      </w:pPr>
      <w:r w:rsidRPr="00DB169D">
        <w:rPr>
          <w:rFonts w:ascii="Arial" w:hAnsi="Arial" w:cs="Arial"/>
          <w:sz w:val="24"/>
          <w:szCs w:val="24"/>
        </w:rPr>
        <w:t>GRIFFITHS, Mark a Richard WOOD. The psychology of lottery gambling. International Gambling Studies. 2001, 1(1), 27-45. DOI 10.1080/14459800108732286. ISSN 1479-4276</w:t>
      </w:r>
    </w:p>
    <w:p w14:paraId="2D96EA24" w14:textId="77777777" w:rsidR="00F74683" w:rsidRPr="00F74683" w:rsidRDefault="00F74683" w:rsidP="00AD4443">
      <w:pPr>
        <w:pStyle w:val="Odstavecseseznamem"/>
        <w:numPr>
          <w:ilvl w:val="0"/>
          <w:numId w:val="22"/>
        </w:numPr>
        <w:ind w:left="714" w:hanging="357"/>
        <w:jc w:val="both"/>
        <w:rPr>
          <w:rFonts w:ascii="Arial" w:hAnsi="Arial" w:cs="Arial"/>
          <w:sz w:val="24"/>
          <w:szCs w:val="24"/>
        </w:rPr>
      </w:pPr>
      <w:r w:rsidRPr="00F74683">
        <w:rPr>
          <w:rFonts w:ascii="Arial" w:hAnsi="Arial" w:cs="Arial"/>
          <w:sz w:val="24"/>
          <w:szCs w:val="24"/>
        </w:rPr>
        <w:t>ŠÁMAL, Pavel a KOL. Trestní zákoník: komentář. 2. vyd. V Praze: C.H. Beck, 2012. Velké komentáře. ISBN 978-80-7400-428-5.</w:t>
      </w:r>
    </w:p>
    <w:p w14:paraId="51938A88" w14:textId="376EB808" w:rsidR="00AD4443" w:rsidRDefault="00AD4443" w:rsidP="00AD4443">
      <w:pPr>
        <w:pStyle w:val="Odstavecseseznamem"/>
        <w:numPr>
          <w:ilvl w:val="0"/>
          <w:numId w:val="22"/>
        </w:numPr>
        <w:ind w:left="714" w:hanging="357"/>
        <w:jc w:val="both"/>
        <w:rPr>
          <w:rFonts w:ascii="Arial" w:hAnsi="Arial" w:cs="Arial"/>
          <w:sz w:val="24"/>
          <w:szCs w:val="24"/>
        </w:rPr>
      </w:pPr>
      <w:r w:rsidRPr="00AD4443">
        <w:rPr>
          <w:rFonts w:ascii="Arial" w:hAnsi="Arial" w:cs="Arial"/>
          <w:sz w:val="24"/>
          <w:szCs w:val="24"/>
        </w:rPr>
        <w:t>HENDRYCH, Dušan a kol. Hazard v České republice. 7.</w:t>
      </w:r>
      <w:r w:rsidR="001756F9">
        <w:rPr>
          <w:rFonts w:ascii="Arial" w:hAnsi="Arial" w:cs="Arial"/>
          <w:sz w:val="24"/>
          <w:szCs w:val="24"/>
        </w:rPr>
        <w:t xml:space="preserve"> vydání.</w:t>
      </w:r>
      <w:r w:rsidRPr="00AD4443">
        <w:rPr>
          <w:rFonts w:ascii="Arial" w:hAnsi="Arial" w:cs="Arial"/>
          <w:sz w:val="24"/>
          <w:szCs w:val="24"/>
        </w:rPr>
        <w:t xml:space="preserve"> Praha: C. H. Beck, 2009. ISBN 978-80-7400-624-1.</w:t>
      </w:r>
    </w:p>
    <w:p w14:paraId="5BCA8178" w14:textId="77777777" w:rsidR="00162AE4" w:rsidRPr="00162AE4" w:rsidRDefault="00162AE4" w:rsidP="00162AE4">
      <w:pPr>
        <w:pStyle w:val="Odstavecseseznamem"/>
        <w:numPr>
          <w:ilvl w:val="0"/>
          <w:numId w:val="22"/>
        </w:numPr>
        <w:ind w:left="714" w:hanging="357"/>
        <w:jc w:val="both"/>
        <w:rPr>
          <w:rFonts w:ascii="Arial" w:hAnsi="Arial" w:cs="Arial"/>
          <w:sz w:val="24"/>
          <w:szCs w:val="24"/>
        </w:rPr>
      </w:pPr>
      <w:r w:rsidRPr="00162AE4">
        <w:rPr>
          <w:rFonts w:ascii="Arial" w:hAnsi="Arial" w:cs="Arial"/>
          <w:sz w:val="24"/>
          <w:szCs w:val="24"/>
        </w:rPr>
        <w:t>KOUBA, Stanislav. Systém principů daňového práva. Praha: Wolters Kluwer, 2017. ISBN 978-80-7552-685-4.</w:t>
      </w:r>
    </w:p>
    <w:p w14:paraId="738B080E" w14:textId="243CE982" w:rsidR="003A43E4" w:rsidRPr="003A43E4" w:rsidRDefault="003A43E4" w:rsidP="003A43E4">
      <w:pPr>
        <w:pStyle w:val="Odstavecseseznamem"/>
        <w:numPr>
          <w:ilvl w:val="0"/>
          <w:numId w:val="22"/>
        </w:numPr>
        <w:ind w:left="714" w:hanging="357"/>
        <w:jc w:val="both"/>
        <w:rPr>
          <w:rFonts w:ascii="Arial" w:hAnsi="Arial" w:cs="Arial"/>
          <w:sz w:val="24"/>
          <w:szCs w:val="24"/>
        </w:rPr>
      </w:pPr>
      <w:r w:rsidRPr="003A43E4">
        <w:rPr>
          <w:rFonts w:ascii="Arial" w:hAnsi="Arial" w:cs="Arial"/>
          <w:sz w:val="24"/>
          <w:szCs w:val="24"/>
        </w:rPr>
        <w:t>MRAVČÍK, Viktor a kol. Hazardní hraní v České republice a jeho dopady [online]. Praha: Úřad vlády České republiky, 2014 [cit. 2021-6-1]. Dostupné z:</w:t>
      </w:r>
      <w:r w:rsidR="0073295E">
        <w:rPr>
          <w:rFonts w:ascii="Arial" w:hAnsi="Arial" w:cs="Arial"/>
          <w:sz w:val="24"/>
          <w:szCs w:val="24"/>
        </w:rPr>
        <w:t> </w:t>
      </w:r>
      <w:hyperlink r:id="rId56" w:history="1">
        <w:r w:rsidRPr="003A43E4">
          <w:rPr>
            <w:rFonts w:ascii="Arial" w:hAnsi="Arial" w:cs="Arial"/>
            <w:sz w:val="24"/>
            <w:szCs w:val="24"/>
          </w:rPr>
          <w:t>https://www.opava-city.cz/files/cz/nabidka-temat/skolstvi/protidrogova-prevence/hazardni_hrani_v_cr_a_jeho_dopady.pdf</w:t>
        </w:r>
      </w:hyperlink>
      <w:r w:rsidR="00C47E6F">
        <w:rPr>
          <w:rFonts w:ascii="Arial" w:hAnsi="Arial" w:cs="Arial"/>
          <w:sz w:val="24"/>
          <w:szCs w:val="24"/>
        </w:rPr>
        <w:t>.</w:t>
      </w:r>
    </w:p>
    <w:p w14:paraId="7B7D8B6C" w14:textId="75E1BABB" w:rsidR="003A43E4" w:rsidRDefault="003A43E4" w:rsidP="003A43E4">
      <w:pPr>
        <w:pStyle w:val="Odstavecseseznamem"/>
        <w:numPr>
          <w:ilvl w:val="0"/>
          <w:numId w:val="22"/>
        </w:numPr>
        <w:ind w:left="714" w:hanging="357"/>
        <w:jc w:val="both"/>
        <w:rPr>
          <w:rFonts w:ascii="Arial" w:hAnsi="Arial" w:cs="Arial"/>
          <w:sz w:val="24"/>
          <w:szCs w:val="24"/>
        </w:rPr>
      </w:pPr>
      <w:r w:rsidRPr="003A43E4">
        <w:rPr>
          <w:rFonts w:ascii="Arial" w:hAnsi="Arial" w:cs="Arial"/>
          <w:sz w:val="24"/>
          <w:szCs w:val="24"/>
        </w:rPr>
        <w:t xml:space="preserve">MRAVČÍK, Viktor a kol. Koncepční rámec škodlivého hráčství [online]. Praha: Úřad vlády České republiky, 2013 [cit. 2021-6-1]. ISBN 978-80-7440-084-1. Dostupné z: </w:t>
      </w:r>
      <w:hyperlink r:id="rId57" w:history="1">
        <w:r w:rsidRPr="001756F9">
          <w:rPr>
            <w:rFonts w:ascii="Arial" w:hAnsi="Arial" w:cs="Arial"/>
            <w:sz w:val="24"/>
            <w:szCs w:val="24"/>
          </w:rPr>
          <w:t>https://www.drogy-info.cz/data/obj_files/1621/807/Koncep%C4%8Dn%C3%AD_r%C3%A1mec_%C5%A1kodliv%C3%A9ho_hr%C3%A1%C4%8Dstv%C3%AD.pdf</w:t>
        </w:r>
      </w:hyperlink>
      <w:r w:rsidR="00C47E6F">
        <w:rPr>
          <w:rFonts w:ascii="Arial" w:hAnsi="Arial" w:cs="Arial"/>
          <w:sz w:val="24"/>
          <w:szCs w:val="24"/>
        </w:rPr>
        <w:t>.</w:t>
      </w:r>
    </w:p>
    <w:p w14:paraId="6AE06E0E" w14:textId="22C9868E" w:rsidR="001756F9" w:rsidRDefault="001756F9" w:rsidP="001756F9">
      <w:pPr>
        <w:pStyle w:val="Odstavecseseznamem"/>
        <w:numPr>
          <w:ilvl w:val="0"/>
          <w:numId w:val="22"/>
        </w:numPr>
        <w:ind w:left="714" w:hanging="357"/>
        <w:jc w:val="both"/>
        <w:rPr>
          <w:rFonts w:ascii="Arial" w:hAnsi="Arial" w:cs="Arial"/>
          <w:sz w:val="24"/>
          <w:szCs w:val="24"/>
        </w:rPr>
      </w:pPr>
      <w:r w:rsidRPr="001756F9">
        <w:rPr>
          <w:rFonts w:ascii="Arial" w:hAnsi="Arial" w:cs="Arial"/>
          <w:sz w:val="24"/>
          <w:szCs w:val="24"/>
        </w:rPr>
        <w:t>MRAVČÍK, V. a kol. Výroční zpráva o hazardním hraní v ČR v r. 2019 [online]. Praha: Úřad vlády</w:t>
      </w:r>
      <w:r>
        <w:rPr>
          <w:rFonts w:ascii="Arial" w:hAnsi="Arial" w:cs="Arial"/>
          <w:sz w:val="24"/>
          <w:szCs w:val="24"/>
        </w:rPr>
        <w:t xml:space="preserve"> </w:t>
      </w:r>
      <w:r w:rsidRPr="001756F9">
        <w:rPr>
          <w:rFonts w:ascii="Arial" w:hAnsi="Arial" w:cs="Arial"/>
          <w:sz w:val="24"/>
          <w:szCs w:val="24"/>
        </w:rPr>
        <w:t xml:space="preserve">České republiky, 2020 [cit. 2021-6-1]. ISBN 978-80-7440-248-7. Dostupné z: </w:t>
      </w:r>
      <w:r w:rsidR="00DB169D" w:rsidRPr="00CF0E13">
        <w:rPr>
          <w:rFonts w:ascii="Arial" w:hAnsi="Arial" w:cs="Arial"/>
          <w:sz w:val="24"/>
          <w:szCs w:val="24"/>
        </w:rPr>
        <w:t>https://www.vlada.cz/assets/ppov/protidrogova-politika/VZhazard2019_web_v20200814-04.pdf</w:t>
      </w:r>
      <w:r w:rsidR="00E77E97">
        <w:rPr>
          <w:rFonts w:ascii="Arial" w:hAnsi="Arial" w:cs="Arial"/>
          <w:sz w:val="24"/>
          <w:szCs w:val="24"/>
        </w:rPr>
        <w:t>.</w:t>
      </w:r>
    </w:p>
    <w:p w14:paraId="72BD23FC" w14:textId="24D93129" w:rsidR="00DB169D" w:rsidRPr="001756F9" w:rsidRDefault="00DB169D" w:rsidP="00DB169D">
      <w:pPr>
        <w:pStyle w:val="Odstavecseseznamem"/>
        <w:numPr>
          <w:ilvl w:val="0"/>
          <w:numId w:val="22"/>
        </w:numPr>
        <w:jc w:val="both"/>
        <w:rPr>
          <w:rFonts w:ascii="Arial" w:hAnsi="Arial" w:cs="Arial"/>
          <w:sz w:val="24"/>
          <w:szCs w:val="24"/>
        </w:rPr>
      </w:pPr>
      <w:r w:rsidRPr="00DB169D">
        <w:rPr>
          <w:rFonts w:ascii="Arial" w:hAnsi="Arial" w:cs="Arial"/>
          <w:sz w:val="24"/>
          <w:szCs w:val="24"/>
        </w:rPr>
        <w:t>NORDSTRÖM, David, Amanda STEFANSDOTTER, Karl LUNDVALL, Henrik Ballebye OKHOLM a Petter SVÄRD. Licensing system for online gambling: Which tax-rate yields both high channelization and high tax revenues. [online] Translated ver. Stockholm: Copenhagen Economics, 2016 [cit. 2020-03-30]. Dostupné z: https://www.copenhageneconomics.com/publications/publication/licensing-system-for-online-gambling.</w:t>
      </w:r>
    </w:p>
    <w:p w14:paraId="5EDD51E0" w14:textId="77777777" w:rsidR="006F2634" w:rsidRPr="00162AE4" w:rsidRDefault="006F2634" w:rsidP="00162AE4">
      <w:pPr>
        <w:pStyle w:val="Odstavecseseznamem"/>
        <w:numPr>
          <w:ilvl w:val="0"/>
          <w:numId w:val="22"/>
        </w:numPr>
        <w:ind w:left="714" w:hanging="357"/>
        <w:jc w:val="both"/>
        <w:rPr>
          <w:rFonts w:ascii="Arial" w:hAnsi="Arial" w:cs="Arial"/>
          <w:sz w:val="24"/>
          <w:szCs w:val="24"/>
        </w:rPr>
      </w:pPr>
      <w:r w:rsidRPr="00162AE4">
        <w:rPr>
          <w:rFonts w:ascii="Arial" w:hAnsi="Arial" w:cs="Arial"/>
          <w:sz w:val="24"/>
          <w:szCs w:val="24"/>
        </w:rPr>
        <w:t>RAJCHL, Jiří, Květoslav KRAMÁŘ a Jan MALÍŘ. Právní aspekty hazardních her. Praha: Wolters Kluwer, 2018. ISBN 978-80-7552-646-5.</w:t>
      </w:r>
    </w:p>
    <w:p w14:paraId="2F8917C8" w14:textId="0072073A"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RIA k návrhu zákona o hazardních hrách.</w:t>
      </w:r>
    </w:p>
    <w:p w14:paraId="3751A404" w14:textId="5969322A" w:rsidR="00162AE4" w:rsidRPr="00162AE4" w:rsidRDefault="00162AE4" w:rsidP="00162AE4">
      <w:pPr>
        <w:pStyle w:val="Odstavecseseznamem"/>
        <w:numPr>
          <w:ilvl w:val="0"/>
          <w:numId w:val="22"/>
        </w:numPr>
        <w:ind w:left="714" w:hanging="357"/>
        <w:jc w:val="both"/>
        <w:rPr>
          <w:rFonts w:ascii="Arial" w:hAnsi="Arial" w:cs="Arial"/>
          <w:sz w:val="24"/>
          <w:szCs w:val="24"/>
        </w:rPr>
      </w:pPr>
      <w:r w:rsidRPr="00162AE4">
        <w:rPr>
          <w:rFonts w:ascii="Arial" w:hAnsi="Arial" w:cs="Arial"/>
          <w:sz w:val="24"/>
          <w:szCs w:val="24"/>
        </w:rPr>
        <w:t>SEDLÁČKOVÁ, Helena. Regulace hazardu by podle expertů měla více zohlednit skutečnou rizikovost her [online]. 16.</w:t>
      </w:r>
      <w:r>
        <w:rPr>
          <w:rFonts w:ascii="Arial" w:hAnsi="Arial" w:cs="Arial"/>
          <w:sz w:val="24"/>
          <w:szCs w:val="24"/>
        </w:rPr>
        <w:t xml:space="preserve"> </w:t>
      </w:r>
      <w:r w:rsidRPr="00162AE4">
        <w:rPr>
          <w:rFonts w:ascii="Arial" w:hAnsi="Arial" w:cs="Arial"/>
          <w:sz w:val="24"/>
          <w:szCs w:val="24"/>
        </w:rPr>
        <w:t>9.</w:t>
      </w:r>
      <w:r>
        <w:rPr>
          <w:rFonts w:ascii="Arial" w:hAnsi="Arial" w:cs="Arial"/>
          <w:sz w:val="24"/>
          <w:szCs w:val="24"/>
        </w:rPr>
        <w:t xml:space="preserve"> </w:t>
      </w:r>
      <w:r w:rsidRPr="00162AE4">
        <w:rPr>
          <w:rFonts w:ascii="Arial" w:hAnsi="Arial" w:cs="Arial"/>
          <w:sz w:val="24"/>
          <w:szCs w:val="24"/>
        </w:rPr>
        <w:t>2019 [cit. 2021-6-1]. Dostupné z: https://www.zdravotnickydenik.cz/2019/09/regulace-hazardu-by-podle-expertu-mela-vice-zohlednit-skutecnou-rizikovost-her/</w:t>
      </w:r>
      <w:r>
        <w:rPr>
          <w:rFonts w:ascii="Arial" w:hAnsi="Arial" w:cs="Arial"/>
          <w:sz w:val="24"/>
          <w:szCs w:val="24"/>
        </w:rPr>
        <w:t>.</w:t>
      </w:r>
    </w:p>
    <w:p w14:paraId="39622A6D" w14:textId="77777777" w:rsidR="00D66905" w:rsidRPr="00761F77" w:rsidRDefault="00D66905" w:rsidP="00D66905">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Seznam smluvních států Haagské úmluvy ze dne 5. října 1961: </w:t>
      </w:r>
      <w:hyperlink r:id="rId58" w:history="1">
        <w:r w:rsidRPr="00162AE4">
          <w:rPr>
            <w:rFonts w:ascii="Arial" w:hAnsi="Arial" w:cs="Arial"/>
            <w:sz w:val="24"/>
            <w:szCs w:val="24"/>
          </w:rPr>
          <w:t>https://www.hcch.net/en/instruments/conventions/status-table/?cid=41</w:t>
        </w:r>
      </w:hyperlink>
      <w:r w:rsidRPr="00761F77">
        <w:rPr>
          <w:rFonts w:ascii="Arial" w:hAnsi="Arial" w:cs="Arial"/>
          <w:sz w:val="24"/>
          <w:szCs w:val="24"/>
        </w:rPr>
        <w:t>.</w:t>
      </w:r>
    </w:p>
    <w:p w14:paraId="0602581D" w14:textId="6926D748" w:rsidR="00D66905" w:rsidRDefault="00294ED8" w:rsidP="00D66905">
      <w:pPr>
        <w:pStyle w:val="Odstavecseseznamem"/>
        <w:numPr>
          <w:ilvl w:val="0"/>
          <w:numId w:val="22"/>
        </w:numPr>
        <w:ind w:left="714" w:hanging="357"/>
        <w:jc w:val="both"/>
        <w:rPr>
          <w:rFonts w:ascii="Arial" w:hAnsi="Arial" w:cs="Arial"/>
          <w:sz w:val="24"/>
          <w:szCs w:val="24"/>
        </w:rPr>
      </w:pPr>
      <w:r>
        <w:rPr>
          <w:rFonts w:ascii="Arial" w:hAnsi="Arial" w:cs="Arial"/>
          <w:sz w:val="24"/>
          <w:szCs w:val="24"/>
        </w:rPr>
        <w:lastRenderedPageBreak/>
        <w:t>Seznam států,</w:t>
      </w:r>
      <w:r w:rsidR="00D66905">
        <w:rPr>
          <w:rFonts w:ascii="Arial" w:hAnsi="Arial" w:cs="Arial"/>
          <w:sz w:val="24"/>
          <w:szCs w:val="24"/>
        </w:rPr>
        <w:t xml:space="preserve"> s nimiž byla uzavřena </w:t>
      </w:r>
      <w:r w:rsidR="00A07BAA">
        <w:rPr>
          <w:rFonts w:ascii="Arial" w:hAnsi="Arial" w:cs="Arial"/>
          <w:sz w:val="24"/>
          <w:szCs w:val="24"/>
        </w:rPr>
        <w:t xml:space="preserve">bilaterální smlouva: </w:t>
      </w:r>
      <w:hyperlink r:id="rId59" w:history="1">
        <w:r w:rsidR="00D66905" w:rsidRPr="00162AE4">
          <w:rPr>
            <w:rFonts w:ascii="Arial" w:hAnsi="Arial" w:cs="Arial"/>
            <w:sz w:val="24"/>
            <w:szCs w:val="24"/>
          </w:rPr>
          <w:t>http://portal.justice.cz/Justice2/ms/ms.aspx?j=33&amp;o=23&amp;k=5096&amp;d=9064</w:t>
        </w:r>
      </w:hyperlink>
      <w:r w:rsidR="00A07BAA">
        <w:rPr>
          <w:rFonts w:ascii="Arial" w:hAnsi="Arial" w:cs="Arial"/>
          <w:sz w:val="24"/>
          <w:szCs w:val="24"/>
        </w:rPr>
        <w:t xml:space="preserve"> </w:t>
      </w:r>
      <w:r w:rsidR="00D66905">
        <w:rPr>
          <w:rFonts w:ascii="Arial" w:hAnsi="Arial" w:cs="Arial"/>
          <w:sz w:val="24"/>
          <w:szCs w:val="24"/>
        </w:rPr>
        <w:t>(první odkaz v dolní části internetové stránky).</w:t>
      </w:r>
    </w:p>
    <w:p w14:paraId="2F4EB86B" w14:textId="4F5D9E99" w:rsidR="006C501B" w:rsidRPr="00C458E8" w:rsidRDefault="006C501B" w:rsidP="00C458E8">
      <w:pPr>
        <w:pStyle w:val="Odstavecseseznamem"/>
        <w:numPr>
          <w:ilvl w:val="0"/>
          <w:numId w:val="22"/>
        </w:numPr>
        <w:ind w:left="714" w:hanging="357"/>
        <w:jc w:val="both"/>
        <w:rPr>
          <w:rFonts w:ascii="Arial" w:hAnsi="Arial" w:cs="Arial"/>
          <w:sz w:val="24"/>
          <w:szCs w:val="24"/>
        </w:rPr>
      </w:pPr>
      <w:r w:rsidRPr="00C458E8">
        <w:rPr>
          <w:rFonts w:ascii="Arial" w:hAnsi="Arial" w:cs="Arial"/>
          <w:sz w:val="24"/>
          <w:szCs w:val="24"/>
        </w:rPr>
        <w:t>VACEK, Jaroslav. Identifikace a řešení rizik spojených s hraním hazardních her. Praha: Úřad vlády České republiky, 2014. ISBN 978-80-7440-102-2.</w:t>
      </w:r>
    </w:p>
    <w:p w14:paraId="20C27210" w14:textId="1A1F573D" w:rsidR="006F2634" w:rsidRPr="00162AE4" w:rsidRDefault="006F2634" w:rsidP="00162AE4">
      <w:pPr>
        <w:pStyle w:val="Odstavecseseznamem"/>
        <w:numPr>
          <w:ilvl w:val="0"/>
          <w:numId w:val="22"/>
        </w:numPr>
        <w:ind w:left="714" w:hanging="357"/>
        <w:jc w:val="both"/>
        <w:rPr>
          <w:rFonts w:ascii="Arial" w:hAnsi="Arial" w:cs="Arial"/>
          <w:sz w:val="24"/>
          <w:szCs w:val="24"/>
        </w:rPr>
      </w:pPr>
      <w:r w:rsidRPr="00162AE4">
        <w:rPr>
          <w:rFonts w:ascii="Arial" w:hAnsi="Arial" w:cs="Arial"/>
          <w:sz w:val="24"/>
          <w:szCs w:val="24"/>
        </w:rPr>
        <w:t>WILLIAMS, R., J. WEST a L. SIMPSON. Prevence problémového hráčství: Komplexní přehled důkazů a zjištěné dobré praxe [online]. Praha: Úřad vlády České republiky, 2014 [cit. 2021-6-1]. ISBN 978-80-7440-096-4. Dostupné z:</w:t>
      </w:r>
      <w:r w:rsidR="00396B57">
        <w:rPr>
          <w:rFonts w:ascii="Arial" w:hAnsi="Arial" w:cs="Arial"/>
          <w:sz w:val="24"/>
          <w:szCs w:val="24"/>
        </w:rPr>
        <w:t> </w:t>
      </w:r>
      <w:hyperlink r:id="rId60" w:history="1">
        <w:r w:rsidR="00632027" w:rsidRPr="00162AE4">
          <w:rPr>
            <w:rFonts w:ascii="Arial" w:hAnsi="Arial" w:cs="Arial"/>
            <w:sz w:val="24"/>
          </w:rPr>
          <w:t>https://www.drogy-info.cz/data/obj_files/1622/810/Prevence_problemoveho_hracstvi.pdf</w:t>
        </w:r>
      </w:hyperlink>
      <w:r w:rsidR="00C47E6F">
        <w:rPr>
          <w:rFonts w:ascii="Arial" w:hAnsi="Arial" w:cs="Arial"/>
          <w:sz w:val="24"/>
          <w:szCs w:val="24"/>
        </w:rPr>
        <w:t>.</w:t>
      </w:r>
    </w:p>
    <w:p w14:paraId="6D6F2663" w14:textId="06FBB543" w:rsidR="00C47E6F" w:rsidRPr="00133920" w:rsidRDefault="00632027" w:rsidP="00C47E6F">
      <w:pPr>
        <w:pStyle w:val="Odstavecseseznamem"/>
        <w:numPr>
          <w:ilvl w:val="0"/>
          <w:numId w:val="22"/>
        </w:numPr>
        <w:ind w:left="714" w:hanging="357"/>
        <w:jc w:val="both"/>
        <w:rPr>
          <w:rFonts w:ascii="Arial" w:hAnsi="Arial" w:cs="Arial"/>
          <w:sz w:val="24"/>
          <w:szCs w:val="24"/>
        </w:rPr>
      </w:pPr>
      <w:r w:rsidRPr="00162AE4">
        <w:rPr>
          <w:rFonts w:ascii="Arial" w:hAnsi="Arial" w:cs="Arial"/>
          <w:sz w:val="24"/>
          <w:szCs w:val="24"/>
        </w:rPr>
        <w:t>WINKLER, Petr a kol. Problémové hráčství - Společenské náklady na hazardní hraní v České republice [online]. Praha: Národní ústav duševního zdraví, 2015 [cit. 2021-6-1]. ISBN 978-80-7440-096-4. Dostupné z:</w:t>
      </w:r>
      <w:r w:rsidR="00396B57">
        <w:rPr>
          <w:rFonts w:ascii="Arial" w:hAnsi="Arial" w:cs="Arial"/>
          <w:sz w:val="24"/>
          <w:szCs w:val="24"/>
        </w:rPr>
        <w:t> </w:t>
      </w:r>
      <w:hyperlink r:id="rId61" w:history="1">
        <w:r w:rsidRPr="00162AE4">
          <w:rPr>
            <w:rFonts w:ascii="Arial" w:hAnsi="Arial" w:cs="Arial"/>
            <w:sz w:val="24"/>
          </w:rPr>
          <w:t>https://www.google.com/url?client=internal-element-cse&amp;cx=004444584865611326555:wmrqdhkact0&amp;q=https://www.nudz.cz/files/common/winkler_problemove_hracstvi.pdf&amp;sa=U&amp;ved=2ahUKEwjw_YvLsPbwAhVXPewKHRyfBGgQFjAAegQIABAB&amp;usg=AOvVaw0RqWkFPIH_M_S-CkeDB8mW</w:t>
        </w:r>
      </w:hyperlink>
      <w:r w:rsidR="00C47E6F">
        <w:rPr>
          <w:rFonts w:ascii="Arial" w:hAnsi="Arial" w:cs="Arial"/>
          <w:sz w:val="24"/>
          <w:szCs w:val="24"/>
        </w:rPr>
        <w:t>.</w:t>
      </w:r>
    </w:p>
    <w:p w14:paraId="79DC8CCD" w14:textId="77777777" w:rsidR="00D66905" w:rsidRPr="00133920" w:rsidRDefault="00D66905" w:rsidP="00D66905">
      <w:pPr>
        <w:pStyle w:val="Nadpis3"/>
      </w:pPr>
      <w:bookmarkStart w:id="160" w:name="_Toc73613641"/>
      <w:r w:rsidRPr="00133920">
        <w:t>Právní předpisy</w:t>
      </w:r>
      <w:bookmarkEnd w:id="160"/>
    </w:p>
    <w:p w14:paraId="49F8EC37" w14:textId="17A74E91" w:rsidR="00D66905" w:rsidRPr="004762CA" w:rsidRDefault="00D66905" w:rsidP="00D66905">
      <w:pPr>
        <w:pStyle w:val="Odstavecseseznamem"/>
        <w:numPr>
          <w:ilvl w:val="0"/>
          <w:numId w:val="22"/>
        </w:numPr>
        <w:ind w:left="714" w:hanging="357"/>
        <w:jc w:val="both"/>
        <w:rPr>
          <w:rFonts w:ascii="Arial" w:hAnsi="Arial" w:cs="Arial"/>
          <w:sz w:val="24"/>
        </w:rPr>
      </w:pPr>
      <w:r w:rsidRPr="004762CA">
        <w:rPr>
          <w:rFonts w:ascii="Arial" w:hAnsi="Arial" w:cs="Arial"/>
          <w:sz w:val="24"/>
        </w:rPr>
        <w:t xml:space="preserve">Nařízení Evropského parlamentu a Rady </w:t>
      </w:r>
      <w:r w:rsidR="00DD20D6">
        <w:rPr>
          <w:rFonts w:ascii="Arial" w:hAnsi="Arial" w:cs="Arial"/>
          <w:sz w:val="24"/>
        </w:rPr>
        <w:t xml:space="preserve">Evropské unie </w:t>
      </w:r>
      <w:r w:rsidRPr="004762CA">
        <w:rPr>
          <w:rFonts w:ascii="Arial" w:hAnsi="Arial" w:cs="Arial"/>
          <w:sz w:val="24"/>
        </w:rPr>
        <w:t>č. 910/2014 ze dne 23. července 2014 o elektronické identifikaci a službách vytvářejících důvěru pro elektronické transakce na vnitřním trhu a o zrušení směrnice 1999/93/ES.</w:t>
      </w:r>
    </w:p>
    <w:p w14:paraId="6D8AE786" w14:textId="157692F9" w:rsidR="00D66905" w:rsidRPr="00396B57" w:rsidRDefault="00D66905" w:rsidP="00D66905">
      <w:pPr>
        <w:pStyle w:val="Odstavecseseznamem"/>
        <w:numPr>
          <w:ilvl w:val="0"/>
          <w:numId w:val="22"/>
        </w:numPr>
        <w:jc w:val="both"/>
        <w:rPr>
          <w:rFonts w:ascii="Arial" w:hAnsi="Arial" w:cs="Arial"/>
          <w:color w:val="000000"/>
          <w:sz w:val="24"/>
          <w:szCs w:val="24"/>
        </w:rPr>
      </w:pPr>
      <w:r w:rsidRPr="004762CA">
        <w:rPr>
          <w:rFonts w:ascii="Arial" w:hAnsi="Arial" w:cs="Arial"/>
          <w:sz w:val="24"/>
        </w:rPr>
        <w:t xml:space="preserve">Nařízení Evropského parlamentu a </w:t>
      </w:r>
      <w:r w:rsidR="0001435E">
        <w:rPr>
          <w:rFonts w:ascii="Arial" w:hAnsi="Arial" w:cs="Arial"/>
          <w:sz w:val="24"/>
        </w:rPr>
        <w:t>Rady Evropské unie</w:t>
      </w:r>
      <w:r w:rsidRPr="004762CA">
        <w:rPr>
          <w:rFonts w:ascii="Arial" w:hAnsi="Arial" w:cs="Arial"/>
          <w:sz w:val="24"/>
        </w:rPr>
        <w:t xml:space="preserve"> </w:t>
      </w:r>
      <w:r>
        <w:rPr>
          <w:rFonts w:ascii="Arial" w:hAnsi="Arial" w:cs="Arial"/>
          <w:sz w:val="24"/>
        </w:rPr>
        <w:t>č. 679/2016</w:t>
      </w:r>
      <w:r w:rsidRPr="004762CA">
        <w:rPr>
          <w:rFonts w:ascii="Arial" w:hAnsi="Arial" w:cs="Arial"/>
          <w:sz w:val="24"/>
        </w:rPr>
        <w:t xml:space="preserve"> ze dne 27. dubna 2016 o ochraně fyzických osob v souvislosti se zpracováním osobních údajů a o volném pohybu těchto údajů a o zrušení směrnice</w:t>
      </w:r>
      <w:r w:rsidR="00DD20D6">
        <w:rPr>
          <w:rFonts w:ascii="Arial" w:hAnsi="Arial" w:cs="Arial"/>
          <w:sz w:val="24"/>
        </w:rPr>
        <w:t xml:space="preserve"> 95/46/ES.</w:t>
      </w:r>
    </w:p>
    <w:p w14:paraId="76C0968B" w14:textId="77777777" w:rsidR="00396B57" w:rsidRPr="004762CA" w:rsidRDefault="00396B57" w:rsidP="00396B57">
      <w:pPr>
        <w:pStyle w:val="Odstavecseseznamem"/>
        <w:numPr>
          <w:ilvl w:val="0"/>
          <w:numId w:val="22"/>
        </w:numPr>
        <w:ind w:left="714" w:hanging="357"/>
        <w:jc w:val="both"/>
        <w:rPr>
          <w:rFonts w:ascii="Arial" w:hAnsi="Arial" w:cs="Arial"/>
          <w:sz w:val="24"/>
        </w:rPr>
      </w:pPr>
      <w:r w:rsidRPr="008E4394">
        <w:rPr>
          <w:rFonts w:ascii="Arial" w:hAnsi="Arial" w:cs="Arial"/>
          <w:sz w:val="24"/>
        </w:rPr>
        <w:t>Návrh státního závěrečného účtu České republiky za rok 2020, Sešit F – Zpráva o hospodaření dalších složek veřejných rozpočtů a o fondech organizačních složek státu.</w:t>
      </w:r>
    </w:p>
    <w:p w14:paraId="40DEB3E6" w14:textId="77777777" w:rsidR="00D66905" w:rsidRPr="008300E8" w:rsidRDefault="00D66905" w:rsidP="00D66905">
      <w:pPr>
        <w:pStyle w:val="Odstavecseseznamem"/>
        <w:numPr>
          <w:ilvl w:val="0"/>
          <w:numId w:val="22"/>
        </w:numPr>
        <w:jc w:val="both"/>
        <w:rPr>
          <w:rFonts w:ascii="Arial" w:hAnsi="Arial" w:cs="Arial"/>
          <w:color w:val="000000"/>
          <w:sz w:val="24"/>
          <w:szCs w:val="24"/>
        </w:rPr>
      </w:pPr>
      <w:r w:rsidRPr="008300E8">
        <w:rPr>
          <w:rFonts w:ascii="Arial" w:hAnsi="Arial" w:cs="Arial"/>
          <w:color w:val="000000"/>
          <w:sz w:val="24"/>
          <w:szCs w:val="24"/>
        </w:rPr>
        <w:t>Slovenský zákon č. 30/2019 Sb., o hazardných hrách a o zmene a doplnení niektorých zákonov.</w:t>
      </w:r>
    </w:p>
    <w:p w14:paraId="3AA86715" w14:textId="77777777" w:rsidR="00D66905" w:rsidRDefault="00D66905" w:rsidP="00D66905">
      <w:pPr>
        <w:pStyle w:val="Odstavecseseznamem"/>
        <w:numPr>
          <w:ilvl w:val="0"/>
          <w:numId w:val="22"/>
        </w:numPr>
        <w:jc w:val="both"/>
        <w:rPr>
          <w:rFonts w:ascii="Arial" w:hAnsi="Arial" w:cs="Arial"/>
          <w:color w:val="000000"/>
          <w:sz w:val="24"/>
          <w:szCs w:val="24"/>
        </w:rPr>
      </w:pPr>
      <w:r w:rsidRPr="008300E8">
        <w:rPr>
          <w:rFonts w:ascii="Arial" w:hAnsi="Arial" w:cs="Arial"/>
          <w:color w:val="000000"/>
          <w:sz w:val="24"/>
          <w:szCs w:val="24"/>
        </w:rPr>
        <w:t>Smlouva o fungování Evropské unie.</w:t>
      </w:r>
    </w:p>
    <w:p w14:paraId="69875303" w14:textId="77777777" w:rsidR="00D66905" w:rsidRDefault="00D66905" w:rsidP="00D66905">
      <w:pPr>
        <w:pStyle w:val="Odstavecseseznamem"/>
        <w:numPr>
          <w:ilvl w:val="0"/>
          <w:numId w:val="22"/>
        </w:numPr>
        <w:ind w:left="714" w:hanging="357"/>
        <w:jc w:val="both"/>
        <w:rPr>
          <w:rFonts w:ascii="Arial" w:hAnsi="Arial" w:cs="Arial"/>
          <w:sz w:val="24"/>
          <w:szCs w:val="24"/>
        </w:rPr>
      </w:pPr>
      <w:r>
        <w:rPr>
          <w:rFonts w:ascii="Arial" w:hAnsi="Arial" w:cs="Arial"/>
          <w:sz w:val="24"/>
          <w:szCs w:val="24"/>
        </w:rPr>
        <w:t>Usnesení předsednictva České národní rady č. 2/1993 Sb., o vyhlášení Listiny základních práv a svobod jako součástí ústavního pořádku České republiky, jak vyplývá ze změny provedené ústavním zákonem č. 162/1993 Sb.</w:t>
      </w:r>
    </w:p>
    <w:p w14:paraId="1E324551" w14:textId="6DD1D2BC" w:rsidR="00D66905" w:rsidRPr="008300E8" w:rsidRDefault="00D66905" w:rsidP="00D66905">
      <w:pPr>
        <w:pStyle w:val="Odstavecseseznamem"/>
        <w:numPr>
          <w:ilvl w:val="0"/>
          <w:numId w:val="22"/>
        </w:numPr>
        <w:jc w:val="both"/>
        <w:rPr>
          <w:rFonts w:ascii="Arial" w:hAnsi="Arial" w:cs="Arial"/>
          <w:color w:val="000000"/>
          <w:sz w:val="24"/>
          <w:szCs w:val="24"/>
        </w:rPr>
      </w:pPr>
      <w:r w:rsidRPr="00E67EDB">
        <w:rPr>
          <w:rFonts w:ascii="Arial" w:hAnsi="Arial" w:cs="Arial"/>
          <w:color w:val="000000"/>
          <w:sz w:val="24"/>
          <w:szCs w:val="24"/>
        </w:rPr>
        <w:t>Vyhlášk</w:t>
      </w:r>
      <w:r w:rsidR="007577DE">
        <w:rPr>
          <w:rFonts w:ascii="Arial" w:hAnsi="Arial" w:cs="Arial"/>
          <w:color w:val="000000"/>
          <w:sz w:val="24"/>
          <w:szCs w:val="24"/>
        </w:rPr>
        <w:t>a</w:t>
      </w:r>
      <w:r w:rsidRPr="00E67EDB">
        <w:rPr>
          <w:rFonts w:ascii="Arial" w:hAnsi="Arial" w:cs="Arial"/>
          <w:color w:val="000000"/>
          <w:sz w:val="24"/>
          <w:szCs w:val="24"/>
        </w:rPr>
        <w:t xml:space="preserve"> č. 268/2009 Sb., o technických požadavcích na stavby.</w:t>
      </w:r>
    </w:p>
    <w:p w14:paraId="099A007B" w14:textId="67132CF7" w:rsidR="00D66905" w:rsidRPr="008300E8" w:rsidRDefault="00D66905" w:rsidP="00D66905">
      <w:pPr>
        <w:pStyle w:val="Odstavecseseznamem"/>
        <w:numPr>
          <w:ilvl w:val="0"/>
          <w:numId w:val="22"/>
        </w:numPr>
        <w:jc w:val="both"/>
        <w:rPr>
          <w:rFonts w:ascii="Arial" w:hAnsi="Arial" w:cs="Arial"/>
          <w:color w:val="000000"/>
          <w:sz w:val="24"/>
          <w:szCs w:val="24"/>
        </w:rPr>
      </w:pPr>
      <w:r w:rsidRPr="008300E8">
        <w:rPr>
          <w:rFonts w:ascii="Arial" w:hAnsi="Arial" w:cs="Arial"/>
          <w:color w:val="000000"/>
          <w:sz w:val="24"/>
          <w:szCs w:val="24"/>
        </w:rPr>
        <w:t xml:space="preserve">Vyhláška č. 208/2017 </w:t>
      </w:r>
      <w:r w:rsidRPr="00DD20D6">
        <w:rPr>
          <w:rFonts w:ascii="Arial" w:hAnsi="Arial" w:cs="Arial"/>
          <w:sz w:val="24"/>
          <w:szCs w:val="24"/>
        </w:rPr>
        <w:t>Sb.</w:t>
      </w:r>
      <w:r w:rsidR="00DD20D6" w:rsidRPr="00DD20D6">
        <w:rPr>
          <w:rFonts w:ascii="Arial" w:hAnsi="Arial" w:cs="Arial"/>
          <w:sz w:val="24"/>
          <w:szCs w:val="24"/>
        </w:rPr>
        <w:t>, kterou se stanoví rozsah technických parametrů pro zařízení, jejichž prostřednictvím jsou provozovány hazardní hry, požadavků na ochranu a uchovávání herních a finančních dat a jejich technické parametry</w:t>
      </w:r>
      <w:r w:rsidR="00DD20D6">
        <w:rPr>
          <w:rFonts w:ascii="Arial" w:hAnsi="Arial" w:cs="Arial"/>
          <w:sz w:val="24"/>
          <w:szCs w:val="24"/>
        </w:rPr>
        <w:t>.</w:t>
      </w:r>
    </w:p>
    <w:p w14:paraId="7411302B" w14:textId="68F63002" w:rsidR="00D66905" w:rsidRDefault="00D66905" w:rsidP="00D66905">
      <w:pPr>
        <w:pStyle w:val="Odstavecseseznamem"/>
        <w:numPr>
          <w:ilvl w:val="0"/>
          <w:numId w:val="22"/>
        </w:numPr>
        <w:jc w:val="both"/>
        <w:rPr>
          <w:rFonts w:ascii="Arial" w:hAnsi="Arial" w:cs="Arial"/>
          <w:sz w:val="24"/>
        </w:rPr>
      </w:pPr>
      <w:r w:rsidRPr="008300E8">
        <w:rPr>
          <w:rFonts w:ascii="Arial" w:hAnsi="Arial" w:cs="Arial"/>
          <w:color w:val="000000"/>
          <w:sz w:val="24"/>
          <w:szCs w:val="24"/>
        </w:rPr>
        <w:t>Vyhláška č. 10/2019 Sb., o způsobu oz</w:t>
      </w:r>
      <w:r w:rsidR="008C4CEB">
        <w:rPr>
          <w:rFonts w:ascii="Arial" w:hAnsi="Arial" w:cs="Arial"/>
          <w:color w:val="000000"/>
          <w:sz w:val="24"/>
          <w:szCs w:val="24"/>
        </w:rPr>
        <w:t>namování a zasílání informací a </w:t>
      </w:r>
      <w:r w:rsidRPr="008300E8">
        <w:rPr>
          <w:rFonts w:ascii="Arial" w:hAnsi="Arial" w:cs="Arial"/>
          <w:color w:val="000000"/>
          <w:sz w:val="24"/>
          <w:szCs w:val="24"/>
        </w:rPr>
        <w:t>přenosu dat provozovatelem hazardních</w:t>
      </w:r>
      <w:r w:rsidR="008C4CEB">
        <w:rPr>
          <w:rFonts w:ascii="Arial" w:hAnsi="Arial" w:cs="Arial"/>
          <w:color w:val="000000"/>
          <w:sz w:val="24"/>
          <w:szCs w:val="24"/>
        </w:rPr>
        <w:t xml:space="preserve"> her, rozsahu přenášených dat a </w:t>
      </w:r>
      <w:r w:rsidRPr="008300E8">
        <w:rPr>
          <w:rFonts w:ascii="Arial" w:hAnsi="Arial" w:cs="Arial"/>
          <w:color w:val="000000"/>
          <w:sz w:val="24"/>
          <w:szCs w:val="24"/>
        </w:rPr>
        <w:t>jiných</w:t>
      </w:r>
      <w:r w:rsidRPr="00CE60E6">
        <w:rPr>
          <w:rFonts w:ascii="Arial" w:hAnsi="Arial" w:cs="Arial"/>
          <w:sz w:val="24"/>
        </w:rPr>
        <w:t xml:space="preserve"> tech</w:t>
      </w:r>
      <w:r w:rsidR="00A45381">
        <w:rPr>
          <w:rFonts w:ascii="Arial" w:hAnsi="Arial" w:cs="Arial"/>
          <w:sz w:val="24"/>
        </w:rPr>
        <w:t>nických parametrech přenosu dat</w:t>
      </w:r>
      <w:r w:rsidR="00396B57">
        <w:rPr>
          <w:rFonts w:ascii="Arial" w:hAnsi="Arial" w:cs="Arial"/>
          <w:sz w:val="24"/>
        </w:rPr>
        <w:t>.</w:t>
      </w:r>
    </w:p>
    <w:p w14:paraId="5271D862" w14:textId="77777777" w:rsidR="00D66905" w:rsidRDefault="00D66905" w:rsidP="00D66905">
      <w:pPr>
        <w:pStyle w:val="Odstavecseseznamem"/>
        <w:numPr>
          <w:ilvl w:val="0"/>
          <w:numId w:val="22"/>
        </w:numPr>
        <w:jc w:val="both"/>
        <w:rPr>
          <w:rFonts w:ascii="Arial" w:eastAsiaTheme="minorHAnsi" w:hAnsi="Arial" w:cs="Arial"/>
          <w:sz w:val="24"/>
          <w:szCs w:val="24"/>
        </w:rPr>
      </w:pPr>
      <w:r>
        <w:rPr>
          <w:rFonts w:ascii="Arial" w:hAnsi="Arial" w:cs="Arial"/>
          <w:sz w:val="24"/>
          <w:szCs w:val="24"/>
        </w:rPr>
        <w:t>Vyhláška Ministerstva financí č. 223/1993 Sb., o hracích přístrojích.</w:t>
      </w:r>
    </w:p>
    <w:p w14:paraId="79BF6430" w14:textId="77777777" w:rsidR="00D66905" w:rsidRDefault="00D66905" w:rsidP="00D66905">
      <w:pPr>
        <w:pStyle w:val="Odstavecseseznamem"/>
        <w:numPr>
          <w:ilvl w:val="0"/>
          <w:numId w:val="22"/>
        </w:numPr>
        <w:jc w:val="both"/>
        <w:rPr>
          <w:rFonts w:ascii="Arial" w:hAnsi="Arial" w:cs="Arial"/>
          <w:sz w:val="24"/>
          <w:szCs w:val="24"/>
          <w:shd w:val="clear" w:color="auto" w:fill="FFFFFF"/>
        </w:rPr>
      </w:pPr>
      <w:r>
        <w:rPr>
          <w:rFonts w:ascii="Arial" w:hAnsi="Arial" w:cs="Arial"/>
          <w:sz w:val="24"/>
          <w:szCs w:val="24"/>
          <w:shd w:val="clear" w:color="auto" w:fill="FFFFFF"/>
        </w:rPr>
        <w:t>Zákon č. 99/1963 Sb., občanský soudní řád, ve znění pozdějších předpisů.</w:t>
      </w:r>
    </w:p>
    <w:p w14:paraId="3E736D10" w14:textId="77777777" w:rsidR="00D66905" w:rsidRDefault="00D66905" w:rsidP="00D66905">
      <w:pPr>
        <w:pStyle w:val="Odstavecseseznamem"/>
        <w:numPr>
          <w:ilvl w:val="0"/>
          <w:numId w:val="22"/>
        </w:numPr>
        <w:jc w:val="both"/>
        <w:rPr>
          <w:rFonts w:ascii="Arial" w:hAnsi="Arial" w:cs="Arial"/>
          <w:sz w:val="24"/>
          <w:szCs w:val="24"/>
          <w:shd w:val="clear" w:color="auto" w:fill="FFFFFF"/>
        </w:rPr>
      </w:pPr>
      <w:r>
        <w:rPr>
          <w:rFonts w:ascii="Arial" w:hAnsi="Arial" w:cs="Arial"/>
          <w:sz w:val="24"/>
          <w:szCs w:val="24"/>
          <w:shd w:val="clear" w:color="auto" w:fill="FFFFFF"/>
        </w:rPr>
        <w:t>Zákon č. 84/1990 Sb., o právu shromažďovacím, ve znění pozdějších předpisů.</w:t>
      </w:r>
    </w:p>
    <w:p w14:paraId="6D2BE0BE" w14:textId="77777777" w:rsidR="00D66905" w:rsidRPr="00603BA2" w:rsidRDefault="00D66905" w:rsidP="00D66905">
      <w:pPr>
        <w:pStyle w:val="Odstavecseseznamem"/>
        <w:numPr>
          <w:ilvl w:val="0"/>
          <w:numId w:val="22"/>
        </w:numPr>
        <w:ind w:left="714" w:hanging="357"/>
        <w:jc w:val="both"/>
        <w:rPr>
          <w:rFonts w:ascii="Arial" w:hAnsi="Arial" w:cs="Arial"/>
          <w:sz w:val="24"/>
        </w:rPr>
      </w:pPr>
      <w:r w:rsidRPr="00603BA2">
        <w:rPr>
          <w:rFonts w:ascii="Arial" w:hAnsi="Arial" w:cs="Arial"/>
          <w:sz w:val="24"/>
        </w:rPr>
        <w:t>Zákon č. 200/1990 Sb., o přestupcích, ve znění účinném ke dni zrušení.</w:t>
      </w:r>
    </w:p>
    <w:p w14:paraId="4759C25F" w14:textId="48AA7480" w:rsidR="00D66905" w:rsidRDefault="0001435E" w:rsidP="00D66905">
      <w:pPr>
        <w:pStyle w:val="Odstavecseseznamem"/>
        <w:numPr>
          <w:ilvl w:val="0"/>
          <w:numId w:val="22"/>
        </w:numPr>
        <w:jc w:val="both"/>
        <w:rPr>
          <w:rFonts w:ascii="Arial" w:hAnsi="Arial" w:cs="Arial"/>
          <w:sz w:val="24"/>
          <w:szCs w:val="24"/>
        </w:rPr>
      </w:pPr>
      <w:r>
        <w:rPr>
          <w:rFonts w:ascii="Arial" w:hAnsi="Arial" w:cs="Arial"/>
          <w:sz w:val="24"/>
        </w:rPr>
        <w:lastRenderedPageBreak/>
        <w:t xml:space="preserve">Zákon č. </w:t>
      </w:r>
      <w:r w:rsidR="00D66905" w:rsidRPr="00106CB0">
        <w:rPr>
          <w:rFonts w:ascii="Arial" w:hAnsi="Arial" w:cs="Arial"/>
          <w:sz w:val="24"/>
        </w:rPr>
        <w:t xml:space="preserve">202/1990 Sb., o loteriích a jiných podobných hrách, ve znění účinném </w:t>
      </w:r>
      <w:r w:rsidR="00D66905" w:rsidRPr="00106CB0">
        <w:rPr>
          <w:rFonts w:ascii="Arial" w:hAnsi="Arial" w:cs="Arial"/>
          <w:sz w:val="24"/>
          <w:szCs w:val="24"/>
        </w:rPr>
        <w:t>ke dni jeho z</w:t>
      </w:r>
      <w:r w:rsidR="008C4CEB">
        <w:rPr>
          <w:rFonts w:ascii="Arial" w:hAnsi="Arial" w:cs="Arial"/>
          <w:sz w:val="24"/>
          <w:szCs w:val="24"/>
        </w:rPr>
        <w:t>rušení.</w:t>
      </w:r>
    </w:p>
    <w:p w14:paraId="59829F56" w14:textId="7F0911EC" w:rsidR="00D66905" w:rsidRPr="00106CB0" w:rsidRDefault="00D66905" w:rsidP="00D66905">
      <w:pPr>
        <w:pStyle w:val="Odstavecseseznamem"/>
        <w:numPr>
          <w:ilvl w:val="0"/>
          <w:numId w:val="22"/>
        </w:numPr>
        <w:jc w:val="both"/>
        <w:rPr>
          <w:rFonts w:ascii="Arial" w:hAnsi="Arial" w:cs="Arial"/>
          <w:sz w:val="24"/>
          <w:szCs w:val="24"/>
        </w:rPr>
      </w:pPr>
      <w:r w:rsidRPr="00106CB0">
        <w:rPr>
          <w:rFonts w:ascii="Arial" w:hAnsi="Arial" w:cs="Arial"/>
          <w:sz w:val="24"/>
          <w:szCs w:val="24"/>
        </w:rPr>
        <w:t>Zákon č. 455/1991 Sb., živnostenský záko</w:t>
      </w:r>
      <w:r w:rsidR="0001435E">
        <w:rPr>
          <w:rFonts w:ascii="Arial" w:hAnsi="Arial" w:cs="Arial"/>
          <w:sz w:val="24"/>
          <w:szCs w:val="24"/>
        </w:rPr>
        <w:t>n, ve znění pozdějších předpisů.</w:t>
      </w:r>
    </w:p>
    <w:p w14:paraId="03278482"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563/1991 Sb., o účetnictví.</w:t>
      </w:r>
    </w:p>
    <w:p w14:paraId="1E130FAC" w14:textId="3CE9FD03"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634/1992</w:t>
      </w:r>
      <w:r w:rsidR="007577DE">
        <w:rPr>
          <w:rFonts w:ascii="Arial" w:hAnsi="Arial" w:cs="Arial"/>
          <w:sz w:val="24"/>
          <w:szCs w:val="24"/>
        </w:rPr>
        <w:t xml:space="preserve"> Sb.</w:t>
      </w:r>
      <w:r w:rsidRPr="00414DD7">
        <w:rPr>
          <w:rFonts w:ascii="Arial" w:hAnsi="Arial" w:cs="Arial"/>
          <w:sz w:val="24"/>
          <w:szCs w:val="24"/>
        </w:rPr>
        <w:t>, o ochraně spotřebitel</w:t>
      </w:r>
      <w:r w:rsidR="0001435E">
        <w:rPr>
          <w:rFonts w:ascii="Arial" w:hAnsi="Arial" w:cs="Arial"/>
          <w:sz w:val="24"/>
          <w:szCs w:val="24"/>
        </w:rPr>
        <w:t>e, ve znění pozdějších předpisů.</w:t>
      </w:r>
    </w:p>
    <w:p w14:paraId="5C4D05EA" w14:textId="3FE7DC37" w:rsidR="00D66905" w:rsidRDefault="0001435E" w:rsidP="00D66905">
      <w:pPr>
        <w:pStyle w:val="Odstavecseseznamem"/>
        <w:numPr>
          <w:ilvl w:val="0"/>
          <w:numId w:val="22"/>
        </w:numPr>
        <w:jc w:val="both"/>
        <w:rPr>
          <w:rFonts w:ascii="Arial" w:hAnsi="Arial" w:cs="Arial"/>
          <w:sz w:val="24"/>
          <w:szCs w:val="24"/>
        </w:rPr>
      </w:pPr>
      <w:r>
        <w:rPr>
          <w:rFonts w:ascii="Arial" w:hAnsi="Arial" w:cs="Arial"/>
          <w:sz w:val="24"/>
          <w:szCs w:val="24"/>
        </w:rPr>
        <w:t xml:space="preserve">Zákon č. </w:t>
      </w:r>
      <w:r w:rsidR="00D66905" w:rsidRPr="00414DD7">
        <w:rPr>
          <w:rFonts w:ascii="Arial" w:hAnsi="Arial" w:cs="Arial"/>
          <w:sz w:val="24"/>
          <w:szCs w:val="24"/>
        </w:rPr>
        <w:t>40/1995 Sb., o regulaci reklamy a o změně a doplnění zákona o provozování rozhlasového a televizního vysílání.</w:t>
      </w:r>
    </w:p>
    <w:p w14:paraId="11E8B6FB" w14:textId="77777777"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Zákon č. 22/1997 Sb., o technických požadavcích na výrobky a o změně a doplnění některých zákonů.</w:t>
      </w:r>
    </w:p>
    <w:p w14:paraId="27C06DE9" w14:textId="77777777" w:rsidR="00D66905" w:rsidRDefault="00D66905" w:rsidP="00D66905">
      <w:pPr>
        <w:pStyle w:val="Odstavecseseznamem"/>
        <w:jc w:val="both"/>
        <w:rPr>
          <w:rFonts w:ascii="Arial" w:hAnsi="Arial" w:cs="Arial"/>
          <w:sz w:val="24"/>
          <w:szCs w:val="24"/>
        </w:rPr>
      </w:pPr>
      <w:r>
        <w:rPr>
          <w:rFonts w:ascii="Arial" w:hAnsi="Arial" w:cs="Arial"/>
          <w:sz w:val="24"/>
          <w:szCs w:val="24"/>
        </w:rPr>
        <w:t>Zákon č. 133/2000 Sb., o evidenci obyvatel a rodných číslech a o změně některých zákonů, ve znění pozdějších předpisů.</w:t>
      </w:r>
    </w:p>
    <w:p w14:paraId="1C455C5D" w14:textId="764B4E89"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500/2004 Sb., správní řá</w:t>
      </w:r>
      <w:r w:rsidR="008C4CEB">
        <w:rPr>
          <w:rFonts w:ascii="Arial" w:hAnsi="Arial" w:cs="Arial"/>
          <w:sz w:val="24"/>
          <w:szCs w:val="24"/>
        </w:rPr>
        <w:t>d, ve znění pozdějších předpisů.</w:t>
      </w:r>
    </w:p>
    <w:p w14:paraId="2BF511A9" w14:textId="2152DB42"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č.182/2006 Sb., o úpadku a způsobech jeho řešení</w:t>
      </w:r>
      <w:r w:rsidR="008C4CEB">
        <w:rPr>
          <w:rFonts w:ascii="Arial" w:hAnsi="Arial" w:cs="Arial"/>
          <w:sz w:val="24"/>
          <w:szCs w:val="24"/>
        </w:rPr>
        <w:t>, ve znění pozdějších předpisů.</w:t>
      </w:r>
    </w:p>
    <w:p w14:paraId="73B34ADF" w14:textId="77777777" w:rsidR="00D66905"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183/2006 Sb., o územním plánování a stavebním řádu (stavební zákon), ve znění pozdějších předpisů.</w:t>
      </w:r>
    </w:p>
    <w:p w14:paraId="404C3BFB" w14:textId="77777777"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Zákon č. 125/2008 Sb., o přeměnách obchodních společností a družstev, ve znění pozdějších předpisů.</w:t>
      </w:r>
    </w:p>
    <w:p w14:paraId="47A5E679" w14:textId="30E54BE2" w:rsidR="00D66905"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253/2008 Sb., o některých opatřeních proti legalizaci výnosů z trestné činnosti a financování terorism</w:t>
      </w:r>
      <w:r w:rsidR="008C4CEB">
        <w:rPr>
          <w:rFonts w:ascii="Arial" w:hAnsi="Arial" w:cs="Arial"/>
          <w:sz w:val="24"/>
          <w:szCs w:val="24"/>
        </w:rPr>
        <w:t>u, ve znění pozdějších předpisů.</w:t>
      </w:r>
    </w:p>
    <w:p w14:paraId="42878513" w14:textId="77777777"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Zákon č. 300/2008 Sb., o elektronických úkonech a autorizované konverzi dokumentů, ve znění pozdějších předpisů.</w:t>
      </w:r>
    </w:p>
    <w:p w14:paraId="640910ED"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40/2009 Sb., trestní zákoník, ve znění pozdějších předpisů.</w:t>
      </w:r>
    </w:p>
    <w:p w14:paraId="4ADB4AEF"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280/2009 Sb., daňový řád, ve znění pozdějších předpisů.</w:t>
      </w:r>
    </w:p>
    <w:p w14:paraId="59D68FCF" w14:textId="638B28E9" w:rsidR="00D66905" w:rsidRPr="00414DD7" w:rsidRDefault="0021563D" w:rsidP="00D66905">
      <w:pPr>
        <w:pStyle w:val="Odstavecseseznamem"/>
        <w:numPr>
          <w:ilvl w:val="0"/>
          <w:numId w:val="22"/>
        </w:numPr>
        <w:jc w:val="both"/>
        <w:rPr>
          <w:rFonts w:ascii="Arial" w:hAnsi="Arial" w:cs="Arial"/>
          <w:sz w:val="24"/>
          <w:szCs w:val="24"/>
        </w:rPr>
      </w:pPr>
      <w:r>
        <w:rPr>
          <w:rFonts w:ascii="Arial" w:hAnsi="Arial" w:cs="Arial"/>
          <w:sz w:val="24"/>
          <w:szCs w:val="24"/>
        </w:rPr>
        <w:t>Zákon č. 17/2012 Sb., o C</w:t>
      </w:r>
      <w:r w:rsidR="00AA4343">
        <w:rPr>
          <w:rFonts w:ascii="Arial" w:hAnsi="Arial" w:cs="Arial"/>
          <w:sz w:val="24"/>
          <w:szCs w:val="24"/>
        </w:rPr>
        <w:t>elní správě České republiky.</w:t>
      </w:r>
    </w:p>
    <w:p w14:paraId="1757E200" w14:textId="747FDC6A"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89/2012, občanský zákoní</w:t>
      </w:r>
      <w:r w:rsidR="008C4CEB">
        <w:rPr>
          <w:rFonts w:ascii="Arial" w:hAnsi="Arial" w:cs="Arial"/>
          <w:sz w:val="24"/>
          <w:szCs w:val="24"/>
        </w:rPr>
        <w:t>k, ve znění pozdějších předpisů.</w:t>
      </w:r>
    </w:p>
    <w:p w14:paraId="2185DFC3" w14:textId="20C20C3E"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90/2012 Sb., o obchodních spol</w:t>
      </w:r>
      <w:r w:rsidR="008C4CEB">
        <w:rPr>
          <w:rFonts w:ascii="Arial" w:hAnsi="Arial" w:cs="Arial"/>
          <w:sz w:val="24"/>
          <w:szCs w:val="24"/>
        </w:rPr>
        <w:t>ečnostech a družstvech.</w:t>
      </w:r>
    </w:p>
    <w:p w14:paraId="27E5F370" w14:textId="7F10743A"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w:t>
      </w:r>
      <w:r w:rsidR="008C4CEB">
        <w:rPr>
          <w:rFonts w:ascii="Arial" w:hAnsi="Arial" w:cs="Arial"/>
          <w:sz w:val="24"/>
          <w:szCs w:val="24"/>
        </w:rPr>
        <w:t>on č. 255/2012 Sb., o kontrole.</w:t>
      </w:r>
    </w:p>
    <w:p w14:paraId="3BB8E0FC"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304/2013 Sb., o veřejných rejstřících právnických a fyzických osob.</w:t>
      </w:r>
    </w:p>
    <w:p w14:paraId="3E9C0075"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307/2013 Sb., o povinném značení lihu ve znění pozdějších předpisů.</w:t>
      </w:r>
    </w:p>
    <w:p w14:paraId="01CA6B57" w14:textId="7CD3C3EC"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186/2016 Sb., o hazardních hrác</w:t>
      </w:r>
      <w:r w:rsidR="008C4CEB">
        <w:rPr>
          <w:rFonts w:ascii="Arial" w:hAnsi="Arial" w:cs="Arial"/>
          <w:sz w:val="24"/>
          <w:szCs w:val="24"/>
        </w:rPr>
        <w:t>h, ve znění pozdějších předpisů.</w:t>
      </w:r>
    </w:p>
    <w:p w14:paraId="4D848C1F" w14:textId="79D3DF8C" w:rsidR="00D66905" w:rsidRPr="00414DD7" w:rsidRDefault="008C4CEB" w:rsidP="00D66905">
      <w:pPr>
        <w:pStyle w:val="Odstavecseseznamem"/>
        <w:numPr>
          <w:ilvl w:val="0"/>
          <w:numId w:val="22"/>
        </w:numPr>
        <w:jc w:val="both"/>
        <w:rPr>
          <w:rFonts w:ascii="Arial" w:hAnsi="Arial" w:cs="Arial"/>
          <w:sz w:val="24"/>
          <w:szCs w:val="24"/>
        </w:rPr>
      </w:pPr>
      <w:r>
        <w:rPr>
          <w:rFonts w:ascii="Arial" w:hAnsi="Arial" w:cs="Arial"/>
          <w:sz w:val="24"/>
          <w:szCs w:val="24"/>
        </w:rPr>
        <w:t xml:space="preserve">Zákon č. </w:t>
      </w:r>
      <w:r w:rsidR="00D66905" w:rsidRPr="00414DD7">
        <w:rPr>
          <w:rFonts w:ascii="Arial" w:hAnsi="Arial" w:cs="Arial"/>
          <w:sz w:val="24"/>
          <w:szCs w:val="24"/>
        </w:rPr>
        <w:t>187/2016 Sb., o dani z hazardních her</w:t>
      </w:r>
      <w:r>
        <w:rPr>
          <w:rFonts w:ascii="Arial" w:hAnsi="Arial" w:cs="Arial"/>
          <w:sz w:val="24"/>
          <w:szCs w:val="24"/>
        </w:rPr>
        <w:t>, ve znění pozdějších předpisů.</w:t>
      </w:r>
    </w:p>
    <w:p w14:paraId="71005ED9" w14:textId="77777777" w:rsidR="00D66905"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250/2016 Sb., o odpovědnosti za přestupky a řízení o nich, ve znění pozdějších předpisů.</w:t>
      </w:r>
    </w:p>
    <w:p w14:paraId="364396A8" w14:textId="77777777"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Zákon č. 297/2016 Sb. o službách vytvářejících důvěru pro elektronické transakce, ve znění pozdějších předpisů.</w:t>
      </w:r>
    </w:p>
    <w:p w14:paraId="59F76D31" w14:textId="77777777" w:rsidR="00D66905" w:rsidRPr="00414DD7"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183/2017 Sb., kterým se mění některé zákony v souvislosti s přijetím zákona o odpovědnosti za přestupky a řízení o nich a zákona o některých přestupcích.</w:t>
      </w:r>
    </w:p>
    <w:p w14:paraId="0424D98E" w14:textId="11EDBD56" w:rsidR="00D66905"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Zákon č. 30/2019 Z. z., Zákon o hazardných hrách a o zmene</w:t>
      </w:r>
      <w:r w:rsidR="008C4CEB">
        <w:rPr>
          <w:rFonts w:ascii="Arial" w:hAnsi="Arial" w:cs="Arial"/>
          <w:sz w:val="24"/>
          <w:szCs w:val="24"/>
        </w:rPr>
        <w:t xml:space="preserve"> a doplnení niektorých zákonov.</w:t>
      </w:r>
    </w:p>
    <w:p w14:paraId="14BACD84" w14:textId="77777777" w:rsidR="00D66905" w:rsidRPr="00106CB0"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 xml:space="preserve">Zákon č. 80/2019 Sb., kterým se mění některé zákony v oblasti daní a některé další zákony. </w:t>
      </w:r>
    </w:p>
    <w:p w14:paraId="5D6B0BE1" w14:textId="41C97147"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Zákon č. 527/2020 Sb.</w:t>
      </w:r>
      <w:r w:rsidR="008C4CEB">
        <w:rPr>
          <w:rFonts w:ascii="Arial" w:hAnsi="Arial" w:cs="Arial"/>
          <w:sz w:val="24"/>
          <w:szCs w:val="24"/>
        </w:rPr>
        <w:t xml:space="preserve">, </w:t>
      </w:r>
      <w:r w:rsidR="008C4CEB" w:rsidRPr="008C4CEB">
        <w:rPr>
          <w:rFonts w:ascii="Arial" w:hAnsi="Arial" w:cs="Arial"/>
          <w:sz w:val="24"/>
          <w:szCs w:val="24"/>
        </w:rPr>
        <w:t>o některých opatřeních proti legalizaci výnosů</w:t>
      </w:r>
      <w:r w:rsidR="008C4CEB">
        <w:rPr>
          <w:rFonts w:ascii="Arial" w:hAnsi="Arial" w:cs="Arial"/>
          <w:sz w:val="24"/>
          <w:szCs w:val="24"/>
        </w:rPr>
        <w:t xml:space="preserve"> z </w:t>
      </w:r>
      <w:r w:rsidR="008C4CEB" w:rsidRPr="008C4CEB">
        <w:rPr>
          <w:rFonts w:ascii="Arial" w:hAnsi="Arial" w:cs="Arial"/>
          <w:sz w:val="24"/>
          <w:szCs w:val="24"/>
        </w:rPr>
        <w:t>trestné činnosti a financování terorismu, ve znění pozdějších předpisů</w:t>
      </w:r>
      <w:r w:rsidR="008C4CEB">
        <w:rPr>
          <w:rFonts w:ascii="Arial" w:hAnsi="Arial" w:cs="Arial"/>
          <w:sz w:val="24"/>
          <w:szCs w:val="24"/>
        </w:rPr>
        <w:t>.</w:t>
      </w:r>
    </w:p>
    <w:p w14:paraId="1C6B30D1" w14:textId="77777777" w:rsidR="00D66905" w:rsidRDefault="00D66905" w:rsidP="00D66905">
      <w:pPr>
        <w:pStyle w:val="Odstavecseseznamem"/>
        <w:numPr>
          <w:ilvl w:val="0"/>
          <w:numId w:val="22"/>
        </w:numPr>
        <w:jc w:val="both"/>
        <w:rPr>
          <w:rFonts w:ascii="Arial" w:hAnsi="Arial" w:cs="Arial"/>
          <w:sz w:val="24"/>
          <w:szCs w:val="24"/>
        </w:rPr>
      </w:pPr>
      <w:r w:rsidRPr="00414DD7">
        <w:rPr>
          <w:rFonts w:ascii="Arial" w:hAnsi="Arial" w:cs="Arial"/>
          <w:sz w:val="24"/>
          <w:szCs w:val="24"/>
        </w:rPr>
        <w:t>Závěrečná zpráva z hodnocení dopadů regulace (RIA). Příloha důvodové zprávy k zákonu o dani z hazardních her.</w:t>
      </w:r>
    </w:p>
    <w:p w14:paraId="573C8835" w14:textId="77777777" w:rsidR="00D66905" w:rsidRPr="00133920" w:rsidRDefault="00D66905" w:rsidP="00D66905">
      <w:pPr>
        <w:pStyle w:val="Nadpis3"/>
      </w:pPr>
      <w:bookmarkStart w:id="161" w:name="_Toc73613642"/>
      <w:r w:rsidRPr="00133920">
        <w:lastRenderedPageBreak/>
        <w:t>Judikatura</w:t>
      </w:r>
      <w:bookmarkEnd w:id="161"/>
    </w:p>
    <w:p w14:paraId="1C629B99" w14:textId="2D62EB02" w:rsidR="008C4CEB" w:rsidRPr="008300E8" w:rsidRDefault="008C4CEB" w:rsidP="008C4CEB">
      <w:pPr>
        <w:pStyle w:val="Odstavecseseznamem"/>
        <w:numPr>
          <w:ilvl w:val="0"/>
          <w:numId w:val="22"/>
        </w:numPr>
        <w:jc w:val="both"/>
        <w:rPr>
          <w:rFonts w:ascii="Arial" w:hAnsi="Arial" w:cs="Arial"/>
          <w:color w:val="000000"/>
          <w:sz w:val="24"/>
          <w:szCs w:val="24"/>
        </w:rPr>
      </w:pPr>
      <w:r w:rsidRPr="008300E8">
        <w:rPr>
          <w:rFonts w:ascii="Arial" w:hAnsi="Arial" w:cs="Arial"/>
          <w:color w:val="000000"/>
          <w:sz w:val="24"/>
          <w:szCs w:val="24"/>
        </w:rPr>
        <w:t>Rozhodnutí Evropské komise 2012/140/EU ze dne 20. září 2011.</w:t>
      </w:r>
    </w:p>
    <w:p w14:paraId="649E287C" w14:textId="77777777" w:rsidR="008C4CEB" w:rsidRPr="00CF1A01" w:rsidRDefault="008C4CEB" w:rsidP="008C4CEB">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Rozhodnutí Nejvyššího správního soudu sp. zn. 1 As 255/2020-72 ze dne 10. 12. 2020.</w:t>
      </w:r>
    </w:p>
    <w:p w14:paraId="484241A1" w14:textId="3D363EA9"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Krajského soudu v Plzni č. j. 57</w:t>
      </w:r>
      <w:r w:rsidR="003F16F7">
        <w:rPr>
          <w:rFonts w:ascii="Arial" w:hAnsi="Arial" w:cs="Arial"/>
          <w:sz w:val="24"/>
          <w:szCs w:val="24"/>
        </w:rPr>
        <w:t xml:space="preserve"> </w:t>
      </w:r>
      <w:r w:rsidRPr="00CF1A01">
        <w:rPr>
          <w:rFonts w:ascii="Arial" w:hAnsi="Arial" w:cs="Arial"/>
          <w:sz w:val="24"/>
          <w:szCs w:val="24"/>
        </w:rPr>
        <w:t>Af 2</w:t>
      </w:r>
      <w:r w:rsidR="00685F2F">
        <w:rPr>
          <w:rFonts w:ascii="Arial" w:hAnsi="Arial" w:cs="Arial"/>
          <w:sz w:val="24"/>
          <w:szCs w:val="24"/>
        </w:rPr>
        <w:t>3/2016-72 ze dne 30. 11. 2017 a r</w:t>
      </w:r>
      <w:r w:rsidRPr="00CF1A01">
        <w:rPr>
          <w:rFonts w:ascii="Arial" w:hAnsi="Arial" w:cs="Arial"/>
          <w:sz w:val="24"/>
          <w:szCs w:val="24"/>
        </w:rPr>
        <w:t>ozsudek Krajského soudu v Ostravě č. j. 22</w:t>
      </w:r>
      <w:r w:rsidR="00F50677">
        <w:rPr>
          <w:rFonts w:ascii="Arial" w:hAnsi="Arial" w:cs="Arial"/>
          <w:sz w:val="24"/>
          <w:szCs w:val="24"/>
        </w:rPr>
        <w:t xml:space="preserve"> </w:t>
      </w:r>
      <w:r w:rsidRPr="00CF1A01">
        <w:rPr>
          <w:rFonts w:ascii="Arial" w:hAnsi="Arial" w:cs="Arial"/>
          <w:sz w:val="24"/>
          <w:szCs w:val="24"/>
        </w:rPr>
        <w:t xml:space="preserve">Af 19/2015-150 </w:t>
      </w:r>
      <w:r>
        <w:rPr>
          <w:rFonts w:ascii="Arial" w:hAnsi="Arial" w:cs="Arial"/>
          <w:sz w:val="24"/>
          <w:szCs w:val="24"/>
        </w:rPr>
        <w:t>ze dne 8. 3. 2018.</w:t>
      </w:r>
    </w:p>
    <w:p w14:paraId="7A4C167E" w14:textId="2F59FF2D" w:rsidR="00F50AA9" w:rsidRPr="00CF1A01" w:rsidRDefault="00F50AA9" w:rsidP="00F50AA9">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Rozsudek </w:t>
      </w:r>
      <w:r>
        <w:rPr>
          <w:rFonts w:ascii="Arial" w:hAnsi="Arial" w:cs="Arial"/>
          <w:sz w:val="24"/>
          <w:szCs w:val="24"/>
        </w:rPr>
        <w:t xml:space="preserve">Krajského soudu v Hradci Králové </w:t>
      </w:r>
      <w:r w:rsidR="003F61EC">
        <w:rPr>
          <w:rFonts w:ascii="Arial" w:hAnsi="Arial" w:cs="Arial"/>
          <w:sz w:val="24"/>
          <w:szCs w:val="24"/>
        </w:rPr>
        <w:t xml:space="preserve">– pobočka v Pardubicích </w:t>
      </w:r>
      <w:r w:rsidR="008667AE">
        <w:rPr>
          <w:rFonts w:ascii="Arial" w:hAnsi="Arial" w:cs="Arial"/>
          <w:sz w:val="24"/>
          <w:szCs w:val="24"/>
        </w:rPr>
        <w:t xml:space="preserve">sp. zn. 52 </w:t>
      </w:r>
      <w:r w:rsidRPr="00CF1A01">
        <w:rPr>
          <w:rFonts w:ascii="Arial" w:hAnsi="Arial" w:cs="Arial"/>
          <w:sz w:val="24"/>
          <w:szCs w:val="24"/>
        </w:rPr>
        <w:t>A</w:t>
      </w:r>
      <w:r w:rsidR="008667AE">
        <w:rPr>
          <w:rFonts w:ascii="Arial" w:hAnsi="Arial" w:cs="Arial"/>
          <w:sz w:val="24"/>
          <w:szCs w:val="24"/>
        </w:rPr>
        <w:t xml:space="preserve"> </w:t>
      </w:r>
      <w:r w:rsidRPr="00CF1A01">
        <w:rPr>
          <w:rFonts w:ascii="Arial" w:hAnsi="Arial" w:cs="Arial"/>
          <w:sz w:val="24"/>
          <w:szCs w:val="24"/>
        </w:rPr>
        <w:t>70/2019-49 ze dne 10. 6. 2020.</w:t>
      </w:r>
    </w:p>
    <w:p w14:paraId="30DC984D" w14:textId="28503409"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Rozsudek Krajského soudu v Ústí nad Labem - pobočka v Liberci </w:t>
      </w:r>
      <w:r w:rsidR="003F61EC">
        <w:rPr>
          <w:rFonts w:ascii="Arial" w:hAnsi="Arial" w:cs="Arial"/>
          <w:sz w:val="24"/>
          <w:szCs w:val="24"/>
        </w:rPr>
        <w:t xml:space="preserve">sp. zn. </w:t>
      </w:r>
      <w:r w:rsidRPr="00CF1A01">
        <w:rPr>
          <w:rFonts w:ascii="Arial" w:hAnsi="Arial" w:cs="Arial"/>
          <w:sz w:val="24"/>
          <w:szCs w:val="24"/>
        </w:rPr>
        <w:t>59 A 59/2019 – 40 ze dne 25.</w:t>
      </w:r>
      <w:r w:rsidR="008667AE">
        <w:rPr>
          <w:rFonts w:ascii="Arial" w:hAnsi="Arial" w:cs="Arial"/>
          <w:sz w:val="24"/>
          <w:szCs w:val="24"/>
        </w:rPr>
        <w:t xml:space="preserve"> 6.</w:t>
      </w:r>
      <w:r w:rsidRPr="00CF1A01">
        <w:rPr>
          <w:rFonts w:ascii="Arial" w:hAnsi="Arial" w:cs="Arial"/>
          <w:sz w:val="24"/>
          <w:szCs w:val="24"/>
        </w:rPr>
        <w:t xml:space="preserve"> 2020.</w:t>
      </w:r>
    </w:p>
    <w:p w14:paraId="19CBA182"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Městského soudu v Praze sp. zn. 9 A 111/2011-55 ze dne 19. 11. 2014</w:t>
      </w:r>
      <w:r>
        <w:rPr>
          <w:rFonts w:ascii="Arial" w:hAnsi="Arial" w:cs="Arial"/>
          <w:sz w:val="24"/>
          <w:szCs w:val="24"/>
        </w:rPr>
        <w:t>.</w:t>
      </w:r>
    </w:p>
    <w:p w14:paraId="33FFC268" w14:textId="77777777"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Městského soudu v Praze sp. zn. 5 Af 25/2017- 41 ze dne 7. 9. 2020.</w:t>
      </w:r>
    </w:p>
    <w:p w14:paraId="75D1E2E0" w14:textId="77777777" w:rsidR="00D66905" w:rsidRDefault="00D66905" w:rsidP="00D66905">
      <w:pPr>
        <w:pStyle w:val="Odstavecseseznamem"/>
        <w:numPr>
          <w:ilvl w:val="0"/>
          <w:numId w:val="22"/>
        </w:numPr>
        <w:ind w:left="714" w:hanging="357"/>
        <w:jc w:val="both"/>
        <w:rPr>
          <w:rFonts w:ascii="Arial" w:hAnsi="Arial" w:cs="Arial"/>
          <w:sz w:val="24"/>
          <w:szCs w:val="24"/>
        </w:rPr>
      </w:pPr>
      <w:r>
        <w:rPr>
          <w:rFonts w:ascii="Arial" w:hAnsi="Arial" w:cs="Arial"/>
          <w:sz w:val="24"/>
          <w:szCs w:val="24"/>
        </w:rPr>
        <w:t>Rozhodnutí ministryně financí o rozkladu č. j. MF-45937/2016/34-136 ze dne 2. 9. 2020.</w:t>
      </w:r>
    </w:p>
    <w:p w14:paraId="0FF99613"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7 As 81/2005-79 ze dne 9. 11. 2006.</w:t>
      </w:r>
    </w:p>
    <w:p w14:paraId="74FF238D"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9 Afs 79/2008-101 ze dne 23. 4. 2009.</w:t>
      </w:r>
    </w:p>
    <w:p w14:paraId="7B03D174"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5 As 48/2009-76 ze dne 22. 7. 2010.</w:t>
      </w:r>
    </w:p>
    <w:p w14:paraId="5C874B72" w14:textId="32DCC663"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7 As 12/2011-65 ze dne 28. 4. 2011.</w:t>
      </w:r>
    </w:p>
    <w:p w14:paraId="4D663B71" w14:textId="4A62DE2A" w:rsidR="00D66905" w:rsidRDefault="00D66905" w:rsidP="00D66905">
      <w:pPr>
        <w:pStyle w:val="Odstavecseseznamem"/>
        <w:numPr>
          <w:ilvl w:val="0"/>
          <w:numId w:val="22"/>
        </w:numPr>
        <w:jc w:val="both"/>
        <w:rPr>
          <w:rFonts w:ascii="Arial" w:hAnsi="Arial" w:cs="Arial"/>
          <w:sz w:val="24"/>
          <w:szCs w:val="24"/>
        </w:rPr>
      </w:pPr>
      <w:r>
        <w:rPr>
          <w:rFonts w:ascii="Arial" w:hAnsi="Arial" w:cs="Arial"/>
          <w:sz w:val="24"/>
          <w:szCs w:val="24"/>
        </w:rPr>
        <w:t>Rozsudek Nejvyššího správního soudu č. j. 5 As 147/2014-53,</w:t>
      </w:r>
      <w:r w:rsidR="00685F2F">
        <w:rPr>
          <w:rFonts w:ascii="Arial" w:hAnsi="Arial" w:cs="Arial"/>
          <w:sz w:val="24"/>
          <w:szCs w:val="24"/>
        </w:rPr>
        <w:t xml:space="preserve"> ze dne 18. 9. 2015, r</w:t>
      </w:r>
      <w:r w:rsidR="00DD20D6">
        <w:rPr>
          <w:rFonts w:ascii="Arial" w:hAnsi="Arial" w:cs="Arial"/>
          <w:sz w:val="24"/>
          <w:szCs w:val="24"/>
        </w:rPr>
        <w:t>ozsudek Nejvyššího správního soudu</w:t>
      </w:r>
      <w:r>
        <w:rPr>
          <w:rFonts w:ascii="Arial" w:hAnsi="Arial" w:cs="Arial"/>
          <w:sz w:val="24"/>
          <w:szCs w:val="24"/>
        </w:rPr>
        <w:t xml:space="preserve"> č. j. 10 As 252/2019-256 ze dne </w:t>
      </w:r>
      <w:r w:rsidR="00685F2F">
        <w:rPr>
          <w:rFonts w:ascii="Arial" w:hAnsi="Arial" w:cs="Arial"/>
          <w:sz w:val="24"/>
          <w:szCs w:val="24"/>
        </w:rPr>
        <w:t xml:space="preserve">4. 12. 2019, </w:t>
      </w:r>
      <w:r w:rsidR="00D73A6B">
        <w:rPr>
          <w:rFonts w:ascii="Arial" w:hAnsi="Arial" w:cs="Arial"/>
          <w:sz w:val="24"/>
          <w:szCs w:val="24"/>
        </w:rPr>
        <w:t>r</w:t>
      </w:r>
      <w:r>
        <w:rPr>
          <w:rFonts w:ascii="Arial" w:hAnsi="Arial" w:cs="Arial"/>
          <w:sz w:val="24"/>
          <w:szCs w:val="24"/>
        </w:rPr>
        <w:t xml:space="preserve">ozsudek </w:t>
      </w:r>
      <w:r w:rsidR="00DD20D6">
        <w:rPr>
          <w:rFonts w:ascii="Arial" w:hAnsi="Arial" w:cs="Arial"/>
          <w:sz w:val="24"/>
          <w:szCs w:val="24"/>
        </w:rPr>
        <w:t>Nejvyššího správního soudu</w:t>
      </w:r>
      <w:r w:rsidR="00D73A6B">
        <w:rPr>
          <w:rFonts w:ascii="Arial" w:hAnsi="Arial" w:cs="Arial"/>
          <w:sz w:val="24"/>
          <w:szCs w:val="24"/>
        </w:rPr>
        <w:t xml:space="preserve"> č. j. 6 Ads 139/2012-</w:t>
      </w:r>
      <w:r>
        <w:rPr>
          <w:rFonts w:ascii="Arial" w:hAnsi="Arial" w:cs="Arial"/>
          <w:sz w:val="24"/>
          <w:szCs w:val="24"/>
        </w:rPr>
        <w:t>58 ze dne 13. 6. 2013.</w:t>
      </w:r>
    </w:p>
    <w:p w14:paraId="66032E86"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4 As 2016/2015-39 ze dne 9. 10. 2015.</w:t>
      </w:r>
    </w:p>
    <w:p w14:paraId="231CA7AB" w14:textId="6C7CF48B"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Nejvyššího správního soudu sp. zn. 1 As 136/2018-32 ze dne 17. 10. 2018.</w:t>
      </w:r>
    </w:p>
    <w:p w14:paraId="6BD733A1" w14:textId="77777777" w:rsidR="00F50AA9" w:rsidRPr="00CF1A01" w:rsidRDefault="00F50AA9" w:rsidP="00F50AA9">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w:t>
      </w:r>
      <w:r>
        <w:rPr>
          <w:rFonts w:ascii="Arial" w:hAnsi="Arial" w:cs="Arial"/>
          <w:sz w:val="24"/>
          <w:szCs w:val="24"/>
        </w:rPr>
        <w:t xml:space="preserve"> Nejvyššího správního soudu</w:t>
      </w:r>
      <w:r w:rsidRPr="00CF1A01">
        <w:rPr>
          <w:rFonts w:ascii="Arial" w:hAnsi="Arial" w:cs="Arial"/>
          <w:sz w:val="24"/>
          <w:szCs w:val="24"/>
        </w:rPr>
        <w:t xml:space="preserve"> sp. zn. </w:t>
      </w:r>
      <w:hyperlink r:id="rId62" w:history="1">
        <w:r w:rsidRPr="00CF1A01">
          <w:rPr>
            <w:rFonts w:ascii="Arial" w:hAnsi="Arial" w:cs="Arial"/>
            <w:sz w:val="24"/>
            <w:szCs w:val="24"/>
          </w:rPr>
          <w:t>6 As 62/2018-33</w:t>
        </w:r>
      </w:hyperlink>
      <w:r w:rsidRPr="00CF1A01">
        <w:rPr>
          <w:rFonts w:ascii="Arial" w:hAnsi="Arial" w:cs="Arial"/>
          <w:sz w:val="24"/>
          <w:szCs w:val="24"/>
        </w:rPr>
        <w:t xml:space="preserve"> ze dne 8. 11. 2018.</w:t>
      </w:r>
    </w:p>
    <w:p w14:paraId="39E4970F" w14:textId="5C43108A" w:rsidR="00F50AA9" w:rsidRDefault="00F50AA9" w:rsidP="00F50AA9">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Rozsudek </w:t>
      </w:r>
      <w:r>
        <w:rPr>
          <w:rFonts w:ascii="Arial" w:hAnsi="Arial" w:cs="Arial"/>
          <w:sz w:val="24"/>
          <w:szCs w:val="24"/>
        </w:rPr>
        <w:t xml:space="preserve">Nejvyššího správního soudu </w:t>
      </w:r>
      <w:r w:rsidRPr="00CF1A01">
        <w:rPr>
          <w:rFonts w:ascii="Arial" w:hAnsi="Arial" w:cs="Arial"/>
          <w:sz w:val="24"/>
          <w:szCs w:val="24"/>
        </w:rPr>
        <w:t>sp. z</w:t>
      </w:r>
      <w:r w:rsidR="00D73A6B">
        <w:rPr>
          <w:rFonts w:ascii="Arial" w:hAnsi="Arial" w:cs="Arial"/>
          <w:sz w:val="24"/>
          <w:szCs w:val="24"/>
        </w:rPr>
        <w:t>n. 6 As 196/2020-</w:t>
      </w:r>
      <w:r>
        <w:rPr>
          <w:rFonts w:ascii="Arial" w:hAnsi="Arial" w:cs="Arial"/>
          <w:sz w:val="24"/>
          <w:szCs w:val="24"/>
        </w:rPr>
        <w:t>32 ze dne 2. </w:t>
      </w:r>
      <w:r w:rsidRPr="00CF1A01">
        <w:rPr>
          <w:rFonts w:ascii="Arial" w:hAnsi="Arial" w:cs="Arial"/>
          <w:sz w:val="24"/>
          <w:szCs w:val="24"/>
        </w:rPr>
        <w:t>9. 2020.</w:t>
      </w:r>
    </w:p>
    <w:p w14:paraId="7C9049B4" w14:textId="77777777" w:rsidR="00D66905" w:rsidRPr="00CF1A01"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Soudního dvora ve věci C-46/08, bod 103 ze dne 8. září 2010.</w:t>
      </w:r>
    </w:p>
    <w:p w14:paraId="78B9B67D" w14:textId="77777777"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Rozsudek Tribunálu ve věci T-601/11 ze dne 26. září 2014.</w:t>
      </w:r>
    </w:p>
    <w:p w14:paraId="079AD652" w14:textId="77777777"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Usnesení Krajského soudu v Hradci Králové sp. zn. 7 To 212/95 ze dne 31. 5. 1995.</w:t>
      </w:r>
    </w:p>
    <w:p w14:paraId="5A1CB379" w14:textId="77777777" w:rsidR="00D66905" w:rsidRDefault="00D66905" w:rsidP="00D6690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Usnesení Nejvyššího soudu sp. zn. 5 Tdo 928/2019 ze dne 14. 8. 2019.</w:t>
      </w:r>
    </w:p>
    <w:p w14:paraId="0BC5C4A4" w14:textId="656A9B4E" w:rsidR="00D66905" w:rsidRPr="00133920" w:rsidRDefault="00D66905" w:rsidP="00D66905">
      <w:pPr>
        <w:pStyle w:val="Nadpis3"/>
      </w:pPr>
      <w:bookmarkStart w:id="162" w:name="_Toc73613643"/>
      <w:r w:rsidRPr="00133920">
        <w:t>Metodické pokyny</w:t>
      </w:r>
      <w:r w:rsidR="00777576" w:rsidRPr="00133920">
        <w:t xml:space="preserve">, stanoviska </w:t>
      </w:r>
      <w:r w:rsidRPr="00133920">
        <w:t>a doporučení</w:t>
      </w:r>
      <w:bookmarkEnd w:id="162"/>
    </w:p>
    <w:p w14:paraId="3D156ED7" w14:textId="59B42F00" w:rsidR="00D66905" w:rsidRPr="005D6666" w:rsidRDefault="00D66905" w:rsidP="005D6666">
      <w:pPr>
        <w:pStyle w:val="Odstavecseseznamem"/>
        <w:numPr>
          <w:ilvl w:val="0"/>
          <w:numId w:val="23"/>
        </w:numPr>
        <w:jc w:val="both"/>
        <w:rPr>
          <w:rFonts w:ascii="Arial" w:hAnsi="Arial" w:cs="Arial"/>
          <w:sz w:val="24"/>
          <w:szCs w:val="24"/>
          <w:shd w:val="clear" w:color="auto" w:fill="FFFFFF"/>
        </w:rPr>
      </w:pPr>
      <w:r w:rsidRPr="005D6666">
        <w:rPr>
          <w:rFonts w:ascii="Arial" w:hAnsi="Arial" w:cs="Arial"/>
          <w:sz w:val="24"/>
          <w:szCs w:val="24"/>
          <w:shd w:val="clear" w:color="auto" w:fill="FFFFFF"/>
        </w:rPr>
        <w:t>Doporučení ohledně nároků na kvalitu monitor</w:t>
      </w:r>
      <w:r w:rsidR="000D38B7">
        <w:rPr>
          <w:rFonts w:ascii="Arial" w:hAnsi="Arial" w:cs="Arial"/>
          <w:sz w:val="24"/>
          <w:szCs w:val="24"/>
          <w:shd w:val="clear" w:color="auto" w:fill="FFFFFF"/>
        </w:rPr>
        <w:t xml:space="preserve">ování v hernách a kasinech: </w:t>
      </w:r>
      <w:hyperlink r:id="rId63" w:history="1">
        <w:r w:rsidR="000D38B7" w:rsidRPr="00C17F55">
          <w:rPr>
            <w:rStyle w:val="Hypertextovodkaz"/>
            <w:rFonts w:ascii="Arial" w:hAnsi="Arial" w:cs="Arial"/>
            <w:sz w:val="24"/>
            <w:szCs w:val="24"/>
            <w:shd w:val="clear" w:color="auto" w:fill="FFFFFF"/>
          </w:rPr>
          <w:t>http</w:t>
        </w:r>
        <w:r w:rsidR="00BA230A">
          <w:rPr>
            <w:rStyle w:val="Hypertextovodkaz"/>
            <w:rFonts w:ascii="Arial" w:hAnsi="Arial" w:cs="Arial"/>
            <w:sz w:val="24"/>
            <w:szCs w:val="24"/>
            <w:shd w:val="clear" w:color="auto" w:fill="FFFFFF"/>
          </w:rPr>
          <w:t xml:space="preserve">s://www.celnisprava.cz/cz/další </w:t>
        </w:r>
        <w:r w:rsidR="000D38B7" w:rsidRPr="00C17F55">
          <w:rPr>
            <w:rStyle w:val="Hypertextovodkaz"/>
            <w:rFonts w:ascii="Arial" w:hAnsi="Arial" w:cs="Arial"/>
            <w:sz w:val="24"/>
            <w:szCs w:val="24"/>
            <w:shd w:val="clear" w:color="auto" w:fill="FFFFFF"/>
          </w:rPr>
          <w:t>kompetence/hazard/Stranky/Legislativa.aspx</w:t>
        </w:r>
      </w:hyperlink>
      <w:r w:rsidR="000D38B7">
        <w:rPr>
          <w:rFonts w:ascii="Arial" w:hAnsi="Arial" w:cs="Arial"/>
          <w:sz w:val="24"/>
          <w:szCs w:val="24"/>
          <w:shd w:val="clear" w:color="auto" w:fill="FFFFFF"/>
        </w:rPr>
        <w:t>.</w:t>
      </w:r>
    </w:p>
    <w:p w14:paraId="36D4C150" w14:textId="77777777" w:rsidR="00AB6FDF" w:rsidRDefault="00D66905" w:rsidP="00AB6FDF">
      <w:pPr>
        <w:pStyle w:val="Odstavecseseznamem"/>
        <w:numPr>
          <w:ilvl w:val="0"/>
          <w:numId w:val="23"/>
        </w:numPr>
        <w:jc w:val="both"/>
        <w:rPr>
          <w:rFonts w:ascii="Arial" w:hAnsi="Arial" w:cs="Arial"/>
          <w:sz w:val="24"/>
          <w:szCs w:val="24"/>
          <w:shd w:val="clear" w:color="auto" w:fill="FFFFFF"/>
        </w:rPr>
      </w:pPr>
      <w:r w:rsidRPr="005D6666">
        <w:rPr>
          <w:rFonts w:ascii="Arial" w:hAnsi="Arial" w:cs="Arial"/>
          <w:sz w:val="24"/>
          <w:szCs w:val="24"/>
          <w:shd w:val="clear" w:color="auto" w:fill="FFFFFF"/>
        </w:rPr>
        <w:t>Metodické doporučení k činnosti územních samosprávných celků č. 5 vydané Ministerstvem vnitra ve spolupr</w:t>
      </w:r>
      <w:r w:rsidR="00AB6FDF">
        <w:rPr>
          <w:rFonts w:ascii="Arial" w:hAnsi="Arial" w:cs="Arial"/>
          <w:sz w:val="24"/>
          <w:szCs w:val="24"/>
          <w:shd w:val="clear" w:color="auto" w:fill="FFFFFF"/>
        </w:rPr>
        <w:t xml:space="preserve">áci s Ministerstvem financí ze dne 21. 7. 2017: </w:t>
      </w:r>
      <w:hyperlink r:id="rId64" w:history="1">
        <w:r w:rsidRPr="005D6666">
          <w:rPr>
            <w:rFonts w:ascii="Arial" w:hAnsi="Arial" w:cs="Arial"/>
            <w:sz w:val="24"/>
            <w:szCs w:val="24"/>
            <w:shd w:val="clear" w:color="auto" w:fill="FFFFFF"/>
          </w:rPr>
          <w:t>https://www.mfcr.cz/cs/soukromy-sektor/hazardni-hry/verejna-sprava/stanoviska/2017/metodicke-doporuceni-k-cinnosti-uzemnich-29208</w:t>
        </w:r>
      </w:hyperlink>
      <w:r w:rsidRPr="005D6666">
        <w:rPr>
          <w:rFonts w:ascii="Arial" w:hAnsi="Arial" w:cs="Arial"/>
          <w:sz w:val="24"/>
          <w:szCs w:val="24"/>
          <w:shd w:val="clear" w:color="auto" w:fill="FFFFFF"/>
        </w:rPr>
        <w:t>.</w:t>
      </w:r>
    </w:p>
    <w:p w14:paraId="062814B1" w14:textId="2F4FBC59" w:rsidR="00D66905" w:rsidRPr="00AB6FDF" w:rsidRDefault="00D66905" w:rsidP="002E2403">
      <w:pPr>
        <w:pStyle w:val="Odstavecseseznamem"/>
        <w:numPr>
          <w:ilvl w:val="0"/>
          <w:numId w:val="23"/>
        </w:numPr>
        <w:jc w:val="both"/>
        <w:rPr>
          <w:rFonts w:ascii="Arial" w:hAnsi="Arial" w:cs="Arial"/>
          <w:sz w:val="24"/>
          <w:szCs w:val="24"/>
          <w:shd w:val="clear" w:color="auto" w:fill="FFFFFF"/>
        </w:rPr>
      </w:pPr>
      <w:r w:rsidRPr="00AB6FDF">
        <w:rPr>
          <w:rFonts w:ascii="Arial" w:hAnsi="Arial" w:cs="Arial"/>
          <w:sz w:val="24"/>
          <w:szCs w:val="24"/>
          <w:shd w:val="clear" w:color="auto" w:fill="FFFFFF"/>
        </w:rPr>
        <w:t xml:space="preserve">Metodický pokyn </w:t>
      </w:r>
      <w:r w:rsidR="00BA230A">
        <w:rPr>
          <w:rFonts w:ascii="Arial" w:hAnsi="Arial" w:cs="Arial"/>
          <w:sz w:val="24"/>
          <w:szCs w:val="24"/>
          <w:shd w:val="clear" w:color="auto" w:fill="FFFFFF"/>
        </w:rPr>
        <w:t xml:space="preserve">Ministerstva financí </w:t>
      </w:r>
      <w:r w:rsidRPr="00AB6FDF">
        <w:rPr>
          <w:rFonts w:ascii="Arial" w:hAnsi="Arial" w:cs="Arial"/>
          <w:sz w:val="24"/>
          <w:szCs w:val="24"/>
          <w:shd w:val="clear" w:color="auto" w:fill="FFFFFF"/>
        </w:rPr>
        <w:t>a výzva k podání žádostí o vydání pověření k odbornému posuzování a osvědčování č. j.</w:t>
      </w:r>
      <w:r w:rsidR="005D6666" w:rsidRPr="00AB6FDF">
        <w:rPr>
          <w:rFonts w:ascii="Arial" w:hAnsi="Arial" w:cs="Arial"/>
          <w:sz w:val="24"/>
          <w:szCs w:val="24"/>
          <w:shd w:val="clear" w:color="auto" w:fill="FFFFFF"/>
        </w:rPr>
        <w:t xml:space="preserve"> MF-30513/2016/3402-3 ze dne 21.</w:t>
      </w:r>
      <w:r w:rsidR="002E2403">
        <w:rPr>
          <w:rFonts w:ascii="Arial" w:hAnsi="Arial" w:cs="Arial"/>
          <w:sz w:val="24"/>
          <w:szCs w:val="24"/>
          <w:shd w:val="clear" w:color="auto" w:fill="FFFFFF"/>
        </w:rPr>
        <w:t xml:space="preserve"> 9. 2016: </w:t>
      </w:r>
      <w:r w:rsidR="002E2403" w:rsidRPr="002E2403">
        <w:rPr>
          <w:rFonts w:ascii="Arial" w:hAnsi="Arial" w:cs="Arial"/>
          <w:sz w:val="24"/>
          <w:szCs w:val="24"/>
          <w:shd w:val="clear" w:color="auto" w:fill="FFFFFF"/>
        </w:rPr>
        <w:t>https://www.google.com/url?sa=t&amp;rct=j&amp;q=&amp;esrc=s&amp;source=web&amp;cd=&amp;ved=2ahUKEwiapLXszPbwAhUN3aQKHaKoANYQFjAAegQIAhAF&amp;url=https%3A%2F%2Fwww.mfcr.cz%2Fassets%2Fcs%2Fmedia%2FMetodika_2016-09-21_Pokyn-k-podani-zadosti-o-vydani-povereni-a-osvedcovani.pdf&amp;usg=AOvVaw3fEVU3kLeCJfGGeqiTvfUc</w:t>
      </w:r>
      <w:r w:rsidR="002E2403">
        <w:rPr>
          <w:rFonts w:ascii="Arial" w:hAnsi="Arial" w:cs="Arial"/>
          <w:sz w:val="24"/>
          <w:szCs w:val="24"/>
          <w:shd w:val="clear" w:color="auto" w:fill="FFFFFF"/>
        </w:rPr>
        <w:t>.</w:t>
      </w:r>
    </w:p>
    <w:p w14:paraId="4AAE81F9" w14:textId="28C14414" w:rsidR="00D66905" w:rsidRPr="005D6666" w:rsidRDefault="00D66905" w:rsidP="005D6666">
      <w:pPr>
        <w:pStyle w:val="Odstavecseseznamem"/>
        <w:numPr>
          <w:ilvl w:val="0"/>
          <w:numId w:val="23"/>
        </w:numPr>
        <w:jc w:val="both"/>
        <w:rPr>
          <w:rFonts w:ascii="Arial" w:hAnsi="Arial" w:cs="Arial"/>
          <w:sz w:val="24"/>
          <w:szCs w:val="24"/>
          <w:shd w:val="clear" w:color="auto" w:fill="FFFFFF"/>
        </w:rPr>
      </w:pPr>
      <w:r w:rsidRPr="005D6666">
        <w:rPr>
          <w:rFonts w:ascii="Arial" w:hAnsi="Arial" w:cs="Arial"/>
          <w:sz w:val="24"/>
          <w:szCs w:val="24"/>
          <w:shd w:val="clear" w:color="auto" w:fill="FFFFFF"/>
        </w:rPr>
        <w:t>Metodický pokyn č. 6 Finančního analytického útvaru Ministerstva financí</w:t>
      </w:r>
      <w:r w:rsidR="005D6666" w:rsidRPr="005D6666">
        <w:rPr>
          <w:rFonts w:ascii="Arial" w:hAnsi="Arial" w:cs="Arial"/>
          <w:sz w:val="24"/>
          <w:szCs w:val="24"/>
          <w:shd w:val="clear" w:color="auto" w:fill="FFFFFF"/>
        </w:rPr>
        <w:t xml:space="preserve"> č. j.</w:t>
      </w:r>
      <w:r w:rsidRPr="005D6666">
        <w:rPr>
          <w:rFonts w:ascii="Arial" w:hAnsi="Arial" w:cs="Arial"/>
          <w:sz w:val="24"/>
          <w:szCs w:val="24"/>
          <w:shd w:val="clear" w:color="auto" w:fill="FFFFFF"/>
        </w:rPr>
        <w:t xml:space="preserve"> </w:t>
      </w:r>
      <w:r w:rsidR="005D6666" w:rsidRPr="005D6666">
        <w:rPr>
          <w:rFonts w:ascii="Arial" w:hAnsi="Arial" w:cs="Arial"/>
          <w:sz w:val="24"/>
          <w:szCs w:val="24"/>
          <w:shd w:val="clear" w:color="auto" w:fill="FFFFFF"/>
        </w:rPr>
        <w:t xml:space="preserve">FAU-62533/2016/24 </w:t>
      </w:r>
      <w:r w:rsidRPr="005D6666">
        <w:rPr>
          <w:rFonts w:ascii="Arial" w:hAnsi="Arial" w:cs="Arial"/>
          <w:sz w:val="24"/>
          <w:szCs w:val="24"/>
          <w:shd w:val="clear" w:color="auto" w:fill="FFFFFF"/>
        </w:rPr>
        <w:t>ze dne 7. prosince 2016 určený povinným osobám podle § 2 odst. 1 písm. c) zákona č. 253/2008 Sb.: </w:t>
      </w:r>
      <w:hyperlink r:id="rId65" w:history="1">
        <w:r w:rsidRPr="005D6666">
          <w:rPr>
            <w:rFonts w:ascii="Arial" w:hAnsi="Arial" w:cs="Arial"/>
            <w:sz w:val="24"/>
            <w:szCs w:val="24"/>
            <w:shd w:val="clear" w:color="auto" w:fill="FFFFFF"/>
          </w:rPr>
          <w:t>https://www.financnianalytickyurad.cz/download/FileUploadComponent-1750233108/1481699516_cs_6-pokyn-mf_c-006_2016_metodicky-pokyn-fau.pdf</w:t>
        </w:r>
      </w:hyperlink>
      <w:r w:rsidRPr="005D6666">
        <w:rPr>
          <w:rFonts w:ascii="Arial" w:hAnsi="Arial" w:cs="Arial"/>
          <w:sz w:val="24"/>
          <w:szCs w:val="24"/>
          <w:shd w:val="clear" w:color="auto" w:fill="FFFFFF"/>
        </w:rPr>
        <w:t>.</w:t>
      </w:r>
    </w:p>
    <w:p w14:paraId="23BD05BA" w14:textId="7F4A223A" w:rsidR="00D66905" w:rsidRPr="005D6666" w:rsidRDefault="00D66905" w:rsidP="005D6666">
      <w:pPr>
        <w:pStyle w:val="Odstavecseseznamem"/>
        <w:numPr>
          <w:ilvl w:val="0"/>
          <w:numId w:val="23"/>
        </w:numPr>
        <w:jc w:val="both"/>
        <w:rPr>
          <w:rFonts w:ascii="Arial" w:hAnsi="Arial" w:cs="Arial"/>
          <w:sz w:val="24"/>
          <w:szCs w:val="24"/>
          <w:shd w:val="clear" w:color="auto" w:fill="FFFFFF"/>
        </w:rPr>
      </w:pPr>
      <w:r w:rsidRPr="005D6666">
        <w:rPr>
          <w:rFonts w:ascii="Arial" w:hAnsi="Arial" w:cs="Arial"/>
          <w:sz w:val="24"/>
          <w:szCs w:val="24"/>
          <w:shd w:val="clear" w:color="auto" w:fill="FFFFFF"/>
        </w:rPr>
        <w:t xml:space="preserve">Metodický pokyn </w:t>
      </w:r>
      <w:r w:rsidR="008D43D0">
        <w:rPr>
          <w:rFonts w:ascii="Arial" w:hAnsi="Arial" w:cs="Arial"/>
          <w:sz w:val="24"/>
          <w:szCs w:val="24"/>
          <w:shd w:val="clear" w:color="auto" w:fill="FFFFFF"/>
        </w:rPr>
        <w:t xml:space="preserve">Ministerstva financí </w:t>
      </w:r>
      <w:r w:rsidRPr="005D6666">
        <w:rPr>
          <w:rFonts w:ascii="Arial" w:hAnsi="Arial" w:cs="Arial"/>
          <w:sz w:val="24"/>
          <w:szCs w:val="24"/>
          <w:shd w:val="clear" w:color="auto" w:fill="FFFFFF"/>
        </w:rPr>
        <w:t>k plnění povinností (ve věci seznamu nepovolených internetových her) č. j. MF-30513/201</w:t>
      </w:r>
      <w:r w:rsidR="005D6666" w:rsidRPr="005D6666">
        <w:rPr>
          <w:rFonts w:ascii="Arial" w:hAnsi="Arial" w:cs="Arial"/>
          <w:sz w:val="24"/>
          <w:szCs w:val="24"/>
          <w:shd w:val="clear" w:color="auto" w:fill="FFFFFF"/>
        </w:rPr>
        <w:t xml:space="preserve">6/3402-14 ze dne 15. ledna 2017: </w:t>
      </w:r>
      <w:r w:rsidRPr="005D6666">
        <w:rPr>
          <w:rFonts w:ascii="Arial" w:hAnsi="Arial" w:cs="Arial"/>
          <w:sz w:val="24"/>
          <w:szCs w:val="24"/>
          <w:shd w:val="clear" w:color="auto" w:fill="FFFFFF"/>
        </w:rPr>
        <w:t>https://www.mfcr.cz/assets/cs/media/Metodika_2017_Metodicky-pokyn-k-plneni-povinnosti-82-84-ZHH.pdf.</w:t>
      </w:r>
    </w:p>
    <w:p w14:paraId="25916300" w14:textId="0CBAB69D" w:rsidR="00D66905" w:rsidRPr="007931B5" w:rsidRDefault="00D66905" w:rsidP="007931B5">
      <w:pPr>
        <w:pStyle w:val="Odstavecseseznamem"/>
        <w:numPr>
          <w:ilvl w:val="0"/>
          <w:numId w:val="23"/>
        </w:numPr>
        <w:jc w:val="both"/>
        <w:rPr>
          <w:rFonts w:ascii="Arial" w:hAnsi="Arial" w:cs="Arial"/>
          <w:sz w:val="24"/>
          <w:szCs w:val="24"/>
          <w:shd w:val="clear" w:color="auto" w:fill="FFFFFF"/>
        </w:rPr>
      </w:pPr>
      <w:r w:rsidRPr="007931B5">
        <w:rPr>
          <w:rFonts w:ascii="Arial" w:hAnsi="Arial" w:cs="Arial"/>
          <w:sz w:val="24"/>
          <w:szCs w:val="24"/>
          <w:shd w:val="clear" w:color="auto" w:fill="FFFFFF"/>
        </w:rPr>
        <w:t xml:space="preserve">Metodický pokyn </w:t>
      </w:r>
      <w:r w:rsidR="007931B5" w:rsidRPr="007931B5">
        <w:rPr>
          <w:rFonts w:ascii="Arial" w:hAnsi="Arial" w:cs="Arial"/>
          <w:sz w:val="24"/>
          <w:szCs w:val="24"/>
          <w:shd w:val="clear" w:color="auto" w:fill="FFFFFF"/>
        </w:rPr>
        <w:t xml:space="preserve">Ministerstva financí </w:t>
      </w:r>
      <w:r w:rsidRPr="007931B5">
        <w:rPr>
          <w:rFonts w:ascii="Arial" w:hAnsi="Arial" w:cs="Arial"/>
          <w:sz w:val="24"/>
          <w:szCs w:val="24"/>
          <w:shd w:val="clear" w:color="auto" w:fill="FFFFFF"/>
        </w:rPr>
        <w:t>k vyplnění žádosti o vydání základního povolení</w:t>
      </w:r>
      <w:r w:rsidR="007931B5" w:rsidRPr="007931B5">
        <w:rPr>
          <w:rFonts w:ascii="Arial" w:hAnsi="Arial" w:cs="Arial"/>
          <w:sz w:val="24"/>
          <w:szCs w:val="24"/>
          <w:shd w:val="clear" w:color="auto" w:fill="FFFFFF"/>
        </w:rPr>
        <w:t xml:space="preserve"> </w:t>
      </w:r>
      <w:r w:rsidR="007931B5">
        <w:rPr>
          <w:rFonts w:ascii="Arial" w:hAnsi="Arial" w:cs="Arial"/>
          <w:sz w:val="24"/>
          <w:szCs w:val="24"/>
          <w:shd w:val="clear" w:color="auto" w:fill="FFFFFF"/>
        </w:rPr>
        <w:t xml:space="preserve">č. </w:t>
      </w:r>
      <w:r w:rsidR="007931B5" w:rsidRPr="007931B5">
        <w:rPr>
          <w:rFonts w:ascii="Arial" w:hAnsi="Arial" w:cs="Arial"/>
          <w:sz w:val="24"/>
          <w:szCs w:val="24"/>
          <w:shd w:val="clear" w:color="auto" w:fill="FFFFFF"/>
        </w:rPr>
        <w:t>j.:</w:t>
      </w:r>
      <w:r w:rsidR="007931B5">
        <w:rPr>
          <w:rFonts w:ascii="Arial" w:hAnsi="Arial" w:cs="Arial"/>
          <w:sz w:val="24"/>
          <w:szCs w:val="24"/>
          <w:shd w:val="clear" w:color="auto" w:fill="FFFFFF"/>
        </w:rPr>
        <w:t xml:space="preserve"> </w:t>
      </w:r>
      <w:r w:rsidR="007931B5" w:rsidRPr="007931B5">
        <w:rPr>
          <w:rFonts w:ascii="Arial" w:hAnsi="Arial" w:cs="Arial"/>
          <w:sz w:val="24"/>
          <w:szCs w:val="24"/>
          <w:shd w:val="clear" w:color="auto" w:fill="FFFFFF"/>
        </w:rPr>
        <w:t>MF-30513/2016/3402-15</w:t>
      </w:r>
      <w:r w:rsidRPr="007931B5">
        <w:rPr>
          <w:rFonts w:ascii="Arial" w:hAnsi="Arial" w:cs="Arial"/>
          <w:sz w:val="24"/>
          <w:szCs w:val="24"/>
          <w:shd w:val="clear" w:color="auto" w:fill="FFFFFF"/>
        </w:rPr>
        <w:t xml:space="preserve"> </w:t>
      </w:r>
      <w:r w:rsidR="005D6666" w:rsidRPr="007931B5">
        <w:rPr>
          <w:rFonts w:ascii="Arial" w:hAnsi="Arial" w:cs="Arial"/>
          <w:sz w:val="24"/>
          <w:szCs w:val="24"/>
          <w:shd w:val="clear" w:color="auto" w:fill="FFFFFF"/>
        </w:rPr>
        <w:t xml:space="preserve">ze dne </w:t>
      </w:r>
      <w:r w:rsidR="007931B5" w:rsidRPr="007931B5">
        <w:rPr>
          <w:rFonts w:ascii="Arial" w:hAnsi="Arial" w:cs="Arial"/>
          <w:sz w:val="24"/>
          <w:szCs w:val="24"/>
          <w:shd w:val="clear" w:color="auto" w:fill="FFFFFF"/>
        </w:rPr>
        <w:t>2. 3. 2017:</w:t>
      </w:r>
      <w:r w:rsidR="007931B5">
        <w:rPr>
          <w:rFonts w:ascii="Arial" w:hAnsi="Arial" w:cs="Arial"/>
          <w:sz w:val="24"/>
          <w:szCs w:val="24"/>
          <w:shd w:val="clear" w:color="auto" w:fill="FFFFFF"/>
        </w:rPr>
        <w:t xml:space="preserve"> </w:t>
      </w:r>
      <w:r w:rsidR="007931B5" w:rsidRPr="007931B5">
        <w:rPr>
          <w:rFonts w:ascii="Arial" w:hAnsi="Arial" w:cs="Arial"/>
          <w:sz w:val="24"/>
          <w:szCs w:val="24"/>
          <w:shd w:val="clear" w:color="auto" w:fill="FFFFFF"/>
        </w:rPr>
        <w:t>https://www.mfcr.cz/assets/cs/media/Metodika_2016-09-07_Pokyn-k-vyplneni-zadosti-o-zakladni-povoleni_v04.pdf</w:t>
      </w:r>
      <w:r w:rsidR="007931B5">
        <w:rPr>
          <w:rFonts w:ascii="Arial" w:hAnsi="Arial" w:cs="Arial"/>
          <w:sz w:val="24"/>
          <w:szCs w:val="24"/>
          <w:shd w:val="clear" w:color="auto" w:fill="FFFFFF"/>
        </w:rPr>
        <w:t>.</w:t>
      </w:r>
    </w:p>
    <w:p w14:paraId="27DC629B" w14:textId="6386416A" w:rsidR="0001435E" w:rsidRDefault="0001435E" w:rsidP="00822237">
      <w:pPr>
        <w:pStyle w:val="Odstavecseseznamem"/>
        <w:numPr>
          <w:ilvl w:val="0"/>
          <w:numId w:val="22"/>
        </w:numPr>
        <w:ind w:left="714" w:hanging="357"/>
        <w:jc w:val="both"/>
        <w:rPr>
          <w:rFonts w:ascii="Arial" w:hAnsi="Arial" w:cs="Arial"/>
          <w:sz w:val="24"/>
        </w:rPr>
      </w:pPr>
      <w:r w:rsidRPr="00822237">
        <w:rPr>
          <w:rFonts w:ascii="Arial" w:hAnsi="Arial" w:cs="Arial"/>
          <w:sz w:val="24"/>
        </w:rPr>
        <w:t xml:space="preserve">Sdělení Generálního ředitelství </w:t>
      </w:r>
      <w:r w:rsidR="00822237">
        <w:rPr>
          <w:rFonts w:ascii="Arial" w:hAnsi="Arial" w:cs="Arial"/>
          <w:sz w:val="24"/>
        </w:rPr>
        <w:t>Celní správy</w:t>
      </w:r>
      <w:r w:rsidRPr="00822237">
        <w:rPr>
          <w:rFonts w:ascii="Arial" w:hAnsi="Arial" w:cs="Arial"/>
          <w:sz w:val="24"/>
        </w:rPr>
        <w:t xml:space="preserve"> zn. 34953/2017-900000-331.1 ze dne 16. 6. 2017.</w:t>
      </w:r>
    </w:p>
    <w:p w14:paraId="726EB468" w14:textId="77777777" w:rsidR="001A5849" w:rsidRDefault="001A5849" w:rsidP="001A5849">
      <w:pPr>
        <w:pStyle w:val="Odstavecseseznamem"/>
        <w:numPr>
          <w:ilvl w:val="0"/>
          <w:numId w:val="22"/>
        </w:numPr>
        <w:jc w:val="both"/>
        <w:rPr>
          <w:rFonts w:ascii="Arial" w:hAnsi="Arial" w:cs="Arial"/>
          <w:sz w:val="24"/>
        </w:rPr>
      </w:pPr>
      <w:r w:rsidRPr="001A5849">
        <w:rPr>
          <w:rFonts w:ascii="Arial" w:hAnsi="Arial" w:cs="Arial"/>
          <w:sz w:val="24"/>
        </w:rPr>
        <w:t>Sdělení Ministerstva financí k tzv. „Kvízomatům“</w:t>
      </w:r>
      <w:r>
        <w:rPr>
          <w:rFonts w:ascii="Arial" w:hAnsi="Arial" w:cs="Arial"/>
          <w:sz w:val="24"/>
        </w:rPr>
        <w:t xml:space="preserve"> ze dne 24. 7. 2014: </w:t>
      </w:r>
      <w:hyperlink r:id="rId66" w:history="1">
        <w:r w:rsidRPr="00C17F55">
          <w:rPr>
            <w:rStyle w:val="Hypertextovodkaz"/>
            <w:rFonts w:ascii="Arial" w:hAnsi="Arial" w:cs="Arial"/>
            <w:sz w:val="24"/>
          </w:rPr>
          <w:t>https://www.mfcr.cz/assets/cs/media/2014-07-24_Loterie-a-sazky-Rozsirene-stanovisko-MF-k-tzv-Kvizomatum.pdf</w:t>
        </w:r>
      </w:hyperlink>
    </w:p>
    <w:p w14:paraId="70C3FEFA" w14:textId="590EDEB6" w:rsidR="007F0B9B" w:rsidRPr="001A5849" w:rsidRDefault="007F0B9B" w:rsidP="007F0B9B">
      <w:pPr>
        <w:pStyle w:val="Odstavecseseznamem"/>
        <w:numPr>
          <w:ilvl w:val="0"/>
          <w:numId w:val="22"/>
        </w:numPr>
        <w:ind w:left="714" w:hanging="357"/>
        <w:jc w:val="both"/>
        <w:rPr>
          <w:rFonts w:ascii="Arial" w:hAnsi="Arial" w:cs="Arial"/>
          <w:sz w:val="24"/>
        </w:rPr>
      </w:pPr>
      <w:r w:rsidRPr="00822237">
        <w:rPr>
          <w:rFonts w:ascii="Arial" w:hAnsi="Arial" w:cs="Arial"/>
          <w:sz w:val="24"/>
        </w:rPr>
        <w:t>Standard Ministerstva financí  k provozování loterií a jiných podobných her podle zákona č. 202/1990</w:t>
      </w:r>
      <w:r w:rsidRPr="001A5849">
        <w:rPr>
          <w:rFonts w:ascii="Arial" w:hAnsi="Arial" w:cs="Arial"/>
          <w:sz w:val="24"/>
        </w:rPr>
        <w:t xml:space="preserve"> Sb.,  ve znění pozdějších předpisů (loterní zákon),  prostře</w:t>
      </w:r>
      <w:r w:rsidR="001909AD" w:rsidRPr="001A5849">
        <w:rPr>
          <w:rFonts w:ascii="Arial" w:hAnsi="Arial" w:cs="Arial"/>
          <w:sz w:val="24"/>
        </w:rPr>
        <w:t>dnictvím veřejné sítě Internet</w:t>
      </w:r>
      <w:r w:rsidRPr="001A5849">
        <w:rPr>
          <w:rFonts w:ascii="Arial" w:hAnsi="Arial" w:cs="Arial"/>
          <w:sz w:val="24"/>
        </w:rPr>
        <w:t>.</w:t>
      </w:r>
    </w:p>
    <w:p w14:paraId="79006EF0" w14:textId="0610FE66" w:rsidR="001A5849" w:rsidRDefault="00D66905" w:rsidP="002E2403">
      <w:pPr>
        <w:pStyle w:val="Odstavecseseznamem"/>
        <w:numPr>
          <w:ilvl w:val="0"/>
          <w:numId w:val="22"/>
        </w:numPr>
        <w:jc w:val="both"/>
        <w:rPr>
          <w:rFonts w:ascii="Arial" w:hAnsi="Arial" w:cs="Arial"/>
          <w:sz w:val="24"/>
        </w:rPr>
      </w:pPr>
      <w:r w:rsidRPr="00603BA2">
        <w:rPr>
          <w:rFonts w:ascii="Arial" w:hAnsi="Arial" w:cs="Arial"/>
          <w:sz w:val="24"/>
        </w:rPr>
        <w:t>Stanovisko</w:t>
      </w:r>
      <w:r w:rsidR="008D43D0">
        <w:rPr>
          <w:rFonts w:ascii="Arial" w:hAnsi="Arial" w:cs="Arial"/>
          <w:sz w:val="24"/>
        </w:rPr>
        <w:t xml:space="preserve"> Ministerstva financí</w:t>
      </w:r>
      <w:r w:rsidRPr="00603BA2">
        <w:rPr>
          <w:rFonts w:ascii="Arial" w:hAnsi="Arial" w:cs="Arial"/>
          <w:sz w:val="24"/>
        </w:rPr>
        <w:t xml:space="preserve"> k problematice výplaty výhry v případě hazardních her </w:t>
      </w:r>
      <w:r w:rsidR="001A5849">
        <w:rPr>
          <w:rFonts w:ascii="Arial" w:hAnsi="Arial" w:cs="Arial"/>
          <w:sz w:val="24"/>
        </w:rPr>
        <w:t>se zřízeným uživatelským kontem č</w:t>
      </w:r>
      <w:r w:rsidR="001A5849" w:rsidRPr="001A5849">
        <w:rPr>
          <w:rFonts w:ascii="Arial" w:hAnsi="Arial" w:cs="Arial"/>
          <w:sz w:val="24"/>
        </w:rPr>
        <w:t xml:space="preserve">. j. MF-1497/2021/7302-2 ze dne </w:t>
      </w:r>
      <w:r w:rsidR="001A5849">
        <w:rPr>
          <w:rFonts w:ascii="Arial" w:hAnsi="Arial" w:cs="Arial"/>
          <w:sz w:val="24"/>
        </w:rPr>
        <w:t>5</w:t>
      </w:r>
      <w:r w:rsidR="001A5849" w:rsidRPr="001A5849">
        <w:rPr>
          <w:rFonts w:ascii="Arial" w:hAnsi="Arial" w:cs="Arial"/>
          <w:sz w:val="24"/>
        </w:rPr>
        <w:t>.</w:t>
      </w:r>
      <w:r w:rsidR="001A5849">
        <w:rPr>
          <w:rFonts w:ascii="Arial" w:hAnsi="Arial" w:cs="Arial"/>
          <w:sz w:val="24"/>
        </w:rPr>
        <w:t xml:space="preserve"> 3. </w:t>
      </w:r>
      <w:r w:rsidR="001A5849" w:rsidRPr="001A5849">
        <w:rPr>
          <w:rFonts w:ascii="Arial" w:hAnsi="Arial" w:cs="Arial"/>
          <w:sz w:val="24"/>
        </w:rPr>
        <w:t xml:space="preserve">2021: </w:t>
      </w:r>
      <w:r w:rsidR="002E2403" w:rsidRPr="002E2403">
        <w:rPr>
          <w:rFonts w:ascii="Arial" w:hAnsi="Arial" w:cs="Arial"/>
          <w:sz w:val="24"/>
        </w:rPr>
        <w:t>https://www.mfcr.cz/assets/cs/media/2021-03-05_Stanovisko-k-problematice-vyplaty-vyhry-v1.pdf</w:t>
      </w:r>
      <w:r w:rsidR="002E2403">
        <w:rPr>
          <w:rFonts w:ascii="Arial" w:hAnsi="Arial" w:cs="Arial"/>
          <w:sz w:val="24"/>
        </w:rPr>
        <w:t>.</w:t>
      </w:r>
    </w:p>
    <w:p w14:paraId="15FC0955" w14:textId="084A104A" w:rsidR="00D66905" w:rsidRDefault="00D66905" w:rsidP="00A50404">
      <w:pPr>
        <w:pStyle w:val="Odstavecseseznamem"/>
        <w:numPr>
          <w:ilvl w:val="0"/>
          <w:numId w:val="22"/>
        </w:numPr>
        <w:ind w:left="714" w:hanging="357"/>
        <w:jc w:val="both"/>
        <w:rPr>
          <w:rFonts w:ascii="Arial" w:hAnsi="Arial" w:cs="Arial"/>
          <w:sz w:val="24"/>
        </w:rPr>
      </w:pPr>
      <w:r w:rsidRPr="008C10E9">
        <w:rPr>
          <w:rFonts w:ascii="Arial" w:hAnsi="Arial" w:cs="Arial"/>
          <w:sz w:val="24"/>
        </w:rPr>
        <w:t xml:space="preserve">Stanovisko Ministerstva financí </w:t>
      </w:r>
      <w:r w:rsidR="00A50404">
        <w:rPr>
          <w:rFonts w:ascii="Arial" w:hAnsi="Arial" w:cs="Arial"/>
          <w:sz w:val="24"/>
        </w:rPr>
        <w:t xml:space="preserve">k označení kasina </w:t>
      </w:r>
      <w:r w:rsidR="00A50404" w:rsidRPr="00A50404">
        <w:rPr>
          <w:rFonts w:ascii="Arial" w:hAnsi="Arial" w:cs="Arial"/>
          <w:sz w:val="24"/>
        </w:rPr>
        <w:t xml:space="preserve">č. j.: MF-30513/2016/3402-22 </w:t>
      </w:r>
      <w:r w:rsidRPr="008C10E9">
        <w:rPr>
          <w:rFonts w:ascii="Arial" w:hAnsi="Arial" w:cs="Arial"/>
          <w:sz w:val="24"/>
        </w:rPr>
        <w:t xml:space="preserve">ze dne 16. 11. </w:t>
      </w:r>
      <w:r w:rsidR="00A50404">
        <w:rPr>
          <w:rFonts w:ascii="Arial" w:hAnsi="Arial" w:cs="Arial"/>
          <w:sz w:val="24"/>
        </w:rPr>
        <w:t xml:space="preserve">2017: </w:t>
      </w:r>
      <w:hyperlink r:id="rId67" w:history="1">
        <w:r w:rsidR="00A50404" w:rsidRPr="00A50404">
          <w:rPr>
            <w:rFonts w:ascii="Arial" w:hAnsi="Arial" w:cs="Arial"/>
            <w:sz w:val="24"/>
          </w:rPr>
          <w:t>https://www.mfcr.cz/assets/cs/media/2017-11-16_Stanovisko-k-oznaceni-kasina.pdf</w:t>
        </w:r>
      </w:hyperlink>
      <w:r w:rsidR="00A50404">
        <w:rPr>
          <w:rFonts w:ascii="Arial" w:hAnsi="Arial" w:cs="Arial"/>
          <w:sz w:val="24"/>
        </w:rPr>
        <w:t>.</w:t>
      </w:r>
    </w:p>
    <w:p w14:paraId="00FEBB81" w14:textId="77777777" w:rsidR="00D66905" w:rsidRDefault="00D66905" w:rsidP="00D66905">
      <w:pPr>
        <w:pStyle w:val="Odstavecseseznamem"/>
        <w:numPr>
          <w:ilvl w:val="0"/>
          <w:numId w:val="22"/>
        </w:numPr>
        <w:ind w:left="714" w:hanging="357"/>
        <w:jc w:val="both"/>
        <w:rPr>
          <w:rFonts w:ascii="Arial" w:hAnsi="Arial" w:cs="Arial"/>
          <w:sz w:val="24"/>
        </w:rPr>
      </w:pPr>
      <w:r w:rsidRPr="008C10E9">
        <w:rPr>
          <w:rFonts w:ascii="Arial" w:hAnsi="Arial" w:cs="Arial"/>
          <w:sz w:val="24"/>
        </w:rPr>
        <w:t xml:space="preserve">Stanovisko Ministerstva financí č. j.: MF-18437/2018/3401-2 ze dne 11. 9. 2018 – viz </w:t>
      </w:r>
      <w:hyperlink r:id="rId68" w:history="1">
        <w:r w:rsidRPr="008C10E9">
          <w:rPr>
            <w:rFonts w:ascii="Arial" w:hAnsi="Arial" w:cs="Arial"/>
            <w:sz w:val="24"/>
          </w:rPr>
          <w:t>https://www.celnisprava.cz/cz/dalsi-kompetence/hazard/Documents/Stanoviska%20-%20Stanovisko%20MF%20k%20%C2%A7%2068%20z%C3%A1kona%20o%20hazardn%C3%ADch%20hr%C3%A1ch.pdf</w:t>
        </w:r>
      </w:hyperlink>
      <w:r w:rsidRPr="008C10E9">
        <w:rPr>
          <w:rFonts w:ascii="Arial" w:hAnsi="Arial" w:cs="Arial"/>
          <w:sz w:val="24"/>
        </w:rPr>
        <w:t>.</w:t>
      </w:r>
    </w:p>
    <w:p w14:paraId="275399DC" w14:textId="6BCA5C7D" w:rsidR="002E2403" w:rsidRDefault="00D66905" w:rsidP="00891E80">
      <w:pPr>
        <w:pStyle w:val="Odstavecseseznamem"/>
        <w:numPr>
          <w:ilvl w:val="0"/>
          <w:numId w:val="22"/>
        </w:numPr>
        <w:ind w:left="714" w:hanging="357"/>
        <w:jc w:val="both"/>
        <w:rPr>
          <w:rFonts w:ascii="Arial" w:hAnsi="Arial" w:cs="Arial"/>
          <w:sz w:val="24"/>
        </w:rPr>
      </w:pPr>
      <w:r w:rsidRPr="002E2403">
        <w:rPr>
          <w:rFonts w:ascii="Arial" w:hAnsi="Arial" w:cs="Arial"/>
          <w:sz w:val="24"/>
        </w:rPr>
        <w:t>Stanovisko Ministerstva financí</w:t>
      </w:r>
      <w:r w:rsidR="002E2403" w:rsidRPr="002E2403">
        <w:rPr>
          <w:rFonts w:ascii="Arial" w:hAnsi="Arial" w:cs="Arial"/>
          <w:sz w:val="24"/>
        </w:rPr>
        <w:t xml:space="preserve"> k doplnění stanoviska</w:t>
      </w:r>
      <w:r w:rsidR="002E2403">
        <w:rPr>
          <w:rFonts w:ascii="Arial" w:hAnsi="Arial" w:cs="Arial"/>
          <w:sz w:val="24"/>
        </w:rPr>
        <w:t xml:space="preserve"> k pojmu </w:t>
      </w:r>
      <w:r w:rsidR="002E2403" w:rsidRPr="002E2403">
        <w:rPr>
          <w:rFonts w:ascii="Arial" w:hAnsi="Arial" w:cs="Arial"/>
          <w:sz w:val="24"/>
        </w:rPr>
        <w:t>„hlavní činnost“</w:t>
      </w:r>
      <w:r w:rsidR="002E2403">
        <w:rPr>
          <w:rFonts w:ascii="Arial" w:hAnsi="Arial" w:cs="Arial"/>
          <w:sz w:val="24"/>
        </w:rPr>
        <w:t xml:space="preserve"> </w:t>
      </w:r>
      <w:r w:rsidRPr="002E2403">
        <w:rPr>
          <w:rFonts w:ascii="Arial" w:hAnsi="Arial" w:cs="Arial"/>
          <w:sz w:val="24"/>
        </w:rPr>
        <w:t>č. j.: MF-18437/</w:t>
      </w:r>
      <w:r w:rsidR="006617A4" w:rsidRPr="002E2403">
        <w:rPr>
          <w:rFonts w:ascii="Arial" w:hAnsi="Arial" w:cs="Arial"/>
          <w:sz w:val="24"/>
        </w:rPr>
        <w:t xml:space="preserve">2018/3401-5 ze dne 16. 11. 2018: </w:t>
      </w:r>
      <w:hyperlink r:id="rId69" w:history="1">
        <w:r w:rsidR="002E2403" w:rsidRPr="002E2403">
          <w:rPr>
            <w:rFonts w:ascii="Arial" w:hAnsi="Arial" w:cs="Arial"/>
            <w:sz w:val="24"/>
          </w:rPr>
          <w:t>https://www.mfcr.cz/assets/cs/media/2018-11-26_Doplneni-stanoviska-ziva-hra-v-kasinu-SS-68-ZHH.pdf</w:t>
        </w:r>
      </w:hyperlink>
      <w:r w:rsidR="002E2403">
        <w:rPr>
          <w:rFonts w:ascii="Arial" w:hAnsi="Arial" w:cs="Arial"/>
          <w:sz w:val="24"/>
        </w:rPr>
        <w:t>.</w:t>
      </w:r>
    </w:p>
    <w:p w14:paraId="12280B5D" w14:textId="0E1A7051" w:rsidR="00D66905" w:rsidRPr="002E2403" w:rsidRDefault="00D66905" w:rsidP="00891E80">
      <w:pPr>
        <w:pStyle w:val="Odstavecseseznamem"/>
        <w:numPr>
          <w:ilvl w:val="0"/>
          <w:numId w:val="22"/>
        </w:numPr>
        <w:ind w:left="714" w:hanging="357"/>
        <w:jc w:val="both"/>
        <w:rPr>
          <w:rFonts w:ascii="Arial" w:hAnsi="Arial" w:cs="Arial"/>
          <w:sz w:val="24"/>
        </w:rPr>
      </w:pPr>
      <w:r w:rsidRPr="002E2403">
        <w:rPr>
          <w:rFonts w:ascii="Arial" w:hAnsi="Arial" w:cs="Arial"/>
          <w:sz w:val="24"/>
        </w:rPr>
        <w:t>Stanovisko Ministerstva financí k právní povaze jednotlivých plnění poskytovaných v rámci provozování hazardních her</w:t>
      </w:r>
      <w:r w:rsidR="00CE2390" w:rsidRPr="002E2403">
        <w:rPr>
          <w:rFonts w:ascii="Arial" w:hAnsi="Arial" w:cs="Arial"/>
          <w:sz w:val="24"/>
        </w:rPr>
        <w:t xml:space="preserve"> č. j. MF-30513/2016/3402-</w:t>
      </w:r>
      <w:r w:rsidR="00CE2390" w:rsidRPr="002E2403">
        <w:rPr>
          <w:rFonts w:ascii="Arial" w:hAnsi="Arial" w:cs="Arial"/>
          <w:sz w:val="24"/>
        </w:rPr>
        <w:lastRenderedPageBreak/>
        <w:t>19 ze dne 25. 8. 201</w:t>
      </w:r>
      <w:r w:rsidRPr="002E2403">
        <w:rPr>
          <w:rFonts w:ascii="Arial" w:hAnsi="Arial" w:cs="Arial"/>
          <w:sz w:val="24"/>
        </w:rPr>
        <w:t>.</w:t>
      </w:r>
      <w:r w:rsidR="006617A4" w:rsidRPr="002E2403">
        <w:rPr>
          <w:rFonts w:ascii="Arial" w:hAnsi="Arial" w:cs="Arial"/>
          <w:sz w:val="24"/>
        </w:rPr>
        <w:t xml:space="preserve">: </w:t>
      </w:r>
      <w:hyperlink r:id="rId70" w:history="1">
        <w:r w:rsidR="006617A4" w:rsidRPr="002E2403">
          <w:rPr>
            <w:rFonts w:ascii="Arial" w:hAnsi="Arial" w:cs="Arial"/>
            <w:sz w:val="24"/>
          </w:rPr>
          <w:t>https://www.google.com/url?sa=t&amp;rct=j&amp;q=&amp;esrc=s&amp;source=web&amp;cd=&amp;ved=2ahUKEwi28sKxxfbwAhWYuKQKHb_WAdMQFjAAegQIAxAD&amp;url=https%3A%2F%2Fwww.mfcr.cz%2Fassets%2Fcs%2Fmedia%2F2017-08-25_Stanovisko-k-pravni-povaze-plneni-v-ramci-provozovani-hazardnich-her.pdf&amp;usg=AOvVaw2-Pl_Tiivpamv7gJN4H_iG</w:t>
        </w:r>
      </w:hyperlink>
      <w:r w:rsidR="00CE2390" w:rsidRPr="002E2403">
        <w:rPr>
          <w:rFonts w:ascii="Arial" w:hAnsi="Arial" w:cs="Arial"/>
          <w:sz w:val="24"/>
        </w:rPr>
        <w:t>.</w:t>
      </w:r>
    </w:p>
    <w:p w14:paraId="6A990783" w14:textId="225EC2E9" w:rsidR="008D43D0" w:rsidRDefault="00D66905" w:rsidP="008D43D0">
      <w:pPr>
        <w:pStyle w:val="Odstavecseseznamem"/>
        <w:numPr>
          <w:ilvl w:val="0"/>
          <w:numId w:val="22"/>
        </w:numPr>
        <w:ind w:left="714" w:hanging="357"/>
        <w:jc w:val="both"/>
        <w:rPr>
          <w:rFonts w:ascii="Arial" w:hAnsi="Arial" w:cs="Arial"/>
          <w:sz w:val="24"/>
        </w:rPr>
      </w:pPr>
      <w:r w:rsidRPr="00603BA2">
        <w:rPr>
          <w:rFonts w:ascii="Arial" w:hAnsi="Arial" w:cs="Arial"/>
          <w:sz w:val="24"/>
        </w:rPr>
        <w:t xml:space="preserve">Stanovisko </w:t>
      </w:r>
      <w:r w:rsidR="00CE2390">
        <w:rPr>
          <w:rFonts w:ascii="Arial" w:hAnsi="Arial" w:cs="Arial"/>
          <w:sz w:val="24"/>
        </w:rPr>
        <w:t>Ministerstva financí</w:t>
      </w:r>
      <w:r w:rsidR="008D43D0">
        <w:rPr>
          <w:rFonts w:ascii="Arial" w:hAnsi="Arial" w:cs="Arial"/>
          <w:sz w:val="24"/>
        </w:rPr>
        <w:t xml:space="preserve"> č. j. </w:t>
      </w:r>
      <w:r w:rsidR="008D43D0" w:rsidRPr="008D43D0">
        <w:rPr>
          <w:rFonts w:ascii="Arial" w:hAnsi="Arial" w:cs="Arial"/>
          <w:sz w:val="24"/>
        </w:rPr>
        <w:t>MF-30513/2016/3402-28</w:t>
      </w:r>
      <w:r w:rsidR="008D43D0">
        <w:rPr>
          <w:rFonts w:ascii="Arial" w:hAnsi="Arial" w:cs="Arial"/>
          <w:sz w:val="24"/>
        </w:rPr>
        <w:t xml:space="preserve"> ze dne 1. 11. 2018: </w:t>
      </w:r>
      <w:r w:rsidR="008D43D0" w:rsidRPr="008D43D0">
        <w:rPr>
          <w:rFonts w:ascii="Arial" w:hAnsi="Arial" w:cs="Arial"/>
          <w:sz w:val="24"/>
        </w:rPr>
        <w:t>https://www.mfcr.cz/assets/cs/media/2018-11-01_Stanovisko-identifikace-a-registrace.pdf</w:t>
      </w:r>
      <w:r w:rsidR="008D43D0">
        <w:rPr>
          <w:rFonts w:ascii="Arial" w:hAnsi="Arial" w:cs="Arial"/>
          <w:sz w:val="24"/>
        </w:rPr>
        <w:t>.</w:t>
      </w:r>
    </w:p>
    <w:p w14:paraId="046DE90F" w14:textId="207237F3" w:rsidR="008D43D0" w:rsidRDefault="00D66905" w:rsidP="008D43D0">
      <w:pPr>
        <w:pStyle w:val="Odstavecseseznamem"/>
        <w:numPr>
          <w:ilvl w:val="0"/>
          <w:numId w:val="22"/>
        </w:numPr>
        <w:ind w:left="714" w:hanging="357"/>
        <w:jc w:val="both"/>
        <w:rPr>
          <w:rFonts w:ascii="Arial" w:hAnsi="Arial" w:cs="Arial"/>
          <w:sz w:val="24"/>
        </w:rPr>
      </w:pPr>
      <w:r w:rsidRPr="00184741">
        <w:rPr>
          <w:rFonts w:ascii="Arial" w:hAnsi="Arial" w:cs="Arial"/>
          <w:sz w:val="24"/>
        </w:rPr>
        <w:t xml:space="preserve">Stanovisko </w:t>
      </w:r>
      <w:r w:rsidR="008D43D0">
        <w:rPr>
          <w:rFonts w:ascii="Arial" w:hAnsi="Arial" w:cs="Arial"/>
          <w:sz w:val="24"/>
        </w:rPr>
        <w:t xml:space="preserve">Ministerstva financí </w:t>
      </w:r>
      <w:r w:rsidRPr="00184741">
        <w:rPr>
          <w:rFonts w:ascii="Arial" w:hAnsi="Arial" w:cs="Arial"/>
          <w:sz w:val="24"/>
        </w:rPr>
        <w:t>k možnosti provoz</w:t>
      </w:r>
      <w:r w:rsidR="008D43D0">
        <w:rPr>
          <w:rFonts w:ascii="Arial" w:hAnsi="Arial" w:cs="Arial"/>
          <w:sz w:val="24"/>
        </w:rPr>
        <w:t>ování tzv. „live dealer games“ č. j. MF</w:t>
      </w:r>
      <w:r w:rsidR="008D43D0">
        <w:rPr>
          <w:rFonts w:ascii="Arial" w:hAnsi="Arial" w:cs="Arial"/>
          <w:sz w:val="24"/>
        </w:rPr>
        <w:noBreakHyphen/>
        <w:t xml:space="preserve">30513/2016/3402-5 ze dne 22. 9. 2016: </w:t>
      </w:r>
      <w:hyperlink r:id="rId71" w:history="1">
        <w:r w:rsidR="008D43D0" w:rsidRPr="008D43D0">
          <w:rPr>
            <w:rFonts w:ascii="Arial" w:hAnsi="Arial" w:cs="Arial"/>
            <w:sz w:val="24"/>
          </w:rPr>
          <w:t>https://www.google.com/url?sa=t&amp;rct=j&amp;q=&amp;esrc=s&amp;source=web&amp;cd=&amp;ved=2ahUKEwi_rfitxvbwAhWRtqQKHaFpA_YQFjAAegQIAhAF&amp;url=https%3A%2F%2Fwww.mfcr.cz%2Fassets%2Fcs%2Fmedia%2F2016-09-22_Stanovisko-k-provozovani-tzv-LIVE-DEALER-GAMES.pdf&amp;usg=AOvVaw3yJx1l1AZcOtDub0rL4eKz</w:t>
        </w:r>
      </w:hyperlink>
      <w:r w:rsidR="008D43D0">
        <w:rPr>
          <w:rFonts w:ascii="Arial" w:hAnsi="Arial" w:cs="Arial"/>
          <w:sz w:val="24"/>
        </w:rPr>
        <w:t>.</w:t>
      </w:r>
    </w:p>
    <w:p w14:paraId="4E0965DA" w14:textId="34DF4B7C" w:rsidR="00D66905" w:rsidRDefault="00D66905" w:rsidP="008D43D0">
      <w:pPr>
        <w:pStyle w:val="Odstavecseseznamem"/>
        <w:numPr>
          <w:ilvl w:val="0"/>
          <w:numId w:val="22"/>
        </w:numPr>
        <w:ind w:left="714" w:hanging="357"/>
        <w:jc w:val="both"/>
        <w:rPr>
          <w:rFonts w:ascii="Arial" w:hAnsi="Arial" w:cs="Arial"/>
          <w:sz w:val="24"/>
        </w:rPr>
      </w:pPr>
      <w:r w:rsidRPr="00603BA2">
        <w:rPr>
          <w:rFonts w:ascii="Arial" w:hAnsi="Arial" w:cs="Arial"/>
          <w:sz w:val="24"/>
        </w:rPr>
        <w:t xml:space="preserve">Stanovisko </w:t>
      </w:r>
      <w:r w:rsidR="008D43D0">
        <w:rPr>
          <w:rFonts w:ascii="Arial" w:hAnsi="Arial" w:cs="Arial"/>
          <w:sz w:val="24"/>
        </w:rPr>
        <w:t xml:space="preserve">Ministerstva financí </w:t>
      </w:r>
      <w:r w:rsidRPr="00603BA2">
        <w:rPr>
          <w:rFonts w:ascii="Arial" w:hAnsi="Arial" w:cs="Arial"/>
          <w:sz w:val="24"/>
        </w:rPr>
        <w:t>k právní povaze jednotlivých plnění poskytovaných v rámci provozování hazar</w:t>
      </w:r>
      <w:r w:rsidR="008D43D0">
        <w:rPr>
          <w:rFonts w:ascii="Arial" w:hAnsi="Arial" w:cs="Arial"/>
          <w:sz w:val="24"/>
        </w:rPr>
        <w:t xml:space="preserve">dních her a v souvislosti s ním </w:t>
      </w:r>
      <w:r w:rsidR="008D43D0" w:rsidRPr="008D43D0">
        <w:rPr>
          <w:rFonts w:ascii="Arial" w:hAnsi="Arial" w:cs="Arial"/>
          <w:sz w:val="24"/>
        </w:rPr>
        <w:t>č. j.:</w:t>
      </w:r>
      <w:r w:rsidR="002E2403">
        <w:rPr>
          <w:rFonts w:ascii="Arial" w:hAnsi="Arial" w:cs="Arial"/>
          <w:sz w:val="24"/>
        </w:rPr>
        <w:t xml:space="preserve"> </w:t>
      </w:r>
      <w:r w:rsidR="008D43D0" w:rsidRPr="008D43D0">
        <w:rPr>
          <w:rFonts w:ascii="Arial" w:hAnsi="Arial" w:cs="Arial"/>
          <w:sz w:val="24"/>
        </w:rPr>
        <w:t>MF-30513/2016/3402-19 ze dne 25. 8. 2017:</w:t>
      </w:r>
      <w:r w:rsidR="002E2403">
        <w:rPr>
          <w:rFonts w:ascii="Arial" w:hAnsi="Arial" w:cs="Arial"/>
          <w:sz w:val="24"/>
        </w:rPr>
        <w:t xml:space="preserve"> </w:t>
      </w:r>
      <w:r w:rsidR="008D43D0" w:rsidRPr="008D43D0">
        <w:rPr>
          <w:rFonts w:ascii="Arial" w:hAnsi="Arial" w:cs="Arial"/>
          <w:sz w:val="24"/>
        </w:rPr>
        <w:t>https://www.google.com/url?sa=t&amp;rct=j&amp;q=&amp;esrc=s&amp;source=web&amp;cd=&amp;cad=rja&amp;uact=8&amp;ved=2ahUKEwilioP8xvbwAhWCzKQKHf7EAJ8QFjAAegQIAhAF&amp;url=https%3A%2F%2Fwww.mfcr.cz%2Fassets%2Fcs%2Fmedia%2F2017-08-25_Stanovisko-k-pravni-povaze-plneni-v-ramci-provozovani-hazardnich-her.pdf&amp;usg=AOvVaw2-Pl_Tiivpamv7gJN4H_iG</w:t>
      </w:r>
      <w:r w:rsidR="008D43D0">
        <w:rPr>
          <w:rFonts w:ascii="Arial" w:hAnsi="Arial" w:cs="Arial"/>
          <w:sz w:val="24"/>
        </w:rPr>
        <w:t>.</w:t>
      </w:r>
    </w:p>
    <w:p w14:paraId="4AE8E033" w14:textId="69DC7FFB" w:rsidR="0001435E" w:rsidRPr="00AC0254" w:rsidRDefault="0001435E" w:rsidP="00322D25">
      <w:pPr>
        <w:pStyle w:val="Odstavecseseznamem"/>
        <w:numPr>
          <w:ilvl w:val="0"/>
          <w:numId w:val="22"/>
        </w:numPr>
        <w:jc w:val="both"/>
        <w:rPr>
          <w:rFonts w:ascii="Arial" w:hAnsi="Arial" w:cs="Arial"/>
          <w:sz w:val="24"/>
          <w:szCs w:val="24"/>
        </w:rPr>
      </w:pPr>
      <w:r w:rsidRPr="00CF1A01">
        <w:rPr>
          <w:rFonts w:ascii="Arial" w:hAnsi="Arial" w:cs="Arial"/>
          <w:sz w:val="24"/>
          <w:szCs w:val="24"/>
        </w:rPr>
        <w:t>Stanovisko G</w:t>
      </w:r>
      <w:r>
        <w:rPr>
          <w:rFonts w:ascii="Arial" w:hAnsi="Arial" w:cs="Arial"/>
          <w:sz w:val="24"/>
          <w:szCs w:val="24"/>
        </w:rPr>
        <w:t>enerálního ředitelství cel</w:t>
      </w:r>
      <w:r w:rsidRPr="00CF1A01">
        <w:rPr>
          <w:rFonts w:ascii="Arial" w:hAnsi="Arial" w:cs="Arial"/>
          <w:sz w:val="24"/>
          <w:szCs w:val="24"/>
        </w:rPr>
        <w:t xml:space="preserve"> </w:t>
      </w:r>
      <w:r w:rsidR="00156380">
        <w:rPr>
          <w:rFonts w:ascii="Arial" w:hAnsi="Arial" w:cs="Arial"/>
          <w:sz w:val="24"/>
          <w:szCs w:val="24"/>
        </w:rPr>
        <w:t>k </w:t>
      </w:r>
      <w:r w:rsidRPr="00CF1A01">
        <w:rPr>
          <w:rFonts w:ascii="Arial" w:hAnsi="Arial" w:cs="Arial"/>
          <w:sz w:val="24"/>
          <w:szCs w:val="24"/>
        </w:rPr>
        <w:t>problematice samo</w:t>
      </w:r>
      <w:r>
        <w:rPr>
          <w:rFonts w:ascii="Arial" w:hAnsi="Arial" w:cs="Arial"/>
          <w:sz w:val="24"/>
          <w:szCs w:val="24"/>
        </w:rPr>
        <w:t>statnosti a </w:t>
      </w:r>
      <w:r w:rsidRPr="00CF1A01">
        <w:rPr>
          <w:rFonts w:ascii="Arial" w:hAnsi="Arial" w:cs="Arial"/>
          <w:sz w:val="24"/>
          <w:szCs w:val="24"/>
        </w:rPr>
        <w:t>stavební oddělenosti herního prostoru definovaného v zákoně o hazar</w:t>
      </w:r>
      <w:r>
        <w:rPr>
          <w:rFonts w:ascii="Arial" w:hAnsi="Arial" w:cs="Arial"/>
          <w:sz w:val="24"/>
          <w:szCs w:val="24"/>
        </w:rPr>
        <w:t xml:space="preserve">dních hrách </w:t>
      </w:r>
      <w:r w:rsidR="00322D25" w:rsidRPr="00CF1A01">
        <w:rPr>
          <w:rFonts w:ascii="Arial" w:hAnsi="Arial" w:cs="Arial"/>
          <w:sz w:val="24"/>
          <w:szCs w:val="24"/>
        </w:rPr>
        <w:t>č.</w:t>
      </w:r>
      <w:r w:rsidR="00322D25">
        <w:rPr>
          <w:rFonts w:ascii="Arial" w:hAnsi="Arial" w:cs="Arial"/>
          <w:sz w:val="24"/>
          <w:szCs w:val="24"/>
        </w:rPr>
        <w:t xml:space="preserve"> </w:t>
      </w:r>
      <w:r w:rsidR="00322D25" w:rsidRPr="00CF1A01">
        <w:rPr>
          <w:rFonts w:ascii="Arial" w:hAnsi="Arial" w:cs="Arial"/>
          <w:sz w:val="24"/>
          <w:szCs w:val="24"/>
        </w:rPr>
        <w:t>j.: 42092/2018-900000-302</w:t>
      </w:r>
      <w:r w:rsidR="00322D25">
        <w:rPr>
          <w:rFonts w:ascii="Arial" w:hAnsi="Arial" w:cs="Arial"/>
          <w:sz w:val="24"/>
          <w:szCs w:val="24"/>
        </w:rPr>
        <w:t xml:space="preserve"> ze dne 30. 8. 2018: </w:t>
      </w:r>
      <w:r w:rsidR="00322D25" w:rsidRPr="00322D25">
        <w:rPr>
          <w:rFonts w:ascii="Arial" w:hAnsi="Arial" w:cs="Arial"/>
          <w:sz w:val="24"/>
          <w:szCs w:val="24"/>
        </w:rPr>
        <w:t>https://www.google.com/url?sa=t&amp;rct=j&amp;q=&amp;esrc=s&amp;source=web&amp;cd=&amp;cad=rja&amp;uact=8&amp;ved=2ahUKEwjEzoS2yPbwAhXpwQIHHSF2A30QFjAAegQIAhAF&amp;url=https%3A%2F%2Fwww.celnisprava.cz%2Fcz%2Fdalsi-kompetence%2Fhazard%2FDocuments%2FStanoviska%2520-%2520Stanovisko%2520k%2520problematice%2520samostatnosti%2520a%2520stavebn%25C3%25AD%2520odd%25C4%259Blitelnosti%2520hern%25C3%25ADho%2520prostoru.pdf&amp;usg=AOvVaw1VwNJnm-FFcQCgBpwI9yqd</w:t>
      </w:r>
      <w:r w:rsidR="00322D25">
        <w:rPr>
          <w:rFonts w:ascii="Arial" w:hAnsi="Arial" w:cs="Arial"/>
          <w:sz w:val="24"/>
          <w:szCs w:val="24"/>
        </w:rPr>
        <w:t>.</w:t>
      </w:r>
    </w:p>
    <w:p w14:paraId="4D85484D" w14:textId="1DE29407" w:rsidR="00322D25" w:rsidRPr="00322D25" w:rsidRDefault="0001435E" w:rsidP="00322D25">
      <w:pPr>
        <w:pStyle w:val="Odstavecseseznamem"/>
        <w:numPr>
          <w:ilvl w:val="0"/>
          <w:numId w:val="22"/>
        </w:numPr>
        <w:jc w:val="both"/>
        <w:rPr>
          <w:rFonts w:ascii="Arial" w:hAnsi="Arial" w:cs="Arial"/>
          <w:sz w:val="24"/>
          <w:szCs w:val="24"/>
        </w:rPr>
      </w:pPr>
      <w:r w:rsidRPr="00CF1A01">
        <w:rPr>
          <w:rFonts w:ascii="Arial" w:hAnsi="Arial" w:cs="Arial"/>
          <w:sz w:val="24"/>
          <w:szCs w:val="24"/>
        </w:rPr>
        <w:t>Stanovisko G</w:t>
      </w:r>
      <w:r>
        <w:rPr>
          <w:rFonts w:ascii="Arial" w:hAnsi="Arial" w:cs="Arial"/>
          <w:sz w:val="24"/>
          <w:szCs w:val="24"/>
        </w:rPr>
        <w:t>enerálního ředitelství cel</w:t>
      </w:r>
      <w:r w:rsidRPr="00CF1A01">
        <w:rPr>
          <w:rFonts w:ascii="Arial" w:hAnsi="Arial" w:cs="Arial"/>
          <w:sz w:val="24"/>
          <w:szCs w:val="24"/>
        </w:rPr>
        <w:t xml:space="preserve"> k </w:t>
      </w:r>
      <w:r w:rsidR="00156380">
        <w:rPr>
          <w:rFonts w:ascii="Arial" w:hAnsi="Arial" w:cs="Arial"/>
          <w:sz w:val="24"/>
          <w:szCs w:val="24"/>
        </w:rPr>
        <w:t>některým otázkám souvisejícím s </w:t>
      </w:r>
      <w:r w:rsidRPr="00CF1A01">
        <w:rPr>
          <w:rFonts w:ascii="Arial" w:hAnsi="Arial" w:cs="Arial"/>
          <w:sz w:val="24"/>
          <w:szCs w:val="24"/>
        </w:rPr>
        <w:t xml:space="preserve">regulací reklamy dle zákona o hazardních hrách </w:t>
      </w:r>
      <w:r w:rsidR="00322D25">
        <w:rPr>
          <w:rFonts w:ascii="Arial" w:hAnsi="Arial" w:cs="Arial"/>
          <w:sz w:val="24"/>
          <w:szCs w:val="24"/>
        </w:rPr>
        <w:t xml:space="preserve">sp. zn. </w:t>
      </w:r>
      <w:r w:rsidR="00322D25" w:rsidRPr="00322D25">
        <w:rPr>
          <w:rFonts w:ascii="Arial" w:hAnsi="Arial" w:cs="Arial"/>
          <w:sz w:val="24"/>
          <w:szCs w:val="24"/>
        </w:rPr>
        <w:t>54989/2018/90000-331.1 ze dne 4.</w:t>
      </w:r>
      <w:r w:rsidR="002E2403">
        <w:rPr>
          <w:rFonts w:ascii="Arial" w:hAnsi="Arial" w:cs="Arial"/>
          <w:sz w:val="24"/>
          <w:szCs w:val="24"/>
        </w:rPr>
        <w:t xml:space="preserve"> </w:t>
      </w:r>
      <w:r w:rsidR="00322D25" w:rsidRPr="00322D25">
        <w:rPr>
          <w:rFonts w:ascii="Arial" w:hAnsi="Arial" w:cs="Arial"/>
          <w:sz w:val="24"/>
          <w:szCs w:val="24"/>
        </w:rPr>
        <w:t>1</w:t>
      </w:r>
      <w:r w:rsidR="002E2403">
        <w:rPr>
          <w:rFonts w:ascii="Arial" w:hAnsi="Arial" w:cs="Arial"/>
          <w:sz w:val="24"/>
          <w:szCs w:val="24"/>
        </w:rPr>
        <w:t>.</w:t>
      </w:r>
      <w:r w:rsidR="00322D25" w:rsidRPr="00322D25">
        <w:rPr>
          <w:rFonts w:ascii="Arial" w:hAnsi="Arial" w:cs="Arial"/>
          <w:sz w:val="24"/>
          <w:szCs w:val="24"/>
        </w:rPr>
        <w:t xml:space="preserve"> 2019: https://www.celnisprava.cz/cz/dalsi-kompetence/hazard/Documents/Stanoviska%20-%20Stanovisko%20k%20n%C4%9Bkter%C3%BDm%20ot%C3%A1zk%C3%A1m%20souvisej%C3%ADc%C3%ADm%20s%20regulac%C3%AD%20reklamy%20dle%20z%C3%A1kona%20o%20hazardn%C3%ADch%20hr%C3%A1ch.pdf.</w:t>
      </w:r>
    </w:p>
    <w:p w14:paraId="5AE0092A" w14:textId="7FE239FF" w:rsidR="0001435E" w:rsidRPr="00CF1A01" w:rsidRDefault="0001435E" w:rsidP="0001435E">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Stanovisko </w:t>
      </w:r>
      <w:r w:rsidRPr="00CF1A01">
        <w:rPr>
          <w:rFonts w:ascii="Arial" w:hAnsi="Arial" w:cs="Arial"/>
          <w:sz w:val="24"/>
          <w:szCs w:val="24"/>
        </w:rPr>
        <w:t>G</w:t>
      </w:r>
      <w:r>
        <w:rPr>
          <w:rFonts w:ascii="Arial" w:hAnsi="Arial" w:cs="Arial"/>
          <w:sz w:val="24"/>
          <w:szCs w:val="24"/>
        </w:rPr>
        <w:t>enerálního ředitelství cel</w:t>
      </w:r>
      <w:r w:rsidRPr="00CF1A01">
        <w:rPr>
          <w:rFonts w:ascii="Arial" w:hAnsi="Arial" w:cs="Arial"/>
          <w:sz w:val="24"/>
          <w:szCs w:val="24"/>
        </w:rPr>
        <w:t xml:space="preserve"> </w:t>
      </w:r>
      <w:r>
        <w:rPr>
          <w:rFonts w:ascii="Arial" w:hAnsi="Arial" w:cs="Arial"/>
          <w:sz w:val="24"/>
          <w:szCs w:val="24"/>
        </w:rPr>
        <w:t>sp.</w:t>
      </w:r>
      <w:r w:rsidRPr="00CF1A01">
        <w:rPr>
          <w:rFonts w:ascii="Arial" w:hAnsi="Arial" w:cs="Arial"/>
          <w:sz w:val="24"/>
          <w:szCs w:val="24"/>
        </w:rPr>
        <w:t xml:space="preserve"> zn.: 51033-2/2018/900000-331.1 ze dne 18. 2. 2019 viz </w:t>
      </w:r>
      <w:hyperlink r:id="rId72" w:history="1">
        <w:r w:rsidRPr="00CF1A01">
          <w:rPr>
            <w:rFonts w:ascii="Arial" w:hAnsi="Arial" w:cs="Arial"/>
            <w:sz w:val="24"/>
            <w:szCs w:val="24"/>
          </w:rPr>
          <w:t>https://www.celnisprava.cz/cz/dalsi-kompetence/hazard/Documents/Stanoviska%20-%20Odpov%C4%9B%C4%8F%20k%20dopl%C5%88uj%C3%ADc%C3%ADm%20dotaz%C5%AFm%20k%20ustanoven%C3%AD%20%C2%A7%2068%20z%C3%A1kona%20o%20hazardn%C3%ADch%20hr%C3%A1ch.pdf</w:t>
        </w:r>
      </w:hyperlink>
      <w:r w:rsidRPr="00CF1A01">
        <w:rPr>
          <w:rFonts w:ascii="Arial" w:hAnsi="Arial" w:cs="Arial"/>
          <w:sz w:val="24"/>
          <w:szCs w:val="24"/>
        </w:rPr>
        <w:t>.</w:t>
      </w:r>
    </w:p>
    <w:p w14:paraId="5FCC6EBE" w14:textId="77777777" w:rsidR="0001435E" w:rsidRDefault="0001435E" w:rsidP="0001435E">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Stanovisko </w:t>
      </w:r>
      <w:r w:rsidRPr="00CF1A01">
        <w:rPr>
          <w:rFonts w:ascii="Arial" w:hAnsi="Arial" w:cs="Arial"/>
          <w:sz w:val="24"/>
          <w:szCs w:val="24"/>
        </w:rPr>
        <w:t>Legislativní rady vlády k návrhu zákona o dani z hazardních her.</w:t>
      </w:r>
    </w:p>
    <w:p w14:paraId="6021D467" w14:textId="4D0F2C7C" w:rsidR="00322D25" w:rsidRPr="00322D25" w:rsidRDefault="00D66905" w:rsidP="00322D25">
      <w:pPr>
        <w:pStyle w:val="Odstavecseseznamem"/>
        <w:numPr>
          <w:ilvl w:val="0"/>
          <w:numId w:val="22"/>
        </w:numPr>
        <w:ind w:left="714" w:hanging="357"/>
        <w:jc w:val="both"/>
        <w:rPr>
          <w:rFonts w:ascii="Arial" w:hAnsi="Arial" w:cs="Arial"/>
          <w:sz w:val="24"/>
          <w:szCs w:val="24"/>
        </w:rPr>
      </w:pPr>
      <w:r w:rsidRPr="00FD559C">
        <w:rPr>
          <w:rFonts w:ascii="Arial" w:hAnsi="Arial" w:cs="Arial"/>
          <w:sz w:val="24"/>
          <w:szCs w:val="24"/>
        </w:rPr>
        <w:lastRenderedPageBreak/>
        <w:t xml:space="preserve">Výkladové stanovisko k  </w:t>
      </w:r>
      <w:r w:rsidR="00322D25">
        <w:rPr>
          <w:rFonts w:ascii="Arial" w:hAnsi="Arial" w:cs="Arial"/>
          <w:sz w:val="24"/>
          <w:szCs w:val="24"/>
        </w:rPr>
        <w:t xml:space="preserve">§ 17 zákona o hazardních hrách </w:t>
      </w:r>
      <w:r w:rsidR="00322D25" w:rsidRPr="00322D25">
        <w:rPr>
          <w:rFonts w:ascii="Arial" w:hAnsi="Arial" w:cs="Arial"/>
          <w:sz w:val="24"/>
          <w:szCs w:val="24"/>
        </w:rPr>
        <w:t xml:space="preserve">Č. j. MF-28838/2020/73-2 ze dne 6. 11. 2020: </w:t>
      </w:r>
      <w:hyperlink r:id="rId73" w:history="1">
        <w:r w:rsidR="00322D25" w:rsidRPr="00322D25">
          <w:rPr>
            <w:rFonts w:ascii="Arial" w:hAnsi="Arial" w:cs="Arial"/>
            <w:sz w:val="24"/>
            <w:szCs w:val="24"/>
          </w:rPr>
          <w:t>https://www.mfcr.cz/assets/cs/media/2020-11-06_Stanovisko-k-vykladu-17-ZHH-1-0.pdf</w:t>
        </w:r>
      </w:hyperlink>
      <w:r w:rsidR="002E2403">
        <w:rPr>
          <w:rFonts w:ascii="Arial" w:hAnsi="Arial" w:cs="Arial"/>
          <w:sz w:val="24"/>
          <w:szCs w:val="24"/>
        </w:rPr>
        <w:t>.</w:t>
      </w:r>
    </w:p>
    <w:p w14:paraId="567B3B3C" w14:textId="77777777" w:rsidR="007577DE" w:rsidRPr="00FD559C" w:rsidRDefault="007577DE" w:rsidP="00FD559C">
      <w:pPr>
        <w:pStyle w:val="Odstavecseseznamem"/>
        <w:numPr>
          <w:ilvl w:val="0"/>
          <w:numId w:val="22"/>
        </w:numPr>
        <w:ind w:left="714" w:hanging="357"/>
        <w:jc w:val="both"/>
        <w:rPr>
          <w:rFonts w:ascii="Arial" w:hAnsi="Arial" w:cs="Arial"/>
          <w:sz w:val="24"/>
          <w:szCs w:val="24"/>
        </w:rPr>
      </w:pPr>
      <w:r w:rsidRPr="00FD559C">
        <w:rPr>
          <w:rFonts w:ascii="Arial" w:hAnsi="Arial" w:cs="Arial"/>
          <w:sz w:val="24"/>
          <w:szCs w:val="24"/>
        </w:rPr>
        <w:t>Vyjádření Ministerstva vnitra k účinkům rozhodnutí č. j. MF</w:t>
      </w:r>
      <w:r w:rsidRPr="00FD559C">
        <w:rPr>
          <w:rFonts w:ascii="Arial" w:hAnsi="Arial" w:cs="Arial"/>
          <w:sz w:val="24"/>
          <w:szCs w:val="24"/>
        </w:rPr>
        <w:noBreakHyphen/>
        <w:t xml:space="preserve">11197/2021/73-2 ze dne 30. 3. 2021. </w:t>
      </w:r>
    </w:p>
    <w:p w14:paraId="50549FF3" w14:textId="77777777" w:rsidR="008C4CEB" w:rsidRDefault="008C4CEB" w:rsidP="00FD559C">
      <w:pPr>
        <w:pStyle w:val="Odstavecseseznamem"/>
        <w:numPr>
          <w:ilvl w:val="0"/>
          <w:numId w:val="22"/>
        </w:numPr>
        <w:ind w:left="714" w:hanging="357"/>
        <w:jc w:val="both"/>
        <w:rPr>
          <w:rFonts w:ascii="Arial" w:hAnsi="Arial" w:cs="Arial"/>
          <w:sz w:val="24"/>
          <w:szCs w:val="24"/>
        </w:rPr>
      </w:pPr>
      <w:r>
        <w:rPr>
          <w:rFonts w:ascii="Arial" w:hAnsi="Arial" w:cs="Arial"/>
          <w:sz w:val="24"/>
          <w:szCs w:val="24"/>
        </w:rPr>
        <w:t>Závěr č. 62 ze zasedání poradního sboru ministra vnitra ke správnímu řádu ze dne 26. 11. 2007 - Vymezení předmětu správního řízení.</w:t>
      </w:r>
    </w:p>
    <w:p w14:paraId="35DAB63B" w14:textId="77777777" w:rsidR="008C4CEB" w:rsidRPr="00106CB0" w:rsidRDefault="008C4CEB" w:rsidP="008C4CEB">
      <w:pPr>
        <w:pStyle w:val="Odstavecseseznamem"/>
        <w:numPr>
          <w:ilvl w:val="0"/>
          <w:numId w:val="22"/>
        </w:numPr>
        <w:jc w:val="both"/>
        <w:rPr>
          <w:rFonts w:ascii="Arial" w:hAnsi="Arial" w:cs="Arial"/>
          <w:sz w:val="24"/>
          <w:szCs w:val="24"/>
        </w:rPr>
      </w:pPr>
      <w:r w:rsidRPr="00106CB0">
        <w:rPr>
          <w:rFonts w:ascii="Arial" w:hAnsi="Arial" w:cs="Arial"/>
          <w:sz w:val="24"/>
          <w:szCs w:val="24"/>
        </w:rPr>
        <w:t>Závěr č. 145 ze zasedání poradního sboru ministra vnitra ke správnímu řádu ze dne 16. října 2015.</w:t>
      </w:r>
    </w:p>
    <w:p w14:paraId="356F60F0" w14:textId="77777777" w:rsidR="008C4CEB" w:rsidRPr="00106CB0" w:rsidRDefault="008C4CEB" w:rsidP="008C4CEB">
      <w:pPr>
        <w:pStyle w:val="Odstavecseseznamem"/>
        <w:numPr>
          <w:ilvl w:val="0"/>
          <w:numId w:val="22"/>
        </w:numPr>
        <w:jc w:val="both"/>
        <w:rPr>
          <w:rFonts w:ascii="Arial" w:hAnsi="Arial" w:cs="Arial"/>
          <w:sz w:val="24"/>
          <w:szCs w:val="24"/>
        </w:rPr>
      </w:pPr>
      <w:r w:rsidRPr="00106CB0">
        <w:rPr>
          <w:rFonts w:ascii="Arial" w:hAnsi="Arial" w:cs="Arial"/>
          <w:sz w:val="24"/>
          <w:szCs w:val="24"/>
        </w:rPr>
        <w:t>Závěr č. 151 ze zasedání poradního sboru ministra vnitra ke sp</w:t>
      </w:r>
      <w:r>
        <w:rPr>
          <w:rFonts w:ascii="Arial" w:hAnsi="Arial" w:cs="Arial"/>
          <w:sz w:val="24"/>
          <w:szCs w:val="24"/>
        </w:rPr>
        <w:t>rávnímu řádu ze dne 2. 12. 2016.</w:t>
      </w:r>
    </w:p>
    <w:p w14:paraId="0A089CA8" w14:textId="77777777" w:rsidR="00D66905" w:rsidRPr="002E129A" w:rsidRDefault="00D66905" w:rsidP="00D66905">
      <w:pPr>
        <w:pStyle w:val="Nadpis3"/>
      </w:pPr>
      <w:bookmarkStart w:id="163" w:name="_Toc73613644"/>
      <w:r w:rsidRPr="002E129A">
        <w:t>Internetové zdroje</w:t>
      </w:r>
      <w:bookmarkEnd w:id="163"/>
    </w:p>
    <w:p w14:paraId="61B932F7" w14:textId="3FF9B410" w:rsidR="004A7FDE" w:rsidRDefault="006538E0" w:rsidP="004A7FDE">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Belgie: </w:t>
      </w:r>
      <w:hyperlink r:id="rId74" w:history="1">
        <w:r w:rsidR="004A7FDE" w:rsidRPr="004A7FDE">
          <w:rPr>
            <w:rFonts w:ascii="Arial" w:hAnsi="Arial" w:cs="Arial"/>
            <w:sz w:val="24"/>
            <w:szCs w:val="24"/>
          </w:rPr>
          <w:t>https://www.gamingcommission.be/opencms/opencms/jhksweb_en/gamingcommission/commission/licence/</w:t>
        </w:r>
      </w:hyperlink>
      <w:r w:rsidR="004A7FDE">
        <w:rPr>
          <w:rFonts w:ascii="Arial" w:hAnsi="Arial" w:cs="Arial"/>
          <w:sz w:val="24"/>
          <w:szCs w:val="24"/>
        </w:rPr>
        <w:t>.</w:t>
      </w:r>
    </w:p>
    <w:p w14:paraId="18E5520D" w14:textId="77777777" w:rsidR="00453044" w:rsidRPr="00CF1A01" w:rsidRDefault="00453044" w:rsidP="00453044">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Country Report jednotlivých zemí – gambling (</w:t>
      </w:r>
      <w:hyperlink r:id="rId75" w:history="1">
        <w:r w:rsidRPr="00CF1A01">
          <w:rPr>
            <w:rFonts w:ascii="Arial" w:hAnsi="Arial" w:cs="Arial"/>
            <w:sz w:val="24"/>
            <w:szCs w:val="24"/>
          </w:rPr>
          <w:t>https://gamblingcompliance.com</w:t>
        </w:r>
      </w:hyperlink>
      <w:r w:rsidRPr="00CF1A01">
        <w:rPr>
          <w:rFonts w:ascii="Arial" w:hAnsi="Arial" w:cs="Arial"/>
          <w:sz w:val="24"/>
          <w:szCs w:val="24"/>
        </w:rPr>
        <w:t xml:space="preserve">). </w:t>
      </w:r>
    </w:p>
    <w:p w14:paraId="1D7554B5" w14:textId="03FC91B2" w:rsidR="00A90970" w:rsidRDefault="00A90970" w:rsidP="00A90970">
      <w:pPr>
        <w:pStyle w:val="Odstavecseseznamem"/>
        <w:numPr>
          <w:ilvl w:val="0"/>
          <w:numId w:val="22"/>
        </w:numPr>
        <w:ind w:left="714" w:hanging="357"/>
        <w:jc w:val="both"/>
        <w:rPr>
          <w:rFonts w:ascii="Arial" w:hAnsi="Arial" w:cs="Arial"/>
          <w:sz w:val="24"/>
          <w:szCs w:val="24"/>
        </w:rPr>
      </w:pPr>
      <w:r w:rsidRPr="00A90970">
        <w:rPr>
          <w:rFonts w:ascii="Arial" w:hAnsi="Arial" w:cs="Arial"/>
          <w:sz w:val="24"/>
          <w:szCs w:val="24"/>
        </w:rPr>
        <w:t>D</w:t>
      </w:r>
      <w:r w:rsidR="006538E0">
        <w:rPr>
          <w:rFonts w:ascii="Arial" w:hAnsi="Arial" w:cs="Arial"/>
          <w:sz w:val="24"/>
          <w:szCs w:val="24"/>
        </w:rPr>
        <w:t xml:space="preserve">ánsko: </w:t>
      </w:r>
      <w:hyperlink r:id="rId76" w:history="1">
        <w:r w:rsidRPr="00A90970">
          <w:rPr>
            <w:rFonts w:ascii="Arial" w:hAnsi="Arial" w:cs="Arial"/>
            <w:sz w:val="24"/>
            <w:szCs w:val="24"/>
          </w:rPr>
          <w:t>https://www.spillemyndigheden.dk/en/licence-holders</w:t>
        </w:r>
      </w:hyperlink>
      <w:r w:rsidRPr="00A90970">
        <w:rPr>
          <w:rFonts w:ascii="Arial" w:hAnsi="Arial" w:cs="Arial"/>
          <w:sz w:val="24"/>
          <w:szCs w:val="24"/>
        </w:rPr>
        <w:t xml:space="preserve">, </w:t>
      </w:r>
      <w:hyperlink r:id="rId77" w:history="1">
        <w:r w:rsidRPr="00A90970">
          <w:rPr>
            <w:rFonts w:ascii="Arial" w:hAnsi="Arial" w:cs="Arial"/>
            <w:sz w:val="24"/>
            <w:szCs w:val="24"/>
          </w:rPr>
          <w:t>https://www.retsinformation.dk/eli/lta/2016/1494</w:t>
        </w:r>
      </w:hyperlink>
      <w:r w:rsidRPr="00A90970">
        <w:rPr>
          <w:rFonts w:ascii="Arial" w:hAnsi="Arial" w:cs="Arial"/>
          <w:sz w:val="24"/>
          <w:szCs w:val="24"/>
        </w:rPr>
        <w:t xml:space="preserve">. </w:t>
      </w:r>
    </w:p>
    <w:p w14:paraId="23369167" w14:textId="3531D2CE" w:rsidR="00F74683" w:rsidRPr="00F74683" w:rsidRDefault="00F74683" w:rsidP="00F74683">
      <w:pPr>
        <w:pStyle w:val="Odstavecseseznamem"/>
        <w:numPr>
          <w:ilvl w:val="0"/>
          <w:numId w:val="22"/>
        </w:numPr>
        <w:ind w:left="714" w:hanging="357"/>
        <w:jc w:val="both"/>
        <w:rPr>
          <w:rFonts w:ascii="Arial" w:hAnsi="Arial" w:cs="Arial"/>
          <w:sz w:val="24"/>
          <w:szCs w:val="24"/>
        </w:rPr>
      </w:pPr>
      <w:r w:rsidRPr="00F43355">
        <w:rPr>
          <w:rFonts w:ascii="Arial" w:hAnsi="Arial" w:cs="Arial"/>
          <w:sz w:val="24"/>
          <w:szCs w:val="24"/>
        </w:rPr>
        <w:t xml:space="preserve">DIRECTORATE-GENERAL FOR INTERNAL MARKET, INDUSTRY, ENTREPRENEURSHIP AND SMES. Evaluation of regulatory tools for enforcing online gambling rules and channelling demand towards controlled offers [online]. Brussels: European Commission, 2018 [cit. 2021-5-31]. ISBN 978-92-79-99711-2. Dostupné z: </w:t>
      </w:r>
      <w:hyperlink r:id="rId78" w:history="1">
        <w:r w:rsidRPr="00162AE4">
          <w:rPr>
            <w:rFonts w:ascii="Arial" w:hAnsi="Arial" w:cs="Arial"/>
            <w:sz w:val="24"/>
            <w:szCs w:val="24"/>
          </w:rPr>
          <w:t>https://op.europa.eu/o/opportal-service/download-handler?identifier=6bac835f-2442-11e9-8d04-01aa75ed71a1&amp;format=pdf&amp;language=en&amp;productionSystem=cellar&amp;part</w:t>
        </w:r>
      </w:hyperlink>
      <w:r w:rsidRPr="00F43355">
        <w:rPr>
          <w:rFonts w:ascii="Arial" w:hAnsi="Arial" w:cs="Arial"/>
          <w:sz w:val="24"/>
          <w:szCs w:val="24"/>
        </w:rPr>
        <w:t>=</w:t>
      </w:r>
      <w:r>
        <w:rPr>
          <w:rFonts w:ascii="Arial" w:hAnsi="Arial" w:cs="Arial"/>
          <w:sz w:val="24"/>
          <w:szCs w:val="24"/>
        </w:rPr>
        <w:t>.</w:t>
      </w:r>
    </w:p>
    <w:p w14:paraId="09DDAF76" w14:textId="4B4EA5AC" w:rsidR="00EB3DF4" w:rsidRPr="00EB3DF4" w:rsidRDefault="00EB3DF4" w:rsidP="00EB3DF4">
      <w:pPr>
        <w:pStyle w:val="Odstavecseseznamem"/>
        <w:numPr>
          <w:ilvl w:val="0"/>
          <w:numId w:val="22"/>
        </w:numPr>
        <w:ind w:left="714" w:hanging="357"/>
        <w:jc w:val="both"/>
        <w:rPr>
          <w:rFonts w:ascii="Arial" w:hAnsi="Arial" w:cs="Arial"/>
          <w:sz w:val="24"/>
          <w:szCs w:val="24"/>
        </w:rPr>
      </w:pPr>
      <w:r w:rsidRPr="00EB3DF4">
        <w:rPr>
          <w:rFonts w:ascii="Arial" w:hAnsi="Arial" w:cs="Arial"/>
          <w:sz w:val="24"/>
          <w:szCs w:val="24"/>
        </w:rPr>
        <w:t xml:space="preserve">EU lottboxy: </w:t>
      </w:r>
      <w:hyperlink r:id="rId79" w:history="1">
        <w:r w:rsidRPr="00EB3DF4">
          <w:rPr>
            <w:rFonts w:ascii="Arial" w:hAnsi="Arial" w:cs="Arial"/>
            <w:sz w:val="24"/>
            <w:szCs w:val="24"/>
          </w:rPr>
          <w:t>https://www.europarl.europa.eu/thinktank/en/document.html?reference=IPOL_STU(2020)652727</w:t>
        </w:r>
      </w:hyperlink>
    </w:p>
    <w:p w14:paraId="10D2C25B" w14:textId="77777777" w:rsidR="00A90970" w:rsidRPr="00CF1A01" w:rsidRDefault="00A90970" w:rsidP="00A90970">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Finsko: </w:t>
      </w:r>
      <w:hyperlink r:id="rId80" w:history="1">
        <w:r w:rsidRPr="00CF1A01">
          <w:rPr>
            <w:rFonts w:ascii="Arial" w:hAnsi="Arial" w:cs="Arial"/>
            <w:sz w:val="24"/>
            <w:szCs w:val="24"/>
          </w:rPr>
          <w:t>https://www.veikkaus.fi/fi/yritys?lang=en</w:t>
        </w:r>
      </w:hyperlink>
      <w:r w:rsidRPr="00CF1A01">
        <w:rPr>
          <w:rFonts w:ascii="Arial" w:hAnsi="Arial" w:cs="Arial"/>
          <w:sz w:val="24"/>
          <w:szCs w:val="24"/>
        </w:rPr>
        <w:t xml:space="preserve">. </w:t>
      </w:r>
    </w:p>
    <w:p w14:paraId="0DB45A51" w14:textId="428B3A5C" w:rsidR="00A90970" w:rsidRDefault="006538E0" w:rsidP="00A90970">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Francie: </w:t>
      </w:r>
      <w:hyperlink r:id="rId81" w:anchor="LEGISCTA000039182522" w:history="1">
        <w:r w:rsidR="00A90970" w:rsidRPr="00CF1A01">
          <w:rPr>
            <w:rFonts w:ascii="Arial" w:hAnsi="Arial" w:cs="Arial"/>
            <w:sz w:val="24"/>
            <w:szCs w:val="24"/>
          </w:rPr>
          <w:t>https://www.legifrance.gouv.fr/codes/section_lc/LEGITEXT000025503132/LEGISCTA000025505690/2020-01-01/#LEGISCTA000039182522</w:t>
        </w:r>
      </w:hyperlink>
      <w:r w:rsidR="00A90970">
        <w:rPr>
          <w:rFonts w:ascii="Arial" w:hAnsi="Arial" w:cs="Arial"/>
          <w:sz w:val="24"/>
          <w:szCs w:val="24"/>
        </w:rPr>
        <w:t>.</w:t>
      </w:r>
    </w:p>
    <w:p w14:paraId="45535D05" w14:textId="77777777" w:rsidR="00EB3DF4" w:rsidRPr="00EB3DF4" w:rsidRDefault="00EB3DF4" w:rsidP="00EB3DF4">
      <w:pPr>
        <w:pStyle w:val="Odstavecseseznamem"/>
        <w:numPr>
          <w:ilvl w:val="0"/>
          <w:numId w:val="22"/>
        </w:numPr>
        <w:ind w:left="714" w:hanging="357"/>
        <w:jc w:val="both"/>
        <w:rPr>
          <w:rFonts w:ascii="Arial" w:hAnsi="Arial" w:cs="Arial"/>
          <w:sz w:val="24"/>
          <w:szCs w:val="24"/>
        </w:rPr>
      </w:pPr>
      <w:r w:rsidRPr="00EB3DF4">
        <w:rPr>
          <w:rFonts w:ascii="Arial" w:hAnsi="Arial" w:cs="Arial"/>
          <w:sz w:val="24"/>
          <w:szCs w:val="24"/>
        </w:rPr>
        <w:t xml:space="preserve">GREF lootboxy - </w:t>
      </w:r>
      <w:hyperlink r:id="rId82" w:history="1">
        <w:r w:rsidRPr="00EB3DF4">
          <w:rPr>
            <w:rFonts w:ascii="Arial" w:hAnsi="Arial" w:cs="Arial"/>
            <w:sz w:val="24"/>
            <w:szCs w:val="24"/>
          </w:rPr>
          <w:t>http://www.gref.net/update-blurring-of-lines-between-gambling-and-gaming/</w:t>
        </w:r>
      </w:hyperlink>
    </w:p>
    <w:p w14:paraId="4AAC549D" w14:textId="5497BAAF" w:rsidR="006A347D" w:rsidRPr="006538E0" w:rsidRDefault="006538E0" w:rsidP="006A347D">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Litva:            </w:t>
      </w:r>
      <w:hyperlink r:id="rId83" w:history="1">
        <w:r w:rsidR="006A347D" w:rsidRPr="006538E0">
          <w:rPr>
            <w:rFonts w:ascii="Arial" w:hAnsi="Arial" w:cs="Arial"/>
            <w:sz w:val="24"/>
            <w:szCs w:val="24"/>
          </w:rPr>
          <w:t>https://www.e-tar.lt/portal/lt/legalActEditions/TAR.E5509883EBB4?faces-redirect=true</w:t>
        </w:r>
      </w:hyperlink>
      <w:r w:rsidR="006A347D" w:rsidRPr="006538E0">
        <w:rPr>
          <w:rFonts w:ascii="Arial" w:hAnsi="Arial" w:cs="Arial"/>
          <w:sz w:val="24"/>
          <w:szCs w:val="24"/>
        </w:rPr>
        <w:t xml:space="preserve">. </w:t>
      </w:r>
    </w:p>
    <w:p w14:paraId="5036DF2E" w14:textId="57A80749" w:rsidR="006A347D" w:rsidRPr="006538E0" w:rsidRDefault="006A347D" w:rsidP="006A347D">
      <w:pPr>
        <w:pStyle w:val="Odstavecseseznamem"/>
        <w:numPr>
          <w:ilvl w:val="0"/>
          <w:numId w:val="22"/>
        </w:numPr>
        <w:ind w:left="714" w:hanging="357"/>
        <w:jc w:val="both"/>
        <w:rPr>
          <w:rFonts w:ascii="Arial" w:hAnsi="Arial" w:cs="Arial"/>
          <w:sz w:val="24"/>
          <w:szCs w:val="24"/>
        </w:rPr>
      </w:pPr>
      <w:r w:rsidRPr="006538E0">
        <w:rPr>
          <w:rFonts w:ascii="Arial" w:hAnsi="Arial" w:cs="Arial"/>
          <w:sz w:val="24"/>
          <w:szCs w:val="24"/>
        </w:rPr>
        <w:t xml:space="preserve">Lotyšsko: </w:t>
      </w:r>
      <w:hyperlink r:id="rId84" w:history="1">
        <w:r w:rsidRPr="006538E0">
          <w:rPr>
            <w:rFonts w:ascii="Arial" w:hAnsi="Arial" w:cs="Arial"/>
            <w:sz w:val="24"/>
            <w:szCs w:val="24"/>
          </w:rPr>
          <w:t>https://likumi.lv/ta/en/en/id/122941</w:t>
        </w:r>
      </w:hyperlink>
      <w:r w:rsidRPr="006538E0">
        <w:rPr>
          <w:rFonts w:ascii="Arial" w:hAnsi="Arial" w:cs="Arial"/>
          <w:sz w:val="24"/>
          <w:szCs w:val="24"/>
        </w:rPr>
        <w:t xml:space="preserve">. </w:t>
      </w:r>
    </w:p>
    <w:p w14:paraId="29BF5CB9" w14:textId="445F6B00" w:rsidR="006E42B5" w:rsidRPr="00CF1A01" w:rsidRDefault="006538E0" w:rsidP="006E42B5">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Německo: </w:t>
      </w:r>
      <w:hyperlink r:id="rId85" w:history="1">
        <w:r w:rsidRPr="00EB3DF4">
          <w:rPr>
            <w:rFonts w:ascii="Arial" w:hAnsi="Arial" w:cs="Arial"/>
            <w:sz w:val="24"/>
            <w:szCs w:val="24"/>
          </w:rPr>
          <w:t>https://rpdarmstadt.hessen.de/sicherheit/gl%C3%BCcksspiel/sportwetten/konzessionsverfahren</w:t>
        </w:r>
      </w:hyperlink>
      <w:r w:rsidR="006E42B5" w:rsidRPr="00CF1A01">
        <w:rPr>
          <w:rFonts w:ascii="Arial" w:hAnsi="Arial" w:cs="Arial"/>
          <w:sz w:val="24"/>
          <w:szCs w:val="24"/>
        </w:rPr>
        <w:t xml:space="preserve">. </w:t>
      </w:r>
    </w:p>
    <w:p w14:paraId="2D54DEC1" w14:textId="5A0FE801" w:rsidR="006E42B5" w:rsidRDefault="006538E0" w:rsidP="006E42B5">
      <w:pPr>
        <w:pStyle w:val="Odstavecseseznamem"/>
        <w:numPr>
          <w:ilvl w:val="0"/>
          <w:numId w:val="22"/>
        </w:numPr>
        <w:ind w:left="714" w:hanging="357"/>
        <w:jc w:val="both"/>
        <w:rPr>
          <w:rFonts w:ascii="Arial" w:hAnsi="Arial" w:cs="Arial"/>
          <w:sz w:val="24"/>
          <w:szCs w:val="24"/>
        </w:rPr>
      </w:pPr>
      <w:r>
        <w:rPr>
          <w:rFonts w:ascii="Arial" w:hAnsi="Arial" w:cs="Arial"/>
          <w:sz w:val="24"/>
          <w:szCs w:val="24"/>
        </w:rPr>
        <w:t xml:space="preserve">Nizozemsko: </w:t>
      </w:r>
      <w:hyperlink r:id="rId86" w:history="1">
        <w:r w:rsidR="006E42B5" w:rsidRPr="00CF1A01">
          <w:rPr>
            <w:rFonts w:ascii="Arial" w:hAnsi="Arial" w:cs="Arial"/>
            <w:sz w:val="24"/>
            <w:szCs w:val="24"/>
          </w:rPr>
          <w:t>https://corporate.hollandcasino.nl/en/company-information</w:t>
        </w:r>
      </w:hyperlink>
      <w:r>
        <w:rPr>
          <w:rFonts w:ascii="Arial" w:hAnsi="Arial" w:cs="Arial"/>
          <w:sz w:val="24"/>
          <w:szCs w:val="24"/>
        </w:rPr>
        <w:t xml:space="preserve">, </w:t>
      </w:r>
      <w:hyperlink r:id="rId87" w:history="1">
        <w:r w:rsidR="006E42B5" w:rsidRPr="00CF1A01">
          <w:rPr>
            <w:rFonts w:ascii="Arial" w:hAnsi="Arial" w:cs="Arial"/>
            <w:sz w:val="24"/>
            <w:szCs w:val="24"/>
          </w:rPr>
          <w:t>https://kansspelautoriteit.nl/algemeen/english/</w:t>
        </w:r>
      </w:hyperlink>
      <w:r w:rsidR="006E42B5" w:rsidRPr="00CF1A01">
        <w:rPr>
          <w:rFonts w:ascii="Arial" w:hAnsi="Arial" w:cs="Arial"/>
          <w:sz w:val="24"/>
          <w:szCs w:val="24"/>
        </w:rPr>
        <w:t xml:space="preserve">, </w:t>
      </w:r>
      <w:hyperlink r:id="rId88" w:history="1">
        <w:r w:rsidR="006E42B5" w:rsidRPr="00CF1A01">
          <w:rPr>
            <w:rFonts w:ascii="Arial" w:hAnsi="Arial" w:cs="Arial"/>
            <w:sz w:val="24"/>
            <w:szCs w:val="24"/>
          </w:rPr>
          <w:t>https://wetten.overheid.nl/BWBR0002469/2018-01-01</w:t>
        </w:r>
      </w:hyperlink>
      <w:r w:rsidR="006E42B5" w:rsidRPr="00CF1A01">
        <w:rPr>
          <w:rFonts w:ascii="Arial" w:hAnsi="Arial" w:cs="Arial"/>
          <w:sz w:val="24"/>
          <w:szCs w:val="24"/>
        </w:rPr>
        <w:t xml:space="preserve">, </w:t>
      </w:r>
      <w:hyperlink r:id="rId89" w:history="1">
        <w:r w:rsidR="006E42B5" w:rsidRPr="00CF1A01">
          <w:rPr>
            <w:rFonts w:ascii="Arial" w:hAnsi="Arial" w:cs="Arial"/>
            <w:sz w:val="24"/>
            <w:szCs w:val="24"/>
          </w:rPr>
          <w:t>https://www.zeturf.com/en</w:t>
        </w:r>
      </w:hyperlink>
      <w:r>
        <w:rPr>
          <w:rFonts w:ascii="Arial" w:hAnsi="Arial" w:cs="Arial"/>
          <w:sz w:val="24"/>
          <w:szCs w:val="24"/>
        </w:rPr>
        <w:t>.</w:t>
      </w:r>
    </w:p>
    <w:p w14:paraId="0B44626C" w14:textId="77777777" w:rsidR="006E42B5" w:rsidRDefault="006E42B5" w:rsidP="006E42B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Norsko: </w:t>
      </w:r>
      <w:hyperlink r:id="rId90" w:history="1">
        <w:r w:rsidRPr="00CF1A01">
          <w:rPr>
            <w:rFonts w:ascii="Arial" w:hAnsi="Arial" w:cs="Arial"/>
            <w:sz w:val="24"/>
            <w:szCs w:val="24"/>
          </w:rPr>
          <w:t>https://lottstift.no/pengespel/</w:t>
        </w:r>
      </w:hyperlink>
      <w:r>
        <w:rPr>
          <w:rFonts w:ascii="Arial" w:hAnsi="Arial" w:cs="Arial"/>
          <w:sz w:val="24"/>
          <w:szCs w:val="24"/>
        </w:rPr>
        <w:t>.</w:t>
      </w:r>
    </w:p>
    <w:p w14:paraId="59808F71" w14:textId="77777777" w:rsidR="006E42B5" w:rsidRDefault="006E42B5" w:rsidP="006E42B5">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Polsko - Zákon o hazardních hrách: </w:t>
      </w:r>
      <w:hyperlink r:id="rId91" w:history="1">
        <w:r w:rsidRPr="00CF1A01">
          <w:rPr>
            <w:rFonts w:ascii="Arial" w:hAnsi="Arial" w:cs="Arial"/>
            <w:sz w:val="24"/>
            <w:szCs w:val="24"/>
          </w:rPr>
          <w:t>https://isap.sejm.gov.pl/isap.nsf/DocDetails.xsp?id=WDU20092011540</w:t>
        </w:r>
      </w:hyperlink>
      <w:r w:rsidRPr="00CF1A01">
        <w:rPr>
          <w:rFonts w:ascii="Arial" w:hAnsi="Arial" w:cs="Arial"/>
          <w:sz w:val="24"/>
          <w:szCs w:val="24"/>
        </w:rPr>
        <w:t xml:space="preserve">. </w:t>
      </w:r>
    </w:p>
    <w:p w14:paraId="435BB62F" w14:textId="405ECA4B" w:rsidR="006A347D" w:rsidRDefault="006538E0" w:rsidP="00A90970">
      <w:pPr>
        <w:pStyle w:val="Odstavecseseznamem"/>
        <w:numPr>
          <w:ilvl w:val="0"/>
          <w:numId w:val="22"/>
        </w:numPr>
        <w:ind w:left="714" w:hanging="357"/>
        <w:jc w:val="both"/>
        <w:rPr>
          <w:rFonts w:ascii="Arial" w:hAnsi="Arial" w:cs="Arial"/>
          <w:sz w:val="24"/>
          <w:szCs w:val="24"/>
        </w:rPr>
      </w:pPr>
      <w:r>
        <w:rPr>
          <w:rFonts w:ascii="Arial" w:hAnsi="Arial" w:cs="Arial"/>
          <w:sz w:val="24"/>
          <w:szCs w:val="24"/>
        </w:rPr>
        <w:lastRenderedPageBreak/>
        <w:t>Rakousko:</w:t>
      </w:r>
      <w:r w:rsidR="00EB3DF4">
        <w:rPr>
          <w:rFonts w:ascii="Arial" w:hAnsi="Arial" w:cs="Arial"/>
          <w:sz w:val="24"/>
          <w:szCs w:val="24"/>
        </w:rPr>
        <w:t xml:space="preserve"> </w:t>
      </w:r>
      <w:hyperlink r:id="rId92" w:history="1">
        <w:r w:rsidR="00ED2EC7" w:rsidRPr="00CF1A01">
          <w:rPr>
            <w:rFonts w:ascii="Arial" w:hAnsi="Arial" w:cs="Arial"/>
            <w:sz w:val="24"/>
            <w:szCs w:val="24"/>
          </w:rPr>
          <w:t>https://www.ris.bka.gv.at/GeltendeFassung.wxe?Abfrage=Bundesnormen&amp;Gesetzesnummer=10004611</w:t>
        </w:r>
      </w:hyperlink>
      <w:r>
        <w:rPr>
          <w:rFonts w:ascii="Arial" w:hAnsi="Arial" w:cs="Arial"/>
          <w:sz w:val="24"/>
          <w:szCs w:val="24"/>
        </w:rPr>
        <w:t>.</w:t>
      </w:r>
    </w:p>
    <w:p w14:paraId="08AAF8B8" w14:textId="7C0E70AA" w:rsidR="00A07BAA" w:rsidRPr="00CF1A01" w:rsidRDefault="006538E0" w:rsidP="00A07BAA">
      <w:pPr>
        <w:pStyle w:val="Odstavecseseznamem"/>
        <w:numPr>
          <w:ilvl w:val="0"/>
          <w:numId w:val="22"/>
        </w:numPr>
        <w:ind w:left="714" w:hanging="357"/>
        <w:jc w:val="both"/>
        <w:rPr>
          <w:rFonts w:ascii="Arial" w:hAnsi="Arial" w:cs="Arial"/>
          <w:sz w:val="24"/>
          <w:szCs w:val="24"/>
        </w:rPr>
      </w:pPr>
      <w:r>
        <w:rPr>
          <w:rFonts w:ascii="Arial" w:hAnsi="Arial" w:cs="Arial"/>
          <w:sz w:val="24"/>
          <w:szCs w:val="24"/>
        </w:rPr>
        <w:t>Švédsko:</w:t>
      </w:r>
      <w:r w:rsidR="00EB3DF4">
        <w:rPr>
          <w:rFonts w:ascii="Arial" w:hAnsi="Arial" w:cs="Arial"/>
          <w:sz w:val="24"/>
          <w:szCs w:val="24"/>
        </w:rPr>
        <w:t xml:space="preserve"> </w:t>
      </w:r>
      <w:hyperlink r:id="rId93" w:history="1">
        <w:r w:rsidRPr="00EB3DF4">
          <w:rPr>
            <w:rFonts w:ascii="Arial" w:hAnsi="Arial" w:cs="Arial"/>
            <w:sz w:val="24"/>
            <w:szCs w:val="24"/>
          </w:rPr>
          <w:t>https://www.riksdagen.se/sv/dokument-lagar/dokument/svensk forfattningssamling/spellag-20181138_sfs-2018-1138</w:t>
        </w:r>
      </w:hyperlink>
      <w:r w:rsidR="00A07BAA" w:rsidRPr="00CF1A01">
        <w:rPr>
          <w:rFonts w:ascii="Arial" w:hAnsi="Arial" w:cs="Arial"/>
          <w:sz w:val="24"/>
          <w:szCs w:val="24"/>
        </w:rPr>
        <w:t xml:space="preserve">, </w:t>
      </w:r>
      <w:hyperlink r:id="rId94" w:history="1">
        <w:r w:rsidR="00A07BAA" w:rsidRPr="00CF1A01">
          <w:rPr>
            <w:rFonts w:ascii="Arial" w:hAnsi="Arial" w:cs="Arial"/>
            <w:sz w:val="24"/>
            <w:szCs w:val="24"/>
          </w:rPr>
          <w:t>https://www.riksdagen.se/sv/dokument-lagar/dokument/svensk-forfattningssamling/spelforordning-20181475_sfs-2018-1475</w:t>
        </w:r>
      </w:hyperlink>
      <w:r w:rsidR="00A07BAA" w:rsidRPr="00CF1A01">
        <w:rPr>
          <w:rFonts w:ascii="Arial" w:hAnsi="Arial" w:cs="Arial"/>
          <w:sz w:val="24"/>
          <w:szCs w:val="24"/>
        </w:rPr>
        <w:t xml:space="preserve">.  </w:t>
      </w:r>
    </w:p>
    <w:p w14:paraId="2214679D" w14:textId="77777777" w:rsidR="00A07BAA" w:rsidRDefault="00A07BAA" w:rsidP="00A07BAA">
      <w:pPr>
        <w:pStyle w:val="Odstavecseseznamem"/>
        <w:numPr>
          <w:ilvl w:val="0"/>
          <w:numId w:val="22"/>
        </w:numPr>
        <w:ind w:left="714" w:hanging="357"/>
        <w:jc w:val="both"/>
        <w:rPr>
          <w:rFonts w:ascii="Arial" w:hAnsi="Arial" w:cs="Arial"/>
          <w:sz w:val="24"/>
          <w:szCs w:val="24"/>
        </w:rPr>
      </w:pPr>
      <w:r w:rsidRPr="00CF1A01">
        <w:rPr>
          <w:rFonts w:ascii="Arial" w:hAnsi="Arial" w:cs="Arial"/>
          <w:sz w:val="24"/>
          <w:szCs w:val="24"/>
        </w:rPr>
        <w:t xml:space="preserve">Švýcarsko - Zákon o hazardních hrách: </w:t>
      </w:r>
      <w:hyperlink r:id="rId95" w:history="1">
        <w:r w:rsidRPr="00CF1A01">
          <w:rPr>
            <w:rFonts w:ascii="Arial" w:hAnsi="Arial" w:cs="Arial"/>
            <w:sz w:val="24"/>
            <w:szCs w:val="24"/>
          </w:rPr>
          <w:t>https://www.admin.ch/opc/de/classified-compilation/20172704/index.html</w:t>
        </w:r>
      </w:hyperlink>
      <w:r w:rsidRPr="00CF1A01">
        <w:rPr>
          <w:rFonts w:ascii="Arial" w:hAnsi="Arial" w:cs="Arial"/>
          <w:sz w:val="24"/>
          <w:szCs w:val="24"/>
        </w:rPr>
        <w:t>.</w:t>
      </w:r>
    </w:p>
    <w:p w14:paraId="75394A4D" w14:textId="253CFF13" w:rsidR="0050724E" w:rsidRPr="00EB3DF4" w:rsidRDefault="00EB3DF4" w:rsidP="00EB3DF4">
      <w:pPr>
        <w:pStyle w:val="Odstavecseseznamem"/>
        <w:numPr>
          <w:ilvl w:val="0"/>
          <w:numId w:val="22"/>
        </w:numPr>
        <w:ind w:left="714" w:hanging="357"/>
        <w:jc w:val="both"/>
        <w:rPr>
          <w:rFonts w:ascii="Arial" w:hAnsi="Arial" w:cs="Arial"/>
          <w:sz w:val="24"/>
          <w:szCs w:val="24"/>
        </w:rPr>
      </w:pPr>
      <w:r w:rsidRPr="00EB3DF4">
        <w:rPr>
          <w:rFonts w:ascii="Arial" w:hAnsi="Arial" w:cs="Arial"/>
          <w:sz w:val="24"/>
          <w:szCs w:val="24"/>
        </w:rPr>
        <w:t>Velká</w:t>
      </w:r>
      <w:r>
        <w:rPr>
          <w:rFonts w:ascii="Arial" w:hAnsi="Arial" w:cs="Arial"/>
          <w:sz w:val="24"/>
          <w:szCs w:val="24"/>
        </w:rPr>
        <w:t xml:space="preserve"> Británie:</w:t>
      </w:r>
      <w:hyperlink r:id="rId96" w:history="1">
        <w:r w:rsidR="0050724E" w:rsidRPr="00EB3DF4">
          <w:rPr>
            <w:rFonts w:ascii="Arial" w:hAnsi="Arial" w:cs="Arial"/>
            <w:sz w:val="24"/>
            <w:szCs w:val="24"/>
          </w:rPr>
          <w:t>https://www.legislation.gov.uk/ukpga/2014/17/contents/enacted</w:t>
        </w:r>
      </w:hyperlink>
      <w:r w:rsidR="0050724E" w:rsidRPr="00EB3DF4">
        <w:rPr>
          <w:rFonts w:ascii="Arial" w:hAnsi="Arial" w:cs="Arial"/>
          <w:sz w:val="24"/>
          <w:szCs w:val="24"/>
        </w:rPr>
        <w:t xml:space="preserve">.  </w:t>
      </w:r>
    </w:p>
    <w:p w14:paraId="076E90EE" w14:textId="7172ABE8" w:rsidR="00D66905" w:rsidRDefault="009C0B64" w:rsidP="00D66905">
      <w:pPr>
        <w:pStyle w:val="Odstavecseseznamem"/>
        <w:numPr>
          <w:ilvl w:val="0"/>
          <w:numId w:val="22"/>
        </w:numPr>
        <w:ind w:left="714" w:hanging="357"/>
        <w:jc w:val="both"/>
        <w:rPr>
          <w:rFonts w:ascii="Arial" w:hAnsi="Arial" w:cs="Arial"/>
          <w:sz w:val="24"/>
          <w:szCs w:val="24"/>
        </w:rPr>
      </w:pPr>
      <w:hyperlink r:id="rId97" w:history="1">
        <w:r w:rsidR="00D66905" w:rsidRPr="000352E5">
          <w:rPr>
            <w:rFonts w:ascii="Arial" w:hAnsi="Arial" w:cs="Arial"/>
            <w:sz w:val="24"/>
            <w:szCs w:val="24"/>
          </w:rPr>
          <w:t>https://anygamble.com/cs/psychologie-hazardu-kognitivni-klamy/</w:t>
        </w:r>
      </w:hyperlink>
      <w:r w:rsidR="00D66905" w:rsidRPr="000352E5">
        <w:rPr>
          <w:rFonts w:ascii="Arial" w:hAnsi="Arial" w:cs="Arial"/>
          <w:sz w:val="24"/>
          <w:szCs w:val="24"/>
        </w:rPr>
        <w:t>.</w:t>
      </w:r>
    </w:p>
    <w:p w14:paraId="670B3BB1" w14:textId="27E36847" w:rsidR="00F43355" w:rsidRDefault="009C0B64" w:rsidP="00D66905">
      <w:pPr>
        <w:pStyle w:val="Odstavecseseznamem"/>
        <w:numPr>
          <w:ilvl w:val="0"/>
          <w:numId w:val="22"/>
        </w:numPr>
        <w:ind w:left="714" w:hanging="357"/>
        <w:jc w:val="both"/>
        <w:rPr>
          <w:rFonts w:ascii="Arial" w:hAnsi="Arial" w:cs="Arial"/>
          <w:sz w:val="24"/>
          <w:szCs w:val="24"/>
        </w:rPr>
      </w:pPr>
      <w:hyperlink r:id="rId98" w:history="1">
        <w:r w:rsidR="00F43355" w:rsidRPr="00CF1A01">
          <w:rPr>
            <w:rFonts w:ascii="Arial" w:hAnsi="Arial" w:cs="Arial"/>
            <w:sz w:val="24"/>
            <w:szCs w:val="24"/>
          </w:rPr>
          <w:t>http://asterig.org/</w:t>
        </w:r>
      </w:hyperlink>
      <w:r w:rsidR="00F43355" w:rsidRPr="00CF1A01">
        <w:rPr>
          <w:rFonts w:ascii="Arial" w:hAnsi="Arial" w:cs="Arial"/>
          <w:sz w:val="24"/>
          <w:szCs w:val="24"/>
        </w:rPr>
        <w:t>.</w:t>
      </w:r>
    </w:p>
    <w:p w14:paraId="37BAC145" w14:textId="77777777" w:rsidR="00D66905" w:rsidRPr="000352E5" w:rsidRDefault="00D66905" w:rsidP="00D66905">
      <w:pPr>
        <w:pStyle w:val="Odstavecseseznamem"/>
        <w:numPr>
          <w:ilvl w:val="0"/>
          <w:numId w:val="22"/>
        </w:numPr>
        <w:ind w:left="714" w:hanging="357"/>
        <w:jc w:val="both"/>
        <w:rPr>
          <w:rFonts w:ascii="Arial" w:hAnsi="Arial" w:cs="Arial"/>
          <w:sz w:val="24"/>
          <w:szCs w:val="24"/>
        </w:rPr>
      </w:pPr>
      <w:r w:rsidRPr="000352E5">
        <w:rPr>
          <w:rFonts w:ascii="Arial" w:hAnsi="Arial" w:cs="Arial"/>
          <w:sz w:val="24"/>
          <w:szCs w:val="24"/>
        </w:rPr>
        <w:t>https://computerworld.cz/securityworld/aplikacni-firewall-se-neomezuje-na-porty-a-protokoly-45322.</w:t>
      </w:r>
    </w:p>
    <w:p w14:paraId="1295407F"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99" w:history="1">
        <w:r w:rsidR="00D66905" w:rsidRPr="000352E5">
          <w:rPr>
            <w:rFonts w:ascii="Arial" w:hAnsi="Arial" w:cs="Arial"/>
            <w:sz w:val="24"/>
            <w:szCs w:val="24"/>
          </w:rPr>
          <w:t>https://corporatefinanceinstitute.com/resources/knowledge/trading-investing/anchoring-bias/</w:t>
        </w:r>
      </w:hyperlink>
      <w:r w:rsidR="00D66905" w:rsidRPr="000352E5">
        <w:rPr>
          <w:rFonts w:ascii="Arial" w:hAnsi="Arial" w:cs="Arial"/>
          <w:sz w:val="24"/>
          <w:szCs w:val="24"/>
        </w:rPr>
        <w:t>.</w:t>
      </w:r>
    </w:p>
    <w:p w14:paraId="02D8061B"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0" w:history="1">
        <w:r w:rsidR="00D66905" w:rsidRPr="000352E5">
          <w:rPr>
            <w:rFonts w:ascii="Arial" w:hAnsi="Arial" w:cs="Arial"/>
            <w:sz w:val="24"/>
            <w:szCs w:val="24"/>
          </w:rPr>
          <w:t>https://cs.qaz.wiki/wiki/Application_firewall</w:t>
        </w:r>
      </w:hyperlink>
      <w:r w:rsidR="00D66905" w:rsidRPr="000352E5">
        <w:rPr>
          <w:rFonts w:ascii="Arial" w:hAnsi="Arial" w:cs="Arial"/>
          <w:sz w:val="24"/>
          <w:szCs w:val="24"/>
        </w:rPr>
        <w:t>.</w:t>
      </w:r>
    </w:p>
    <w:p w14:paraId="346EF59A"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1" w:history="1">
        <w:r w:rsidR="00D66905" w:rsidRPr="000352E5">
          <w:rPr>
            <w:rFonts w:ascii="Arial" w:hAnsi="Arial" w:cs="Arial"/>
            <w:sz w:val="24"/>
            <w:szCs w:val="24"/>
          </w:rPr>
          <w:t>https://developer.apple.com/app-store/review/guidelines/</w:t>
        </w:r>
      </w:hyperlink>
      <w:r w:rsidR="00D66905" w:rsidRPr="000352E5">
        <w:rPr>
          <w:rFonts w:ascii="Arial" w:hAnsi="Arial" w:cs="Arial"/>
          <w:sz w:val="24"/>
          <w:szCs w:val="24"/>
        </w:rPr>
        <w:t>.</w:t>
      </w:r>
    </w:p>
    <w:p w14:paraId="1FD0ECD7"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2" w:history="1">
        <w:r w:rsidR="00D66905" w:rsidRPr="000352E5">
          <w:rPr>
            <w:rFonts w:ascii="Arial" w:hAnsi="Arial" w:cs="Arial"/>
            <w:sz w:val="24"/>
            <w:szCs w:val="24"/>
          </w:rPr>
          <w:t>https://dnsrpz.info/</w:t>
        </w:r>
      </w:hyperlink>
      <w:r w:rsidR="00D66905" w:rsidRPr="000352E5">
        <w:rPr>
          <w:rFonts w:ascii="Arial" w:hAnsi="Arial" w:cs="Arial"/>
          <w:sz w:val="24"/>
          <w:szCs w:val="24"/>
        </w:rPr>
        <w:t>.</w:t>
      </w:r>
    </w:p>
    <w:p w14:paraId="2D1AC10F"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3" w:history="1">
        <w:r w:rsidR="00D66905" w:rsidRPr="000352E5">
          <w:rPr>
            <w:rFonts w:ascii="Arial" w:hAnsi="Arial" w:cs="Arial"/>
            <w:sz w:val="24"/>
            <w:szCs w:val="24"/>
          </w:rPr>
          <w:t>https://www.drogy-info.cz/</w:t>
        </w:r>
      </w:hyperlink>
      <w:r w:rsidR="00D66905" w:rsidRPr="000352E5">
        <w:rPr>
          <w:rFonts w:ascii="Arial" w:hAnsi="Arial" w:cs="Arial"/>
          <w:sz w:val="24"/>
          <w:szCs w:val="24"/>
        </w:rPr>
        <w:t>.</w:t>
      </w:r>
    </w:p>
    <w:p w14:paraId="766D24D4"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4" w:history="1">
        <w:r w:rsidR="00D66905" w:rsidRPr="000352E5">
          <w:rPr>
            <w:rFonts w:ascii="Arial" w:hAnsi="Arial" w:cs="Arial"/>
            <w:sz w:val="24"/>
            <w:szCs w:val="24"/>
          </w:rPr>
          <w:t>https://en.wikipedia.org/wiki/Mobile_app</w:t>
        </w:r>
      </w:hyperlink>
      <w:r w:rsidR="00D66905" w:rsidRPr="000352E5">
        <w:rPr>
          <w:rFonts w:ascii="Arial" w:hAnsi="Arial" w:cs="Arial"/>
          <w:sz w:val="24"/>
          <w:szCs w:val="24"/>
        </w:rPr>
        <w:t>.</w:t>
      </w:r>
    </w:p>
    <w:p w14:paraId="542AC4B0"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5" w:history="1">
        <w:r w:rsidR="00D66905" w:rsidRPr="00EB3DF4">
          <w:rPr>
            <w:rFonts w:ascii="Arial" w:hAnsi="Arial" w:cs="Arial"/>
            <w:sz w:val="24"/>
            <w:szCs w:val="24"/>
          </w:rPr>
          <w:t>https://gamban.com/</w:t>
        </w:r>
      </w:hyperlink>
      <w:r w:rsidR="00D66905" w:rsidRPr="000352E5">
        <w:rPr>
          <w:rFonts w:ascii="Arial" w:hAnsi="Arial" w:cs="Arial"/>
          <w:sz w:val="24"/>
          <w:szCs w:val="24"/>
        </w:rPr>
        <w:t>.</w:t>
      </w:r>
    </w:p>
    <w:p w14:paraId="07C86E88"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6" w:tgtFrame="_blank" w:history="1">
        <w:r w:rsidR="00D66905" w:rsidRPr="00EB3DF4">
          <w:rPr>
            <w:rFonts w:ascii="Arial" w:hAnsi="Arial" w:cs="Arial"/>
            <w:sz w:val="24"/>
            <w:szCs w:val="24"/>
          </w:rPr>
          <w:t>https://www.gamblingcommission.gov.uk/for-the-public/Safer-gambling/Consumer-guides/Betting/Understanding-the-cash-out-option.aspx</w:t>
        </w:r>
      </w:hyperlink>
      <w:r w:rsidR="00D66905" w:rsidRPr="00EB3DF4">
        <w:rPr>
          <w:rFonts w:ascii="Arial" w:hAnsi="Arial" w:cs="Arial"/>
          <w:sz w:val="24"/>
          <w:szCs w:val="24"/>
        </w:rPr>
        <w:t>.</w:t>
      </w:r>
    </w:p>
    <w:p w14:paraId="2F44FBAC" w14:textId="77777777" w:rsidR="00D66905" w:rsidRPr="000352E5" w:rsidRDefault="00D66905" w:rsidP="00D66905">
      <w:pPr>
        <w:pStyle w:val="Odstavecseseznamem"/>
        <w:numPr>
          <w:ilvl w:val="0"/>
          <w:numId w:val="22"/>
        </w:numPr>
        <w:ind w:left="714" w:hanging="357"/>
        <w:jc w:val="both"/>
        <w:rPr>
          <w:rFonts w:ascii="Arial" w:hAnsi="Arial" w:cs="Arial"/>
          <w:sz w:val="24"/>
          <w:szCs w:val="24"/>
        </w:rPr>
      </w:pPr>
      <w:r w:rsidRPr="000352E5">
        <w:rPr>
          <w:rFonts w:ascii="Arial" w:hAnsi="Arial" w:cs="Arial"/>
          <w:sz w:val="24"/>
          <w:szCs w:val="24"/>
        </w:rPr>
        <w:t>https://www.hazardni-hrani.cz/article/blog/gamban-aplikace-ktera-blokuje-gambling/.</w:t>
      </w:r>
    </w:p>
    <w:p w14:paraId="0477CC08"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7" w:history="1">
        <w:r w:rsidR="00D66905" w:rsidRPr="000352E5">
          <w:rPr>
            <w:rFonts w:ascii="Arial" w:hAnsi="Arial" w:cs="Arial"/>
            <w:sz w:val="24"/>
            <w:szCs w:val="24"/>
          </w:rPr>
          <w:t>https://www.hazardni-hry.eu/loterie/bingo.html</w:t>
        </w:r>
      </w:hyperlink>
      <w:r w:rsidR="00D66905" w:rsidRPr="000352E5">
        <w:rPr>
          <w:rFonts w:ascii="Arial" w:hAnsi="Arial" w:cs="Arial"/>
          <w:sz w:val="24"/>
          <w:szCs w:val="24"/>
        </w:rPr>
        <w:t>.</w:t>
      </w:r>
    </w:p>
    <w:p w14:paraId="02DAFA85" w14:textId="77777777" w:rsidR="00D66905" w:rsidRPr="000352E5" w:rsidRDefault="009C0B64" w:rsidP="00D66905">
      <w:pPr>
        <w:pStyle w:val="Odstavecseseznamem"/>
        <w:numPr>
          <w:ilvl w:val="0"/>
          <w:numId w:val="22"/>
        </w:numPr>
        <w:ind w:left="714" w:hanging="357"/>
        <w:jc w:val="both"/>
        <w:rPr>
          <w:rFonts w:ascii="Arial" w:hAnsi="Arial" w:cs="Arial"/>
          <w:sz w:val="24"/>
          <w:szCs w:val="24"/>
        </w:rPr>
      </w:pPr>
      <w:hyperlink r:id="rId108" w:history="1">
        <w:r w:rsidR="00D66905" w:rsidRPr="000352E5">
          <w:rPr>
            <w:rFonts w:ascii="Arial" w:hAnsi="Arial" w:cs="Arial"/>
            <w:sz w:val="24"/>
            <w:szCs w:val="24"/>
          </w:rPr>
          <w:t>http://www.hybridniaplikace.cz/srovnani.html</w:t>
        </w:r>
      </w:hyperlink>
      <w:r w:rsidR="00D66905" w:rsidRPr="000352E5">
        <w:rPr>
          <w:rFonts w:ascii="Arial" w:hAnsi="Arial" w:cs="Arial"/>
          <w:sz w:val="24"/>
          <w:szCs w:val="24"/>
        </w:rPr>
        <w:t>.</w:t>
      </w:r>
    </w:p>
    <w:p w14:paraId="25C968DB" w14:textId="7777777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09" w:history="1">
        <w:r w:rsidR="00D66905" w:rsidRPr="00EB3DF4">
          <w:rPr>
            <w:rFonts w:ascii="Arial" w:hAnsi="Arial" w:cs="Arial"/>
            <w:sz w:val="24"/>
            <w:szCs w:val="24"/>
          </w:rPr>
          <w:t>https://www.idnes.cz/hry/novinky/lootboxy-zakaz-hry.A180425_171215_bw-novinky_srp</w:t>
        </w:r>
      </w:hyperlink>
      <w:r w:rsidR="00D66905" w:rsidRPr="00EB3DF4">
        <w:rPr>
          <w:rFonts w:ascii="Arial" w:hAnsi="Arial" w:cs="Arial"/>
          <w:sz w:val="24"/>
          <w:szCs w:val="24"/>
        </w:rPr>
        <w:t>.</w:t>
      </w:r>
    </w:p>
    <w:p w14:paraId="3AC8574D" w14:textId="7777777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0" w:history="1">
        <w:r w:rsidR="00D66905" w:rsidRPr="00EB3DF4">
          <w:rPr>
            <w:rFonts w:ascii="Arial" w:hAnsi="Arial" w:cs="Arial"/>
            <w:sz w:val="24"/>
            <w:szCs w:val="24"/>
          </w:rPr>
          <w:t>https://www.jakobejitblokaci.cz/</w:t>
        </w:r>
      </w:hyperlink>
      <w:r w:rsidR="00D66905" w:rsidRPr="00EB3DF4">
        <w:rPr>
          <w:rFonts w:ascii="Arial" w:hAnsi="Arial" w:cs="Arial"/>
          <w:sz w:val="24"/>
          <w:szCs w:val="24"/>
        </w:rPr>
        <w:t>.</w:t>
      </w:r>
    </w:p>
    <w:p w14:paraId="32CA093A" w14:textId="26E202C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1" w:history="1">
        <w:r w:rsidR="00D66905" w:rsidRPr="00EB3DF4">
          <w:rPr>
            <w:rFonts w:ascii="Arial" w:hAnsi="Arial" w:cs="Arial"/>
            <w:sz w:val="24"/>
            <w:szCs w:val="24"/>
          </w:rPr>
          <w:t>https://kansspelautoriteit.nl/english/loot-boxes/</w:t>
        </w:r>
      </w:hyperlink>
      <w:r w:rsidR="00D66905" w:rsidRPr="00EB3DF4">
        <w:rPr>
          <w:rFonts w:ascii="Arial" w:hAnsi="Arial" w:cs="Arial"/>
          <w:sz w:val="24"/>
          <w:szCs w:val="24"/>
        </w:rPr>
        <w:t>.</w:t>
      </w:r>
    </w:p>
    <w:p w14:paraId="47915593" w14:textId="3DE5E895" w:rsidR="007F0B9B" w:rsidRPr="00EB3DF4" w:rsidRDefault="009C0B64" w:rsidP="00EB3DF4">
      <w:pPr>
        <w:pStyle w:val="Odstavecseseznamem"/>
        <w:numPr>
          <w:ilvl w:val="0"/>
          <w:numId w:val="22"/>
        </w:numPr>
        <w:ind w:left="714" w:hanging="357"/>
        <w:jc w:val="both"/>
        <w:rPr>
          <w:rFonts w:ascii="Arial" w:hAnsi="Arial" w:cs="Arial"/>
          <w:sz w:val="24"/>
          <w:szCs w:val="24"/>
        </w:rPr>
      </w:pPr>
      <w:hyperlink r:id="rId112" w:history="1">
        <w:r w:rsidR="007F0B9B" w:rsidRPr="00EB3DF4">
          <w:rPr>
            <w:rFonts w:ascii="Arial" w:hAnsi="Arial" w:cs="Arial"/>
            <w:sz w:val="24"/>
            <w:szCs w:val="24"/>
          </w:rPr>
          <w:t>https://kb.wedos.com/cs/domeny/administrace-domeny/presmerovani-domeny/</w:t>
        </w:r>
      </w:hyperlink>
      <w:r w:rsidR="007F0B9B" w:rsidRPr="00EB3DF4">
        <w:rPr>
          <w:rFonts w:ascii="Arial" w:hAnsi="Arial" w:cs="Arial"/>
          <w:sz w:val="24"/>
          <w:szCs w:val="24"/>
        </w:rPr>
        <w:t>.</w:t>
      </w:r>
    </w:p>
    <w:p w14:paraId="0BD0D143" w14:textId="7777777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3" w:tgtFrame="_blank" w:history="1">
        <w:r w:rsidR="00D66905" w:rsidRPr="00EB3DF4">
          <w:rPr>
            <w:rFonts w:ascii="Arial" w:hAnsi="Arial" w:cs="Arial"/>
            <w:sz w:val="24"/>
            <w:szCs w:val="24"/>
          </w:rPr>
          <w:t>https://www.matchbook.com/page/rules_and_regulations/market-rules</w:t>
        </w:r>
      </w:hyperlink>
      <w:r w:rsidR="00D66905" w:rsidRPr="00EB3DF4">
        <w:rPr>
          <w:rFonts w:ascii="Arial" w:hAnsi="Arial" w:cs="Arial"/>
          <w:sz w:val="24"/>
          <w:szCs w:val="24"/>
        </w:rPr>
        <w:t>.</w:t>
      </w:r>
    </w:p>
    <w:p w14:paraId="64F8ACFD" w14:textId="77777777" w:rsidR="00D66905" w:rsidRPr="000352E5" w:rsidRDefault="00D66905" w:rsidP="00D66905">
      <w:pPr>
        <w:pStyle w:val="Odstavecseseznamem"/>
        <w:numPr>
          <w:ilvl w:val="0"/>
          <w:numId w:val="22"/>
        </w:numPr>
        <w:ind w:left="714" w:hanging="357"/>
        <w:jc w:val="both"/>
        <w:rPr>
          <w:rFonts w:ascii="Arial" w:hAnsi="Arial" w:cs="Arial"/>
          <w:sz w:val="24"/>
          <w:szCs w:val="24"/>
        </w:rPr>
      </w:pPr>
      <w:r w:rsidRPr="000352E5">
        <w:rPr>
          <w:rFonts w:ascii="Arial" w:hAnsi="Arial" w:cs="Arial"/>
          <w:sz w:val="24"/>
          <w:szCs w:val="24"/>
        </w:rPr>
        <w:t>https://www.mfcr.cz/cs/aktualne/v-mediich/2016/myty-o-blokaci-nelegalniho-hazardu-24561.</w:t>
      </w:r>
    </w:p>
    <w:p w14:paraId="3817F6CD" w14:textId="71435E5C"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4" w:history="1">
        <w:r w:rsidR="00D66905" w:rsidRPr="00EB3DF4">
          <w:rPr>
            <w:rFonts w:ascii="Arial" w:hAnsi="Arial" w:cs="Arial"/>
            <w:sz w:val="24"/>
            <w:szCs w:val="24"/>
          </w:rPr>
          <w:t>https://www.mfcr.cz/cs/soukromy-sektor/hazardni-hry/prihlasovani-nevyplacenych-vyher/obecne-informace/2021/informace-k-postupu-sazejicich-pri-uplat-41191</w:t>
        </w:r>
      </w:hyperlink>
      <w:r w:rsidR="007F0B9B" w:rsidRPr="00EB3DF4">
        <w:rPr>
          <w:rFonts w:ascii="Arial" w:hAnsi="Arial" w:cs="Arial"/>
          <w:sz w:val="24"/>
          <w:szCs w:val="24"/>
        </w:rPr>
        <w:t>.</w:t>
      </w:r>
    </w:p>
    <w:p w14:paraId="0A63EF91" w14:textId="2CD63488"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5" w:history="1">
        <w:r w:rsidR="00D66905" w:rsidRPr="00EB3DF4">
          <w:rPr>
            <w:rFonts w:ascii="Arial" w:hAnsi="Arial" w:cs="Arial"/>
            <w:sz w:val="24"/>
            <w:szCs w:val="24"/>
          </w:rPr>
          <w:t>https://www.mfcr.cz/cs/soukromy-sektor/hazardni-hry/prihlasovani-nevyplacenych-vyher/obecne-informace/2021/stanovisko-k-problematice-vyplaty-vyhry-41192</w:t>
        </w:r>
      </w:hyperlink>
      <w:r w:rsidR="007F0B9B" w:rsidRPr="00EB3DF4">
        <w:rPr>
          <w:rFonts w:ascii="Arial" w:hAnsi="Arial" w:cs="Arial"/>
          <w:sz w:val="24"/>
          <w:szCs w:val="24"/>
        </w:rPr>
        <w:t>.</w:t>
      </w:r>
    </w:p>
    <w:p w14:paraId="4E0787F1" w14:textId="1882E706" w:rsidR="00B340C8" w:rsidRDefault="009C0B64" w:rsidP="00B340C8">
      <w:pPr>
        <w:pStyle w:val="Odstavecseseznamem"/>
        <w:numPr>
          <w:ilvl w:val="0"/>
          <w:numId w:val="22"/>
        </w:numPr>
        <w:jc w:val="both"/>
        <w:rPr>
          <w:rFonts w:ascii="Arial" w:hAnsi="Arial" w:cs="Arial"/>
          <w:sz w:val="24"/>
          <w:szCs w:val="24"/>
        </w:rPr>
      </w:pPr>
      <w:hyperlink r:id="rId116" w:history="1">
        <w:r w:rsidR="00B340C8" w:rsidRPr="00C17F55">
          <w:rPr>
            <w:rStyle w:val="Hypertextovodkaz"/>
            <w:rFonts w:ascii="Arial" w:hAnsi="Arial" w:cs="Arial"/>
            <w:sz w:val="24"/>
            <w:szCs w:val="24"/>
          </w:rPr>
          <w:t>https://www.mfcr.cz/cs/soukromy-sektor/hazardni-hry/zadatele-a-provozovatele/stanoviska/2016/formulare-zarucni-listiny-26106</w:t>
        </w:r>
      </w:hyperlink>
      <w:r w:rsidR="00B340C8">
        <w:rPr>
          <w:rFonts w:ascii="Arial" w:hAnsi="Arial" w:cs="Arial"/>
          <w:sz w:val="24"/>
          <w:szCs w:val="24"/>
        </w:rPr>
        <w:t>.</w:t>
      </w:r>
    </w:p>
    <w:p w14:paraId="53A728C7" w14:textId="450E3B58" w:rsidR="00D66905" w:rsidRPr="00EB3DF4" w:rsidRDefault="009C0B64" w:rsidP="00B340C8">
      <w:pPr>
        <w:pStyle w:val="Odstavecseseznamem"/>
        <w:numPr>
          <w:ilvl w:val="0"/>
          <w:numId w:val="22"/>
        </w:numPr>
        <w:jc w:val="both"/>
        <w:rPr>
          <w:rFonts w:ascii="Arial" w:hAnsi="Arial" w:cs="Arial"/>
          <w:sz w:val="24"/>
          <w:szCs w:val="24"/>
        </w:rPr>
      </w:pPr>
      <w:hyperlink r:id="rId117" w:history="1">
        <w:r w:rsidR="00D66905" w:rsidRPr="00EB3DF4">
          <w:rPr>
            <w:rFonts w:ascii="Arial" w:hAnsi="Arial" w:cs="Arial"/>
            <w:sz w:val="24"/>
            <w:szCs w:val="24"/>
          </w:rPr>
          <w:t>http://www.personalityresearch.org/papers/sinha.html</w:t>
        </w:r>
      </w:hyperlink>
      <w:r w:rsidR="00D66905" w:rsidRPr="00EB3DF4">
        <w:rPr>
          <w:rFonts w:ascii="Arial" w:hAnsi="Arial" w:cs="Arial"/>
          <w:sz w:val="24"/>
          <w:szCs w:val="24"/>
        </w:rPr>
        <w:t>.</w:t>
      </w:r>
    </w:p>
    <w:p w14:paraId="4ED44B22" w14:textId="77777777" w:rsidR="00D66905" w:rsidRPr="00EB3DF4" w:rsidRDefault="00D66905" w:rsidP="00EB3DF4">
      <w:pPr>
        <w:pStyle w:val="Odstavecseseznamem"/>
        <w:numPr>
          <w:ilvl w:val="0"/>
          <w:numId w:val="22"/>
        </w:numPr>
        <w:ind w:left="714" w:hanging="357"/>
        <w:jc w:val="both"/>
        <w:rPr>
          <w:rFonts w:ascii="Arial" w:hAnsi="Arial" w:cs="Arial"/>
          <w:sz w:val="24"/>
          <w:szCs w:val="24"/>
        </w:rPr>
      </w:pPr>
      <w:r w:rsidRPr="00EB3DF4">
        <w:rPr>
          <w:rFonts w:ascii="Arial" w:hAnsi="Arial" w:cs="Arial"/>
          <w:sz w:val="24"/>
          <w:szCs w:val="24"/>
        </w:rPr>
        <w:t>https://play.google.com/intl/cs/about/developer-content-policy/.</w:t>
      </w:r>
    </w:p>
    <w:p w14:paraId="41534652" w14:textId="7777777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8" w:history="1">
        <w:r w:rsidR="00D66905" w:rsidRPr="00EB3DF4">
          <w:rPr>
            <w:rFonts w:ascii="Arial" w:hAnsi="Arial" w:cs="Arial"/>
            <w:sz w:val="24"/>
            <w:szCs w:val="24"/>
          </w:rPr>
          <w:t>https://psychologie.cz/clovece-nezlob-se-jako-pruprava-pro-hazard/</w:t>
        </w:r>
      </w:hyperlink>
      <w:r w:rsidR="00D66905" w:rsidRPr="00EB3DF4">
        <w:rPr>
          <w:rFonts w:ascii="Arial" w:hAnsi="Arial" w:cs="Arial"/>
          <w:sz w:val="24"/>
          <w:szCs w:val="24"/>
        </w:rPr>
        <w:t>.</w:t>
      </w:r>
    </w:p>
    <w:p w14:paraId="32BD9201" w14:textId="77777777"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19" w:history="1">
        <w:r w:rsidR="00D66905" w:rsidRPr="00EB3DF4">
          <w:rPr>
            <w:rFonts w:ascii="Arial" w:hAnsi="Arial" w:cs="Arial"/>
            <w:sz w:val="24"/>
            <w:szCs w:val="24"/>
          </w:rPr>
          <w:t>http://somuchpoker.com/everything-you-need-to-know-about-the-new-german-online-poker-regulation/</w:t>
        </w:r>
      </w:hyperlink>
      <w:r w:rsidR="00D66905" w:rsidRPr="00EB3DF4">
        <w:rPr>
          <w:rFonts w:ascii="Arial" w:hAnsi="Arial" w:cs="Arial"/>
          <w:sz w:val="24"/>
          <w:szCs w:val="24"/>
        </w:rPr>
        <w:t>.</w:t>
      </w:r>
    </w:p>
    <w:p w14:paraId="2D96FE84" w14:textId="4ED6D332" w:rsidR="00D66905" w:rsidRPr="00EB3DF4" w:rsidRDefault="009C0B64" w:rsidP="00EB3DF4">
      <w:pPr>
        <w:pStyle w:val="Odstavecseseznamem"/>
        <w:numPr>
          <w:ilvl w:val="0"/>
          <w:numId w:val="22"/>
        </w:numPr>
        <w:ind w:left="714" w:hanging="357"/>
        <w:jc w:val="both"/>
        <w:rPr>
          <w:rFonts w:ascii="Arial" w:hAnsi="Arial" w:cs="Arial"/>
          <w:sz w:val="24"/>
          <w:szCs w:val="24"/>
        </w:rPr>
      </w:pPr>
      <w:hyperlink r:id="rId120" w:tgtFrame="_blank" w:history="1">
        <w:r w:rsidR="00D66905" w:rsidRPr="00EB3DF4">
          <w:rPr>
            <w:rFonts w:ascii="Arial" w:hAnsi="Arial" w:cs="Arial"/>
            <w:sz w:val="24"/>
            <w:szCs w:val="24"/>
          </w:rPr>
          <w:t>https://www.telegraph.co.uk/betting/sports-guides/betting-exchanges/</w:t>
        </w:r>
      </w:hyperlink>
      <w:r w:rsidR="00D66905" w:rsidRPr="00EB3DF4">
        <w:rPr>
          <w:rFonts w:ascii="Arial" w:hAnsi="Arial" w:cs="Arial"/>
          <w:sz w:val="24"/>
          <w:szCs w:val="24"/>
        </w:rPr>
        <w:t>.</w:t>
      </w:r>
    </w:p>
    <w:p w14:paraId="75DCA058" w14:textId="77777777" w:rsidR="003D667B" w:rsidRDefault="009C0B64" w:rsidP="00EB3DF4">
      <w:pPr>
        <w:pStyle w:val="Odstavecseseznamem"/>
        <w:numPr>
          <w:ilvl w:val="0"/>
          <w:numId w:val="22"/>
        </w:numPr>
        <w:ind w:left="714" w:hanging="357"/>
        <w:jc w:val="both"/>
        <w:rPr>
          <w:rFonts w:ascii="Arial" w:hAnsi="Arial" w:cs="Arial"/>
          <w:sz w:val="24"/>
          <w:szCs w:val="24"/>
        </w:rPr>
      </w:pPr>
      <w:hyperlink r:id="rId121" w:history="1">
        <w:r w:rsidR="003D667B" w:rsidRPr="00EB3DF4">
          <w:rPr>
            <w:rFonts w:ascii="Arial" w:hAnsi="Arial" w:cs="Arial"/>
            <w:sz w:val="24"/>
            <w:szCs w:val="24"/>
          </w:rPr>
          <w:t>https://www.vlada.cz/cz/ppov/protidrogova-politika/media/hrani-hazardnich-her-se-presouva-do-prostredi-internetu--v-roce-2017-byla-vice-nez-tretina-penez-vlozena-on-line-167869/</w:t>
        </w:r>
      </w:hyperlink>
    </w:p>
    <w:p w14:paraId="14AED2BE" w14:textId="6FDC06EE" w:rsidR="00D66905" w:rsidRDefault="009C0B64" w:rsidP="00D66905">
      <w:pPr>
        <w:pStyle w:val="Odstavecseseznamem"/>
        <w:numPr>
          <w:ilvl w:val="0"/>
          <w:numId w:val="22"/>
        </w:numPr>
        <w:ind w:left="714" w:hanging="357"/>
        <w:jc w:val="both"/>
        <w:rPr>
          <w:rFonts w:ascii="Arial" w:hAnsi="Arial" w:cs="Arial"/>
          <w:sz w:val="24"/>
          <w:szCs w:val="24"/>
        </w:rPr>
      </w:pPr>
      <w:hyperlink r:id="rId122" w:history="1">
        <w:r w:rsidR="00D66905" w:rsidRPr="000352E5">
          <w:rPr>
            <w:rFonts w:ascii="Arial" w:hAnsi="Arial" w:cs="Arial"/>
            <w:sz w:val="24"/>
            <w:szCs w:val="24"/>
          </w:rPr>
          <w:t>https://www.vlada.cz/cz/ppov/protidrogova-politika/koordinace/narodni-konference-hazardni-hrani-v-ceske-republice-v-roce-2018-165597/</w:t>
        </w:r>
      </w:hyperlink>
      <w:r w:rsidR="00D66905" w:rsidRPr="000352E5">
        <w:rPr>
          <w:rFonts w:ascii="Arial" w:hAnsi="Arial" w:cs="Arial"/>
          <w:sz w:val="24"/>
          <w:szCs w:val="24"/>
        </w:rPr>
        <w:t>.</w:t>
      </w:r>
    </w:p>
    <w:p w14:paraId="58D8E90E" w14:textId="03152BC2" w:rsidR="001B7DE5" w:rsidRDefault="001B7DE5" w:rsidP="001B7DE5">
      <w:pPr>
        <w:pStyle w:val="Odstavecseseznamem"/>
        <w:numPr>
          <w:ilvl w:val="0"/>
          <w:numId w:val="22"/>
        </w:numPr>
        <w:jc w:val="both"/>
        <w:rPr>
          <w:rFonts w:ascii="Arial" w:hAnsi="Arial" w:cs="Arial"/>
          <w:sz w:val="24"/>
          <w:szCs w:val="24"/>
        </w:rPr>
      </w:pPr>
      <w:r w:rsidRPr="001B7DE5">
        <w:rPr>
          <w:rFonts w:ascii="Arial" w:hAnsi="Arial" w:cs="Arial"/>
          <w:sz w:val="24"/>
          <w:szCs w:val="24"/>
        </w:rPr>
        <w:t>MARKOFF, John. Internet Breeds Social Isolation Those Online Spend Less Time With Others [online]. 2000 [cit. 2021-10-02]. Dostupné z: http://search.proquest.com/docview/391369237?accountid=14623</w:t>
      </w:r>
    </w:p>
    <w:p w14:paraId="7C4CCE68" w14:textId="7EC9BD3A" w:rsidR="002E129A" w:rsidRDefault="002E129A" w:rsidP="002E129A">
      <w:pPr>
        <w:pStyle w:val="Nadpis3"/>
      </w:pPr>
      <w:bookmarkStart w:id="164" w:name="_Toc73613645"/>
      <w:r>
        <w:t>Ostatní</w:t>
      </w:r>
      <w:bookmarkEnd w:id="164"/>
    </w:p>
    <w:p w14:paraId="1FF4BEF8" w14:textId="4028E417" w:rsidR="002E129A" w:rsidRPr="00D32228" w:rsidRDefault="00133920" w:rsidP="00D32228">
      <w:r>
        <w:t>Při přípravě tohoto materiálu M</w:t>
      </w:r>
      <w:r w:rsidR="006C698F">
        <w:t xml:space="preserve">inisterstvo financí </w:t>
      </w:r>
      <w:r>
        <w:t>využilo rovněž informace a údaje, které má k dispozici v rámci své vlastní úřední činnosti</w:t>
      </w:r>
      <w:r w:rsidR="00D32228">
        <w:t>, a další podněty a zkušenosti z aplikace a implementace zákona o hazardních hrách a dalších souvisejících právních předpisů</w:t>
      </w:r>
      <w:r>
        <w:t>. Jedná se zejména o data uložená v informačních systémech zejména pak AISG a IS SDSL. Dále byly</w:t>
      </w:r>
      <w:r w:rsidR="00FE2082">
        <w:t xml:space="preserve"> </w:t>
      </w:r>
      <w:r>
        <w:t>informace čerpány z</w:t>
      </w:r>
      <w:r w:rsidR="007B6B39">
        <w:t xml:space="preserve"> herní</w:t>
      </w:r>
      <w:r w:rsidR="00FE2082">
        <w:t>ch plánů</w:t>
      </w:r>
      <w:r>
        <w:t>,</w:t>
      </w:r>
      <w:r w:rsidR="00FE2082">
        <w:t xml:space="preserve"> </w:t>
      </w:r>
      <w:r>
        <w:t xml:space="preserve">ze </w:t>
      </w:r>
      <w:r w:rsidR="00FE2082">
        <w:t xml:space="preserve">základních </w:t>
      </w:r>
      <w:r w:rsidR="007B6B39">
        <w:t>povolení</w:t>
      </w:r>
      <w:r>
        <w:t xml:space="preserve"> a dalších dokumentů. Ministerstvo financí rovněž využilo informace a podněty, které obdrželo na </w:t>
      </w:r>
      <w:r w:rsidR="00FE2082">
        <w:t>z</w:t>
      </w:r>
      <w:r>
        <w:t>ákladě</w:t>
      </w:r>
      <w:r w:rsidR="00FE2082">
        <w:t xml:space="preserve"> </w:t>
      </w:r>
      <w:r w:rsidR="00453044">
        <w:t>dotazníkov</w:t>
      </w:r>
      <w:r w:rsidR="00FE2082">
        <w:t>ých</w:t>
      </w:r>
      <w:r>
        <w:t xml:space="preserve"> šetř</w:t>
      </w:r>
      <w:r w:rsidR="00D32228">
        <w:t>ení či žádostí o součinnosti u dotčených subjektů.</w:t>
      </w:r>
      <w:bookmarkStart w:id="165" w:name="_Toc71880538"/>
      <w:bookmarkStart w:id="166" w:name="_Toc71881098"/>
      <w:bookmarkStart w:id="167" w:name="_Toc72999590"/>
      <w:r w:rsidR="002E129A" w:rsidRPr="00D32228">
        <w:rPr>
          <w:rFonts w:cs="Arial"/>
          <w:szCs w:val="24"/>
        </w:rPr>
        <w:br w:type="page"/>
      </w:r>
    </w:p>
    <w:p w14:paraId="530933AA" w14:textId="479B0A41" w:rsidR="006C6138" w:rsidRPr="0098724D" w:rsidRDefault="006C6138" w:rsidP="006C6138">
      <w:pPr>
        <w:pStyle w:val="Nadpis2"/>
      </w:pPr>
      <w:bookmarkStart w:id="168" w:name="_Toc73613646"/>
      <w:r w:rsidRPr="0098724D">
        <w:lastRenderedPageBreak/>
        <w:t xml:space="preserve">Seznam tabulek, </w:t>
      </w:r>
      <w:bookmarkEnd w:id="165"/>
      <w:bookmarkEnd w:id="166"/>
      <w:bookmarkEnd w:id="167"/>
      <w:r w:rsidR="00243F09">
        <w:t>obrázků a grafů</w:t>
      </w:r>
      <w:bookmarkEnd w:id="168"/>
    </w:p>
    <w:p w14:paraId="68D00F2E" w14:textId="77777777" w:rsidR="0091244D" w:rsidRPr="0091244D" w:rsidRDefault="006C6138" w:rsidP="00610772">
      <w:pPr>
        <w:pStyle w:val="Nadpis3"/>
        <w:rPr>
          <w:noProof/>
        </w:rPr>
      </w:pPr>
      <w:bookmarkStart w:id="169" w:name="_Toc72999591"/>
      <w:bookmarkStart w:id="170" w:name="_Toc73613647"/>
      <w:r w:rsidRPr="0098724D">
        <w:t>Tabulky</w:t>
      </w:r>
      <w:bookmarkEnd w:id="169"/>
      <w:bookmarkEnd w:id="170"/>
      <w:r w:rsidRPr="0098724D">
        <w:t xml:space="preserve"> </w:t>
      </w:r>
      <w:r w:rsidR="00E81244" w:rsidRPr="0091244D">
        <w:fldChar w:fldCharType="begin"/>
      </w:r>
      <w:r w:rsidR="00E81244" w:rsidRPr="0091244D">
        <w:instrText xml:space="preserve"> TOC \h \z \c "Tabulka č." </w:instrText>
      </w:r>
      <w:r w:rsidR="00E81244" w:rsidRPr="0091244D">
        <w:fldChar w:fldCharType="separate"/>
      </w:r>
    </w:p>
    <w:p w14:paraId="10E34389" w14:textId="0616C1BF"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78" w:history="1">
        <w:r w:rsidR="0091244D" w:rsidRPr="0091244D">
          <w:rPr>
            <w:rStyle w:val="Hypertextovodkaz"/>
            <w:noProof/>
          </w:rPr>
          <w:t>Tabulka č. 1: Počty požadavků na ověření v Rejstříku vyloučených osob (20. 12. 2020 – 1. 4. 2021)</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_Toc73524678 \h </w:instrText>
        </w:r>
        <w:r w:rsidR="0091244D" w:rsidRPr="0091244D">
          <w:rPr>
            <w:noProof/>
            <w:webHidden/>
          </w:rPr>
        </w:r>
        <w:r w:rsidR="0091244D" w:rsidRPr="0091244D">
          <w:rPr>
            <w:noProof/>
            <w:webHidden/>
          </w:rPr>
          <w:fldChar w:fldCharType="separate"/>
        </w:r>
        <w:r w:rsidR="0091244D" w:rsidRPr="0091244D">
          <w:rPr>
            <w:noProof/>
            <w:webHidden/>
          </w:rPr>
          <w:t>34</w:t>
        </w:r>
        <w:r w:rsidR="0091244D" w:rsidRPr="0091244D">
          <w:rPr>
            <w:noProof/>
            <w:webHidden/>
          </w:rPr>
          <w:fldChar w:fldCharType="end"/>
        </w:r>
      </w:hyperlink>
    </w:p>
    <w:p w14:paraId="79A2A0DA" w14:textId="6F66DF85"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79" w:history="1">
        <w:r w:rsidR="0091244D" w:rsidRPr="0091244D">
          <w:rPr>
            <w:rStyle w:val="Hypertextovodkaz"/>
            <w:noProof/>
          </w:rPr>
          <w:t>Tabulka č. 2: Celkové počty požadavků na ověření osoby dle jednotlivých důvodů (20. 12. 2020 – 1. 4. 2021)</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_Toc73524679 \h </w:instrText>
        </w:r>
        <w:r w:rsidR="0091244D" w:rsidRPr="0091244D">
          <w:rPr>
            <w:noProof/>
            <w:webHidden/>
          </w:rPr>
        </w:r>
        <w:r w:rsidR="0091244D" w:rsidRPr="0091244D">
          <w:rPr>
            <w:noProof/>
            <w:webHidden/>
          </w:rPr>
          <w:fldChar w:fldCharType="separate"/>
        </w:r>
        <w:r w:rsidR="0091244D" w:rsidRPr="0091244D">
          <w:rPr>
            <w:noProof/>
            <w:webHidden/>
          </w:rPr>
          <w:t>34</w:t>
        </w:r>
        <w:r w:rsidR="0091244D" w:rsidRPr="0091244D">
          <w:rPr>
            <w:noProof/>
            <w:webHidden/>
          </w:rPr>
          <w:fldChar w:fldCharType="end"/>
        </w:r>
      </w:hyperlink>
    </w:p>
    <w:p w14:paraId="6F01D356" w14:textId="315100A9"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0" w:history="1">
        <w:r w:rsidR="0091244D" w:rsidRPr="0091244D">
          <w:rPr>
            <w:rStyle w:val="Hypertextovodkaz"/>
            <w:noProof/>
          </w:rPr>
          <w:t>Tabulka č. 3: Místa, na kterých lze provozovat technické hry</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_Toc73524680 \h </w:instrText>
        </w:r>
        <w:r w:rsidR="0091244D" w:rsidRPr="0091244D">
          <w:rPr>
            <w:noProof/>
            <w:webHidden/>
          </w:rPr>
        </w:r>
        <w:r w:rsidR="0091244D" w:rsidRPr="0091244D">
          <w:rPr>
            <w:noProof/>
            <w:webHidden/>
          </w:rPr>
          <w:fldChar w:fldCharType="separate"/>
        </w:r>
        <w:r w:rsidR="0091244D" w:rsidRPr="0091244D">
          <w:rPr>
            <w:noProof/>
            <w:webHidden/>
          </w:rPr>
          <w:t>38</w:t>
        </w:r>
        <w:r w:rsidR="0091244D" w:rsidRPr="0091244D">
          <w:rPr>
            <w:noProof/>
            <w:webHidden/>
          </w:rPr>
          <w:fldChar w:fldCharType="end"/>
        </w:r>
      </w:hyperlink>
    </w:p>
    <w:p w14:paraId="34158C18" w14:textId="6AD1672D"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1" w:history="1">
        <w:r w:rsidR="0091244D" w:rsidRPr="0091244D">
          <w:rPr>
            <w:rStyle w:val="Hypertextovodkaz"/>
            <w:noProof/>
          </w:rPr>
          <w:t>Tabulka č. 4: Odhadovaný počet osob v riziku problémového hráčství podle screeningové škály Lie/bet v I. 2013 – 2019 – extrapolace výsledků na počet obyvatel ČR</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_Toc73524681 \h </w:instrText>
        </w:r>
        <w:r w:rsidR="0091244D" w:rsidRPr="0091244D">
          <w:rPr>
            <w:noProof/>
            <w:webHidden/>
          </w:rPr>
        </w:r>
        <w:r w:rsidR="0091244D" w:rsidRPr="0091244D">
          <w:rPr>
            <w:noProof/>
            <w:webHidden/>
          </w:rPr>
          <w:fldChar w:fldCharType="separate"/>
        </w:r>
        <w:r w:rsidR="0091244D" w:rsidRPr="0091244D">
          <w:rPr>
            <w:noProof/>
            <w:webHidden/>
          </w:rPr>
          <w:t>41</w:t>
        </w:r>
        <w:r w:rsidR="0091244D" w:rsidRPr="0091244D">
          <w:rPr>
            <w:noProof/>
            <w:webHidden/>
          </w:rPr>
          <w:fldChar w:fldCharType="end"/>
        </w:r>
      </w:hyperlink>
    </w:p>
    <w:p w14:paraId="39AC4651" w14:textId="221DCFA6"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2" w:history="1">
        <w:r w:rsidR="0091244D" w:rsidRPr="0091244D">
          <w:rPr>
            <w:rStyle w:val="Hypertextovodkaz"/>
            <w:noProof/>
          </w:rPr>
          <w:t>Tabulka č. 5: Parametry a jejich hodnoty</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_Toc73524682 \h </w:instrText>
        </w:r>
        <w:r w:rsidR="0091244D" w:rsidRPr="0091244D">
          <w:rPr>
            <w:noProof/>
            <w:webHidden/>
          </w:rPr>
        </w:r>
        <w:r w:rsidR="0091244D" w:rsidRPr="0091244D">
          <w:rPr>
            <w:noProof/>
            <w:webHidden/>
          </w:rPr>
          <w:fldChar w:fldCharType="separate"/>
        </w:r>
        <w:r w:rsidR="0091244D" w:rsidRPr="0091244D">
          <w:rPr>
            <w:noProof/>
            <w:webHidden/>
          </w:rPr>
          <w:t>43</w:t>
        </w:r>
        <w:r w:rsidR="0091244D" w:rsidRPr="0091244D">
          <w:rPr>
            <w:noProof/>
            <w:webHidden/>
          </w:rPr>
          <w:fldChar w:fldCharType="end"/>
        </w:r>
      </w:hyperlink>
    </w:p>
    <w:p w14:paraId="211263D9" w14:textId="4CB5E549"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3" w:history="1">
        <w:r w:rsidR="0091244D" w:rsidRPr="0091244D">
          <w:rPr>
            <w:rStyle w:val="Hypertextovodkaz"/>
            <w:noProof/>
          </w:rPr>
          <w:t>Tabulka č. 6: Vyhodnocení potenciálního rizika jednotlivých druhů hazardních her</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_Toc73524683 \h </w:instrText>
        </w:r>
        <w:r w:rsidR="0091244D" w:rsidRPr="0091244D">
          <w:rPr>
            <w:noProof/>
            <w:webHidden/>
          </w:rPr>
        </w:r>
        <w:r w:rsidR="0091244D" w:rsidRPr="0091244D">
          <w:rPr>
            <w:noProof/>
            <w:webHidden/>
          </w:rPr>
          <w:fldChar w:fldCharType="separate"/>
        </w:r>
        <w:r w:rsidR="0091244D" w:rsidRPr="0091244D">
          <w:rPr>
            <w:noProof/>
            <w:webHidden/>
          </w:rPr>
          <w:t>45</w:t>
        </w:r>
        <w:r w:rsidR="0091244D" w:rsidRPr="0091244D">
          <w:rPr>
            <w:noProof/>
            <w:webHidden/>
          </w:rPr>
          <w:fldChar w:fldCharType="end"/>
        </w:r>
      </w:hyperlink>
    </w:p>
    <w:p w14:paraId="598D4E2D" w14:textId="02FBB6D2"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4" w:history="1">
        <w:r w:rsidR="0091244D" w:rsidRPr="0091244D">
          <w:rPr>
            <w:rStyle w:val="Hypertextovodkaz"/>
            <w:noProof/>
          </w:rPr>
          <w:t>Tabulka č. 7: Počet vydaných povolení podle zákona o loteriích podle jednotlivých druhů hry (stav k 1. 11. 2016)</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_Toc73524684 \h </w:instrText>
        </w:r>
        <w:r w:rsidR="0091244D" w:rsidRPr="0091244D">
          <w:rPr>
            <w:noProof/>
            <w:webHidden/>
          </w:rPr>
        </w:r>
        <w:r w:rsidR="0091244D" w:rsidRPr="0091244D">
          <w:rPr>
            <w:noProof/>
            <w:webHidden/>
          </w:rPr>
          <w:fldChar w:fldCharType="separate"/>
        </w:r>
        <w:r w:rsidR="0091244D" w:rsidRPr="0091244D">
          <w:rPr>
            <w:noProof/>
            <w:webHidden/>
          </w:rPr>
          <w:t>47</w:t>
        </w:r>
        <w:r w:rsidR="0091244D" w:rsidRPr="0091244D">
          <w:rPr>
            <w:noProof/>
            <w:webHidden/>
          </w:rPr>
          <w:fldChar w:fldCharType="end"/>
        </w:r>
      </w:hyperlink>
    </w:p>
    <w:p w14:paraId="1CFD0617" w14:textId="19693B8A"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5" w:history="1">
        <w:r w:rsidR="0091244D" w:rsidRPr="0091244D">
          <w:rPr>
            <w:rStyle w:val="Hypertextovodkaz"/>
            <w:noProof/>
          </w:rPr>
          <w:t>Tabulka č. 8: Počet vydaných základních povolení podle zákona o hazardních hrách podle druhu hazardní hry a způsobu provozování (stav k 15. 4. 2021)</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_Toc73524685 \h </w:instrText>
        </w:r>
        <w:r w:rsidR="0091244D" w:rsidRPr="0091244D">
          <w:rPr>
            <w:noProof/>
            <w:webHidden/>
          </w:rPr>
        </w:r>
        <w:r w:rsidR="0091244D" w:rsidRPr="0091244D">
          <w:rPr>
            <w:noProof/>
            <w:webHidden/>
          </w:rPr>
          <w:fldChar w:fldCharType="separate"/>
        </w:r>
        <w:r w:rsidR="0091244D" w:rsidRPr="0091244D">
          <w:rPr>
            <w:noProof/>
            <w:webHidden/>
          </w:rPr>
          <w:t>48</w:t>
        </w:r>
        <w:r w:rsidR="0091244D" w:rsidRPr="0091244D">
          <w:rPr>
            <w:noProof/>
            <w:webHidden/>
          </w:rPr>
          <w:fldChar w:fldCharType="end"/>
        </w:r>
      </w:hyperlink>
    </w:p>
    <w:p w14:paraId="31DF6FDB" w14:textId="1AA735FE"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6" w:history="1">
        <w:r w:rsidR="0091244D" w:rsidRPr="0091244D">
          <w:rPr>
            <w:rStyle w:val="Hypertextovodkaz"/>
            <w:noProof/>
          </w:rPr>
          <w:t>Tabulka č. 9: Historický přehled zdanění v oblasti hazardních her</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_Toc73524686 \h </w:instrText>
        </w:r>
        <w:r w:rsidR="0091244D" w:rsidRPr="0091244D">
          <w:rPr>
            <w:noProof/>
            <w:webHidden/>
          </w:rPr>
        </w:r>
        <w:r w:rsidR="0091244D" w:rsidRPr="0091244D">
          <w:rPr>
            <w:noProof/>
            <w:webHidden/>
          </w:rPr>
          <w:fldChar w:fldCharType="separate"/>
        </w:r>
        <w:r w:rsidR="0091244D" w:rsidRPr="0091244D">
          <w:rPr>
            <w:noProof/>
            <w:webHidden/>
          </w:rPr>
          <w:t>76</w:t>
        </w:r>
        <w:r w:rsidR="0091244D" w:rsidRPr="0091244D">
          <w:rPr>
            <w:noProof/>
            <w:webHidden/>
          </w:rPr>
          <w:fldChar w:fldCharType="end"/>
        </w:r>
      </w:hyperlink>
    </w:p>
    <w:p w14:paraId="63D2F3AE" w14:textId="6029B081"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7" w:history="1">
        <w:r w:rsidR="0091244D" w:rsidRPr="0091244D">
          <w:rPr>
            <w:rStyle w:val="Hypertextovodkaz"/>
            <w:noProof/>
          </w:rPr>
          <w:t>Tabulka č. 10: Přehled zdanění nelegálních provozovatelů za období 2017–2020</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_Toc73524687 \h </w:instrText>
        </w:r>
        <w:r w:rsidR="0091244D" w:rsidRPr="0091244D">
          <w:rPr>
            <w:noProof/>
            <w:webHidden/>
          </w:rPr>
        </w:r>
        <w:r w:rsidR="0091244D" w:rsidRPr="0091244D">
          <w:rPr>
            <w:noProof/>
            <w:webHidden/>
          </w:rPr>
          <w:fldChar w:fldCharType="separate"/>
        </w:r>
        <w:r w:rsidR="0091244D" w:rsidRPr="0091244D">
          <w:rPr>
            <w:noProof/>
            <w:webHidden/>
          </w:rPr>
          <w:t>83</w:t>
        </w:r>
        <w:r w:rsidR="0091244D" w:rsidRPr="0091244D">
          <w:rPr>
            <w:noProof/>
            <w:webHidden/>
          </w:rPr>
          <w:fldChar w:fldCharType="end"/>
        </w:r>
      </w:hyperlink>
    </w:p>
    <w:p w14:paraId="2EDB5339" w14:textId="3BB76FA8"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8" w:history="1">
        <w:r w:rsidR="0091244D" w:rsidRPr="0091244D">
          <w:rPr>
            <w:rStyle w:val="Hypertextovodkaz"/>
            <w:noProof/>
          </w:rPr>
          <w:t>Tabulka č. 11: Odhadovaný počet osob v riziku problémového hráčství podle screeningové škály Lie/bet v I. 2013 – 2019 – extrapolace výsledků na počet obyvatel ČR</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_Toc73524688 \h </w:instrText>
        </w:r>
        <w:r w:rsidR="0091244D" w:rsidRPr="0091244D">
          <w:rPr>
            <w:noProof/>
            <w:webHidden/>
          </w:rPr>
        </w:r>
        <w:r w:rsidR="0091244D" w:rsidRPr="0091244D">
          <w:rPr>
            <w:noProof/>
            <w:webHidden/>
          </w:rPr>
          <w:fldChar w:fldCharType="separate"/>
        </w:r>
        <w:r w:rsidR="0091244D" w:rsidRPr="0091244D">
          <w:rPr>
            <w:noProof/>
            <w:webHidden/>
          </w:rPr>
          <w:t>92</w:t>
        </w:r>
        <w:r w:rsidR="0091244D" w:rsidRPr="0091244D">
          <w:rPr>
            <w:noProof/>
            <w:webHidden/>
          </w:rPr>
          <w:fldChar w:fldCharType="end"/>
        </w:r>
      </w:hyperlink>
    </w:p>
    <w:p w14:paraId="2D10C9B5" w14:textId="77777777" w:rsidR="0091244D" w:rsidRPr="0091244D" w:rsidRDefault="00E81244" w:rsidP="00243F09">
      <w:pPr>
        <w:pStyle w:val="Nadpis3"/>
        <w:rPr>
          <w:noProof/>
        </w:rPr>
      </w:pPr>
      <w:r w:rsidRPr="0091244D">
        <w:rPr>
          <w:highlight w:val="lightGray"/>
        </w:rPr>
        <w:fldChar w:fldCharType="end"/>
      </w:r>
      <w:bookmarkStart w:id="171" w:name="_Toc72999593"/>
      <w:bookmarkStart w:id="172" w:name="_Toc72999592"/>
      <w:r w:rsidR="00243F09" w:rsidRPr="00243F09">
        <w:t xml:space="preserve"> </w:t>
      </w:r>
      <w:bookmarkStart w:id="173" w:name="_Toc73613648"/>
      <w:r w:rsidR="00243F09" w:rsidRPr="0098724D">
        <w:t>Obrázky</w:t>
      </w:r>
      <w:bookmarkEnd w:id="171"/>
      <w:bookmarkEnd w:id="173"/>
      <w:r w:rsidR="00243F09" w:rsidRPr="00243F09">
        <w:fldChar w:fldCharType="begin"/>
      </w:r>
      <w:r w:rsidR="00243F09" w:rsidRPr="0098724D">
        <w:instrText xml:space="preserve"> TOC \h \z \c "Obrázek č. " </w:instrText>
      </w:r>
      <w:r w:rsidR="00243F09" w:rsidRPr="00243F09">
        <w:fldChar w:fldCharType="separate"/>
      </w:r>
    </w:p>
    <w:p w14:paraId="7816F885" w14:textId="6362643B"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89" w:history="1">
        <w:r w:rsidR="0091244D" w:rsidRPr="0091244D">
          <w:rPr>
            <w:rStyle w:val="Hypertextovodkaz"/>
            <w:noProof/>
          </w:rPr>
          <w:t>Obrázek č. 1: Herny v České republice (3. čtvrtletí 2020)</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_Toc73524689 \h </w:instrText>
        </w:r>
        <w:r w:rsidR="0091244D" w:rsidRPr="0091244D">
          <w:rPr>
            <w:noProof/>
            <w:webHidden/>
          </w:rPr>
        </w:r>
        <w:r w:rsidR="0091244D" w:rsidRPr="0091244D">
          <w:rPr>
            <w:noProof/>
            <w:webHidden/>
          </w:rPr>
          <w:fldChar w:fldCharType="separate"/>
        </w:r>
        <w:r w:rsidR="0091244D" w:rsidRPr="0091244D">
          <w:rPr>
            <w:noProof/>
            <w:webHidden/>
          </w:rPr>
          <w:t>39</w:t>
        </w:r>
        <w:r w:rsidR="0091244D" w:rsidRPr="0091244D">
          <w:rPr>
            <w:noProof/>
            <w:webHidden/>
          </w:rPr>
          <w:fldChar w:fldCharType="end"/>
        </w:r>
      </w:hyperlink>
    </w:p>
    <w:p w14:paraId="2449095E" w14:textId="69D0556C"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90" w:history="1">
        <w:r w:rsidR="0091244D" w:rsidRPr="0091244D">
          <w:rPr>
            <w:rStyle w:val="Hypertextovodkaz"/>
            <w:noProof/>
          </w:rPr>
          <w:t>Obrázek č. 2: Kasina v České republice (3. čtvrtletí 2020)</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_Toc73524690 \h </w:instrText>
        </w:r>
        <w:r w:rsidR="0091244D" w:rsidRPr="0091244D">
          <w:rPr>
            <w:noProof/>
            <w:webHidden/>
          </w:rPr>
        </w:r>
        <w:r w:rsidR="0091244D" w:rsidRPr="0091244D">
          <w:rPr>
            <w:noProof/>
            <w:webHidden/>
          </w:rPr>
          <w:fldChar w:fldCharType="separate"/>
        </w:r>
        <w:r w:rsidR="0091244D" w:rsidRPr="0091244D">
          <w:rPr>
            <w:noProof/>
            <w:webHidden/>
          </w:rPr>
          <w:t>39</w:t>
        </w:r>
        <w:r w:rsidR="0091244D" w:rsidRPr="0091244D">
          <w:rPr>
            <w:noProof/>
            <w:webHidden/>
          </w:rPr>
          <w:fldChar w:fldCharType="end"/>
        </w:r>
      </w:hyperlink>
    </w:p>
    <w:p w14:paraId="20F92927" w14:textId="38E2271E" w:rsidR="0091244D" w:rsidRPr="0091244D" w:rsidRDefault="009C0B64">
      <w:pPr>
        <w:pStyle w:val="Seznamobrzk"/>
        <w:tabs>
          <w:tab w:val="right" w:leader="dot" w:pos="9062"/>
        </w:tabs>
        <w:rPr>
          <w:rFonts w:asciiTheme="minorHAnsi" w:eastAsiaTheme="minorEastAsia" w:hAnsiTheme="minorHAnsi"/>
          <w:noProof/>
          <w:sz w:val="22"/>
          <w:lang w:eastAsia="cs-CZ"/>
        </w:rPr>
      </w:pPr>
      <w:hyperlink w:anchor="_Toc73524691" w:history="1">
        <w:r w:rsidR="0091244D" w:rsidRPr="0091244D">
          <w:rPr>
            <w:rStyle w:val="Hypertextovodkaz"/>
            <w:noProof/>
          </w:rPr>
          <w:t>Obrázek č. 3: Počet nelegálních provozoven shledaných Celní správou v období let 2017 až 2020</w:t>
        </w:r>
        <w:r w:rsidR="0091244D" w:rsidRPr="0091244D">
          <w:rPr>
            <w:noProof/>
            <w:webHidden/>
          </w:rPr>
          <w:tab/>
        </w:r>
        <w:r w:rsidR="0091244D" w:rsidRPr="0091244D">
          <w:rPr>
            <w:noProof/>
            <w:webHidden/>
          </w:rPr>
          <w:fldChar w:fldCharType="begin"/>
        </w:r>
        <w:r w:rsidR="0091244D" w:rsidRPr="0091244D">
          <w:rPr>
            <w:noProof/>
            <w:webHidden/>
          </w:rPr>
          <w:instrText xml:space="preserve"> PAGEREF _Toc73524691 \h </w:instrText>
        </w:r>
        <w:r w:rsidR="0091244D" w:rsidRPr="0091244D">
          <w:rPr>
            <w:noProof/>
            <w:webHidden/>
          </w:rPr>
        </w:r>
        <w:r w:rsidR="0091244D" w:rsidRPr="0091244D">
          <w:rPr>
            <w:noProof/>
            <w:webHidden/>
          </w:rPr>
          <w:fldChar w:fldCharType="separate"/>
        </w:r>
        <w:r w:rsidR="0091244D" w:rsidRPr="0091244D">
          <w:rPr>
            <w:noProof/>
            <w:webHidden/>
          </w:rPr>
          <w:t>61</w:t>
        </w:r>
        <w:r w:rsidR="0091244D" w:rsidRPr="0091244D">
          <w:rPr>
            <w:noProof/>
            <w:webHidden/>
          </w:rPr>
          <w:fldChar w:fldCharType="end"/>
        </w:r>
      </w:hyperlink>
    </w:p>
    <w:p w14:paraId="352A6FC2" w14:textId="24FEB724" w:rsidR="006C6138" w:rsidRPr="0098724D" w:rsidRDefault="00243F09" w:rsidP="0092069D">
      <w:pPr>
        <w:pStyle w:val="Nadpis3"/>
      </w:pPr>
      <w:r w:rsidRPr="00243F09">
        <w:rPr>
          <w:highlight w:val="lightGray"/>
        </w:rPr>
        <w:fldChar w:fldCharType="end"/>
      </w:r>
      <w:bookmarkStart w:id="174" w:name="_Toc73613649"/>
      <w:r w:rsidR="006C6138" w:rsidRPr="0098724D">
        <w:t>Grafy</w:t>
      </w:r>
      <w:bookmarkEnd w:id="172"/>
      <w:bookmarkEnd w:id="174"/>
    </w:p>
    <w:p w14:paraId="2051014C" w14:textId="14DF8849" w:rsidR="00EE564E" w:rsidRPr="00EE564E" w:rsidRDefault="00E81244">
      <w:pPr>
        <w:pStyle w:val="Seznamobrzk"/>
        <w:tabs>
          <w:tab w:val="right" w:leader="dot" w:pos="9062"/>
        </w:tabs>
        <w:rPr>
          <w:rFonts w:asciiTheme="minorHAnsi" w:eastAsiaTheme="minorEastAsia" w:hAnsiTheme="minorHAnsi"/>
          <w:noProof/>
          <w:sz w:val="22"/>
          <w:lang w:eastAsia="cs-CZ"/>
        </w:rPr>
      </w:pPr>
      <w:r w:rsidRPr="0091244D">
        <w:rPr>
          <w:highlight w:val="lightGray"/>
        </w:rPr>
        <w:fldChar w:fldCharType="begin"/>
      </w:r>
      <w:r w:rsidRPr="0091244D">
        <w:rPr>
          <w:highlight w:val="lightGray"/>
        </w:rPr>
        <w:instrText xml:space="preserve"> TOC \h \z \c "Graf č." </w:instrText>
      </w:r>
      <w:r w:rsidRPr="0091244D">
        <w:rPr>
          <w:highlight w:val="lightGray"/>
        </w:rPr>
        <w:fldChar w:fldCharType="separate"/>
      </w:r>
      <w:hyperlink w:anchor="_Toc73611429" w:history="1">
        <w:r w:rsidR="00EE564E" w:rsidRPr="00EE564E">
          <w:rPr>
            <w:rStyle w:val="Hypertextovodkaz"/>
            <w:noProof/>
          </w:rPr>
          <w:t>Graf č. 1: Osoby zapsané do Rejstříku vyloučených osob podle důvodu vyloučení (k 1. 4.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_Toc73611429 \h </w:instrText>
        </w:r>
        <w:r w:rsidR="00EE564E" w:rsidRPr="00EE564E">
          <w:rPr>
            <w:noProof/>
            <w:webHidden/>
          </w:rPr>
        </w:r>
        <w:r w:rsidR="00EE564E" w:rsidRPr="00EE564E">
          <w:rPr>
            <w:noProof/>
            <w:webHidden/>
          </w:rPr>
          <w:fldChar w:fldCharType="separate"/>
        </w:r>
        <w:r w:rsidR="00EE564E" w:rsidRPr="00EE564E">
          <w:rPr>
            <w:noProof/>
            <w:webHidden/>
          </w:rPr>
          <w:t>30</w:t>
        </w:r>
        <w:r w:rsidR="00EE564E" w:rsidRPr="00EE564E">
          <w:rPr>
            <w:noProof/>
            <w:webHidden/>
          </w:rPr>
          <w:fldChar w:fldCharType="end"/>
        </w:r>
      </w:hyperlink>
    </w:p>
    <w:p w14:paraId="5EAB81B8" w14:textId="068C0426"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0" w:history="1">
        <w:r w:rsidR="00EE564E" w:rsidRPr="00EE564E">
          <w:rPr>
            <w:rStyle w:val="Hypertextovodkaz"/>
            <w:noProof/>
          </w:rPr>
          <w:t>Graf č. 2: Počet osob zapsaných do Rejstříku vyloučených osob na vlastní žádost – podíl mužů a žen (stav k 1. 4.2021)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_Toc73611430 \h </w:instrText>
        </w:r>
        <w:r w:rsidR="00EE564E" w:rsidRPr="00EE564E">
          <w:rPr>
            <w:noProof/>
            <w:webHidden/>
          </w:rPr>
        </w:r>
        <w:r w:rsidR="00EE564E" w:rsidRPr="00EE564E">
          <w:rPr>
            <w:noProof/>
            <w:webHidden/>
          </w:rPr>
          <w:fldChar w:fldCharType="separate"/>
        </w:r>
        <w:r w:rsidR="00EE564E" w:rsidRPr="00EE564E">
          <w:rPr>
            <w:noProof/>
            <w:webHidden/>
          </w:rPr>
          <w:t>31</w:t>
        </w:r>
        <w:r w:rsidR="00EE564E" w:rsidRPr="00EE564E">
          <w:rPr>
            <w:noProof/>
            <w:webHidden/>
          </w:rPr>
          <w:fldChar w:fldCharType="end"/>
        </w:r>
      </w:hyperlink>
    </w:p>
    <w:p w14:paraId="749C6A20" w14:textId="7A4CFF3C"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1" w:history="1">
        <w:r w:rsidR="00EE564E" w:rsidRPr="00EE564E">
          <w:rPr>
            <w:rStyle w:val="Hypertextovodkaz"/>
            <w:noProof/>
          </w:rPr>
          <w:t>Graf č. 3: Obdržené žádosti o vyloučení na vlastní žádost s rozdělením dle věkových kategorií po 5 letech (stav k 1. 4.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_Toc73611431 \h </w:instrText>
        </w:r>
        <w:r w:rsidR="00EE564E" w:rsidRPr="00EE564E">
          <w:rPr>
            <w:noProof/>
            <w:webHidden/>
          </w:rPr>
        </w:r>
        <w:r w:rsidR="00EE564E" w:rsidRPr="00EE564E">
          <w:rPr>
            <w:noProof/>
            <w:webHidden/>
          </w:rPr>
          <w:fldChar w:fldCharType="separate"/>
        </w:r>
        <w:r w:rsidR="00EE564E" w:rsidRPr="00EE564E">
          <w:rPr>
            <w:noProof/>
            <w:webHidden/>
          </w:rPr>
          <w:t>31</w:t>
        </w:r>
        <w:r w:rsidR="00EE564E" w:rsidRPr="00EE564E">
          <w:rPr>
            <w:noProof/>
            <w:webHidden/>
          </w:rPr>
          <w:fldChar w:fldCharType="end"/>
        </w:r>
      </w:hyperlink>
    </w:p>
    <w:p w14:paraId="2FA03840" w14:textId="7BEA7D30"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2" w:history="1">
        <w:r w:rsidR="00EE564E" w:rsidRPr="00EE564E">
          <w:rPr>
            <w:rStyle w:val="Hypertextovodkaz"/>
            <w:noProof/>
          </w:rPr>
          <w:t>Graf č. 4: Osoby zapsané na vlastní žádost do Rejstříku vyloučených osob dle bydliště osob v kraji (stav k 1. 4.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_Toc73611432 \h </w:instrText>
        </w:r>
        <w:r w:rsidR="00EE564E" w:rsidRPr="00EE564E">
          <w:rPr>
            <w:noProof/>
            <w:webHidden/>
          </w:rPr>
        </w:r>
        <w:r w:rsidR="00EE564E" w:rsidRPr="00EE564E">
          <w:rPr>
            <w:noProof/>
            <w:webHidden/>
          </w:rPr>
          <w:fldChar w:fldCharType="separate"/>
        </w:r>
        <w:r w:rsidR="00EE564E" w:rsidRPr="00EE564E">
          <w:rPr>
            <w:noProof/>
            <w:webHidden/>
          </w:rPr>
          <w:t>32</w:t>
        </w:r>
        <w:r w:rsidR="00EE564E" w:rsidRPr="00EE564E">
          <w:rPr>
            <w:noProof/>
            <w:webHidden/>
          </w:rPr>
          <w:fldChar w:fldCharType="end"/>
        </w:r>
      </w:hyperlink>
    </w:p>
    <w:p w14:paraId="309AB502" w14:textId="4ECEF19F"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3" w:history="1">
        <w:r w:rsidR="00EE564E" w:rsidRPr="00EE564E">
          <w:rPr>
            <w:rStyle w:val="Hypertextovodkaz"/>
            <w:noProof/>
          </w:rPr>
          <w:t>Graf č. 5: Procento, jakým se jednotlivé kraje podílí v přepočtu na obyvatele na osobách dobrovolně zapsaných v Rejstříku vyloučených osob (stav k 1. 4.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_Toc73611433 \h </w:instrText>
        </w:r>
        <w:r w:rsidR="00EE564E" w:rsidRPr="00EE564E">
          <w:rPr>
            <w:noProof/>
            <w:webHidden/>
          </w:rPr>
        </w:r>
        <w:r w:rsidR="00EE564E" w:rsidRPr="00EE564E">
          <w:rPr>
            <w:noProof/>
            <w:webHidden/>
          </w:rPr>
          <w:fldChar w:fldCharType="separate"/>
        </w:r>
        <w:r w:rsidR="00EE564E" w:rsidRPr="00EE564E">
          <w:rPr>
            <w:noProof/>
            <w:webHidden/>
          </w:rPr>
          <w:t>32</w:t>
        </w:r>
        <w:r w:rsidR="00EE564E" w:rsidRPr="00EE564E">
          <w:rPr>
            <w:noProof/>
            <w:webHidden/>
          </w:rPr>
          <w:fldChar w:fldCharType="end"/>
        </w:r>
      </w:hyperlink>
    </w:p>
    <w:p w14:paraId="3A1EEBB0" w14:textId="658D5536" w:rsidR="00EE564E" w:rsidRPr="00EE564E" w:rsidRDefault="009C0B64">
      <w:pPr>
        <w:pStyle w:val="Seznamobrzk"/>
        <w:tabs>
          <w:tab w:val="right" w:leader="dot" w:pos="9062"/>
        </w:tabs>
        <w:rPr>
          <w:rFonts w:asciiTheme="minorHAnsi" w:eastAsiaTheme="minorEastAsia" w:hAnsiTheme="minorHAnsi"/>
          <w:noProof/>
          <w:sz w:val="22"/>
          <w:lang w:eastAsia="cs-CZ"/>
        </w:rPr>
      </w:pPr>
      <w:hyperlink r:id="rId123" w:anchor="_Toc73611434" w:history="1">
        <w:r w:rsidR="00EE564E" w:rsidRPr="00EE564E">
          <w:rPr>
            <w:rStyle w:val="Hypertextovodkaz"/>
            <w:noProof/>
          </w:rPr>
          <w:t>Graf č. 6: Nastavení sebeomezujícího opatření – maximální výše sázek za 1 den u kursové sázky za rok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_Toc73611434 \h </w:instrText>
        </w:r>
        <w:r w:rsidR="00EE564E" w:rsidRPr="00EE564E">
          <w:rPr>
            <w:noProof/>
            <w:webHidden/>
          </w:rPr>
        </w:r>
        <w:r w:rsidR="00EE564E" w:rsidRPr="00EE564E">
          <w:rPr>
            <w:noProof/>
            <w:webHidden/>
          </w:rPr>
          <w:fldChar w:fldCharType="separate"/>
        </w:r>
        <w:r w:rsidR="00EE564E" w:rsidRPr="00EE564E">
          <w:rPr>
            <w:noProof/>
            <w:webHidden/>
          </w:rPr>
          <w:t>34</w:t>
        </w:r>
        <w:r w:rsidR="00EE564E" w:rsidRPr="00EE564E">
          <w:rPr>
            <w:noProof/>
            <w:webHidden/>
          </w:rPr>
          <w:fldChar w:fldCharType="end"/>
        </w:r>
      </w:hyperlink>
    </w:p>
    <w:p w14:paraId="4F44903C" w14:textId="24DA68CE" w:rsidR="00EE564E" w:rsidRPr="00EE564E" w:rsidRDefault="009C0B64">
      <w:pPr>
        <w:pStyle w:val="Seznamobrzk"/>
        <w:tabs>
          <w:tab w:val="right" w:leader="dot" w:pos="9062"/>
        </w:tabs>
        <w:rPr>
          <w:rFonts w:asciiTheme="minorHAnsi" w:eastAsiaTheme="minorEastAsia" w:hAnsiTheme="minorHAnsi"/>
          <w:noProof/>
          <w:sz w:val="22"/>
          <w:lang w:eastAsia="cs-CZ"/>
        </w:rPr>
      </w:pPr>
      <w:hyperlink r:id="rId124" w:anchor="_Toc73611435" w:history="1">
        <w:r w:rsidR="00EE564E" w:rsidRPr="00EE564E">
          <w:rPr>
            <w:rStyle w:val="Hypertextovodkaz"/>
            <w:noProof/>
          </w:rPr>
          <w:t>Graf č. 7: Nastavení sebeomezujícího opatření – maximální doba denního přihlášení na uživatelském kontu do jeho automatického odhlášení u kursové sázky za rok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_Toc73611435 \h </w:instrText>
        </w:r>
        <w:r w:rsidR="00EE564E" w:rsidRPr="00EE564E">
          <w:rPr>
            <w:noProof/>
            <w:webHidden/>
          </w:rPr>
        </w:r>
        <w:r w:rsidR="00EE564E" w:rsidRPr="00EE564E">
          <w:rPr>
            <w:noProof/>
            <w:webHidden/>
          </w:rPr>
          <w:fldChar w:fldCharType="separate"/>
        </w:r>
        <w:r w:rsidR="00EE564E" w:rsidRPr="00EE564E">
          <w:rPr>
            <w:noProof/>
            <w:webHidden/>
          </w:rPr>
          <w:t>34</w:t>
        </w:r>
        <w:r w:rsidR="00EE564E" w:rsidRPr="00EE564E">
          <w:rPr>
            <w:noProof/>
            <w:webHidden/>
          </w:rPr>
          <w:fldChar w:fldCharType="end"/>
        </w:r>
      </w:hyperlink>
    </w:p>
    <w:p w14:paraId="145E2AB6" w14:textId="4EB48409"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6" w:history="1">
        <w:r w:rsidR="00EE564E" w:rsidRPr="00EE564E">
          <w:rPr>
            <w:rStyle w:val="Hypertextovodkaz"/>
            <w:noProof/>
          </w:rPr>
          <w:t>Graf č. 8: Nastavení sebeomezujícího opatření – maximální výše sázek za 1 den u technické hry za rok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_Toc73611436 \h </w:instrText>
        </w:r>
        <w:r w:rsidR="00EE564E" w:rsidRPr="00EE564E">
          <w:rPr>
            <w:noProof/>
            <w:webHidden/>
          </w:rPr>
        </w:r>
        <w:r w:rsidR="00EE564E" w:rsidRPr="00EE564E">
          <w:rPr>
            <w:noProof/>
            <w:webHidden/>
          </w:rPr>
          <w:fldChar w:fldCharType="separate"/>
        </w:r>
        <w:r w:rsidR="00EE564E" w:rsidRPr="00EE564E">
          <w:rPr>
            <w:noProof/>
            <w:webHidden/>
          </w:rPr>
          <w:t>35</w:t>
        </w:r>
        <w:r w:rsidR="00EE564E" w:rsidRPr="00EE564E">
          <w:rPr>
            <w:noProof/>
            <w:webHidden/>
          </w:rPr>
          <w:fldChar w:fldCharType="end"/>
        </w:r>
      </w:hyperlink>
    </w:p>
    <w:p w14:paraId="7B994495" w14:textId="35BC787D"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7" w:history="1">
        <w:r w:rsidR="00EE564E" w:rsidRPr="00EE564E">
          <w:rPr>
            <w:rStyle w:val="Hypertextovodkaz"/>
            <w:noProof/>
          </w:rPr>
          <w:t>Graf č. 9: Nastavení sebeomezujícího opatření – maximální doba denního přihlášení na uživatelském kontu do jeho automatického odhlášení u technické hry za rok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_Toc73611437 \h </w:instrText>
        </w:r>
        <w:r w:rsidR="00EE564E" w:rsidRPr="00EE564E">
          <w:rPr>
            <w:noProof/>
            <w:webHidden/>
          </w:rPr>
        </w:r>
        <w:r w:rsidR="00EE564E" w:rsidRPr="00EE564E">
          <w:rPr>
            <w:noProof/>
            <w:webHidden/>
          </w:rPr>
          <w:fldChar w:fldCharType="separate"/>
        </w:r>
        <w:r w:rsidR="00EE564E" w:rsidRPr="00EE564E">
          <w:rPr>
            <w:noProof/>
            <w:webHidden/>
          </w:rPr>
          <w:t>35</w:t>
        </w:r>
        <w:r w:rsidR="00EE564E" w:rsidRPr="00EE564E">
          <w:rPr>
            <w:noProof/>
            <w:webHidden/>
          </w:rPr>
          <w:fldChar w:fldCharType="end"/>
        </w:r>
      </w:hyperlink>
    </w:p>
    <w:p w14:paraId="41E8F85F" w14:textId="0C552F5B"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8" w:history="1">
        <w:r w:rsidR="00EE564E" w:rsidRPr="00EE564E">
          <w:rPr>
            <w:rStyle w:val="Hypertextovodkaz"/>
            <w:noProof/>
          </w:rPr>
          <w:t>Graf č. 10: Počet technických zařízení na 1000 obyvatel ve vybraných zemích v roce 2013</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_Toc73611438 \h </w:instrText>
        </w:r>
        <w:r w:rsidR="00EE564E" w:rsidRPr="00EE564E">
          <w:rPr>
            <w:noProof/>
            <w:webHidden/>
          </w:rPr>
        </w:r>
        <w:r w:rsidR="00EE564E" w:rsidRPr="00EE564E">
          <w:rPr>
            <w:noProof/>
            <w:webHidden/>
          </w:rPr>
          <w:fldChar w:fldCharType="separate"/>
        </w:r>
        <w:r w:rsidR="00EE564E" w:rsidRPr="00EE564E">
          <w:rPr>
            <w:noProof/>
            <w:webHidden/>
          </w:rPr>
          <w:t>36</w:t>
        </w:r>
        <w:r w:rsidR="00EE564E" w:rsidRPr="00EE564E">
          <w:rPr>
            <w:noProof/>
            <w:webHidden/>
          </w:rPr>
          <w:fldChar w:fldCharType="end"/>
        </w:r>
      </w:hyperlink>
    </w:p>
    <w:p w14:paraId="218D3240" w14:textId="3579C0D3"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39" w:history="1">
        <w:r w:rsidR="00EE564E" w:rsidRPr="00EE564E">
          <w:rPr>
            <w:rStyle w:val="Hypertextovodkaz"/>
            <w:noProof/>
          </w:rPr>
          <w:t>Graf č. 11: Vývoj počtu míst s technickou hrou</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_Toc73611439 \h </w:instrText>
        </w:r>
        <w:r w:rsidR="00EE564E" w:rsidRPr="00EE564E">
          <w:rPr>
            <w:noProof/>
            <w:webHidden/>
          </w:rPr>
        </w:r>
        <w:r w:rsidR="00EE564E" w:rsidRPr="00EE564E">
          <w:rPr>
            <w:noProof/>
            <w:webHidden/>
          </w:rPr>
          <w:fldChar w:fldCharType="separate"/>
        </w:r>
        <w:r w:rsidR="00EE564E" w:rsidRPr="00EE564E">
          <w:rPr>
            <w:noProof/>
            <w:webHidden/>
          </w:rPr>
          <w:t>37</w:t>
        </w:r>
        <w:r w:rsidR="00EE564E" w:rsidRPr="00EE564E">
          <w:rPr>
            <w:noProof/>
            <w:webHidden/>
          </w:rPr>
          <w:fldChar w:fldCharType="end"/>
        </w:r>
      </w:hyperlink>
    </w:p>
    <w:p w14:paraId="40CD7DA4" w14:textId="41B4278B"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0" w:history="1">
        <w:r w:rsidR="00EE564E" w:rsidRPr="00EE564E">
          <w:rPr>
            <w:rStyle w:val="Hypertextovodkaz"/>
            <w:noProof/>
          </w:rPr>
          <w:t>Graf č. 12: Počet technických zařízení</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_Toc73611440 \h </w:instrText>
        </w:r>
        <w:r w:rsidR="00EE564E" w:rsidRPr="00EE564E">
          <w:rPr>
            <w:noProof/>
            <w:webHidden/>
          </w:rPr>
        </w:r>
        <w:r w:rsidR="00EE564E" w:rsidRPr="00EE564E">
          <w:rPr>
            <w:noProof/>
            <w:webHidden/>
          </w:rPr>
          <w:fldChar w:fldCharType="separate"/>
        </w:r>
        <w:r w:rsidR="00EE564E" w:rsidRPr="00EE564E">
          <w:rPr>
            <w:noProof/>
            <w:webHidden/>
          </w:rPr>
          <w:t>37</w:t>
        </w:r>
        <w:r w:rsidR="00EE564E" w:rsidRPr="00EE564E">
          <w:rPr>
            <w:noProof/>
            <w:webHidden/>
          </w:rPr>
          <w:fldChar w:fldCharType="end"/>
        </w:r>
      </w:hyperlink>
    </w:p>
    <w:p w14:paraId="2659E5DB" w14:textId="287A3781"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1" w:history="1">
        <w:r w:rsidR="00EE564E" w:rsidRPr="00EE564E">
          <w:rPr>
            <w:rStyle w:val="Hypertextovodkaz"/>
            <w:noProof/>
          </w:rPr>
          <w:t>Graf č. 13: Počet obecně závazných vyhlášek regulujících provozování hazardních her v letech 2015- 2020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_Toc73611441 \h </w:instrText>
        </w:r>
        <w:r w:rsidR="00EE564E" w:rsidRPr="00EE564E">
          <w:rPr>
            <w:noProof/>
            <w:webHidden/>
          </w:rPr>
        </w:r>
        <w:r w:rsidR="00EE564E" w:rsidRPr="00EE564E">
          <w:rPr>
            <w:noProof/>
            <w:webHidden/>
          </w:rPr>
          <w:fldChar w:fldCharType="separate"/>
        </w:r>
        <w:r w:rsidR="00EE564E" w:rsidRPr="00EE564E">
          <w:rPr>
            <w:noProof/>
            <w:webHidden/>
          </w:rPr>
          <w:t>39</w:t>
        </w:r>
        <w:r w:rsidR="00EE564E" w:rsidRPr="00EE564E">
          <w:rPr>
            <w:noProof/>
            <w:webHidden/>
          </w:rPr>
          <w:fldChar w:fldCharType="end"/>
        </w:r>
      </w:hyperlink>
    </w:p>
    <w:p w14:paraId="61D3BDE6" w14:textId="7FC7B211" w:rsidR="00EE564E" w:rsidRPr="00EE564E" w:rsidRDefault="009C0B64">
      <w:pPr>
        <w:pStyle w:val="Seznamobrzk"/>
        <w:tabs>
          <w:tab w:val="right" w:leader="dot" w:pos="9062"/>
        </w:tabs>
        <w:rPr>
          <w:rFonts w:asciiTheme="minorHAnsi" w:eastAsiaTheme="minorEastAsia" w:hAnsiTheme="minorHAnsi"/>
          <w:noProof/>
          <w:sz w:val="22"/>
          <w:lang w:eastAsia="cs-CZ"/>
        </w:rPr>
      </w:pPr>
      <w:hyperlink r:id="rId125" w:anchor="_Toc73611442" w:history="1">
        <w:r w:rsidR="00EE564E" w:rsidRPr="00EE564E">
          <w:rPr>
            <w:rStyle w:val="Hypertextovodkaz"/>
            <w:noProof/>
          </w:rPr>
          <w:t>Graf č. 14: Vyhodnocení potenciálního rizika jednotlivých druhů hazardních her</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_Toc73611442 \h </w:instrText>
        </w:r>
        <w:r w:rsidR="00EE564E" w:rsidRPr="00EE564E">
          <w:rPr>
            <w:noProof/>
            <w:webHidden/>
          </w:rPr>
        </w:r>
        <w:r w:rsidR="00EE564E" w:rsidRPr="00EE564E">
          <w:rPr>
            <w:noProof/>
            <w:webHidden/>
          </w:rPr>
          <w:fldChar w:fldCharType="separate"/>
        </w:r>
        <w:r w:rsidR="00EE564E" w:rsidRPr="00EE564E">
          <w:rPr>
            <w:noProof/>
            <w:webHidden/>
          </w:rPr>
          <w:t>45</w:t>
        </w:r>
        <w:r w:rsidR="00EE564E" w:rsidRPr="00EE564E">
          <w:rPr>
            <w:noProof/>
            <w:webHidden/>
          </w:rPr>
          <w:fldChar w:fldCharType="end"/>
        </w:r>
      </w:hyperlink>
    </w:p>
    <w:p w14:paraId="13291B5D" w14:textId="67B40150"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3" w:history="1">
        <w:r w:rsidR="00EE564E" w:rsidRPr="00EE564E">
          <w:rPr>
            <w:rStyle w:val="Hypertextovodkaz"/>
            <w:noProof/>
          </w:rPr>
          <w:t>Graf č. 15: Vývoj výnosu dílčí daně z jednotlivých druhů hazardních her a vývoj podílu v land-based prostředí a internetu na tomto výnosu za období 2013–2020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_Toc73611443 \h </w:instrText>
        </w:r>
        <w:r w:rsidR="00EE564E" w:rsidRPr="00EE564E">
          <w:rPr>
            <w:noProof/>
            <w:webHidden/>
          </w:rPr>
        </w:r>
        <w:r w:rsidR="00EE564E" w:rsidRPr="00EE564E">
          <w:rPr>
            <w:noProof/>
            <w:webHidden/>
          </w:rPr>
          <w:fldChar w:fldCharType="separate"/>
        </w:r>
        <w:r w:rsidR="00EE564E" w:rsidRPr="00EE564E">
          <w:rPr>
            <w:noProof/>
            <w:webHidden/>
          </w:rPr>
          <w:t>48</w:t>
        </w:r>
        <w:r w:rsidR="00EE564E" w:rsidRPr="00EE564E">
          <w:rPr>
            <w:noProof/>
            <w:webHidden/>
          </w:rPr>
          <w:fldChar w:fldCharType="end"/>
        </w:r>
      </w:hyperlink>
    </w:p>
    <w:p w14:paraId="2B0B8D76" w14:textId="5F311694"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4" w:history="1">
        <w:r w:rsidR="00EE564E" w:rsidRPr="00EE564E">
          <w:rPr>
            <w:rStyle w:val="Hypertextovodkaz"/>
            <w:noProof/>
          </w:rPr>
          <w:t>Graf č. 16: Způsob složení kauce provozovatelů hazardních her (data platná k  1. 4.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_Toc73611444 \h </w:instrText>
        </w:r>
        <w:r w:rsidR="00EE564E" w:rsidRPr="00EE564E">
          <w:rPr>
            <w:noProof/>
            <w:webHidden/>
          </w:rPr>
        </w:r>
        <w:r w:rsidR="00EE564E" w:rsidRPr="00EE564E">
          <w:rPr>
            <w:noProof/>
            <w:webHidden/>
          </w:rPr>
          <w:fldChar w:fldCharType="separate"/>
        </w:r>
        <w:r w:rsidR="00EE564E" w:rsidRPr="00EE564E">
          <w:rPr>
            <w:noProof/>
            <w:webHidden/>
          </w:rPr>
          <w:t>50</w:t>
        </w:r>
        <w:r w:rsidR="00EE564E" w:rsidRPr="00EE564E">
          <w:rPr>
            <w:noProof/>
            <w:webHidden/>
          </w:rPr>
          <w:fldChar w:fldCharType="end"/>
        </w:r>
      </w:hyperlink>
    </w:p>
    <w:p w14:paraId="753EB710" w14:textId="4020AE1C"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5" w:history="1">
        <w:r w:rsidR="00EE564E" w:rsidRPr="00EE564E">
          <w:rPr>
            <w:rStyle w:val="Hypertextovodkaz"/>
            <w:noProof/>
          </w:rPr>
          <w:t>Graf č. 17: Porovnání celkového počtu kontrol legálních i nelegálních provozovatelů hazardních her provedených celními úřady v land-based prostředí s počtem kontrol se shledaným podezřením na porušení povinností stanovených zákonem o hazardních hrách za období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_Toc73611445 \h </w:instrText>
        </w:r>
        <w:r w:rsidR="00EE564E" w:rsidRPr="00EE564E">
          <w:rPr>
            <w:noProof/>
            <w:webHidden/>
          </w:rPr>
        </w:r>
        <w:r w:rsidR="00EE564E" w:rsidRPr="00EE564E">
          <w:rPr>
            <w:noProof/>
            <w:webHidden/>
          </w:rPr>
          <w:fldChar w:fldCharType="separate"/>
        </w:r>
        <w:r w:rsidR="00EE564E" w:rsidRPr="00EE564E">
          <w:rPr>
            <w:noProof/>
            <w:webHidden/>
          </w:rPr>
          <w:t>57</w:t>
        </w:r>
        <w:r w:rsidR="00EE564E" w:rsidRPr="00EE564E">
          <w:rPr>
            <w:noProof/>
            <w:webHidden/>
          </w:rPr>
          <w:fldChar w:fldCharType="end"/>
        </w:r>
      </w:hyperlink>
    </w:p>
    <w:p w14:paraId="0201E0CB" w14:textId="6D67B892"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6" w:history="1">
        <w:r w:rsidR="00EE564E" w:rsidRPr="00EE564E">
          <w:rPr>
            <w:rStyle w:val="Hypertextovodkaz"/>
            <w:noProof/>
          </w:rPr>
          <w:t>Graf č. 18: Porovnání celkového počtu Celní správou provedených kontrol v land</w:t>
        </w:r>
        <w:r w:rsidR="00EE564E" w:rsidRPr="00EE564E">
          <w:rPr>
            <w:rStyle w:val="Hypertextovodkaz"/>
            <w:noProof/>
          </w:rPr>
          <w:noBreakHyphen/>
          <w:t>based prostředí s kontrolami u legálně provozujících provozovatelů, a to za období  2017 - 2020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_Toc73611446 \h </w:instrText>
        </w:r>
        <w:r w:rsidR="00EE564E" w:rsidRPr="00EE564E">
          <w:rPr>
            <w:noProof/>
            <w:webHidden/>
          </w:rPr>
        </w:r>
        <w:r w:rsidR="00EE564E" w:rsidRPr="00EE564E">
          <w:rPr>
            <w:noProof/>
            <w:webHidden/>
          </w:rPr>
          <w:fldChar w:fldCharType="separate"/>
        </w:r>
        <w:r w:rsidR="00EE564E" w:rsidRPr="00EE564E">
          <w:rPr>
            <w:noProof/>
            <w:webHidden/>
          </w:rPr>
          <w:t>58</w:t>
        </w:r>
        <w:r w:rsidR="00EE564E" w:rsidRPr="00EE564E">
          <w:rPr>
            <w:noProof/>
            <w:webHidden/>
          </w:rPr>
          <w:fldChar w:fldCharType="end"/>
        </w:r>
      </w:hyperlink>
    </w:p>
    <w:p w14:paraId="1D198884" w14:textId="5BD59D9A"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7" w:history="1">
        <w:r w:rsidR="00EE564E" w:rsidRPr="00EE564E">
          <w:rPr>
            <w:rStyle w:val="Hypertextovodkaz"/>
            <w:noProof/>
          </w:rPr>
          <w:t>Graf č. 19: Porovnání počtu kontrol provedených Celní správou v land</w:t>
        </w:r>
        <w:r w:rsidR="00EE564E" w:rsidRPr="00EE564E">
          <w:rPr>
            <w:rStyle w:val="Hypertextovodkaz"/>
            <w:noProof/>
          </w:rPr>
          <w:noBreakHyphen/>
          <w:t>based prostředí u legálních provozovatelů s počtem zjištěných podezření na porušení dílčích povinností, a to za období 2017 - 2020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_Toc73611447 \h </w:instrText>
        </w:r>
        <w:r w:rsidR="00EE564E" w:rsidRPr="00EE564E">
          <w:rPr>
            <w:noProof/>
            <w:webHidden/>
          </w:rPr>
        </w:r>
        <w:r w:rsidR="00EE564E" w:rsidRPr="00EE564E">
          <w:rPr>
            <w:noProof/>
            <w:webHidden/>
          </w:rPr>
          <w:fldChar w:fldCharType="separate"/>
        </w:r>
        <w:r w:rsidR="00EE564E" w:rsidRPr="00EE564E">
          <w:rPr>
            <w:noProof/>
            <w:webHidden/>
          </w:rPr>
          <w:t>58</w:t>
        </w:r>
        <w:r w:rsidR="00EE564E" w:rsidRPr="00EE564E">
          <w:rPr>
            <w:noProof/>
            <w:webHidden/>
          </w:rPr>
          <w:fldChar w:fldCharType="end"/>
        </w:r>
      </w:hyperlink>
    </w:p>
    <w:p w14:paraId="7796EF57" w14:textId="47685C40"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8" w:history="1">
        <w:r w:rsidR="00EE564E" w:rsidRPr="00EE564E">
          <w:rPr>
            <w:rStyle w:val="Hypertextovodkaz"/>
            <w:noProof/>
          </w:rPr>
          <w:t>Graf č. 20: Přehled nejčetněji Celní správou zjištěných podezření na porušení dílčích povinností legálně provozujícími provozovateli v land-based prostředí v roce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_Toc73611448 \h </w:instrText>
        </w:r>
        <w:r w:rsidR="00EE564E" w:rsidRPr="00EE564E">
          <w:rPr>
            <w:noProof/>
            <w:webHidden/>
          </w:rPr>
        </w:r>
        <w:r w:rsidR="00EE564E" w:rsidRPr="00EE564E">
          <w:rPr>
            <w:noProof/>
            <w:webHidden/>
          </w:rPr>
          <w:fldChar w:fldCharType="separate"/>
        </w:r>
        <w:r w:rsidR="00EE564E" w:rsidRPr="00EE564E">
          <w:rPr>
            <w:noProof/>
            <w:webHidden/>
          </w:rPr>
          <w:t>59</w:t>
        </w:r>
        <w:r w:rsidR="00EE564E" w:rsidRPr="00EE564E">
          <w:rPr>
            <w:noProof/>
            <w:webHidden/>
          </w:rPr>
          <w:fldChar w:fldCharType="end"/>
        </w:r>
      </w:hyperlink>
    </w:p>
    <w:p w14:paraId="7468E712" w14:textId="1DEAD666"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49" w:history="1">
        <w:r w:rsidR="00EE564E" w:rsidRPr="00EE564E">
          <w:rPr>
            <w:rStyle w:val="Hypertextovodkaz"/>
            <w:noProof/>
          </w:rPr>
          <w:t>Graf č. 21: Porovnání celkového počtu kontrol provedených Celní správou v land</w:t>
        </w:r>
        <w:r w:rsidR="00EE564E" w:rsidRPr="00EE564E">
          <w:rPr>
            <w:rStyle w:val="Hypertextovodkaz"/>
            <w:noProof/>
          </w:rPr>
          <w:noBreakHyphen/>
          <w:t>based prostředí s kontrolami zaměřenými na nelegálně provozující provozovatele v období let 2017 až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_Toc73611449 \h </w:instrText>
        </w:r>
        <w:r w:rsidR="00EE564E" w:rsidRPr="00EE564E">
          <w:rPr>
            <w:noProof/>
            <w:webHidden/>
          </w:rPr>
        </w:r>
        <w:r w:rsidR="00EE564E" w:rsidRPr="00EE564E">
          <w:rPr>
            <w:noProof/>
            <w:webHidden/>
          </w:rPr>
          <w:fldChar w:fldCharType="separate"/>
        </w:r>
        <w:r w:rsidR="00EE564E" w:rsidRPr="00EE564E">
          <w:rPr>
            <w:noProof/>
            <w:webHidden/>
          </w:rPr>
          <w:t>60</w:t>
        </w:r>
        <w:r w:rsidR="00EE564E" w:rsidRPr="00EE564E">
          <w:rPr>
            <w:noProof/>
            <w:webHidden/>
          </w:rPr>
          <w:fldChar w:fldCharType="end"/>
        </w:r>
      </w:hyperlink>
    </w:p>
    <w:p w14:paraId="77759126" w14:textId="2385CD9D"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0" w:history="1">
        <w:r w:rsidR="00EE564E" w:rsidRPr="00EE564E">
          <w:rPr>
            <w:rStyle w:val="Hypertextovodkaz"/>
            <w:noProof/>
          </w:rPr>
          <w:t>Graf č. 22: Zobrazení počtu kontrol provedených Celní správou v nelegálních provozovnách (tzv. černých hernách) se zobrazením počtu zajištěných nelegálně provozovaných technických zařízení v letech 2017 až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_Toc73611450 \h </w:instrText>
        </w:r>
        <w:r w:rsidR="00EE564E" w:rsidRPr="00EE564E">
          <w:rPr>
            <w:noProof/>
            <w:webHidden/>
          </w:rPr>
        </w:r>
        <w:r w:rsidR="00EE564E" w:rsidRPr="00EE564E">
          <w:rPr>
            <w:noProof/>
            <w:webHidden/>
          </w:rPr>
          <w:fldChar w:fldCharType="separate"/>
        </w:r>
        <w:r w:rsidR="00EE564E" w:rsidRPr="00EE564E">
          <w:rPr>
            <w:noProof/>
            <w:webHidden/>
          </w:rPr>
          <w:t>61</w:t>
        </w:r>
        <w:r w:rsidR="00EE564E" w:rsidRPr="00EE564E">
          <w:rPr>
            <w:noProof/>
            <w:webHidden/>
          </w:rPr>
          <w:fldChar w:fldCharType="end"/>
        </w:r>
      </w:hyperlink>
    </w:p>
    <w:p w14:paraId="744E697E" w14:textId="3A27565D"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1" w:history="1">
        <w:r w:rsidR="00EE564E" w:rsidRPr="00EE564E">
          <w:rPr>
            <w:rStyle w:val="Hypertextovodkaz"/>
            <w:noProof/>
          </w:rPr>
          <w:t>Graf č. 23: Počet kontrol provedených Ministerstvem financí a Celní správou u legálních provozovatelů provozujících hazardní hry prostřednictvím internetu v období let 2017 až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_Toc73611451 \h </w:instrText>
        </w:r>
        <w:r w:rsidR="00EE564E" w:rsidRPr="00EE564E">
          <w:rPr>
            <w:noProof/>
            <w:webHidden/>
          </w:rPr>
        </w:r>
        <w:r w:rsidR="00EE564E" w:rsidRPr="00EE564E">
          <w:rPr>
            <w:noProof/>
            <w:webHidden/>
          </w:rPr>
          <w:fldChar w:fldCharType="separate"/>
        </w:r>
        <w:r w:rsidR="00EE564E" w:rsidRPr="00EE564E">
          <w:rPr>
            <w:noProof/>
            <w:webHidden/>
          </w:rPr>
          <w:t>62</w:t>
        </w:r>
        <w:r w:rsidR="00EE564E" w:rsidRPr="00EE564E">
          <w:rPr>
            <w:noProof/>
            <w:webHidden/>
          </w:rPr>
          <w:fldChar w:fldCharType="end"/>
        </w:r>
      </w:hyperlink>
    </w:p>
    <w:p w14:paraId="7F320F5D" w14:textId="745E0D75"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2" w:history="1">
        <w:r w:rsidR="00EE564E" w:rsidRPr="00EE564E">
          <w:rPr>
            <w:rStyle w:val="Hypertextovodkaz"/>
            <w:noProof/>
          </w:rPr>
          <w:t>Graf č. 24: Kategorie podnětů s podezřením na porušení dílčích povinností legálními provozovateli postoupených Ministerstvem financí k dalšímu opatření na Celní správu v roce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_Toc73611452 \h </w:instrText>
        </w:r>
        <w:r w:rsidR="00EE564E" w:rsidRPr="00EE564E">
          <w:rPr>
            <w:noProof/>
            <w:webHidden/>
          </w:rPr>
        </w:r>
        <w:r w:rsidR="00EE564E" w:rsidRPr="00EE564E">
          <w:rPr>
            <w:noProof/>
            <w:webHidden/>
          </w:rPr>
          <w:fldChar w:fldCharType="separate"/>
        </w:r>
        <w:r w:rsidR="00EE564E" w:rsidRPr="00EE564E">
          <w:rPr>
            <w:noProof/>
            <w:webHidden/>
          </w:rPr>
          <w:t>62</w:t>
        </w:r>
        <w:r w:rsidR="00EE564E" w:rsidRPr="00EE564E">
          <w:rPr>
            <w:noProof/>
            <w:webHidden/>
          </w:rPr>
          <w:fldChar w:fldCharType="end"/>
        </w:r>
      </w:hyperlink>
    </w:p>
    <w:p w14:paraId="3E846815" w14:textId="46CF7268"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3" w:history="1">
        <w:r w:rsidR="00EE564E" w:rsidRPr="00EE564E">
          <w:rPr>
            <w:rStyle w:val="Hypertextovodkaz"/>
            <w:noProof/>
          </w:rPr>
          <w:t>Graf č. 25: Porovnání celkového počtu kontrol provedených Ministerstvem financí u provozovatelů hazardních her provozujících hazardní hry prostřednictvím internetu s počtem kontrol u legálních a nelegálních provozovatelů, a to v období od 1. 1. 2017 do 31. 10. 2019</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_Toc73611453 \h </w:instrText>
        </w:r>
        <w:r w:rsidR="00EE564E" w:rsidRPr="00EE564E">
          <w:rPr>
            <w:noProof/>
            <w:webHidden/>
          </w:rPr>
        </w:r>
        <w:r w:rsidR="00EE564E" w:rsidRPr="00EE564E">
          <w:rPr>
            <w:noProof/>
            <w:webHidden/>
          </w:rPr>
          <w:fldChar w:fldCharType="separate"/>
        </w:r>
        <w:r w:rsidR="00EE564E" w:rsidRPr="00EE564E">
          <w:rPr>
            <w:noProof/>
            <w:webHidden/>
          </w:rPr>
          <w:t>63</w:t>
        </w:r>
        <w:r w:rsidR="00EE564E" w:rsidRPr="00EE564E">
          <w:rPr>
            <w:noProof/>
            <w:webHidden/>
          </w:rPr>
          <w:fldChar w:fldCharType="end"/>
        </w:r>
      </w:hyperlink>
    </w:p>
    <w:p w14:paraId="7899CCDC" w14:textId="1096B636"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4" w:history="1">
        <w:r w:rsidR="00EE564E" w:rsidRPr="00EE564E">
          <w:rPr>
            <w:rStyle w:val="Hypertextovodkaz"/>
            <w:noProof/>
          </w:rPr>
          <w:t>Graf č. 26: Porovnání celkového počtu kontrol provedených Celní správou u provozovatelů hazardních her provozujících hazardní hry prostřednictvím internetu s počtem kontrol u legálních a nelegálních provozovatelů, a to v období od 1. 11. 2019 do 31. 12. 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_Toc73611454 \h </w:instrText>
        </w:r>
        <w:r w:rsidR="00EE564E" w:rsidRPr="00EE564E">
          <w:rPr>
            <w:noProof/>
            <w:webHidden/>
          </w:rPr>
        </w:r>
        <w:r w:rsidR="00EE564E" w:rsidRPr="00EE564E">
          <w:rPr>
            <w:noProof/>
            <w:webHidden/>
          </w:rPr>
          <w:fldChar w:fldCharType="separate"/>
        </w:r>
        <w:r w:rsidR="00EE564E" w:rsidRPr="00EE564E">
          <w:rPr>
            <w:noProof/>
            <w:webHidden/>
          </w:rPr>
          <w:t>63</w:t>
        </w:r>
        <w:r w:rsidR="00EE564E" w:rsidRPr="00EE564E">
          <w:rPr>
            <w:noProof/>
            <w:webHidden/>
          </w:rPr>
          <w:fldChar w:fldCharType="end"/>
        </w:r>
      </w:hyperlink>
    </w:p>
    <w:p w14:paraId="3F550EF4" w14:textId="33D19399"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5" w:history="1">
        <w:r w:rsidR="00EE564E" w:rsidRPr="00EE564E">
          <w:rPr>
            <w:rStyle w:val="Hypertextovodkaz"/>
            <w:noProof/>
          </w:rPr>
          <w:t>Graf č. 27: Porovnání výše pokut uložených z provozování formou land-based Celní správou ČR za legální a nelegální provozování (v mil. Kč)</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_Toc73611455 \h </w:instrText>
        </w:r>
        <w:r w:rsidR="00EE564E" w:rsidRPr="00EE564E">
          <w:rPr>
            <w:noProof/>
            <w:webHidden/>
          </w:rPr>
        </w:r>
        <w:r w:rsidR="00EE564E" w:rsidRPr="00EE564E">
          <w:rPr>
            <w:noProof/>
            <w:webHidden/>
          </w:rPr>
          <w:fldChar w:fldCharType="separate"/>
        </w:r>
        <w:r w:rsidR="00EE564E" w:rsidRPr="00EE564E">
          <w:rPr>
            <w:noProof/>
            <w:webHidden/>
          </w:rPr>
          <w:t>64</w:t>
        </w:r>
        <w:r w:rsidR="00EE564E" w:rsidRPr="00EE564E">
          <w:rPr>
            <w:noProof/>
            <w:webHidden/>
          </w:rPr>
          <w:fldChar w:fldCharType="end"/>
        </w:r>
      </w:hyperlink>
    </w:p>
    <w:p w14:paraId="3D2B8A5F" w14:textId="3DBAEC70"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6" w:history="1">
        <w:r w:rsidR="00EE564E" w:rsidRPr="00EE564E">
          <w:rPr>
            <w:rStyle w:val="Hypertextovodkaz"/>
            <w:noProof/>
          </w:rPr>
          <w:t>Graf č. 28: Celková výše pravomocně uložených pokut Ministerstvem financí legálním a nelegálním provozovatelům v oblasti internetového provozování v letech 2017 až březen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_Toc73611456 \h </w:instrText>
        </w:r>
        <w:r w:rsidR="00EE564E" w:rsidRPr="00EE564E">
          <w:rPr>
            <w:noProof/>
            <w:webHidden/>
          </w:rPr>
        </w:r>
        <w:r w:rsidR="00EE564E" w:rsidRPr="00EE564E">
          <w:rPr>
            <w:noProof/>
            <w:webHidden/>
          </w:rPr>
          <w:fldChar w:fldCharType="separate"/>
        </w:r>
        <w:r w:rsidR="00EE564E" w:rsidRPr="00EE564E">
          <w:rPr>
            <w:noProof/>
            <w:webHidden/>
          </w:rPr>
          <w:t>65</w:t>
        </w:r>
        <w:r w:rsidR="00EE564E" w:rsidRPr="00EE564E">
          <w:rPr>
            <w:noProof/>
            <w:webHidden/>
          </w:rPr>
          <w:fldChar w:fldCharType="end"/>
        </w:r>
      </w:hyperlink>
    </w:p>
    <w:p w14:paraId="4A682F49" w14:textId="41B6CFFA"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7" w:history="1">
        <w:r w:rsidR="00EE564E" w:rsidRPr="00EE564E">
          <w:rPr>
            <w:rStyle w:val="Hypertextovodkaz"/>
            <w:noProof/>
          </w:rPr>
          <w:t>Graf č. 29: Celkový počet internetových stránek na tzv. black-listu a počet nově zapsaných internetových stránek (k 31. 3.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_Toc73611457 \h </w:instrText>
        </w:r>
        <w:r w:rsidR="00EE564E" w:rsidRPr="00EE564E">
          <w:rPr>
            <w:noProof/>
            <w:webHidden/>
          </w:rPr>
        </w:r>
        <w:r w:rsidR="00EE564E" w:rsidRPr="00EE564E">
          <w:rPr>
            <w:noProof/>
            <w:webHidden/>
          </w:rPr>
          <w:fldChar w:fldCharType="separate"/>
        </w:r>
        <w:r w:rsidR="00EE564E" w:rsidRPr="00EE564E">
          <w:rPr>
            <w:noProof/>
            <w:webHidden/>
          </w:rPr>
          <w:t>67</w:t>
        </w:r>
        <w:r w:rsidR="00EE564E" w:rsidRPr="00EE564E">
          <w:rPr>
            <w:noProof/>
            <w:webHidden/>
          </w:rPr>
          <w:fldChar w:fldCharType="end"/>
        </w:r>
      </w:hyperlink>
    </w:p>
    <w:p w14:paraId="19EAD605" w14:textId="72EE7A35"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8" w:history="1">
        <w:r w:rsidR="00EE564E" w:rsidRPr="00EE564E">
          <w:rPr>
            <w:rStyle w:val="Hypertextovodkaz"/>
            <w:noProof/>
          </w:rPr>
          <w:t>Graf č. 30: Zastoupení prvků cílení u internetových stránek zapsaných na tzv. black-listu, kdy prvky jsou ze strany provozovatele předvyplněny (k 31. 3.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_Toc73611458 \h </w:instrText>
        </w:r>
        <w:r w:rsidR="00EE564E" w:rsidRPr="00EE564E">
          <w:rPr>
            <w:noProof/>
            <w:webHidden/>
          </w:rPr>
        </w:r>
        <w:r w:rsidR="00EE564E" w:rsidRPr="00EE564E">
          <w:rPr>
            <w:noProof/>
            <w:webHidden/>
          </w:rPr>
          <w:fldChar w:fldCharType="separate"/>
        </w:r>
        <w:r w:rsidR="00EE564E" w:rsidRPr="00EE564E">
          <w:rPr>
            <w:noProof/>
            <w:webHidden/>
          </w:rPr>
          <w:t>67</w:t>
        </w:r>
        <w:r w:rsidR="00EE564E" w:rsidRPr="00EE564E">
          <w:rPr>
            <w:noProof/>
            <w:webHidden/>
          </w:rPr>
          <w:fldChar w:fldCharType="end"/>
        </w:r>
      </w:hyperlink>
    </w:p>
    <w:p w14:paraId="612130C4" w14:textId="1AAE28E4"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59" w:history="1">
        <w:r w:rsidR="00EE564E" w:rsidRPr="00EE564E">
          <w:rPr>
            <w:rStyle w:val="Hypertextovodkaz"/>
            <w:noProof/>
          </w:rPr>
          <w:t>Graf č. 31: Počet pověřených osob dle jejich sídla (k 31. 3.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_Toc73611459 \h </w:instrText>
        </w:r>
        <w:r w:rsidR="00EE564E" w:rsidRPr="00EE564E">
          <w:rPr>
            <w:noProof/>
            <w:webHidden/>
          </w:rPr>
        </w:r>
        <w:r w:rsidR="00EE564E" w:rsidRPr="00EE564E">
          <w:rPr>
            <w:noProof/>
            <w:webHidden/>
          </w:rPr>
          <w:fldChar w:fldCharType="separate"/>
        </w:r>
        <w:r w:rsidR="00EE564E" w:rsidRPr="00EE564E">
          <w:rPr>
            <w:noProof/>
            <w:webHidden/>
          </w:rPr>
          <w:t>69</w:t>
        </w:r>
        <w:r w:rsidR="00EE564E" w:rsidRPr="00EE564E">
          <w:rPr>
            <w:noProof/>
            <w:webHidden/>
          </w:rPr>
          <w:fldChar w:fldCharType="end"/>
        </w:r>
      </w:hyperlink>
    </w:p>
    <w:p w14:paraId="5158BCD3" w14:textId="102CB9B3"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0" w:history="1">
        <w:r w:rsidR="00EE564E" w:rsidRPr="00EE564E">
          <w:rPr>
            <w:rStyle w:val="Hypertextovodkaz"/>
            <w:noProof/>
          </w:rPr>
          <w:t>Graf č. 32: Počet pověřených osob, které zahájily činnost (k 31. 3. 2021)</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_Toc73611460 \h </w:instrText>
        </w:r>
        <w:r w:rsidR="00EE564E" w:rsidRPr="00EE564E">
          <w:rPr>
            <w:noProof/>
            <w:webHidden/>
          </w:rPr>
        </w:r>
        <w:r w:rsidR="00EE564E" w:rsidRPr="00EE564E">
          <w:rPr>
            <w:noProof/>
            <w:webHidden/>
          </w:rPr>
          <w:fldChar w:fldCharType="separate"/>
        </w:r>
        <w:r w:rsidR="00EE564E" w:rsidRPr="00EE564E">
          <w:rPr>
            <w:noProof/>
            <w:webHidden/>
          </w:rPr>
          <w:t>69</w:t>
        </w:r>
        <w:r w:rsidR="00EE564E" w:rsidRPr="00EE564E">
          <w:rPr>
            <w:noProof/>
            <w:webHidden/>
          </w:rPr>
          <w:fldChar w:fldCharType="end"/>
        </w:r>
      </w:hyperlink>
    </w:p>
    <w:p w14:paraId="5450BA86" w14:textId="44E541CA"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1" w:history="1">
        <w:r w:rsidR="00EE564E" w:rsidRPr="00EE564E">
          <w:rPr>
            <w:rStyle w:val="Hypertextovodkaz"/>
            <w:noProof/>
          </w:rPr>
          <w:t>Graf č. 33: Procentuální ziskovost některých druhů hazardních her</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_Toc73611461 \h </w:instrText>
        </w:r>
        <w:r w:rsidR="00EE564E" w:rsidRPr="00EE564E">
          <w:rPr>
            <w:noProof/>
            <w:webHidden/>
          </w:rPr>
        </w:r>
        <w:r w:rsidR="00EE564E" w:rsidRPr="00EE564E">
          <w:rPr>
            <w:noProof/>
            <w:webHidden/>
          </w:rPr>
          <w:fldChar w:fldCharType="separate"/>
        </w:r>
        <w:r w:rsidR="00EE564E" w:rsidRPr="00EE564E">
          <w:rPr>
            <w:noProof/>
            <w:webHidden/>
          </w:rPr>
          <w:t>77</w:t>
        </w:r>
        <w:r w:rsidR="00EE564E" w:rsidRPr="00EE564E">
          <w:rPr>
            <w:noProof/>
            <w:webHidden/>
          </w:rPr>
          <w:fldChar w:fldCharType="end"/>
        </w:r>
      </w:hyperlink>
    </w:p>
    <w:p w14:paraId="381098A5" w14:textId="370E82C8"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2" w:history="1">
        <w:r w:rsidR="00EE564E" w:rsidRPr="00EE564E">
          <w:rPr>
            <w:rStyle w:val="Hypertextovodkaz"/>
            <w:noProof/>
          </w:rPr>
          <w:t>Graf č. 34: Vývoj daňového výnosu z hazardních her za období 2012–2020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_Toc73611462 \h </w:instrText>
        </w:r>
        <w:r w:rsidR="00EE564E" w:rsidRPr="00EE564E">
          <w:rPr>
            <w:noProof/>
            <w:webHidden/>
          </w:rPr>
        </w:r>
        <w:r w:rsidR="00EE564E" w:rsidRPr="00EE564E">
          <w:rPr>
            <w:noProof/>
            <w:webHidden/>
          </w:rPr>
          <w:fldChar w:fldCharType="separate"/>
        </w:r>
        <w:r w:rsidR="00EE564E" w:rsidRPr="00EE564E">
          <w:rPr>
            <w:noProof/>
            <w:webHidden/>
          </w:rPr>
          <w:t>79</w:t>
        </w:r>
        <w:r w:rsidR="00EE564E" w:rsidRPr="00EE564E">
          <w:rPr>
            <w:noProof/>
            <w:webHidden/>
          </w:rPr>
          <w:fldChar w:fldCharType="end"/>
        </w:r>
      </w:hyperlink>
    </w:p>
    <w:p w14:paraId="6FBCD658" w14:textId="2E596AEC"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3" w:history="1">
        <w:r w:rsidR="00EE564E" w:rsidRPr="00EE564E">
          <w:rPr>
            <w:rStyle w:val="Hypertextovodkaz"/>
            <w:noProof/>
          </w:rPr>
          <w:t>Graf č. 35: Vývoj přijatých (a nevrácených) vkladů a vyplacených výher u hazardních her za období 2012–2020 (v mil.)</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_Toc73611463 \h </w:instrText>
        </w:r>
        <w:r w:rsidR="00EE564E" w:rsidRPr="00EE564E">
          <w:rPr>
            <w:noProof/>
            <w:webHidden/>
          </w:rPr>
        </w:r>
        <w:r w:rsidR="00EE564E" w:rsidRPr="00EE564E">
          <w:rPr>
            <w:noProof/>
            <w:webHidden/>
          </w:rPr>
          <w:fldChar w:fldCharType="separate"/>
        </w:r>
        <w:r w:rsidR="00EE564E" w:rsidRPr="00EE564E">
          <w:rPr>
            <w:noProof/>
            <w:webHidden/>
          </w:rPr>
          <w:t>80</w:t>
        </w:r>
        <w:r w:rsidR="00EE564E" w:rsidRPr="00EE564E">
          <w:rPr>
            <w:noProof/>
            <w:webHidden/>
          </w:rPr>
          <w:fldChar w:fldCharType="end"/>
        </w:r>
      </w:hyperlink>
    </w:p>
    <w:p w14:paraId="3A77D718" w14:textId="2A357656"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4" w:history="1">
        <w:r w:rsidR="00EE564E" w:rsidRPr="00EE564E">
          <w:rPr>
            <w:rStyle w:val="Hypertextovodkaz"/>
            <w:noProof/>
          </w:rPr>
          <w:t>Graf č. 36: Vývoj výnosu dílčí daně z jednotlivých druhů hazardních her a vývoj podílu her v land-based prostředí a her na internetu na tomto výnosu za období 2013–2020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_Toc73611464 \h </w:instrText>
        </w:r>
        <w:r w:rsidR="00EE564E" w:rsidRPr="00EE564E">
          <w:rPr>
            <w:noProof/>
            <w:webHidden/>
          </w:rPr>
        </w:r>
        <w:r w:rsidR="00EE564E" w:rsidRPr="00EE564E">
          <w:rPr>
            <w:noProof/>
            <w:webHidden/>
          </w:rPr>
          <w:fldChar w:fldCharType="separate"/>
        </w:r>
        <w:r w:rsidR="00EE564E" w:rsidRPr="00EE564E">
          <w:rPr>
            <w:noProof/>
            <w:webHidden/>
          </w:rPr>
          <w:t>80</w:t>
        </w:r>
        <w:r w:rsidR="00EE564E" w:rsidRPr="00EE564E">
          <w:rPr>
            <w:noProof/>
            <w:webHidden/>
          </w:rPr>
          <w:fldChar w:fldCharType="end"/>
        </w:r>
      </w:hyperlink>
    </w:p>
    <w:p w14:paraId="22838791" w14:textId="29D9FF62"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5" w:history="1">
        <w:r w:rsidR="00EE564E" w:rsidRPr="00EE564E">
          <w:rPr>
            <w:rStyle w:val="Hypertextovodkaz"/>
            <w:noProof/>
          </w:rPr>
          <w:t>Graf č. 37: Podíl jednotlivých druhů hazardních her na výnosu daně z hazardních her za období 2013–2020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_Toc73611465 \h </w:instrText>
        </w:r>
        <w:r w:rsidR="00EE564E" w:rsidRPr="00EE564E">
          <w:rPr>
            <w:noProof/>
            <w:webHidden/>
          </w:rPr>
        </w:r>
        <w:r w:rsidR="00EE564E" w:rsidRPr="00EE564E">
          <w:rPr>
            <w:noProof/>
            <w:webHidden/>
          </w:rPr>
          <w:fldChar w:fldCharType="separate"/>
        </w:r>
        <w:r w:rsidR="00EE564E" w:rsidRPr="00EE564E">
          <w:rPr>
            <w:noProof/>
            <w:webHidden/>
          </w:rPr>
          <w:t>81</w:t>
        </w:r>
        <w:r w:rsidR="00EE564E" w:rsidRPr="00EE564E">
          <w:rPr>
            <w:noProof/>
            <w:webHidden/>
          </w:rPr>
          <w:fldChar w:fldCharType="end"/>
        </w:r>
      </w:hyperlink>
    </w:p>
    <w:p w14:paraId="2AF482F8" w14:textId="11BE0C3A"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6" w:history="1">
        <w:r w:rsidR="00EE564E" w:rsidRPr="00EE564E">
          <w:rPr>
            <w:rStyle w:val="Hypertextovodkaz"/>
            <w:noProof/>
          </w:rPr>
          <w:t>Graf č. 38: Rozpočtové určení daní z hazardních her za období 2012–2020 (v mld. Kč)</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_Toc73611466 \h </w:instrText>
        </w:r>
        <w:r w:rsidR="00EE564E" w:rsidRPr="00EE564E">
          <w:rPr>
            <w:noProof/>
            <w:webHidden/>
          </w:rPr>
        </w:r>
        <w:r w:rsidR="00EE564E" w:rsidRPr="00EE564E">
          <w:rPr>
            <w:noProof/>
            <w:webHidden/>
          </w:rPr>
          <w:fldChar w:fldCharType="separate"/>
        </w:r>
        <w:r w:rsidR="00EE564E" w:rsidRPr="00EE564E">
          <w:rPr>
            <w:noProof/>
            <w:webHidden/>
          </w:rPr>
          <w:t>82</w:t>
        </w:r>
        <w:r w:rsidR="00EE564E" w:rsidRPr="00EE564E">
          <w:rPr>
            <w:noProof/>
            <w:webHidden/>
          </w:rPr>
          <w:fldChar w:fldCharType="end"/>
        </w:r>
      </w:hyperlink>
    </w:p>
    <w:p w14:paraId="01512DE7" w14:textId="2399E259"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7" w:history="1">
        <w:r w:rsidR="00EE564E" w:rsidRPr="00EE564E">
          <w:rPr>
            <w:rStyle w:val="Hypertextovodkaz"/>
            <w:noProof/>
          </w:rPr>
          <w:t>Graf č. 39: Vývoj počtu míst s technickou hrou</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_Toc73611467 \h </w:instrText>
        </w:r>
        <w:r w:rsidR="00EE564E" w:rsidRPr="00EE564E">
          <w:rPr>
            <w:noProof/>
            <w:webHidden/>
          </w:rPr>
        </w:r>
        <w:r w:rsidR="00EE564E" w:rsidRPr="00EE564E">
          <w:rPr>
            <w:noProof/>
            <w:webHidden/>
          </w:rPr>
          <w:fldChar w:fldCharType="separate"/>
        </w:r>
        <w:r w:rsidR="00EE564E" w:rsidRPr="00EE564E">
          <w:rPr>
            <w:noProof/>
            <w:webHidden/>
          </w:rPr>
          <w:t>91</w:t>
        </w:r>
        <w:r w:rsidR="00EE564E" w:rsidRPr="00EE564E">
          <w:rPr>
            <w:noProof/>
            <w:webHidden/>
          </w:rPr>
          <w:fldChar w:fldCharType="end"/>
        </w:r>
      </w:hyperlink>
    </w:p>
    <w:p w14:paraId="225AA72D" w14:textId="02EF1CF9"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8" w:history="1">
        <w:r w:rsidR="00EE564E" w:rsidRPr="00EE564E">
          <w:rPr>
            <w:rStyle w:val="Hypertextovodkaz"/>
            <w:noProof/>
          </w:rPr>
          <w:t>Graf č. 40: Počet technických zařízení</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_Toc73611468 \h </w:instrText>
        </w:r>
        <w:r w:rsidR="00EE564E" w:rsidRPr="00EE564E">
          <w:rPr>
            <w:noProof/>
            <w:webHidden/>
          </w:rPr>
        </w:r>
        <w:r w:rsidR="00EE564E" w:rsidRPr="00EE564E">
          <w:rPr>
            <w:noProof/>
            <w:webHidden/>
          </w:rPr>
          <w:fldChar w:fldCharType="separate"/>
        </w:r>
        <w:r w:rsidR="00EE564E" w:rsidRPr="00EE564E">
          <w:rPr>
            <w:noProof/>
            <w:webHidden/>
          </w:rPr>
          <w:t>92</w:t>
        </w:r>
        <w:r w:rsidR="00EE564E" w:rsidRPr="00EE564E">
          <w:rPr>
            <w:noProof/>
            <w:webHidden/>
          </w:rPr>
          <w:fldChar w:fldCharType="end"/>
        </w:r>
      </w:hyperlink>
    </w:p>
    <w:p w14:paraId="0ACC1BEE" w14:textId="4A079DFC" w:rsidR="00EE564E" w:rsidRPr="00EE564E" w:rsidRDefault="009C0B64">
      <w:pPr>
        <w:pStyle w:val="Seznamobrzk"/>
        <w:tabs>
          <w:tab w:val="right" w:leader="dot" w:pos="9062"/>
        </w:tabs>
        <w:rPr>
          <w:rFonts w:asciiTheme="minorHAnsi" w:eastAsiaTheme="minorEastAsia" w:hAnsiTheme="minorHAnsi"/>
          <w:noProof/>
          <w:sz w:val="22"/>
          <w:lang w:eastAsia="cs-CZ"/>
        </w:rPr>
      </w:pPr>
      <w:hyperlink w:anchor="_Toc73611469" w:history="1">
        <w:r w:rsidR="00EE564E" w:rsidRPr="00EE564E">
          <w:rPr>
            <w:rStyle w:val="Hypertextovodkaz"/>
            <w:noProof/>
          </w:rPr>
          <w:t>Graf č. 41: Vývoj výnosu dílčí daně z jednotlivých druhů hazardních her a vývoj podílu v land-based prostředí a internetu na tomto výnosu za období 2013–2020</w:t>
        </w:r>
        <w:r w:rsidR="00EE564E" w:rsidRPr="00EE564E">
          <w:rPr>
            <w:noProof/>
            <w:webHidden/>
          </w:rPr>
          <w:tab/>
        </w:r>
        <w:r w:rsidR="00EE564E" w:rsidRPr="00EE564E">
          <w:rPr>
            <w:noProof/>
            <w:webHidden/>
          </w:rPr>
          <w:fldChar w:fldCharType="begin"/>
        </w:r>
        <w:r w:rsidR="00EE564E" w:rsidRPr="00EE564E">
          <w:rPr>
            <w:noProof/>
            <w:webHidden/>
          </w:rPr>
          <w:instrText xml:space="preserve"> PAGEREF _Toc73611469 \h </w:instrText>
        </w:r>
        <w:r w:rsidR="00EE564E" w:rsidRPr="00EE564E">
          <w:rPr>
            <w:noProof/>
            <w:webHidden/>
          </w:rPr>
        </w:r>
        <w:r w:rsidR="00EE564E" w:rsidRPr="00EE564E">
          <w:rPr>
            <w:noProof/>
            <w:webHidden/>
          </w:rPr>
          <w:fldChar w:fldCharType="separate"/>
        </w:r>
        <w:r w:rsidR="00EE564E" w:rsidRPr="00EE564E">
          <w:rPr>
            <w:noProof/>
            <w:webHidden/>
          </w:rPr>
          <w:t>95</w:t>
        </w:r>
        <w:r w:rsidR="00EE564E" w:rsidRPr="00EE564E">
          <w:rPr>
            <w:noProof/>
            <w:webHidden/>
          </w:rPr>
          <w:fldChar w:fldCharType="end"/>
        </w:r>
      </w:hyperlink>
    </w:p>
    <w:p w14:paraId="4E83E467" w14:textId="21E9C5AB" w:rsidR="00243F09" w:rsidRDefault="00E81244" w:rsidP="00243F09">
      <w:r w:rsidRPr="0091244D">
        <w:rPr>
          <w:highlight w:val="lightGray"/>
        </w:rPr>
        <w:fldChar w:fldCharType="end"/>
      </w:r>
    </w:p>
    <w:p w14:paraId="4759DCBC" w14:textId="36EF0A7E" w:rsidR="00A861A9" w:rsidRPr="00F17245" w:rsidRDefault="00A861A9" w:rsidP="001E66F0">
      <w:pPr>
        <w:pStyle w:val="Nadpis2"/>
      </w:pPr>
      <w:bookmarkStart w:id="175" w:name="_Toc71881099"/>
      <w:bookmarkStart w:id="176" w:name="_Toc72999594"/>
      <w:bookmarkStart w:id="177" w:name="_Toc73613650"/>
      <w:r w:rsidRPr="00F17245">
        <w:t>Přílohy</w:t>
      </w:r>
      <w:bookmarkEnd w:id="175"/>
      <w:bookmarkEnd w:id="176"/>
      <w:bookmarkEnd w:id="177"/>
    </w:p>
    <w:p w14:paraId="1BC45E4E" w14:textId="43842AB1" w:rsidR="00A861A9" w:rsidRDefault="00E91C8F" w:rsidP="00E91C8F">
      <w:pPr>
        <w:pStyle w:val="Nadpis3"/>
        <w:numPr>
          <w:ilvl w:val="0"/>
          <w:numId w:val="0"/>
        </w:numPr>
        <w:ind w:left="720" w:hanging="720"/>
      </w:pPr>
      <w:bookmarkStart w:id="178" w:name="_Toc72999595"/>
      <w:bookmarkStart w:id="179" w:name="_Toc73613651"/>
      <w:r w:rsidRPr="00F17245">
        <w:t xml:space="preserve">Příloha č. 1: </w:t>
      </w:r>
      <w:bookmarkEnd w:id="178"/>
      <w:r w:rsidR="00DC3F22" w:rsidRPr="00DC3F22">
        <w:t>Vyhodnocení rizikovosti provozovaných hazardních her</w:t>
      </w:r>
      <w:bookmarkEnd w:id="179"/>
    </w:p>
    <w:p w14:paraId="0F90D48A" w14:textId="332EDAFB" w:rsidR="009465E7" w:rsidRDefault="00CF5ABA" w:rsidP="00CF5ABA">
      <w:pPr>
        <w:pStyle w:val="Nadpis3"/>
        <w:numPr>
          <w:ilvl w:val="0"/>
          <w:numId w:val="0"/>
        </w:numPr>
        <w:spacing w:line="259" w:lineRule="auto"/>
        <w:rPr>
          <w:noProof/>
        </w:rPr>
      </w:pPr>
      <w:r>
        <w:t xml:space="preserve"> </w:t>
      </w:r>
      <w:r w:rsidR="009465E7">
        <w:fldChar w:fldCharType="begin"/>
      </w:r>
      <w:r w:rsidR="009465E7">
        <w:instrText xml:space="preserve"> TOC \o "1-4" \h \z \u </w:instrText>
      </w:r>
      <w:r w:rsidR="009465E7">
        <w:fldChar w:fldCharType="separate"/>
      </w:r>
    </w:p>
    <w:p w14:paraId="423662C3" w14:textId="77777777" w:rsidR="009465E7" w:rsidRDefault="009C0B64" w:rsidP="009465E7">
      <w:pPr>
        <w:pStyle w:val="Obsah3"/>
        <w:tabs>
          <w:tab w:val="left" w:pos="1100"/>
          <w:tab w:val="right" w:leader="dot" w:pos="9062"/>
        </w:tabs>
        <w:rPr>
          <w:rFonts w:asciiTheme="minorHAnsi" w:eastAsiaTheme="minorEastAsia" w:hAnsiTheme="minorHAnsi"/>
          <w:noProof/>
          <w:sz w:val="22"/>
          <w:lang w:eastAsia="cs-CZ"/>
        </w:rPr>
      </w:pPr>
      <w:hyperlink w:anchor="_Toc73604305" w:history="1">
        <w:r w:rsidR="009465E7" w:rsidRPr="00CD2D1D">
          <w:rPr>
            <w:rStyle w:val="Hypertextovodkaz"/>
            <w:noProof/>
            <w:lang w:eastAsia="zh-CN"/>
          </w:rPr>
          <w:t>1.1</w:t>
        </w:r>
        <w:r w:rsidR="009465E7">
          <w:rPr>
            <w:rFonts w:asciiTheme="minorHAnsi" w:eastAsiaTheme="minorEastAsia" w:hAnsiTheme="minorHAnsi"/>
            <w:noProof/>
            <w:sz w:val="22"/>
            <w:lang w:eastAsia="cs-CZ"/>
          </w:rPr>
          <w:tab/>
        </w:r>
        <w:r w:rsidR="009465E7" w:rsidRPr="00CD2D1D">
          <w:rPr>
            <w:rStyle w:val="Hypertextovodkaz"/>
            <w:noProof/>
            <w:lang w:eastAsia="zh-CN"/>
          </w:rPr>
          <w:t>Stručný popis metodiky testu ASTERIG</w:t>
        </w:r>
        <w:r w:rsidR="009465E7">
          <w:rPr>
            <w:noProof/>
            <w:webHidden/>
          </w:rPr>
          <w:tab/>
        </w:r>
        <w:r w:rsidR="009465E7">
          <w:rPr>
            <w:noProof/>
            <w:webHidden/>
          </w:rPr>
          <w:fldChar w:fldCharType="begin"/>
        </w:r>
        <w:r w:rsidR="009465E7">
          <w:rPr>
            <w:noProof/>
            <w:webHidden/>
          </w:rPr>
          <w:instrText xml:space="preserve"> PAGEREF _Toc73604305 \h </w:instrText>
        </w:r>
        <w:r w:rsidR="009465E7">
          <w:rPr>
            <w:noProof/>
            <w:webHidden/>
          </w:rPr>
        </w:r>
        <w:r w:rsidR="009465E7">
          <w:rPr>
            <w:noProof/>
            <w:webHidden/>
          </w:rPr>
          <w:fldChar w:fldCharType="separate"/>
        </w:r>
        <w:r w:rsidR="009465E7">
          <w:rPr>
            <w:noProof/>
            <w:webHidden/>
          </w:rPr>
          <w:t>1</w:t>
        </w:r>
        <w:r w:rsidR="009465E7">
          <w:rPr>
            <w:noProof/>
            <w:webHidden/>
          </w:rPr>
          <w:fldChar w:fldCharType="end"/>
        </w:r>
      </w:hyperlink>
    </w:p>
    <w:p w14:paraId="3B77A842" w14:textId="77777777" w:rsidR="009465E7" w:rsidRDefault="009C0B64" w:rsidP="009465E7">
      <w:pPr>
        <w:pStyle w:val="Obsah3"/>
        <w:tabs>
          <w:tab w:val="left" w:pos="1100"/>
          <w:tab w:val="right" w:leader="dot" w:pos="9062"/>
        </w:tabs>
        <w:rPr>
          <w:rFonts w:asciiTheme="minorHAnsi" w:eastAsiaTheme="minorEastAsia" w:hAnsiTheme="minorHAnsi"/>
          <w:noProof/>
          <w:sz w:val="22"/>
          <w:lang w:eastAsia="cs-CZ"/>
        </w:rPr>
      </w:pPr>
      <w:hyperlink w:anchor="_Toc73604306" w:history="1">
        <w:r w:rsidR="009465E7" w:rsidRPr="00CD2D1D">
          <w:rPr>
            <w:rStyle w:val="Hypertextovodkaz"/>
            <w:noProof/>
            <w:lang w:eastAsia="zh-CN"/>
          </w:rPr>
          <w:t>1.2</w:t>
        </w:r>
        <w:r w:rsidR="009465E7">
          <w:rPr>
            <w:rFonts w:asciiTheme="minorHAnsi" w:eastAsiaTheme="minorEastAsia" w:hAnsiTheme="minorHAnsi"/>
            <w:noProof/>
            <w:sz w:val="22"/>
            <w:lang w:eastAsia="cs-CZ"/>
          </w:rPr>
          <w:tab/>
        </w:r>
        <w:r w:rsidR="009465E7" w:rsidRPr="00CD2D1D">
          <w:rPr>
            <w:rStyle w:val="Hypertextovodkaz"/>
            <w:noProof/>
            <w:lang w:eastAsia="zh-CN"/>
          </w:rPr>
          <w:t>Posouzení jednotlivých zástupců v rámci druhů hazardních her a způsobů jejich provozování</w:t>
        </w:r>
        <w:r w:rsidR="009465E7">
          <w:rPr>
            <w:noProof/>
            <w:webHidden/>
          </w:rPr>
          <w:tab/>
        </w:r>
        <w:r w:rsidR="009465E7">
          <w:rPr>
            <w:noProof/>
            <w:webHidden/>
          </w:rPr>
          <w:fldChar w:fldCharType="begin"/>
        </w:r>
        <w:r w:rsidR="009465E7">
          <w:rPr>
            <w:noProof/>
            <w:webHidden/>
          </w:rPr>
          <w:instrText xml:space="preserve"> PAGEREF _Toc73604306 \h </w:instrText>
        </w:r>
        <w:r w:rsidR="009465E7">
          <w:rPr>
            <w:noProof/>
            <w:webHidden/>
          </w:rPr>
        </w:r>
        <w:r w:rsidR="009465E7">
          <w:rPr>
            <w:noProof/>
            <w:webHidden/>
          </w:rPr>
          <w:fldChar w:fldCharType="separate"/>
        </w:r>
        <w:r w:rsidR="009465E7">
          <w:rPr>
            <w:noProof/>
            <w:webHidden/>
          </w:rPr>
          <w:t>2</w:t>
        </w:r>
        <w:r w:rsidR="009465E7">
          <w:rPr>
            <w:noProof/>
            <w:webHidden/>
          </w:rPr>
          <w:fldChar w:fldCharType="end"/>
        </w:r>
      </w:hyperlink>
    </w:p>
    <w:p w14:paraId="787EC883"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307" w:history="1">
        <w:r w:rsidR="009465E7" w:rsidRPr="00CD2D1D">
          <w:rPr>
            <w:rStyle w:val="Hypertextovodkaz"/>
            <w:noProof/>
          </w:rPr>
          <w:t>1.2.1</w:t>
        </w:r>
        <w:r w:rsidR="009465E7">
          <w:rPr>
            <w:rFonts w:asciiTheme="minorHAnsi" w:eastAsiaTheme="minorEastAsia" w:hAnsiTheme="minorHAnsi"/>
            <w:noProof/>
            <w:sz w:val="22"/>
            <w:lang w:eastAsia="cs-CZ"/>
          </w:rPr>
          <w:tab/>
        </w:r>
        <w:r w:rsidR="009465E7" w:rsidRPr="00CD2D1D">
          <w:rPr>
            <w:rStyle w:val="Hypertextovodkaz"/>
            <w:noProof/>
          </w:rPr>
          <w:t>Znázornění jednotlivých druhů hazardních her podle procentuálního naplnění hodnotících parametrů</w:t>
        </w:r>
        <w:r w:rsidR="009465E7">
          <w:rPr>
            <w:noProof/>
            <w:webHidden/>
          </w:rPr>
          <w:tab/>
        </w:r>
        <w:r w:rsidR="009465E7">
          <w:rPr>
            <w:noProof/>
            <w:webHidden/>
          </w:rPr>
          <w:fldChar w:fldCharType="begin"/>
        </w:r>
        <w:r w:rsidR="009465E7">
          <w:rPr>
            <w:noProof/>
            <w:webHidden/>
          </w:rPr>
          <w:instrText xml:space="preserve"> PAGEREF _Toc73604307 \h </w:instrText>
        </w:r>
        <w:r w:rsidR="009465E7">
          <w:rPr>
            <w:noProof/>
            <w:webHidden/>
          </w:rPr>
        </w:r>
        <w:r w:rsidR="009465E7">
          <w:rPr>
            <w:noProof/>
            <w:webHidden/>
          </w:rPr>
          <w:fldChar w:fldCharType="separate"/>
        </w:r>
        <w:r w:rsidR="009465E7">
          <w:rPr>
            <w:noProof/>
            <w:webHidden/>
          </w:rPr>
          <w:t>2</w:t>
        </w:r>
        <w:r w:rsidR="009465E7">
          <w:rPr>
            <w:noProof/>
            <w:webHidden/>
          </w:rPr>
          <w:fldChar w:fldCharType="end"/>
        </w:r>
      </w:hyperlink>
    </w:p>
    <w:p w14:paraId="32DF2FF1"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308" w:history="1">
        <w:r w:rsidR="009465E7" w:rsidRPr="00CD2D1D">
          <w:rPr>
            <w:rStyle w:val="Hypertextovodkaz"/>
            <w:noProof/>
          </w:rPr>
          <w:t>1.2.2</w:t>
        </w:r>
        <w:r w:rsidR="009465E7">
          <w:rPr>
            <w:rFonts w:asciiTheme="minorHAnsi" w:eastAsiaTheme="minorEastAsia" w:hAnsiTheme="minorHAnsi"/>
            <w:noProof/>
            <w:sz w:val="22"/>
            <w:lang w:eastAsia="cs-CZ"/>
          </w:rPr>
          <w:tab/>
        </w:r>
        <w:r w:rsidR="009465E7" w:rsidRPr="00CD2D1D">
          <w:rPr>
            <w:rStyle w:val="Hypertextovodkaz"/>
            <w:noProof/>
          </w:rPr>
          <w:t>Posouzení dotčených parametrů</w:t>
        </w:r>
        <w:r w:rsidR="009465E7">
          <w:rPr>
            <w:noProof/>
            <w:webHidden/>
          </w:rPr>
          <w:tab/>
        </w:r>
        <w:r w:rsidR="009465E7">
          <w:rPr>
            <w:noProof/>
            <w:webHidden/>
          </w:rPr>
          <w:fldChar w:fldCharType="begin"/>
        </w:r>
        <w:r w:rsidR="009465E7">
          <w:rPr>
            <w:noProof/>
            <w:webHidden/>
          </w:rPr>
          <w:instrText xml:space="preserve"> PAGEREF _Toc73604308 \h </w:instrText>
        </w:r>
        <w:r w:rsidR="009465E7">
          <w:rPr>
            <w:noProof/>
            <w:webHidden/>
          </w:rPr>
        </w:r>
        <w:r w:rsidR="009465E7">
          <w:rPr>
            <w:noProof/>
            <w:webHidden/>
          </w:rPr>
          <w:fldChar w:fldCharType="separate"/>
        </w:r>
        <w:r w:rsidR="009465E7">
          <w:rPr>
            <w:noProof/>
            <w:webHidden/>
          </w:rPr>
          <w:t>23</w:t>
        </w:r>
        <w:r w:rsidR="009465E7">
          <w:rPr>
            <w:noProof/>
            <w:webHidden/>
          </w:rPr>
          <w:fldChar w:fldCharType="end"/>
        </w:r>
      </w:hyperlink>
    </w:p>
    <w:p w14:paraId="373F0F30" w14:textId="77777777" w:rsidR="009465E7" w:rsidRDefault="009C0B64" w:rsidP="009465E7">
      <w:pPr>
        <w:pStyle w:val="Obsah3"/>
        <w:tabs>
          <w:tab w:val="left" w:pos="1100"/>
          <w:tab w:val="right" w:leader="dot" w:pos="9062"/>
        </w:tabs>
        <w:rPr>
          <w:rFonts w:asciiTheme="minorHAnsi" w:eastAsiaTheme="minorEastAsia" w:hAnsiTheme="minorHAnsi"/>
          <w:noProof/>
          <w:sz w:val="22"/>
          <w:lang w:eastAsia="cs-CZ"/>
        </w:rPr>
      </w:pPr>
      <w:hyperlink w:anchor="_Toc73604309" w:history="1">
        <w:r w:rsidR="009465E7" w:rsidRPr="00CD2D1D">
          <w:rPr>
            <w:rStyle w:val="Hypertextovodkaz"/>
            <w:noProof/>
          </w:rPr>
          <w:t>1.3</w:t>
        </w:r>
        <w:r w:rsidR="009465E7">
          <w:rPr>
            <w:rFonts w:asciiTheme="minorHAnsi" w:eastAsiaTheme="minorEastAsia" w:hAnsiTheme="minorHAnsi"/>
            <w:noProof/>
            <w:sz w:val="22"/>
            <w:lang w:eastAsia="cs-CZ"/>
          </w:rPr>
          <w:tab/>
        </w:r>
        <w:r w:rsidR="009465E7" w:rsidRPr="00CD2D1D">
          <w:rPr>
            <w:rStyle w:val="Hypertextovodkaz"/>
            <w:noProof/>
          </w:rPr>
          <w:t>Závěrečné hodnocení podle druhů hazardních her</w:t>
        </w:r>
        <w:r w:rsidR="009465E7">
          <w:rPr>
            <w:noProof/>
            <w:webHidden/>
          </w:rPr>
          <w:tab/>
        </w:r>
        <w:r w:rsidR="009465E7">
          <w:rPr>
            <w:noProof/>
            <w:webHidden/>
          </w:rPr>
          <w:fldChar w:fldCharType="begin"/>
        </w:r>
        <w:r w:rsidR="009465E7">
          <w:rPr>
            <w:noProof/>
            <w:webHidden/>
          </w:rPr>
          <w:instrText xml:space="preserve"> PAGEREF _Toc73604309 \h </w:instrText>
        </w:r>
        <w:r w:rsidR="009465E7">
          <w:rPr>
            <w:noProof/>
            <w:webHidden/>
          </w:rPr>
        </w:r>
        <w:r w:rsidR="009465E7">
          <w:rPr>
            <w:noProof/>
            <w:webHidden/>
          </w:rPr>
          <w:fldChar w:fldCharType="separate"/>
        </w:r>
        <w:r w:rsidR="009465E7">
          <w:rPr>
            <w:noProof/>
            <w:webHidden/>
          </w:rPr>
          <w:t>34</w:t>
        </w:r>
        <w:r w:rsidR="009465E7">
          <w:rPr>
            <w:noProof/>
            <w:webHidden/>
          </w:rPr>
          <w:fldChar w:fldCharType="end"/>
        </w:r>
      </w:hyperlink>
    </w:p>
    <w:p w14:paraId="093667BA" w14:textId="77777777" w:rsidR="009465E7" w:rsidRDefault="009C0B64" w:rsidP="009465E7">
      <w:pPr>
        <w:pStyle w:val="Obsah3"/>
        <w:tabs>
          <w:tab w:val="left" w:pos="1100"/>
          <w:tab w:val="right" w:leader="dot" w:pos="9062"/>
        </w:tabs>
        <w:rPr>
          <w:rFonts w:asciiTheme="minorHAnsi" w:eastAsiaTheme="minorEastAsia" w:hAnsiTheme="minorHAnsi"/>
          <w:noProof/>
          <w:sz w:val="22"/>
          <w:lang w:eastAsia="cs-CZ"/>
        </w:rPr>
      </w:pPr>
      <w:hyperlink w:anchor="_Toc73604310" w:history="1">
        <w:r w:rsidR="009465E7" w:rsidRPr="00CD2D1D">
          <w:rPr>
            <w:rStyle w:val="Hypertextovodkaz"/>
            <w:noProof/>
          </w:rPr>
          <w:t>1.4</w:t>
        </w:r>
        <w:r w:rsidR="009465E7">
          <w:rPr>
            <w:rFonts w:asciiTheme="minorHAnsi" w:eastAsiaTheme="minorEastAsia" w:hAnsiTheme="minorHAnsi"/>
            <w:noProof/>
            <w:sz w:val="22"/>
            <w:lang w:eastAsia="cs-CZ"/>
          </w:rPr>
          <w:tab/>
        </w:r>
        <w:r w:rsidR="009465E7" w:rsidRPr="00CD2D1D">
          <w:rPr>
            <w:rStyle w:val="Hypertextovodkaz"/>
            <w:noProof/>
          </w:rPr>
          <w:t>Seznam tabulek, obrázků a grafů</w:t>
        </w:r>
        <w:r w:rsidR="009465E7">
          <w:rPr>
            <w:noProof/>
            <w:webHidden/>
          </w:rPr>
          <w:tab/>
        </w:r>
        <w:r w:rsidR="009465E7">
          <w:rPr>
            <w:noProof/>
            <w:webHidden/>
          </w:rPr>
          <w:fldChar w:fldCharType="begin"/>
        </w:r>
        <w:r w:rsidR="009465E7">
          <w:rPr>
            <w:noProof/>
            <w:webHidden/>
          </w:rPr>
          <w:instrText xml:space="preserve"> PAGEREF _Toc73604310 \h </w:instrText>
        </w:r>
        <w:r w:rsidR="009465E7">
          <w:rPr>
            <w:noProof/>
            <w:webHidden/>
          </w:rPr>
        </w:r>
        <w:r w:rsidR="009465E7">
          <w:rPr>
            <w:noProof/>
            <w:webHidden/>
          </w:rPr>
          <w:fldChar w:fldCharType="separate"/>
        </w:r>
        <w:r w:rsidR="009465E7">
          <w:rPr>
            <w:noProof/>
            <w:webHidden/>
          </w:rPr>
          <w:t>41</w:t>
        </w:r>
        <w:r w:rsidR="009465E7">
          <w:rPr>
            <w:noProof/>
            <w:webHidden/>
          </w:rPr>
          <w:fldChar w:fldCharType="end"/>
        </w:r>
      </w:hyperlink>
    </w:p>
    <w:p w14:paraId="07360265"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311" w:history="1">
        <w:r w:rsidR="009465E7" w:rsidRPr="00CD2D1D">
          <w:rPr>
            <w:rStyle w:val="Hypertextovodkaz"/>
            <w:noProof/>
          </w:rPr>
          <w:t>1.4.1</w:t>
        </w:r>
        <w:r w:rsidR="009465E7">
          <w:rPr>
            <w:rFonts w:asciiTheme="minorHAnsi" w:eastAsiaTheme="minorEastAsia" w:hAnsiTheme="minorHAnsi"/>
            <w:noProof/>
            <w:sz w:val="22"/>
            <w:lang w:eastAsia="cs-CZ"/>
          </w:rPr>
          <w:tab/>
        </w:r>
        <w:r w:rsidR="009465E7" w:rsidRPr="00CD2D1D">
          <w:rPr>
            <w:rStyle w:val="Hypertextovodkaz"/>
            <w:noProof/>
          </w:rPr>
          <w:t>Tabulky</w:t>
        </w:r>
        <w:r w:rsidR="009465E7">
          <w:rPr>
            <w:noProof/>
            <w:webHidden/>
          </w:rPr>
          <w:tab/>
        </w:r>
        <w:r w:rsidR="009465E7">
          <w:rPr>
            <w:noProof/>
            <w:webHidden/>
          </w:rPr>
          <w:fldChar w:fldCharType="begin"/>
        </w:r>
        <w:r w:rsidR="009465E7">
          <w:rPr>
            <w:noProof/>
            <w:webHidden/>
          </w:rPr>
          <w:instrText xml:space="preserve"> PAGEREF _Toc73604311 \h </w:instrText>
        </w:r>
        <w:r w:rsidR="009465E7">
          <w:rPr>
            <w:noProof/>
            <w:webHidden/>
          </w:rPr>
        </w:r>
        <w:r w:rsidR="009465E7">
          <w:rPr>
            <w:noProof/>
            <w:webHidden/>
          </w:rPr>
          <w:fldChar w:fldCharType="separate"/>
        </w:r>
        <w:r w:rsidR="009465E7">
          <w:rPr>
            <w:noProof/>
            <w:webHidden/>
          </w:rPr>
          <w:t>41</w:t>
        </w:r>
        <w:r w:rsidR="009465E7">
          <w:rPr>
            <w:noProof/>
            <w:webHidden/>
          </w:rPr>
          <w:fldChar w:fldCharType="end"/>
        </w:r>
      </w:hyperlink>
    </w:p>
    <w:p w14:paraId="3E069C88"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312" w:history="1">
        <w:r w:rsidR="009465E7" w:rsidRPr="00CD2D1D">
          <w:rPr>
            <w:rStyle w:val="Hypertextovodkaz"/>
            <w:noProof/>
          </w:rPr>
          <w:t>1.4.2</w:t>
        </w:r>
        <w:r w:rsidR="009465E7">
          <w:rPr>
            <w:rFonts w:asciiTheme="minorHAnsi" w:eastAsiaTheme="minorEastAsia" w:hAnsiTheme="minorHAnsi"/>
            <w:noProof/>
            <w:sz w:val="22"/>
            <w:lang w:eastAsia="cs-CZ"/>
          </w:rPr>
          <w:tab/>
        </w:r>
        <w:r w:rsidR="009465E7" w:rsidRPr="00CD2D1D">
          <w:rPr>
            <w:rStyle w:val="Hypertextovodkaz"/>
            <w:noProof/>
          </w:rPr>
          <w:t>Obrázky</w:t>
        </w:r>
        <w:r w:rsidR="009465E7">
          <w:rPr>
            <w:noProof/>
            <w:webHidden/>
          </w:rPr>
          <w:tab/>
        </w:r>
        <w:r w:rsidR="009465E7">
          <w:rPr>
            <w:noProof/>
            <w:webHidden/>
          </w:rPr>
          <w:fldChar w:fldCharType="begin"/>
        </w:r>
        <w:r w:rsidR="009465E7">
          <w:rPr>
            <w:noProof/>
            <w:webHidden/>
          </w:rPr>
          <w:instrText xml:space="preserve"> PAGEREF _Toc73604312 \h </w:instrText>
        </w:r>
        <w:r w:rsidR="009465E7">
          <w:rPr>
            <w:noProof/>
            <w:webHidden/>
          </w:rPr>
        </w:r>
        <w:r w:rsidR="009465E7">
          <w:rPr>
            <w:noProof/>
            <w:webHidden/>
          </w:rPr>
          <w:fldChar w:fldCharType="separate"/>
        </w:r>
        <w:r w:rsidR="009465E7">
          <w:rPr>
            <w:noProof/>
            <w:webHidden/>
          </w:rPr>
          <w:t>41</w:t>
        </w:r>
        <w:r w:rsidR="009465E7">
          <w:rPr>
            <w:noProof/>
            <w:webHidden/>
          </w:rPr>
          <w:fldChar w:fldCharType="end"/>
        </w:r>
      </w:hyperlink>
    </w:p>
    <w:p w14:paraId="1EAFDDF5"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313" w:history="1">
        <w:r w:rsidR="009465E7" w:rsidRPr="00CD2D1D">
          <w:rPr>
            <w:rStyle w:val="Hypertextovodkaz"/>
            <w:noProof/>
          </w:rPr>
          <w:t>1.4.3</w:t>
        </w:r>
        <w:r w:rsidR="009465E7">
          <w:rPr>
            <w:rFonts w:asciiTheme="minorHAnsi" w:eastAsiaTheme="minorEastAsia" w:hAnsiTheme="minorHAnsi"/>
            <w:noProof/>
            <w:sz w:val="22"/>
            <w:lang w:eastAsia="cs-CZ"/>
          </w:rPr>
          <w:tab/>
        </w:r>
        <w:r w:rsidR="009465E7" w:rsidRPr="00CD2D1D">
          <w:rPr>
            <w:rStyle w:val="Hypertextovodkaz"/>
            <w:noProof/>
          </w:rPr>
          <w:t>Grafy</w:t>
        </w:r>
        <w:r w:rsidR="009465E7">
          <w:rPr>
            <w:noProof/>
            <w:webHidden/>
          </w:rPr>
          <w:tab/>
        </w:r>
        <w:r w:rsidR="009465E7">
          <w:rPr>
            <w:noProof/>
            <w:webHidden/>
          </w:rPr>
          <w:fldChar w:fldCharType="begin"/>
        </w:r>
        <w:r w:rsidR="009465E7">
          <w:rPr>
            <w:noProof/>
            <w:webHidden/>
          </w:rPr>
          <w:instrText xml:space="preserve"> PAGEREF _Toc73604313 \h </w:instrText>
        </w:r>
        <w:r w:rsidR="009465E7">
          <w:rPr>
            <w:noProof/>
            <w:webHidden/>
          </w:rPr>
        </w:r>
        <w:r w:rsidR="009465E7">
          <w:rPr>
            <w:noProof/>
            <w:webHidden/>
          </w:rPr>
          <w:fldChar w:fldCharType="separate"/>
        </w:r>
        <w:r w:rsidR="009465E7">
          <w:rPr>
            <w:noProof/>
            <w:webHidden/>
          </w:rPr>
          <w:t>41</w:t>
        </w:r>
        <w:r w:rsidR="009465E7">
          <w:rPr>
            <w:noProof/>
            <w:webHidden/>
          </w:rPr>
          <w:fldChar w:fldCharType="end"/>
        </w:r>
      </w:hyperlink>
    </w:p>
    <w:p w14:paraId="5BE2BD98" w14:textId="77777777" w:rsidR="009465E7" w:rsidRDefault="009C0B64" w:rsidP="009465E7">
      <w:pPr>
        <w:pStyle w:val="Obsah3"/>
        <w:tabs>
          <w:tab w:val="left" w:pos="1100"/>
          <w:tab w:val="right" w:leader="dot" w:pos="9062"/>
        </w:tabs>
        <w:rPr>
          <w:noProof/>
        </w:rPr>
      </w:pPr>
      <w:hyperlink w:anchor="_Toc73604314" w:history="1">
        <w:r w:rsidR="009465E7" w:rsidRPr="00CD2D1D">
          <w:rPr>
            <w:rStyle w:val="Hypertextovodkaz"/>
            <w:noProof/>
          </w:rPr>
          <w:t>1.5</w:t>
        </w:r>
        <w:r w:rsidR="009465E7">
          <w:rPr>
            <w:rFonts w:asciiTheme="minorHAnsi" w:eastAsiaTheme="minorEastAsia" w:hAnsiTheme="minorHAnsi"/>
            <w:noProof/>
            <w:sz w:val="22"/>
            <w:lang w:eastAsia="cs-CZ"/>
          </w:rPr>
          <w:tab/>
        </w:r>
        <w:r w:rsidR="009465E7" w:rsidRPr="00CD2D1D">
          <w:rPr>
            <w:rStyle w:val="Hypertextovodkaz"/>
            <w:noProof/>
          </w:rPr>
          <w:t>Obsah</w:t>
        </w:r>
        <w:r w:rsidR="009465E7">
          <w:rPr>
            <w:noProof/>
            <w:webHidden/>
          </w:rPr>
          <w:tab/>
        </w:r>
        <w:r w:rsidR="009465E7">
          <w:rPr>
            <w:noProof/>
            <w:webHidden/>
          </w:rPr>
          <w:fldChar w:fldCharType="begin"/>
        </w:r>
        <w:r w:rsidR="009465E7">
          <w:rPr>
            <w:noProof/>
            <w:webHidden/>
          </w:rPr>
          <w:instrText xml:space="preserve"> PAGEREF _Toc73604314 \h </w:instrText>
        </w:r>
        <w:r w:rsidR="009465E7">
          <w:rPr>
            <w:noProof/>
            <w:webHidden/>
          </w:rPr>
        </w:r>
        <w:r w:rsidR="009465E7">
          <w:rPr>
            <w:noProof/>
            <w:webHidden/>
          </w:rPr>
          <w:fldChar w:fldCharType="separate"/>
        </w:r>
        <w:r w:rsidR="009465E7">
          <w:rPr>
            <w:noProof/>
            <w:webHidden/>
          </w:rPr>
          <w:t>42</w:t>
        </w:r>
        <w:r w:rsidR="009465E7">
          <w:rPr>
            <w:noProof/>
            <w:webHidden/>
          </w:rPr>
          <w:fldChar w:fldCharType="end"/>
        </w:r>
      </w:hyperlink>
    </w:p>
    <w:p w14:paraId="249055E6" w14:textId="77777777" w:rsidR="009465E7" w:rsidRDefault="009465E7" w:rsidP="009465E7"/>
    <w:p w14:paraId="00154B11" w14:textId="31510081" w:rsidR="00A861A9" w:rsidRPr="009465E7" w:rsidRDefault="009465E7" w:rsidP="009465E7">
      <w:pPr>
        <w:pStyle w:val="Nadpis3"/>
        <w:numPr>
          <w:ilvl w:val="0"/>
          <w:numId w:val="0"/>
        </w:numPr>
        <w:ind w:left="720" w:hanging="720"/>
      </w:pPr>
      <w:r>
        <w:lastRenderedPageBreak/>
        <w:fldChar w:fldCharType="end"/>
      </w:r>
      <w:bookmarkStart w:id="180" w:name="_Toc72999596"/>
      <w:bookmarkStart w:id="181" w:name="_Toc73613652"/>
      <w:r w:rsidR="00E91C8F" w:rsidRPr="009465E7">
        <w:t xml:space="preserve">Příloha č. 2: </w:t>
      </w:r>
      <w:r w:rsidR="00A861A9" w:rsidRPr="009465E7">
        <w:t>Obecná ustanovení</w:t>
      </w:r>
      <w:bookmarkEnd w:id="180"/>
      <w:bookmarkEnd w:id="181"/>
    </w:p>
    <w:p w14:paraId="0FB5D6DD" w14:textId="19B33CC6" w:rsidR="009465E7" w:rsidRDefault="009465E7" w:rsidP="009465E7">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4E008B0A" w14:textId="77777777" w:rsidR="009465E7" w:rsidRDefault="009C0B64" w:rsidP="009465E7">
      <w:pPr>
        <w:pStyle w:val="Obsah3"/>
        <w:tabs>
          <w:tab w:val="left" w:pos="1200"/>
          <w:tab w:val="right" w:leader="dot" w:pos="9062"/>
        </w:tabs>
        <w:rPr>
          <w:rFonts w:asciiTheme="minorHAnsi" w:eastAsiaTheme="minorEastAsia" w:hAnsiTheme="minorHAnsi"/>
          <w:noProof/>
          <w:sz w:val="22"/>
          <w:lang w:eastAsia="cs-CZ"/>
        </w:rPr>
      </w:pPr>
      <w:hyperlink w:anchor="_Toc73604700" w:history="1">
        <w:r w:rsidR="009465E7" w:rsidRPr="00270FD2">
          <w:rPr>
            <w:rStyle w:val="Hypertextovodkaz"/>
            <w:noProof/>
          </w:rPr>
          <w:t>1.1</w:t>
        </w:r>
        <w:r w:rsidR="009465E7">
          <w:rPr>
            <w:rFonts w:asciiTheme="minorHAnsi" w:eastAsiaTheme="minorEastAsia" w:hAnsiTheme="minorHAnsi"/>
            <w:noProof/>
            <w:sz w:val="22"/>
            <w:lang w:eastAsia="cs-CZ"/>
          </w:rPr>
          <w:tab/>
        </w:r>
        <w:r w:rsidR="009465E7" w:rsidRPr="00270FD2">
          <w:rPr>
            <w:rStyle w:val="Hypertextovodkaz"/>
            <w:noProof/>
          </w:rPr>
          <w:t>Konkrétní popis regulace obsažené v zákoně o loteriích</w:t>
        </w:r>
        <w:r w:rsidR="009465E7">
          <w:rPr>
            <w:noProof/>
            <w:webHidden/>
          </w:rPr>
          <w:tab/>
        </w:r>
        <w:r w:rsidR="009465E7">
          <w:rPr>
            <w:noProof/>
            <w:webHidden/>
          </w:rPr>
          <w:fldChar w:fldCharType="begin"/>
        </w:r>
        <w:r w:rsidR="009465E7">
          <w:rPr>
            <w:noProof/>
            <w:webHidden/>
          </w:rPr>
          <w:instrText xml:space="preserve"> PAGEREF _Toc73604700 \h </w:instrText>
        </w:r>
        <w:r w:rsidR="009465E7">
          <w:rPr>
            <w:noProof/>
            <w:webHidden/>
          </w:rPr>
        </w:r>
        <w:r w:rsidR="009465E7">
          <w:rPr>
            <w:noProof/>
            <w:webHidden/>
          </w:rPr>
          <w:fldChar w:fldCharType="separate"/>
        </w:r>
        <w:r w:rsidR="009465E7">
          <w:rPr>
            <w:noProof/>
            <w:webHidden/>
          </w:rPr>
          <w:t>1</w:t>
        </w:r>
        <w:r w:rsidR="009465E7">
          <w:rPr>
            <w:noProof/>
            <w:webHidden/>
          </w:rPr>
          <w:fldChar w:fldCharType="end"/>
        </w:r>
      </w:hyperlink>
    </w:p>
    <w:p w14:paraId="05E2E5AA" w14:textId="77777777" w:rsidR="009465E7" w:rsidRDefault="009C0B64" w:rsidP="009465E7">
      <w:pPr>
        <w:pStyle w:val="Obsah3"/>
        <w:tabs>
          <w:tab w:val="left" w:pos="1200"/>
          <w:tab w:val="right" w:leader="dot" w:pos="9062"/>
        </w:tabs>
        <w:rPr>
          <w:rFonts w:asciiTheme="minorHAnsi" w:eastAsiaTheme="minorEastAsia" w:hAnsiTheme="minorHAnsi"/>
          <w:noProof/>
          <w:sz w:val="22"/>
          <w:lang w:eastAsia="cs-CZ"/>
        </w:rPr>
      </w:pPr>
      <w:hyperlink w:anchor="_Toc73604701" w:history="1">
        <w:r w:rsidR="009465E7" w:rsidRPr="00270FD2">
          <w:rPr>
            <w:rStyle w:val="Hypertextovodkaz"/>
            <w:noProof/>
          </w:rPr>
          <w:t>1.2</w:t>
        </w:r>
        <w:r w:rsidR="009465E7">
          <w:rPr>
            <w:rFonts w:asciiTheme="minorHAnsi" w:eastAsiaTheme="minorEastAsia" w:hAnsiTheme="minorHAnsi"/>
            <w:noProof/>
            <w:sz w:val="22"/>
            <w:lang w:eastAsia="cs-CZ"/>
          </w:rPr>
          <w:tab/>
        </w:r>
        <w:r w:rsidR="009465E7" w:rsidRPr="00270FD2">
          <w:rPr>
            <w:rStyle w:val="Hypertextovodkaz"/>
            <w:noProof/>
          </w:rPr>
          <w:t>Konkrétní popis regulace obsažené v zákoně o hazardních hrách</w:t>
        </w:r>
        <w:r w:rsidR="009465E7">
          <w:rPr>
            <w:noProof/>
            <w:webHidden/>
          </w:rPr>
          <w:tab/>
        </w:r>
        <w:r w:rsidR="009465E7">
          <w:rPr>
            <w:noProof/>
            <w:webHidden/>
          </w:rPr>
          <w:fldChar w:fldCharType="begin"/>
        </w:r>
        <w:r w:rsidR="009465E7">
          <w:rPr>
            <w:noProof/>
            <w:webHidden/>
          </w:rPr>
          <w:instrText xml:space="preserve"> PAGEREF _Toc73604701 \h </w:instrText>
        </w:r>
        <w:r w:rsidR="009465E7">
          <w:rPr>
            <w:noProof/>
            <w:webHidden/>
          </w:rPr>
        </w:r>
        <w:r w:rsidR="009465E7">
          <w:rPr>
            <w:noProof/>
            <w:webHidden/>
          </w:rPr>
          <w:fldChar w:fldCharType="separate"/>
        </w:r>
        <w:r w:rsidR="009465E7">
          <w:rPr>
            <w:noProof/>
            <w:webHidden/>
          </w:rPr>
          <w:t>1</w:t>
        </w:r>
        <w:r w:rsidR="009465E7">
          <w:rPr>
            <w:noProof/>
            <w:webHidden/>
          </w:rPr>
          <w:fldChar w:fldCharType="end"/>
        </w:r>
      </w:hyperlink>
    </w:p>
    <w:p w14:paraId="6C9154DD"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2" w:history="1">
        <w:r w:rsidR="009465E7" w:rsidRPr="00270FD2">
          <w:rPr>
            <w:rStyle w:val="Hypertextovodkaz"/>
            <w:noProof/>
          </w:rPr>
          <w:t>i.</w:t>
        </w:r>
        <w:r w:rsidR="009465E7">
          <w:rPr>
            <w:rFonts w:asciiTheme="minorHAnsi" w:eastAsiaTheme="minorEastAsia" w:hAnsiTheme="minorHAnsi"/>
            <w:noProof/>
            <w:sz w:val="22"/>
            <w:lang w:eastAsia="cs-CZ"/>
          </w:rPr>
          <w:tab/>
        </w:r>
        <w:r w:rsidR="009465E7" w:rsidRPr="00270FD2">
          <w:rPr>
            <w:rStyle w:val="Hypertextovodkaz"/>
            <w:noProof/>
          </w:rPr>
          <w:t>Účastník hazardní hry, sázející</w:t>
        </w:r>
        <w:r w:rsidR="009465E7">
          <w:rPr>
            <w:noProof/>
            <w:webHidden/>
          </w:rPr>
          <w:tab/>
        </w:r>
        <w:r w:rsidR="009465E7">
          <w:rPr>
            <w:noProof/>
            <w:webHidden/>
          </w:rPr>
          <w:fldChar w:fldCharType="begin"/>
        </w:r>
        <w:r w:rsidR="009465E7">
          <w:rPr>
            <w:noProof/>
            <w:webHidden/>
          </w:rPr>
          <w:instrText xml:space="preserve"> PAGEREF _Toc73604702 \h </w:instrText>
        </w:r>
        <w:r w:rsidR="009465E7">
          <w:rPr>
            <w:noProof/>
            <w:webHidden/>
          </w:rPr>
        </w:r>
        <w:r w:rsidR="009465E7">
          <w:rPr>
            <w:noProof/>
            <w:webHidden/>
          </w:rPr>
          <w:fldChar w:fldCharType="separate"/>
        </w:r>
        <w:r w:rsidR="009465E7">
          <w:rPr>
            <w:noProof/>
            <w:webHidden/>
          </w:rPr>
          <w:t>2</w:t>
        </w:r>
        <w:r w:rsidR="009465E7">
          <w:rPr>
            <w:noProof/>
            <w:webHidden/>
          </w:rPr>
          <w:fldChar w:fldCharType="end"/>
        </w:r>
      </w:hyperlink>
    </w:p>
    <w:p w14:paraId="1E71A5A3"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3" w:history="1">
        <w:r w:rsidR="009465E7" w:rsidRPr="00270FD2">
          <w:rPr>
            <w:rStyle w:val="Hypertextovodkaz"/>
            <w:noProof/>
          </w:rPr>
          <w:t>ii.</w:t>
        </w:r>
        <w:r w:rsidR="009465E7">
          <w:rPr>
            <w:rFonts w:asciiTheme="minorHAnsi" w:eastAsiaTheme="minorEastAsia" w:hAnsiTheme="minorHAnsi"/>
            <w:noProof/>
            <w:sz w:val="22"/>
            <w:lang w:eastAsia="cs-CZ"/>
          </w:rPr>
          <w:tab/>
        </w:r>
        <w:r w:rsidR="009465E7" w:rsidRPr="00270FD2">
          <w:rPr>
            <w:rStyle w:val="Hypertextovodkaz"/>
            <w:noProof/>
          </w:rPr>
          <w:t>Vklad a sázka</w:t>
        </w:r>
        <w:r w:rsidR="009465E7">
          <w:rPr>
            <w:noProof/>
            <w:webHidden/>
          </w:rPr>
          <w:tab/>
        </w:r>
        <w:r w:rsidR="009465E7">
          <w:rPr>
            <w:noProof/>
            <w:webHidden/>
          </w:rPr>
          <w:fldChar w:fldCharType="begin"/>
        </w:r>
        <w:r w:rsidR="009465E7">
          <w:rPr>
            <w:noProof/>
            <w:webHidden/>
          </w:rPr>
          <w:instrText xml:space="preserve"> PAGEREF _Toc73604703 \h </w:instrText>
        </w:r>
        <w:r w:rsidR="009465E7">
          <w:rPr>
            <w:noProof/>
            <w:webHidden/>
          </w:rPr>
        </w:r>
        <w:r w:rsidR="009465E7">
          <w:rPr>
            <w:noProof/>
            <w:webHidden/>
          </w:rPr>
          <w:fldChar w:fldCharType="separate"/>
        </w:r>
        <w:r w:rsidR="009465E7">
          <w:rPr>
            <w:noProof/>
            <w:webHidden/>
          </w:rPr>
          <w:t>3</w:t>
        </w:r>
        <w:r w:rsidR="009465E7">
          <w:rPr>
            <w:noProof/>
            <w:webHidden/>
          </w:rPr>
          <w:fldChar w:fldCharType="end"/>
        </w:r>
      </w:hyperlink>
    </w:p>
    <w:p w14:paraId="08EC21BB"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4" w:history="1">
        <w:r w:rsidR="009465E7" w:rsidRPr="00270FD2">
          <w:rPr>
            <w:rStyle w:val="Hypertextovodkaz"/>
            <w:noProof/>
          </w:rPr>
          <w:t>iii.</w:t>
        </w:r>
        <w:r w:rsidR="009465E7">
          <w:rPr>
            <w:rFonts w:asciiTheme="minorHAnsi" w:eastAsiaTheme="minorEastAsia" w:hAnsiTheme="minorHAnsi"/>
            <w:noProof/>
            <w:sz w:val="22"/>
            <w:lang w:eastAsia="cs-CZ"/>
          </w:rPr>
          <w:tab/>
        </w:r>
        <w:r w:rsidR="009465E7" w:rsidRPr="00270FD2">
          <w:rPr>
            <w:rStyle w:val="Hypertextovodkaz"/>
            <w:noProof/>
          </w:rPr>
          <w:t>Provozování hazardní hry a provozovatel</w:t>
        </w:r>
        <w:r w:rsidR="009465E7">
          <w:rPr>
            <w:noProof/>
            <w:webHidden/>
          </w:rPr>
          <w:tab/>
        </w:r>
        <w:r w:rsidR="009465E7">
          <w:rPr>
            <w:noProof/>
            <w:webHidden/>
          </w:rPr>
          <w:fldChar w:fldCharType="begin"/>
        </w:r>
        <w:r w:rsidR="009465E7">
          <w:rPr>
            <w:noProof/>
            <w:webHidden/>
          </w:rPr>
          <w:instrText xml:space="preserve"> PAGEREF _Toc73604704 \h </w:instrText>
        </w:r>
        <w:r w:rsidR="009465E7">
          <w:rPr>
            <w:noProof/>
            <w:webHidden/>
          </w:rPr>
        </w:r>
        <w:r w:rsidR="009465E7">
          <w:rPr>
            <w:noProof/>
            <w:webHidden/>
          </w:rPr>
          <w:fldChar w:fldCharType="separate"/>
        </w:r>
        <w:r w:rsidR="009465E7">
          <w:rPr>
            <w:noProof/>
            <w:webHidden/>
          </w:rPr>
          <w:t>4</w:t>
        </w:r>
        <w:r w:rsidR="009465E7">
          <w:rPr>
            <w:noProof/>
            <w:webHidden/>
          </w:rPr>
          <w:fldChar w:fldCharType="end"/>
        </w:r>
      </w:hyperlink>
    </w:p>
    <w:p w14:paraId="65D6A94B"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5" w:history="1">
        <w:r w:rsidR="009465E7" w:rsidRPr="00270FD2">
          <w:rPr>
            <w:rStyle w:val="Hypertextovodkaz"/>
            <w:noProof/>
          </w:rPr>
          <w:t>iv.</w:t>
        </w:r>
        <w:r w:rsidR="009465E7">
          <w:rPr>
            <w:rFonts w:asciiTheme="minorHAnsi" w:eastAsiaTheme="minorEastAsia" w:hAnsiTheme="minorHAnsi"/>
            <w:noProof/>
            <w:sz w:val="22"/>
            <w:lang w:eastAsia="cs-CZ"/>
          </w:rPr>
          <w:tab/>
        </w:r>
        <w:r w:rsidR="009465E7" w:rsidRPr="00270FD2">
          <w:rPr>
            <w:rStyle w:val="Hypertextovodkaz"/>
            <w:noProof/>
          </w:rPr>
          <w:t>Výhra</w:t>
        </w:r>
        <w:r w:rsidR="009465E7">
          <w:rPr>
            <w:noProof/>
            <w:webHidden/>
          </w:rPr>
          <w:tab/>
        </w:r>
        <w:r w:rsidR="009465E7">
          <w:rPr>
            <w:noProof/>
            <w:webHidden/>
          </w:rPr>
          <w:fldChar w:fldCharType="begin"/>
        </w:r>
        <w:r w:rsidR="009465E7">
          <w:rPr>
            <w:noProof/>
            <w:webHidden/>
          </w:rPr>
          <w:instrText xml:space="preserve"> PAGEREF _Toc73604705 \h </w:instrText>
        </w:r>
        <w:r w:rsidR="009465E7">
          <w:rPr>
            <w:noProof/>
            <w:webHidden/>
          </w:rPr>
        </w:r>
        <w:r w:rsidR="009465E7">
          <w:rPr>
            <w:noProof/>
            <w:webHidden/>
          </w:rPr>
          <w:fldChar w:fldCharType="separate"/>
        </w:r>
        <w:r w:rsidR="009465E7">
          <w:rPr>
            <w:noProof/>
            <w:webHidden/>
          </w:rPr>
          <w:t>5</w:t>
        </w:r>
        <w:r w:rsidR="009465E7">
          <w:rPr>
            <w:noProof/>
            <w:webHidden/>
          </w:rPr>
          <w:fldChar w:fldCharType="end"/>
        </w:r>
      </w:hyperlink>
    </w:p>
    <w:p w14:paraId="7729A272"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6" w:history="1">
        <w:r w:rsidR="009465E7" w:rsidRPr="00270FD2">
          <w:rPr>
            <w:rStyle w:val="Hypertextovodkaz"/>
            <w:noProof/>
          </w:rPr>
          <w:t>v.</w:t>
        </w:r>
        <w:r w:rsidR="009465E7">
          <w:rPr>
            <w:rFonts w:asciiTheme="minorHAnsi" w:eastAsiaTheme="minorEastAsia" w:hAnsiTheme="minorHAnsi"/>
            <w:noProof/>
            <w:sz w:val="22"/>
            <w:lang w:eastAsia="cs-CZ"/>
          </w:rPr>
          <w:tab/>
        </w:r>
        <w:r w:rsidR="009465E7" w:rsidRPr="00270FD2">
          <w:rPr>
            <w:rStyle w:val="Hypertextovodkaz"/>
            <w:noProof/>
          </w:rPr>
          <w:t>Prostory, ve kterých nelze provozovat hazardní hry</w:t>
        </w:r>
        <w:r w:rsidR="009465E7">
          <w:rPr>
            <w:noProof/>
            <w:webHidden/>
          </w:rPr>
          <w:tab/>
        </w:r>
        <w:r w:rsidR="009465E7">
          <w:rPr>
            <w:noProof/>
            <w:webHidden/>
          </w:rPr>
          <w:fldChar w:fldCharType="begin"/>
        </w:r>
        <w:r w:rsidR="009465E7">
          <w:rPr>
            <w:noProof/>
            <w:webHidden/>
          </w:rPr>
          <w:instrText xml:space="preserve"> PAGEREF _Toc73604706 \h </w:instrText>
        </w:r>
        <w:r w:rsidR="009465E7">
          <w:rPr>
            <w:noProof/>
            <w:webHidden/>
          </w:rPr>
        </w:r>
        <w:r w:rsidR="009465E7">
          <w:rPr>
            <w:noProof/>
            <w:webHidden/>
          </w:rPr>
          <w:fldChar w:fldCharType="separate"/>
        </w:r>
        <w:r w:rsidR="009465E7">
          <w:rPr>
            <w:noProof/>
            <w:webHidden/>
          </w:rPr>
          <w:t>6</w:t>
        </w:r>
        <w:r w:rsidR="009465E7">
          <w:rPr>
            <w:noProof/>
            <w:webHidden/>
          </w:rPr>
          <w:fldChar w:fldCharType="end"/>
        </w:r>
      </w:hyperlink>
    </w:p>
    <w:p w14:paraId="1349E774"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7" w:history="1">
        <w:r w:rsidR="009465E7" w:rsidRPr="00270FD2">
          <w:rPr>
            <w:rStyle w:val="Hypertextovodkaz"/>
            <w:noProof/>
          </w:rPr>
          <w:t>vi.</w:t>
        </w:r>
        <w:r w:rsidR="009465E7">
          <w:rPr>
            <w:rFonts w:asciiTheme="minorHAnsi" w:eastAsiaTheme="minorEastAsia" w:hAnsiTheme="minorHAnsi"/>
            <w:noProof/>
            <w:sz w:val="22"/>
            <w:lang w:eastAsia="cs-CZ"/>
          </w:rPr>
          <w:tab/>
        </w:r>
        <w:r w:rsidR="009465E7" w:rsidRPr="00270FD2">
          <w:rPr>
            <w:rStyle w:val="Hypertextovodkaz"/>
            <w:noProof/>
          </w:rPr>
          <w:t>Cílení</w:t>
        </w:r>
        <w:r w:rsidR="009465E7">
          <w:rPr>
            <w:noProof/>
            <w:webHidden/>
          </w:rPr>
          <w:tab/>
        </w:r>
        <w:r w:rsidR="009465E7">
          <w:rPr>
            <w:noProof/>
            <w:webHidden/>
          </w:rPr>
          <w:fldChar w:fldCharType="begin"/>
        </w:r>
        <w:r w:rsidR="009465E7">
          <w:rPr>
            <w:noProof/>
            <w:webHidden/>
          </w:rPr>
          <w:instrText xml:space="preserve"> PAGEREF _Toc73604707 \h </w:instrText>
        </w:r>
        <w:r w:rsidR="009465E7">
          <w:rPr>
            <w:noProof/>
            <w:webHidden/>
          </w:rPr>
        </w:r>
        <w:r w:rsidR="009465E7">
          <w:rPr>
            <w:noProof/>
            <w:webHidden/>
          </w:rPr>
          <w:fldChar w:fldCharType="separate"/>
        </w:r>
        <w:r w:rsidR="009465E7">
          <w:rPr>
            <w:noProof/>
            <w:webHidden/>
          </w:rPr>
          <w:t>7</w:t>
        </w:r>
        <w:r w:rsidR="009465E7">
          <w:rPr>
            <w:noProof/>
            <w:webHidden/>
          </w:rPr>
          <w:fldChar w:fldCharType="end"/>
        </w:r>
      </w:hyperlink>
    </w:p>
    <w:p w14:paraId="15410052" w14:textId="77777777" w:rsidR="009465E7" w:rsidRDefault="009C0B64" w:rsidP="009465E7">
      <w:pPr>
        <w:pStyle w:val="Obsah3"/>
        <w:tabs>
          <w:tab w:val="left" w:pos="1200"/>
          <w:tab w:val="right" w:leader="dot" w:pos="9062"/>
        </w:tabs>
        <w:rPr>
          <w:rFonts w:asciiTheme="minorHAnsi" w:eastAsiaTheme="minorEastAsia" w:hAnsiTheme="minorHAnsi"/>
          <w:noProof/>
          <w:sz w:val="22"/>
          <w:lang w:eastAsia="cs-CZ"/>
        </w:rPr>
      </w:pPr>
      <w:hyperlink w:anchor="_Toc73604708" w:history="1">
        <w:r w:rsidR="009465E7" w:rsidRPr="00270FD2">
          <w:rPr>
            <w:rStyle w:val="Hypertextovodkaz"/>
            <w:noProof/>
          </w:rPr>
          <w:t>1.3</w:t>
        </w:r>
        <w:r w:rsidR="009465E7">
          <w:rPr>
            <w:rFonts w:asciiTheme="minorHAnsi" w:eastAsiaTheme="minorEastAsia" w:hAnsiTheme="minorHAnsi"/>
            <w:noProof/>
            <w:sz w:val="22"/>
            <w:lang w:eastAsia="cs-CZ"/>
          </w:rPr>
          <w:tab/>
        </w:r>
        <w:r w:rsidR="009465E7" w:rsidRPr="00270FD2">
          <w:rPr>
            <w:rStyle w:val="Hypertextovodkaz"/>
            <w:noProof/>
          </w:rPr>
          <w:t>Konkrétní popis nástrojů, včetně oblastí, na které by bylo vhodné se v budoucnu zaměřit, a návrh doporučení či možných variant řešení</w:t>
        </w:r>
        <w:r w:rsidR="009465E7">
          <w:rPr>
            <w:noProof/>
            <w:webHidden/>
          </w:rPr>
          <w:tab/>
        </w:r>
        <w:r w:rsidR="009465E7">
          <w:rPr>
            <w:noProof/>
            <w:webHidden/>
          </w:rPr>
          <w:fldChar w:fldCharType="begin"/>
        </w:r>
        <w:r w:rsidR="009465E7">
          <w:rPr>
            <w:noProof/>
            <w:webHidden/>
          </w:rPr>
          <w:instrText xml:space="preserve"> PAGEREF _Toc73604708 \h </w:instrText>
        </w:r>
        <w:r w:rsidR="009465E7">
          <w:rPr>
            <w:noProof/>
            <w:webHidden/>
          </w:rPr>
        </w:r>
        <w:r w:rsidR="009465E7">
          <w:rPr>
            <w:noProof/>
            <w:webHidden/>
          </w:rPr>
          <w:fldChar w:fldCharType="separate"/>
        </w:r>
        <w:r w:rsidR="009465E7">
          <w:rPr>
            <w:noProof/>
            <w:webHidden/>
          </w:rPr>
          <w:t>9</w:t>
        </w:r>
        <w:r w:rsidR="009465E7">
          <w:rPr>
            <w:noProof/>
            <w:webHidden/>
          </w:rPr>
          <w:fldChar w:fldCharType="end"/>
        </w:r>
      </w:hyperlink>
    </w:p>
    <w:p w14:paraId="79B5FF96"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09" w:history="1">
        <w:r w:rsidR="009465E7" w:rsidRPr="00270FD2">
          <w:rPr>
            <w:rStyle w:val="Hypertextovodkaz"/>
            <w:noProof/>
          </w:rPr>
          <w:t>i.</w:t>
        </w:r>
        <w:r w:rsidR="009465E7">
          <w:rPr>
            <w:rFonts w:asciiTheme="minorHAnsi" w:eastAsiaTheme="minorEastAsia" w:hAnsiTheme="minorHAnsi"/>
            <w:noProof/>
            <w:sz w:val="22"/>
            <w:lang w:eastAsia="cs-CZ"/>
          </w:rPr>
          <w:tab/>
        </w:r>
        <w:r w:rsidR="009465E7" w:rsidRPr="00270FD2">
          <w:rPr>
            <w:rStyle w:val="Hypertextovodkaz"/>
            <w:noProof/>
          </w:rPr>
          <w:t>Definice cílení a zaměření se podle § 2 odst. 2 zákona o hazardních hrách</w:t>
        </w:r>
        <w:r w:rsidR="009465E7">
          <w:rPr>
            <w:noProof/>
            <w:webHidden/>
          </w:rPr>
          <w:tab/>
        </w:r>
        <w:r w:rsidR="009465E7">
          <w:rPr>
            <w:noProof/>
            <w:webHidden/>
          </w:rPr>
          <w:fldChar w:fldCharType="begin"/>
        </w:r>
        <w:r w:rsidR="009465E7">
          <w:rPr>
            <w:noProof/>
            <w:webHidden/>
          </w:rPr>
          <w:instrText xml:space="preserve"> PAGEREF _Toc73604709 \h </w:instrText>
        </w:r>
        <w:r w:rsidR="009465E7">
          <w:rPr>
            <w:noProof/>
            <w:webHidden/>
          </w:rPr>
        </w:r>
        <w:r w:rsidR="009465E7">
          <w:rPr>
            <w:noProof/>
            <w:webHidden/>
          </w:rPr>
          <w:fldChar w:fldCharType="separate"/>
        </w:r>
        <w:r w:rsidR="009465E7">
          <w:rPr>
            <w:noProof/>
            <w:webHidden/>
          </w:rPr>
          <w:t>9</w:t>
        </w:r>
        <w:r w:rsidR="009465E7">
          <w:rPr>
            <w:noProof/>
            <w:webHidden/>
          </w:rPr>
          <w:fldChar w:fldCharType="end"/>
        </w:r>
      </w:hyperlink>
    </w:p>
    <w:p w14:paraId="561B075D"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0" w:history="1">
        <w:r w:rsidR="009465E7" w:rsidRPr="00270FD2">
          <w:rPr>
            <w:rStyle w:val="Hypertextovodkaz"/>
            <w:noProof/>
          </w:rPr>
          <w:t>ii.</w:t>
        </w:r>
        <w:r w:rsidR="009465E7">
          <w:rPr>
            <w:rFonts w:asciiTheme="minorHAnsi" w:eastAsiaTheme="minorEastAsia" w:hAnsiTheme="minorHAnsi"/>
            <w:noProof/>
            <w:sz w:val="22"/>
            <w:lang w:eastAsia="cs-CZ"/>
          </w:rPr>
          <w:tab/>
        </w:r>
        <w:r w:rsidR="009465E7" w:rsidRPr="00270FD2">
          <w:rPr>
            <w:rStyle w:val="Hypertextovodkaz"/>
            <w:noProof/>
          </w:rPr>
          <w:t>Sázka vs. předplatné vs. trvalý příkaz</w:t>
        </w:r>
        <w:r w:rsidR="009465E7">
          <w:rPr>
            <w:noProof/>
            <w:webHidden/>
          </w:rPr>
          <w:tab/>
        </w:r>
        <w:r w:rsidR="009465E7">
          <w:rPr>
            <w:noProof/>
            <w:webHidden/>
          </w:rPr>
          <w:fldChar w:fldCharType="begin"/>
        </w:r>
        <w:r w:rsidR="009465E7">
          <w:rPr>
            <w:noProof/>
            <w:webHidden/>
          </w:rPr>
          <w:instrText xml:space="preserve"> PAGEREF _Toc73604710 \h </w:instrText>
        </w:r>
        <w:r w:rsidR="009465E7">
          <w:rPr>
            <w:noProof/>
            <w:webHidden/>
          </w:rPr>
        </w:r>
        <w:r w:rsidR="009465E7">
          <w:rPr>
            <w:noProof/>
            <w:webHidden/>
          </w:rPr>
          <w:fldChar w:fldCharType="separate"/>
        </w:r>
        <w:r w:rsidR="009465E7">
          <w:rPr>
            <w:noProof/>
            <w:webHidden/>
          </w:rPr>
          <w:t>13</w:t>
        </w:r>
        <w:r w:rsidR="009465E7">
          <w:rPr>
            <w:noProof/>
            <w:webHidden/>
          </w:rPr>
          <w:fldChar w:fldCharType="end"/>
        </w:r>
      </w:hyperlink>
    </w:p>
    <w:p w14:paraId="65F66DF3"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1" w:history="1">
        <w:r w:rsidR="009465E7" w:rsidRPr="00270FD2">
          <w:rPr>
            <w:rStyle w:val="Hypertextovodkaz"/>
            <w:noProof/>
          </w:rPr>
          <w:t>iii.</w:t>
        </w:r>
        <w:r w:rsidR="009465E7">
          <w:rPr>
            <w:rFonts w:asciiTheme="minorHAnsi" w:eastAsiaTheme="minorEastAsia" w:hAnsiTheme="minorHAnsi"/>
            <w:noProof/>
            <w:sz w:val="22"/>
            <w:lang w:eastAsia="cs-CZ"/>
          </w:rPr>
          <w:tab/>
        </w:r>
        <w:r w:rsidR="009465E7" w:rsidRPr="00270FD2">
          <w:rPr>
            <w:rStyle w:val="Hypertextovodkaz"/>
            <w:noProof/>
          </w:rPr>
          <w:t>Provozování charitativní hazardní hry</w:t>
        </w:r>
        <w:r w:rsidR="009465E7">
          <w:rPr>
            <w:noProof/>
            <w:webHidden/>
          </w:rPr>
          <w:tab/>
        </w:r>
        <w:r w:rsidR="009465E7">
          <w:rPr>
            <w:noProof/>
            <w:webHidden/>
          </w:rPr>
          <w:fldChar w:fldCharType="begin"/>
        </w:r>
        <w:r w:rsidR="009465E7">
          <w:rPr>
            <w:noProof/>
            <w:webHidden/>
          </w:rPr>
          <w:instrText xml:space="preserve"> PAGEREF _Toc73604711 \h </w:instrText>
        </w:r>
        <w:r w:rsidR="009465E7">
          <w:rPr>
            <w:noProof/>
            <w:webHidden/>
          </w:rPr>
        </w:r>
        <w:r w:rsidR="009465E7">
          <w:rPr>
            <w:noProof/>
            <w:webHidden/>
          </w:rPr>
          <w:fldChar w:fldCharType="separate"/>
        </w:r>
        <w:r w:rsidR="009465E7">
          <w:rPr>
            <w:noProof/>
            <w:webHidden/>
          </w:rPr>
          <w:t>15</w:t>
        </w:r>
        <w:r w:rsidR="009465E7">
          <w:rPr>
            <w:noProof/>
            <w:webHidden/>
          </w:rPr>
          <w:fldChar w:fldCharType="end"/>
        </w:r>
      </w:hyperlink>
    </w:p>
    <w:p w14:paraId="39E4E416"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2" w:history="1">
        <w:r w:rsidR="009465E7" w:rsidRPr="00270FD2">
          <w:rPr>
            <w:rStyle w:val="Hypertextovodkaz"/>
            <w:noProof/>
          </w:rPr>
          <w:t>iv.</w:t>
        </w:r>
        <w:r w:rsidR="009465E7">
          <w:rPr>
            <w:rFonts w:asciiTheme="minorHAnsi" w:eastAsiaTheme="minorEastAsia" w:hAnsiTheme="minorHAnsi"/>
            <w:noProof/>
            <w:sz w:val="22"/>
            <w:lang w:eastAsia="cs-CZ"/>
          </w:rPr>
          <w:tab/>
        </w:r>
        <w:r w:rsidR="009465E7" w:rsidRPr="00270FD2">
          <w:rPr>
            <w:rStyle w:val="Hypertextovodkaz"/>
            <w:noProof/>
          </w:rPr>
          <w:t>Uplatňování výhry u kursové sázky a ostatních hazardních her s uživatelským kontem</w:t>
        </w:r>
        <w:r w:rsidR="009465E7">
          <w:rPr>
            <w:noProof/>
            <w:webHidden/>
          </w:rPr>
          <w:tab/>
        </w:r>
        <w:r w:rsidR="009465E7">
          <w:rPr>
            <w:noProof/>
            <w:webHidden/>
          </w:rPr>
          <w:fldChar w:fldCharType="begin"/>
        </w:r>
        <w:r w:rsidR="009465E7">
          <w:rPr>
            <w:noProof/>
            <w:webHidden/>
          </w:rPr>
          <w:instrText xml:space="preserve"> PAGEREF _Toc73604712 \h </w:instrText>
        </w:r>
        <w:r w:rsidR="009465E7">
          <w:rPr>
            <w:noProof/>
            <w:webHidden/>
          </w:rPr>
        </w:r>
        <w:r w:rsidR="009465E7">
          <w:rPr>
            <w:noProof/>
            <w:webHidden/>
          </w:rPr>
          <w:fldChar w:fldCharType="separate"/>
        </w:r>
        <w:r w:rsidR="009465E7">
          <w:rPr>
            <w:noProof/>
            <w:webHidden/>
          </w:rPr>
          <w:t>16</w:t>
        </w:r>
        <w:r w:rsidR="009465E7">
          <w:rPr>
            <w:noProof/>
            <w:webHidden/>
          </w:rPr>
          <w:fldChar w:fldCharType="end"/>
        </w:r>
      </w:hyperlink>
    </w:p>
    <w:p w14:paraId="1D0EED8C"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3" w:history="1">
        <w:r w:rsidR="009465E7" w:rsidRPr="00270FD2">
          <w:rPr>
            <w:rStyle w:val="Hypertextovodkaz"/>
            <w:noProof/>
          </w:rPr>
          <w:t>v.</w:t>
        </w:r>
        <w:r w:rsidR="009465E7">
          <w:rPr>
            <w:rFonts w:asciiTheme="minorHAnsi" w:eastAsiaTheme="minorEastAsia" w:hAnsiTheme="minorHAnsi"/>
            <w:noProof/>
            <w:sz w:val="22"/>
            <w:lang w:eastAsia="cs-CZ"/>
          </w:rPr>
          <w:tab/>
        </w:r>
        <w:r w:rsidR="009465E7" w:rsidRPr="00270FD2">
          <w:rPr>
            <w:rStyle w:val="Hypertextovodkaz"/>
            <w:noProof/>
          </w:rPr>
          <w:t>Dlouhodobé výplaty, renty</w:t>
        </w:r>
        <w:r w:rsidR="009465E7">
          <w:rPr>
            <w:noProof/>
            <w:webHidden/>
          </w:rPr>
          <w:tab/>
        </w:r>
        <w:r w:rsidR="009465E7">
          <w:rPr>
            <w:noProof/>
            <w:webHidden/>
          </w:rPr>
          <w:fldChar w:fldCharType="begin"/>
        </w:r>
        <w:r w:rsidR="009465E7">
          <w:rPr>
            <w:noProof/>
            <w:webHidden/>
          </w:rPr>
          <w:instrText xml:space="preserve"> PAGEREF _Toc73604713 \h </w:instrText>
        </w:r>
        <w:r w:rsidR="009465E7">
          <w:rPr>
            <w:noProof/>
            <w:webHidden/>
          </w:rPr>
        </w:r>
        <w:r w:rsidR="009465E7">
          <w:rPr>
            <w:noProof/>
            <w:webHidden/>
          </w:rPr>
          <w:fldChar w:fldCharType="separate"/>
        </w:r>
        <w:r w:rsidR="009465E7">
          <w:rPr>
            <w:noProof/>
            <w:webHidden/>
          </w:rPr>
          <w:t>17</w:t>
        </w:r>
        <w:r w:rsidR="009465E7">
          <w:rPr>
            <w:noProof/>
            <w:webHidden/>
          </w:rPr>
          <w:fldChar w:fldCharType="end"/>
        </w:r>
      </w:hyperlink>
    </w:p>
    <w:p w14:paraId="60BBC742"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4" w:history="1">
        <w:r w:rsidR="009465E7" w:rsidRPr="00270FD2">
          <w:rPr>
            <w:rStyle w:val="Hypertextovodkaz"/>
            <w:noProof/>
          </w:rPr>
          <w:t>vi.</w:t>
        </w:r>
        <w:r w:rsidR="009465E7">
          <w:rPr>
            <w:rFonts w:asciiTheme="minorHAnsi" w:eastAsiaTheme="minorEastAsia" w:hAnsiTheme="minorHAnsi"/>
            <w:noProof/>
            <w:sz w:val="22"/>
            <w:lang w:eastAsia="cs-CZ"/>
          </w:rPr>
          <w:tab/>
        </w:r>
        <w:r w:rsidR="009465E7" w:rsidRPr="00270FD2">
          <w:rPr>
            <w:rStyle w:val="Hypertextovodkaz"/>
            <w:noProof/>
          </w:rPr>
          <w:t>Délka uplatnění nároku na výhru vs. vrácení kauce</w:t>
        </w:r>
        <w:r w:rsidR="009465E7">
          <w:rPr>
            <w:noProof/>
            <w:webHidden/>
          </w:rPr>
          <w:tab/>
        </w:r>
        <w:r w:rsidR="009465E7">
          <w:rPr>
            <w:noProof/>
            <w:webHidden/>
          </w:rPr>
          <w:fldChar w:fldCharType="begin"/>
        </w:r>
        <w:r w:rsidR="009465E7">
          <w:rPr>
            <w:noProof/>
            <w:webHidden/>
          </w:rPr>
          <w:instrText xml:space="preserve"> PAGEREF _Toc73604714 \h </w:instrText>
        </w:r>
        <w:r w:rsidR="009465E7">
          <w:rPr>
            <w:noProof/>
            <w:webHidden/>
          </w:rPr>
        </w:r>
        <w:r w:rsidR="009465E7">
          <w:rPr>
            <w:noProof/>
            <w:webHidden/>
          </w:rPr>
          <w:fldChar w:fldCharType="separate"/>
        </w:r>
        <w:r w:rsidR="009465E7">
          <w:rPr>
            <w:noProof/>
            <w:webHidden/>
          </w:rPr>
          <w:t>19</w:t>
        </w:r>
        <w:r w:rsidR="009465E7">
          <w:rPr>
            <w:noProof/>
            <w:webHidden/>
          </w:rPr>
          <w:fldChar w:fldCharType="end"/>
        </w:r>
      </w:hyperlink>
    </w:p>
    <w:p w14:paraId="1ED8200C"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5" w:history="1">
        <w:r w:rsidR="009465E7" w:rsidRPr="00270FD2">
          <w:rPr>
            <w:rStyle w:val="Hypertextovodkaz"/>
            <w:noProof/>
          </w:rPr>
          <w:t>vii.</w:t>
        </w:r>
        <w:r w:rsidR="009465E7">
          <w:rPr>
            <w:rFonts w:asciiTheme="minorHAnsi" w:eastAsiaTheme="minorEastAsia" w:hAnsiTheme="minorHAnsi"/>
            <w:noProof/>
            <w:sz w:val="22"/>
            <w:lang w:eastAsia="cs-CZ"/>
          </w:rPr>
          <w:tab/>
        </w:r>
        <w:r w:rsidR="009465E7" w:rsidRPr="00270FD2">
          <w:rPr>
            <w:rStyle w:val="Hypertextovodkaz"/>
            <w:noProof/>
          </w:rPr>
          <w:t>Lhůta pro vyplacení výhry na uživatelské konto vs. faktické vyplacení výhry bezhotovostně nebo v hotovosti</w:t>
        </w:r>
        <w:r w:rsidR="009465E7">
          <w:rPr>
            <w:noProof/>
            <w:webHidden/>
          </w:rPr>
          <w:tab/>
        </w:r>
        <w:r w:rsidR="009465E7">
          <w:rPr>
            <w:noProof/>
            <w:webHidden/>
          </w:rPr>
          <w:fldChar w:fldCharType="begin"/>
        </w:r>
        <w:r w:rsidR="009465E7">
          <w:rPr>
            <w:noProof/>
            <w:webHidden/>
          </w:rPr>
          <w:instrText xml:space="preserve"> PAGEREF _Toc73604715 \h </w:instrText>
        </w:r>
        <w:r w:rsidR="009465E7">
          <w:rPr>
            <w:noProof/>
            <w:webHidden/>
          </w:rPr>
        </w:r>
        <w:r w:rsidR="009465E7">
          <w:rPr>
            <w:noProof/>
            <w:webHidden/>
          </w:rPr>
          <w:fldChar w:fldCharType="separate"/>
        </w:r>
        <w:r w:rsidR="009465E7">
          <w:rPr>
            <w:noProof/>
            <w:webHidden/>
          </w:rPr>
          <w:t>21</w:t>
        </w:r>
        <w:r w:rsidR="009465E7">
          <w:rPr>
            <w:noProof/>
            <w:webHidden/>
          </w:rPr>
          <w:fldChar w:fldCharType="end"/>
        </w:r>
      </w:hyperlink>
    </w:p>
    <w:p w14:paraId="64522381" w14:textId="77777777" w:rsidR="009465E7" w:rsidRDefault="009C0B64" w:rsidP="009465E7">
      <w:pPr>
        <w:pStyle w:val="Obsah6"/>
        <w:tabs>
          <w:tab w:val="left" w:pos="1767"/>
          <w:tab w:val="right" w:leader="dot" w:pos="9062"/>
        </w:tabs>
        <w:rPr>
          <w:rFonts w:asciiTheme="minorHAnsi" w:eastAsiaTheme="minorEastAsia" w:hAnsiTheme="minorHAnsi"/>
          <w:noProof/>
          <w:sz w:val="22"/>
          <w:lang w:eastAsia="cs-CZ"/>
        </w:rPr>
      </w:pPr>
      <w:hyperlink w:anchor="_Toc73604716" w:history="1">
        <w:r w:rsidR="009465E7" w:rsidRPr="00270FD2">
          <w:rPr>
            <w:rStyle w:val="Hypertextovodkaz"/>
            <w:noProof/>
          </w:rPr>
          <w:t>viii.</w:t>
        </w:r>
        <w:r w:rsidR="009465E7">
          <w:rPr>
            <w:rFonts w:asciiTheme="minorHAnsi" w:eastAsiaTheme="minorEastAsia" w:hAnsiTheme="minorHAnsi"/>
            <w:noProof/>
            <w:sz w:val="22"/>
            <w:lang w:eastAsia="cs-CZ"/>
          </w:rPr>
          <w:tab/>
        </w:r>
        <w:r w:rsidR="009465E7" w:rsidRPr="00270FD2">
          <w:rPr>
            <w:rStyle w:val="Hypertextovodkaz"/>
            <w:noProof/>
          </w:rPr>
          <w:t>Lhůta pro vyplacení zůstatku nebo jeho části z uživatelského konta</w:t>
        </w:r>
        <w:r w:rsidR="009465E7">
          <w:rPr>
            <w:noProof/>
            <w:webHidden/>
          </w:rPr>
          <w:tab/>
        </w:r>
        <w:r w:rsidR="009465E7">
          <w:rPr>
            <w:noProof/>
            <w:webHidden/>
          </w:rPr>
          <w:fldChar w:fldCharType="begin"/>
        </w:r>
        <w:r w:rsidR="009465E7">
          <w:rPr>
            <w:noProof/>
            <w:webHidden/>
          </w:rPr>
          <w:instrText xml:space="preserve"> PAGEREF _Toc73604716 \h </w:instrText>
        </w:r>
        <w:r w:rsidR="009465E7">
          <w:rPr>
            <w:noProof/>
            <w:webHidden/>
          </w:rPr>
        </w:r>
        <w:r w:rsidR="009465E7">
          <w:rPr>
            <w:noProof/>
            <w:webHidden/>
          </w:rPr>
          <w:fldChar w:fldCharType="separate"/>
        </w:r>
        <w:r w:rsidR="009465E7">
          <w:rPr>
            <w:noProof/>
            <w:webHidden/>
          </w:rPr>
          <w:t>23</w:t>
        </w:r>
        <w:r w:rsidR="009465E7">
          <w:rPr>
            <w:noProof/>
            <w:webHidden/>
          </w:rPr>
          <w:fldChar w:fldCharType="end"/>
        </w:r>
      </w:hyperlink>
    </w:p>
    <w:p w14:paraId="3E290014"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7" w:history="1">
        <w:r w:rsidR="009465E7" w:rsidRPr="00270FD2">
          <w:rPr>
            <w:rStyle w:val="Hypertextovodkaz"/>
            <w:noProof/>
          </w:rPr>
          <w:t>ix.</w:t>
        </w:r>
        <w:r w:rsidR="009465E7">
          <w:rPr>
            <w:rFonts w:asciiTheme="minorHAnsi" w:eastAsiaTheme="minorEastAsia" w:hAnsiTheme="minorHAnsi"/>
            <w:noProof/>
            <w:sz w:val="22"/>
            <w:lang w:eastAsia="cs-CZ"/>
          </w:rPr>
          <w:tab/>
        </w:r>
        <w:r w:rsidR="009465E7" w:rsidRPr="00270FD2">
          <w:rPr>
            <w:rStyle w:val="Hypertextovodkaz"/>
            <w:noProof/>
          </w:rPr>
          <w:t>Chráněné budovy a sousedství</w:t>
        </w:r>
        <w:r w:rsidR="009465E7">
          <w:rPr>
            <w:noProof/>
            <w:webHidden/>
          </w:rPr>
          <w:tab/>
        </w:r>
        <w:r w:rsidR="009465E7">
          <w:rPr>
            <w:noProof/>
            <w:webHidden/>
          </w:rPr>
          <w:fldChar w:fldCharType="begin"/>
        </w:r>
        <w:r w:rsidR="009465E7">
          <w:rPr>
            <w:noProof/>
            <w:webHidden/>
          </w:rPr>
          <w:instrText xml:space="preserve"> PAGEREF _Toc73604717 \h </w:instrText>
        </w:r>
        <w:r w:rsidR="009465E7">
          <w:rPr>
            <w:noProof/>
            <w:webHidden/>
          </w:rPr>
        </w:r>
        <w:r w:rsidR="009465E7">
          <w:rPr>
            <w:noProof/>
            <w:webHidden/>
          </w:rPr>
          <w:fldChar w:fldCharType="separate"/>
        </w:r>
        <w:r w:rsidR="009465E7">
          <w:rPr>
            <w:noProof/>
            <w:webHidden/>
          </w:rPr>
          <w:t>24</w:t>
        </w:r>
        <w:r w:rsidR="009465E7">
          <w:rPr>
            <w:noProof/>
            <w:webHidden/>
          </w:rPr>
          <w:fldChar w:fldCharType="end"/>
        </w:r>
      </w:hyperlink>
    </w:p>
    <w:p w14:paraId="45F4CE8A"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8" w:history="1">
        <w:r w:rsidR="009465E7" w:rsidRPr="00270FD2">
          <w:rPr>
            <w:rStyle w:val="Hypertextovodkaz"/>
            <w:noProof/>
          </w:rPr>
          <w:t>x.</w:t>
        </w:r>
        <w:r w:rsidR="009465E7">
          <w:rPr>
            <w:rFonts w:asciiTheme="minorHAnsi" w:eastAsiaTheme="minorEastAsia" w:hAnsiTheme="minorHAnsi"/>
            <w:noProof/>
            <w:sz w:val="22"/>
            <w:lang w:eastAsia="cs-CZ"/>
          </w:rPr>
          <w:tab/>
        </w:r>
        <w:r w:rsidR="009465E7" w:rsidRPr="00270FD2">
          <w:rPr>
            <w:rStyle w:val="Hypertextovodkaz"/>
            <w:noProof/>
          </w:rPr>
          <w:t>Chráněné budovy a provozování tombol</w:t>
        </w:r>
        <w:r w:rsidR="009465E7">
          <w:rPr>
            <w:noProof/>
            <w:webHidden/>
          </w:rPr>
          <w:tab/>
        </w:r>
        <w:r w:rsidR="009465E7">
          <w:rPr>
            <w:noProof/>
            <w:webHidden/>
          </w:rPr>
          <w:fldChar w:fldCharType="begin"/>
        </w:r>
        <w:r w:rsidR="009465E7">
          <w:rPr>
            <w:noProof/>
            <w:webHidden/>
          </w:rPr>
          <w:instrText xml:space="preserve"> PAGEREF _Toc73604718 \h </w:instrText>
        </w:r>
        <w:r w:rsidR="009465E7">
          <w:rPr>
            <w:noProof/>
            <w:webHidden/>
          </w:rPr>
        </w:r>
        <w:r w:rsidR="009465E7">
          <w:rPr>
            <w:noProof/>
            <w:webHidden/>
          </w:rPr>
          <w:fldChar w:fldCharType="separate"/>
        </w:r>
        <w:r w:rsidR="009465E7">
          <w:rPr>
            <w:noProof/>
            <w:webHidden/>
          </w:rPr>
          <w:t>26</w:t>
        </w:r>
        <w:r w:rsidR="009465E7">
          <w:rPr>
            <w:noProof/>
            <w:webHidden/>
          </w:rPr>
          <w:fldChar w:fldCharType="end"/>
        </w:r>
      </w:hyperlink>
    </w:p>
    <w:p w14:paraId="5BA464B7"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19" w:history="1">
        <w:r w:rsidR="009465E7" w:rsidRPr="00270FD2">
          <w:rPr>
            <w:rStyle w:val="Hypertextovodkaz"/>
            <w:noProof/>
          </w:rPr>
          <w:t>xi.</w:t>
        </w:r>
        <w:r w:rsidR="009465E7">
          <w:rPr>
            <w:rFonts w:asciiTheme="minorHAnsi" w:eastAsiaTheme="minorEastAsia" w:hAnsiTheme="minorHAnsi"/>
            <w:noProof/>
            <w:sz w:val="22"/>
            <w:lang w:eastAsia="cs-CZ"/>
          </w:rPr>
          <w:tab/>
        </w:r>
        <w:r w:rsidR="009465E7" w:rsidRPr="00270FD2">
          <w:rPr>
            <w:rStyle w:val="Hypertextovodkaz"/>
            <w:noProof/>
          </w:rPr>
          <w:t>Definice číselné loterie vs. uhodnutí nevylosovaného čísla</w:t>
        </w:r>
        <w:r w:rsidR="009465E7">
          <w:rPr>
            <w:noProof/>
            <w:webHidden/>
          </w:rPr>
          <w:tab/>
        </w:r>
        <w:r w:rsidR="009465E7">
          <w:rPr>
            <w:noProof/>
            <w:webHidden/>
          </w:rPr>
          <w:fldChar w:fldCharType="begin"/>
        </w:r>
        <w:r w:rsidR="009465E7">
          <w:rPr>
            <w:noProof/>
            <w:webHidden/>
          </w:rPr>
          <w:instrText xml:space="preserve"> PAGEREF _Toc73604719 \h </w:instrText>
        </w:r>
        <w:r w:rsidR="009465E7">
          <w:rPr>
            <w:noProof/>
            <w:webHidden/>
          </w:rPr>
        </w:r>
        <w:r w:rsidR="009465E7">
          <w:rPr>
            <w:noProof/>
            <w:webHidden/>
          </w:rPr>
          <w:fldChar w:fldCharType="separate"/>
        </w:r>
        <w:r w:rsidR="009465E7">
          <w:rPr>
            <w:noProof/>
            <w:webHidden/>
          </w:rPr>
          <w:t>26</w:t>
        </w:r>
        <w:r w:rsidR="009465E7">
          <w:rPr>
            <w:noProof/>
            <w:webHidden/>
          </w:rPr>
          <w:fldChar w:fldCharType="end"/>
        </w:r>
      </w:hyperlink>
    </w:p>
    <w:p w14:paraId="4CB89F7D" w14:textId="77777777" w:rsidR="009465E7" w:rsidRDefault="009C0B64" w:rsidP="009465E7">
      <w:pPr>
        <w:pStyle w:val="Obsah6"/>
        <w:tabs>
          <w:tab w:val="left" w:pos="1760"/>
          <w:tab w:val="right" w:leader="dot" w:pos="9062"/>
        </w:tabs>
        <w:rPr>
          <w:rFonts w:asciiTheme="minorHAnsi" w:eastAsiaTheme="minorEastAsia" w:hAnsiTheme="minorHAnsi"/>
          <w:noProof/>
          <w:sz w:val="22"/>
          <w:lang w:eastAsia="cs-CZ"/>
        </w:rPr>
      </w:pPr>
      <w:hyperlink w:anchor="_Toc73604720" w:history="1">
        <w:r w:rsidR="009465E7" w:rsidRPr="00270FD2">
          <w:rPr>
            <w:rStyle w:val="Hypertextovodkaz"/>
            <w:noProof/>
          </w:rPr>
          <w:t>xii.</w:t>
        </w:r>
        <w:r w:rsidR="009465E7">
          <w:rPr>
            <w:rFonts w:asciiTheme="minorHAnsi" w:eastAsiaTheme="minorEastAsia" w:hAnsiTheme="minorHAnsi"/>
            <w:noProof/>
            <w:sz w:val="22"/>
            <w:lang w:eastAsia="cs-CZ"/>
          </w:rPr>
          <w:tab/>
        </w:r>
        <w:r w:rsidR="009465E7" w:rsidRPr="00270FD2">
          <w:rPr>
            <w:rStyle w:val="Hypertextovodkaz"/>
            <w:noProof/>
          </w:rPr>
          <w:t>Vyplácení výhry v případě živé hry formou land-based</w:t>
        </w:r>
        <w:r w:rsidR="009465E7">
          <w:rPr>
            <w:noProof/>
            <w:webHidden/>
          </w:rPr>
          <w:tab/>
        </w:r>
        <w:r w:rsidR="009465E7">
          <w:rPr>
            <w:noProof/>
            <w:webHidden/>
          </w:rPr>
          <w:fldChar w:fldCharType="begin"/>
        </w:r>
        <w:r w:rsidR="009465E7">
          <w:rPr>
            <w:noProof/>
            <w:webHidden/>
          </w:rPr>
          <w:instrText xml:space="preserve"> PAGEREF _Toc73604720 \h </w:instrText>
        </w:r>
        <w:r w:rsidR="009465E7">
          <w:rPr>
            <w:noProof/>
            <w:webHidden/>
          </w:rPr>
        </w:r>
        <w:r w:rsidR="009465E7">
          <w:rPr>
            <w:noProof/>
            <w:webHidden/>
          </w:rPr>
          <w:fldChar w:fldCharType="separate"/>
        </w:r>
        <w:r w:rsidR="009465E7">
          <w:rPr>
            <w:noProof/>
            <w:webHidden/>
          </w:rPr>
          <w:t>28</w:t>
        </w:r>
        <w:r w:rsidR="009465E7">
          <w:rPr>
            <w:noProof/>
            <w:webHidden/>
          </w:rPr>
          <w:fldChar w:fldCharType="end"/>
        </w:r>
      </w:hyperlink>
    </w:p>
    <w:p w14:paraId="61CB6489" w14:textId="77777777" w:rsidR="009465E7" w:rsidRDefault="009C0B64" w:rsidP="009465E7">
      <w:pPr>
        <w:pStyle w:val="Obsah6"/>
        <w:tabs>
          <w:tab w:val="left" w:pos="1767"/>
          <w:tab w:val="right" w:leader="dot" w:pos="9062"/>
        </w:tabs>
        <w:rPr>
          <w:rFonts w:asciiTheme="minorHAnsi" w:eastAsiaTheme="minorEastAsia" w:hAnsiTheme="minorHAnsi"/>
          <w:noProof/>
          <w:sz w:val="22"/>
          <w:lang w:eastAsia="cs-CZ"/>
        </w:rPr>
      </w:pPr>
      <w:hyperlink w:anchor="_Toc73604721" w:history="1">
        <w:r w:rsidR="009465E7" w:rsidRPr="00270FD2">
          <w:rPr>
            <w:rStyle w:val="Hypertextovodkaz"/>
            <w:noProof/>
          </w:rPr>
          <w:t>xiii.</w:t>
        </w:r>
        <w:r w:rsidR="009465E7">
          <w:rPr>
            <w:rFonts w:asciiTheme="minorHAnsi" w:eastAsiaTheme="minorEastAsia" w:hAnsiTheme="minorHAnsi"/>
            <w:noProof/>
            <w:sz w:val="22"/>
            <w:lang w:eastAsia="cs-CZ"/>
          </w:rPr>
          <w:tab/>
        </w:r>
        <w:r w:rsidR="009465E7" w:rsidRPr="00270FD2">
          <w:rPr>
            <w:rStyle w:val="Hypertextovodkaz"/>
            <w:noProof/>
          </w:rPr>
          <w:t>Potvrzení o uzavřené sázce</w:t>
        </w:r>
        <w:r w:rsidR="009465E7">
          <w:rPr>
            <w:noProof/>
            <w:webHidden/>
          </w:rPr>
          <w:tab/>
        </w:r>
        <w:r w:rsidR="009465E7">
          <w:rPr>
            <w:noProof/>
            <w:webHidden/>
          </w:rPr>
          <w:fldChar w:fldCharType="begin"/>
        </w:r>
        <w:r w:rsidR="009465E7">
          <w:rPr>
            <w:noProof/>
            <w:webHidden/>
          </w:rPr>
          <w:instrText xml:space="preserve"> PAGEREF _Toc73604721 \h </w:instrText>
        </w:r>
        <w:r w:rsidR="009465E7">
          <w:rPr>
            <w:noProof/>
            <w:webHidden/>
          </w:rPr>
        </w:r>
        <w:r w:rsidR="009465E7">
          <w:rPr>
            <w:noProof/>
            <w:webHidden/>
          </w:rPr>
          <w:fldChar w:fldCharType="separate"/>
        </w:r>
        <w:r w:rsidR="009465E7">
          <w:rPr>
            <w:noProof/>
            <w:webHidden/>
          </w:rPr>
          <w:t>29</w:t>
        </w:r>
        <w:r w:rsidR="009465E7">
          <w:rPr>
            <w:noProof/>
            <w:webHidden/>
          </w:rPr>
          <w:fldChar w:fldCharType="end"/>
        </w:r>
      </w:hyperlink>
    </w:p>
    <w:p w14:paraId="52DCCBB6" w14:textId="77777777" w:rsidR="009465E7" w:rsidRDefault="009C0B64" w:rsidP="009465E7">
      <w:pPr>
        <w:pStyle w:val="Obsah3"/>
        <w:tabs>
          <w:tab w:val="left" w:pos="1200"/>
          <w:tab w:val="right" w:leader="dot" w:pos="9062"/>
        </w:tabs>
        <w:rPr>
          <w:rFonts w:asciiTheme="minorHAnsi" w:eastAsiaTheme="minorEastAsia" w:hAnsiTheme="minorHAnsi"/>
          <w:noProof/>
          <w:sz w:val="22"/>
          <w:lang w:eastAsia="cs-CZ"/>
        </w:rPr>
      </w:pPr>
      <w:hyperlink w:anchor="_Toc73604722" w:history="1">
        <w:r w:rsidR="009465E7" w:rsidRPr="00270FD2">
          <w:rPr>
            <w:rStyle w:val="Hypertextovodkaz"/>
            <w:noProof/>
          </w:rPr>
          <w:t>1.4</w:t>
        </w:r>
        <w:r w:rsidR="009465E7">
          <w:rPr>
            <w:rFonts w:asciiTheme="minorHAnsi" w:eastAsiaTheme="minorEastAsia" w:hAnsiTheme="minorHAnsi"/>
            <w:noProof/>
            <w:sz w:val="22"/>
            <w:lang w:eastAsia="cs-CZ"/>
          </w:rPr>
          <w:tab/>
        </w:r>
        <w:r w:rsidR="009465E7" w:rsidRPr="00270FD2">
          <w:rPr>
            <w:rStyle w:val="Hypertextovodkaz"/>
            <w:noProof/>
          </w:rPr>
          <w:t>Seznam tabulek, obrázků a grafů</w:t>
        </w:r>
        <w:r w:rsidR="009465E7">
          <w:rPr>
            <w:noProof/>
            <w:webHidden/>
          </w:rPr>
          <w:tab/>
        </w:r>
        <w:r w:rsidR="009465E7">
          <w:rPr>
            <w:noProof/>
            <w:webHidden/>
          </w:rPr>
          <w:fldChar w:fldCharType="begin"/>
        </w:r>
        <w:r w:rsidR="009465E7">
          <w:rPr>
            <w:noProof/>
            <w:webHidden/>
          </w:rPr>
          <w:instrText xml:space="preserve"> PAGEREF _Toc73604722 \h </w:instrText>
        </w:r>
        <w:r w:rsidR="009465E7">
          <w:rPr>
            <w:noProof/>
            <w:webHidden/>
          </w:rPr>
        </w:r>
        <w:r w:rsidR="009465E7">
          <w:rPr>
            <w:noProof/>
            <w:webHidden/>
          </w:rPr>
          <w:fldChar w:fldCharType="separate"/>
        </w:r>
        <w:r w:rsidR="009465E7">
          <w:rPr>
            <w:noProof/>
            <w:webHidden/>
          </w:rPr>
          <w:t>30</w:t>
        </w:r>
        <w:r w:rsidR="009465E7">
          <w:rPr>
            <w:noProof/>
            <w:webHidden/>
          </w:rPr>
          <w:fldChar w:fldCharType="end"/>
        </w:r>
      </w:hyperlink>
    </w:p>
    <w:p w14:paraId="7B7FED30" w14:textId="77777777" w:rsidR="009465E7" w:rsidRDefault="009C0B64" w:rsidP="009465E7">
      <w:pPr>
        <w:pStyle w:val="Obsah4"/>
        <w:tabs>
          <w:tab w:val="left" w:pos="1540"/>
          <w:tab w:val="right" w:leader="dot" w:pos="9062"/>
        </w:tabs>
        <w:rPr>
          <w:rFonts w:asciiTheme="minorHAnsi" w:eastAsiaTheme="minorEastAsia" w:hAnsiTheme="minorHAnsi"/>
          <w:noProof/>
          <w:sz w:val="22"/>
          <w:lang w:eastAsia="cs-CZ"/>
        </w:rPr>
      </w:pPr>
      <w:hyperlink w:anchor="_Toc73604723" w:history="1">
        <w:r w:rsidR="009465E7" w:rsidRPr="00270FD2">
          <w:rPr>
            <w:rStyle w:val="Hypertextovodkaz"/>
            <w:noProof/>
          </w:rPr>
          <w:t>1.4.1</w:t>
        </w:r>
        <w:r w:rsidR="009465E7">
          <w:rPr>
            <w:rFonts w:asciiTheme="minorHAnsi" w:eastAsiaTheme="minorEastAsia" w:hAnsiTheme="minorHAnsi"/>
            <w:noProof/>
            <w:sz w:val="22"/>
            <w:lang w:eastAsia="cs-CZ"/>
          </w:rPr>
          <w:tab/>
        </w:r>
        <w:r w:rsidR="009465E7" w:rsidRPr="00270FD2">
          <w:rPr>
            <w:rStyle w:val="Hypertextovodkaz"/>
            <w:noProof/>
          </w:rPr>
          <w:t>Grafy</w:t>
        </w:r>
        <w:r w:rsidR="009465E7">
          <w:rPr>
            <w:noProof/>
            <w:webHidden/>
          </w:rPr>
          <w:tab/>
        </w:r>
        <w:r w:rsidR="009465E7">
          <w:rPr>
            <w:noProof/>
            <w:webHidden/>
          </w:rPr>
          <w:fldChar w:fldCharType="begin"/>
        </w:r>
        <w:r w:rsidR="009465E7">
          <w:rPr>
            <w:noProof/>
            <w:webHidden/>
          </w:rPr>
          <w:instrText xml:space="preserve"> PAGEREF _Toc73604723 \h </w:instrText>
        </w:r>
        <w:r w:rsidR="009465E7">
          <w:rPr>
            <w:noProof/>
            <w:webHidden/>
          </w:rPr>
        </w:r>
        <w:r w:rsidR="009465E7">
          <w:rPr>
            <w:noProof/>
            <w:webHidden/>
          </w:rPr>
          <w:fldChar w:fldCharType="separate"/>
        </w:r>
        <w:r w:rsidR="009465E7">
          <w:rPr>
            <w:noProof/>
            <w:webHidden/>
          </w:rPr>
          <w:t>30</w:t>
        </w:r>
        <w:r w:rsidR="009465E7">
          <w:rPr>
            <w:noProof/>
            <w:webHidden/>
          </w:rPr>
          <w:fldChar w:fldCharType="end"/>
        </w:r>
      </w:hyperlink>
    </w:p>
    <w:p w14:paraId="75BB561A" w14:textId="77777777" w:rsidR="009465E7" w:rsidRDefault="009C0B64" w:rsidP="009465E7">
      <w:pPr>
        <w:pStyle w:val="Obsah3"/>
        <w:tabs>
          <w:tab w:val="left" w:pos="1200"/>
          <w:tab w:val="right" w:leader="dot" w:pos="9062"/>
        </w:tabs>
        <w:rPr>
          <w:rFonts w:asciiTheme="minorHAnsi" w:eastAsiaTheme="minorEastAsia" w:hAnsiTheme="minorHAnsi"/>
          <w:noProof/>
          <w:sz w:val="22"/>
          <w:lang w:eastAsia="cs-CZ"/>
        </w:rPr>
      </w:pPr>
      <w:hyperlink w:anchor="_Toc73604724" w:history="1">
        <w:r w:rsidR="009465E7" w:rsidRPr="00270FD2">
          <w:rPr>
            <w:rStyle w:val="Hypertextovodkaz"/>
            <w:noProof/>
          </w:rPr>
          <w:t>1.5</w:t>
        </w:r>
        <w:r w:rsidR="009465E7">
          <w:rPr>
            <w:rFonts w:asciiTheme="minorHAnsi" w:eastAsiaTheme="minorEastAsia" w:hAnsiTheme="minorHAnsi"/>
            <w:noProof/>
            <w:sz w:val="22"/>
            <w:lang w:eastAsia="cs-CZ"/>
          </w:rPr>
          <w:tab/>
        </w:r>
        <w:r w:rsidR="009465E7" w:rsidRPr="00270FD2">
          <w:rPr>
            <w:rStyle w:val="Hypertextovodkaz"/>
            <w:noProof/>
          </w:rPr>
          <w:t>Obsah</w:t>
        </w:r>
        <w:r w:rsidR="009465E7">
          <w:rPr>
            <w:noProof/>
            <w:webHidden/>
          </w:rPr>
          <w:tab/>
        </w:r>
        <w:r w:rsidR="009465E7">
          <w:rPr>
            <w:noProof/>
            <w:webHidden/>
          </w:rPr>
          <w:fldChar w:fldCharType="begin"/>
        </w:r>
        <w:r w:rsidR="009465E7">
          <w:rPr>
            <w:noProof/>
            <w:webHidden/>
          </w:rPr>
          <w:instrText xml:space="preserve"> PAGEREF _Toc73604724 \h </w:instrText>
        </w:r>
        <w:r w:rsidR="009465E7">
          <w:rPr>
            <w:noProof/>
            <w:webHidden/>
          </w:rPr>
        </w:r>
        <w:r w:rsidR="009465E7">
          <w:rPr>
            <w:noProof/>
            <w:webHidden/>
          </w:rPr>
          <w:fldChar w:fldCharType="separate"/>
        </w:r>
        <w:r w:rsidR="009465E7">
          <w:rPr>
            <w:noProof/>
            <w:webHidden/>
          </w:rPr>
          <w:t>30</w:t>
        </w:r>
        <w:r w:rsidR="009465E7">
          <w:rPr>
            <w:noProof/>
            <w:webHidden/>
          </w:rPr>
          <w:fldChar w:fldCharType="end"/>
        </w:r>
      </w:hyperlink>
    </w:p>
    <w:p w14:paraId="510A2995" w14:textId="5B99A631" w:rsidR="009465E7" w:rsidRDefault="009465E7" w:rsidP="009465E7">
      <w:r>
        <w:fldChar w:fldCharType="end"/>
      </w:r>
    </w:p>
    <w:p w14:paraId="3089979E" w14:textId="77777777" w:rsidR="00F6450E" w:rsidRPr="009465E7" w:rsidRDefault="00F6450E" w:rsidP="009465E7">
      <w:pPr>
        <w:rPr>
          <w:highlight w:val="lightGray"/>
        </w:rPr>
      </w:pPr>
    </w:p>
    <w:p w14:paraId="74CF0169" w14:textId="49CCBFC9" w:rsidR="00A861A9" w:rsidRPr="00F17245" w:rsidRDefault="00E91C8F" w:rsidP="00CF5ABA">
      <w:pPr>
        <w:pStyle w:val="Nadpis3"/>
        <w:numPr>
          <w:ilvl w:val="0"/>
          <w:numId w:val="0"/>
        </w:numPr>
        <w:spacing w:after="0"/>
        <w:ind w:left="720" w:hanging="720"/>
      </w:pPr>
      <w:bookmarkStart w:id="182" w:name="_Toc72999597"/>
      <w:bookmarkStart w:id="183" w:name="_Toc73613653"/>
      <w:r w:rsidRPr="00F17245">
        <w:lastRenderedPageBreak/>
        <w:t xml:space="preserve">Příloha č. 3: </w:t>
      </w:r>
      <w:r w:rsidR="00A861A9" w:rsidRPr="00F17245">
        <w:t>Opatření zodpovědného hraní</w:t>
      </w:r>
      <w:bookmarkEnd w:id="182"/>
      <w:bookmarkEnd w:id="183"/>
    </w:p>
    <w:p w14:paraId="264565E7" w14:textId="06B972C5" w:rsidR="00F6450E" w:rsidRDefault="00F6450E" w:rsidP="00F6450E">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4F630B76"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6597" w:history="1">
        <w:r w:rsidR="00F6450E" w:rsidRPr="00DE667B">
          <w:rPr>
            <w:rStyle w:val="Hypertextovodkaz"/>
            <w:noProof/>
          </w:rPr>
          <w:t>1.1</w:t>
        </w:r>
        <w:r w:rsidR="00F6450E">
          <w:rPr>
            <w:rFonts w:asciiTheme="minorHAnsi" w:eastAsiaTheme="minorEastAsia" w:hAnsiTheme="minorHAnsi"/>
            <w:noProof/>
            <w:sz w:val="22"/>
            <w:lang w:eastAsia="cs-CZ"/>
          </w:rPr>
          <w:tab/>
        </w:r>
        <w:r w:rsidR="00F6450E" w:rsidRPr="00DE667B">
          <w:rPr>
            <w:rStyle w:val="Hypertextovodkaz"/>
            <w:noProof/>
          </w:rPr>
          <w:t>Konkrétní popis regulace obsažené v zákoně o loteriích</w:t>
        </w:r>
        <w:r w:rsidR="00F6450E">
          <w:rPr>
            <w:noProof/>
            <w:webHidden/>
          </w:rPr>
          <w:tab/>
        </w:r>
        <w:r w:rsidR="00F6450E">
          <w:rPr>
            <w:noProof/>
            <w:webHidden/>
          </w:rPr>
          <w:fldChar w:fldCharType="begin"/>
        </w:r>
        <w:r w:rsidR="00F6450E">
          <w:rPr>
            <w:noProof/>
            <w:webHidden/>
          </w:rPr>
          <w:instrText xml:space="preserve"> PAGEREF _Toc73606597 \h </w:instrText>
        </w:r>
        <w:r w:rsidR="00F6450E">
          <w:rPr>
            <w:noProof/>
            <w:webHidden/>
          </w:rPr>
        </w:r>
        <w:r w:rsidR="00F6450E">
          <w:rPr>
            <w:noProof/>
            <w:webHidden/>
          </w:rPr>
          <w:fldChar w:fldCharType="separate"/>
        </w:r>
        <w:r w:rsidR="00F6450E">
          <w:rPr>
            <w:noProof/>
            <w:webHidden/>
          </w:rPr>
          <w:t>1</w:t>
        </w:r>
        <w:r w:rsidR="00F6450E">
          <w:rPr>
            <w:noProof/>
            <w:webHidden/>
          </w:rPr>
          <w:fldChar w:fldCharType="end"/>
        </w:r>
      </w:hyperlink>
    </w:p>
    <w:p w14:paraId="25BB7EB7"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6598" w:history="1">
        <w:r w:rsidR="00F6450E" w:rsidRPr="00DE667B">
          <w:rPr>
            <w:rStyle w:val="Hypertextovodkaz"/>
            <w:noProof/>
          </w:rPr>
          <w:t>1.2</w:t>
        </w:r>
        <w:r w:rsidR="00F6450E">
          <w:rPr>
            <w:rFonts w:asciiTheme="minorHAnsi" w:eastAsiaTheme="minorEastAsia" w:hAnsiTheme="minorHAnsi"/>
            <w:noProof/>
            <w:sz w:val="22"/>
            <w:lang w:eastAsia="cs-CZ"/>
          </w:rPr>
          <w:tab/>
        </w:r>
        <w:r w:rsidR="00F6450E" w:rsidRPr="00DE667B">
          <w:rPr>
            <w:rStyle w:val="Hypertextovodkaz"/>
            <w:noProof/>
          </w:rPr>
          <w:t>Konkrétní popis regulace obsažené v zákoně o hazardních hrách</w:t>
        </w:r>
        <w:r w:rsidR="00F6450E">
          <w:rPr>
            <w:noProof/>
            <w:webHidden/>
          </w:rPr>
          <w:tab/>
        </w:r>
        <w:r w:rsidR="00F6450E">
          <w:rPr>
            <w:noProof/>
            <w:webHidden/>
          </w:rPr>
          <w:fldChar w:fldCharType="begin"/>
        </w:r>
        <w:r w:rsidR="00F6450E">
          <w:rPr>
            <w:noProof/>
            <w:webHidden/>
          </w:rPr>
          <w:instrText xml:space="preserve"> PAGEREF _Toc73606598 \h </w:instrText>
        </w:r>
        <w:r w:rsidR="00F6450E">
          <w:rPr>
            <w:noProof/>
            <w:webHidden/>
          </w:rPr>
        </w:r>
        <w:r w:rsidR="00F6450E">
          <w:rPr>
            <w:noProof/>
            <w:webHidden/>
          </w:rPr>
          <w:fldChar w:fldCharType="separate"/>
        </w:r>
        <w:r w:rsidR="00F6450E">
          <w:rPr>
            <w:noProof/>
            <w:webHidden/>
          </w:rPr>
          <w:t>2</w:t>
        </w:r>
        <w:r w:rsidR="00F6450E">
          <w:rPr>
            <w:noProof/>
            <w:webHidden/>
          </w:rPr>
          <w:fldChar w:fldCharType="end"/>
        </w:r>
      </w:hyperlink>
    </w:p>
    <w:p w14:paraId="24F90BF2"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599" w:history="1">
        <w:r w:rsidR="00F6450E" w:rsidRPr="00DE667B">
          <w:rPr>
            <w:rStyle w:val="Hypertextovodkaz"/>
            <w:noProof/>
          </w:rPr>
          <w:t>A.</w:t>
        </w:r>
        <w:r w:rsidR="00F6450E">
          <w:rPr>
            <w:rFonts w:asciiTheme="minorHAnsi" w:eastAsiaTheme="minorEastAsia" w:hAnsiTheme="minorHAnsi"/>
            <w:noProof/>
            <w:sz w:val="22"/>
            <w:lang w:eastAsia="cs-CZ"/>
          </w:rPr>
          <w:tab/>
        </w:r>
        <w:r w:rsidR="00F6450E" w:rsidRPr="00DE667B">
          <w:rPr>
            <w:rStyle w:val="Hypertextovodkaz"/>
            <w:noProof/>
          </w:rPr>
          <w:t>Sebeomezující opatření</w:t>
        </w:r>
        <w:r w:rsidR="00F6450E">
          <w:rPr>
            <w:noProof/>
            <w:webHidden/>
          </w:rPr>
          <w:tab/>
        </w:r>
        <w:r w:rsidR="00F6450E">
          <w:rPr>
            <w:noProof/>
            <w:webHidden/>
          </w:rPr>
          <w:fldChar w:fldCharType="begin"/>
        </w:r>
        <w:r w:rsidR="00F6450E">
          <w:rPr>
            <w:noProof/>
            <w:webHidden/>
          </w:rPr>
          <w:instrText xml:space="preserve"> PAGEREF _Toc73606599 \h </w:instrText>
        </w:r>
        <w:r w:rsidR="00F6450E">
          <w:rPr>
            <w:noProof/>
            <w:webHidden/>
          </w:rPr>
        </w:r>
        <w:r w:rsidR="00F6450E">
          <w:rPr>
            <w:noProof/>
            <w:webHidden/>
          </w:rPr>
          <w:fldChar w:fldCharType="separate"/>
        </w:r>
        <w:r w:rsidR="00F6450E">
          <w:rPr>
            <w:noProof/>
            <w:webHidden/>
          </w:rPr>
          <w:t>2</w:t>
        </w:r>
        <w:r w:rsidR="00F6450E">
          <w:rPr>
            <w:noProof/>
            <w:webHidden/>
          </w:rPr>
          <w:fldChar w:fldCharType="end"/>
        </w:r>
      </w:hyperlink>
    </w:p>
    <w:p w14:paraId="014C181D"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00" w:history="1">
        <w:r w:rsidR="00F6450E" w:rsidRPr="00DE667B">
          <w:rPr>
            <w:rStyle w:val="Hypertextovodkaz"/>
            <w:noProof/>
          </w:rPr>
          <w:t>B.</w:t>
        </w:r>
        <w:r w:rsidR="00F6450E">
          <w:rPr>
            <w:rFonts w:asciiTheme="minorHAnsi" w:eastAsiaTheme="minorEastAsia" w:hAnsiTheme="minorHAnsi"/>
            <w:noProof/>
            <w:sz w:val="22"/>
            <w:lang w:eastAsia="cs-CZ"/>
          </w:rPr>
          <w:tab/>
        </w:r>
        <w:r w:rsidR="00F6450E" w:rsidRPr="00DE667B">
          <w:rPr>
            <w:rStyle w:val="Hypertextovodkaz"/>
            <w:noProof/>
          </w:rPr>
          <w:t>Rejstřík vyloučených osob</w:t>
        </w:r>
        <w:r w:rsidR="00F6450E">
          <w:rPr>
            <w:noProof/>
            <w:webHidden/>
          </w:rPr>
          <w:tab/>
        </w:r>
        <w:r w:rsidR="00F6450E">
          <w:rPr>
            <w:noProof/>
            <w:webHidden/>
          </w:rPr>
          <w:fldChar w:fldCharType="begin"/>
        </w:r>
        <w:r w:rsidR="00F6450E">
          <w:rPr>
            <w:noProof/>
            <w:webHidden/>
          </w:rPr>
          <w:instrText xml:space="preserve"> PAGEREF _Toc73606600 \h </w:instrText>
        </w:r>
        <w:r w:rsidR="00F6450E">
          <w:rPr>
            <w:noProof/>
            <w:webHidden/>
          </w:rPr>
        </w:r>
        <w:r w:rsidR="00F6450E">
          <w:rPr>
            <w:noProof/>
            <w:webHidden/>
          </w:rPr>
          <w:fldChar w:fldCharType="separate"/>
        </w:r>
        <w:r w:rsidR="00F6450E">
          <w:rPr>
            <w:noProof/>
            <w:webHidden/>
          </w:rPr>
          <w:t>5</w:t>
        </w:r>
        <w:r w:rsidR="00F6450E">
          <w:rPr>
            <w:noProof/>
            <w:webHidden/>
          </w:rPr>
          <w:fldChar w:fldCharType="end"/>
        </w:r>
      </w:hyperlink>
    </w:p>
    <w:p w14:paraId="5F45B1CD"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01" w:history="1">
        <w:r w:rsidR="00F6450E" w:rsidRPr="00DE667B">
          <w:rPr>
            <w:rStyle w:val="Hypertextovodkaz"/>
            <w:noProof/>
          </w:rPr>
          <w:t>C.</w:t>
        </w:r>
        <w:r w:rsidR="00F6450E">
          <w:rPr>
            <w:rFonts w:asciiTheme="minorHAnsi" w:eastAsiaTheme="minorEastAsia" w:hAnsiTheme="minorHAnsi"/>
            <w:noProof/>
            <w:sz w:val="22"/>
            <w:lang w:eastAsia="cs-CZ"/>
          </w:rPr>
          <w:tab/>
        </w:r>
        <w:r w:rsidR="00F6450E" w:rsidRPr="00DE667B">
          <w:rPr>
            <w:rStyle w:val="Hypertextovodkaz"/>
            <w:noProof/>
          </w:rPr>
          <w:t>Informační povinnost u internetové hry</w:t>
        </w:r>
        <w:r w:rsidR="00F6450E">
          <w:rPr>
            <w:noProof/>
            <w:webHidden/>
          </w:rPr>
          <w:tab/>
        </w:r>
        <w:r w:rsidR="00F6450E">
          <w:rPr>
            <w:noProof/>
            <w:webHidden/>
          </w:rPr>
          <w:fldChar w:fldCharType="begin"/>
        </w:r>
        <w:r w:rsidR="00F6450E">
          <w:rPr>
            <w:noProof/>
            <w:webHidden/>
          </w:rPr>
          <w:instrText xml:space="preserve"> PAGEREF _Toc73606601 \h </w:instrText>
        </w:r>
        <w:r w:rsidR="00F6450E">
          <w:rPr>
            <w:noProof/>
            <w:webHidden/>
          </w:rPr>
        </w:r>
        <w:r w:rsidR="00F6450E">
          <w:rPr>
            <w:noProof/>
            <w:webHidden/>
          </w:rPr>
          <w:fldChar w:fldCharType="separate"/>
        </w:r>
        <w:r w:rsidR="00F6450E">
          <w:rPr>
            <w:noProof/>
            <w:webHidden/>
          </w:rPr>
          <w:t>8</w:t>
        </w:r>
        <w:r w:rsidR="00F6450E">
          <w:rPr>
            <w:noProof/>
            <w:webHidden/>
          </w:rPr>
          <w:fldChar w:fldCharType="end"/>
        </w:r>
      </w:hyperlink>
    </w:p>
    <w:p w14:paraId="0FC2F831"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02" w:history="1">
        <w:r w:rsidR="00F6450E" w:rsidRPr="00DE667B">
          <w:rPr>
            <w:rStyle w:val="Hypertextovodkaz"/>
            <w:noProof/>
          </w:rPr>
          <w:t>D.</w:t>
        </w:r>
        <w:r w:rsidR="00F6450E">
          <w:rPr>
            <w:rFonts w:asciiTheme="minorHAnsi" w:eastAsiaTheme="minorEastAsia" w:hAnsiTheme="minorHAnsi"/>
            <w:noProof/>
            <w:sz w:val="22"/>
            <w:lang w:eastAsia="cs-CZ"/>
          </w:rPr>
          <w:tab/>
        </w:r>
        <w:r w:rsidR="00F6450E" w:rsidRPr="00DE667B">
          <w:rPr>
            <w:rStyle w:val="Hypertextovodkaz"/>
            <w:noProof/>
          </w:rPr>
          <w:t>Regulace reklamy</w:t>
        </w:r>
        <w:r w:rsidR="00F6450E">
          <w:rPr>
            <w:noProof/>
            <w:webHidden/>
          </w:rPr>
          <w:tab/>
        </w:r>
        <w:r w:rsidR="00F6450E">
          <w:rPr>
            <w:noProof/>
            <w:webHidden/>
          </w:rPr>
          <w:fldChar w:fldCharType="begin"/>
        </w:r>
        <w:r w:rsidR="00F6450E">
          <w:rPr>
            <w:noProof/>
            <w:webHidden/>
          </w:rPr>
          <w:instrText xml:space="preserve"> PAGEREF _Toc73606602 \h </w:instrText>
        </w:r>
        <w:r w:rsidR="00F6450E">
          <w:rPr>
            <w:noProof/>
            <w:webHidden/>
          </w:rPr>
        </w:r>
        <w:r w:rsidR="00F6450E">
          <w:rPr>
            <w:noProof/>
            <w:webHidden/>
          </w:rPr>
          <w:fldChar w:fldCharType="separate"/>
        </w:r>
        <w:r w:rsidR="00F6450E">
          <w:rPr>
            <w:noProof/>
            <w:webHidden/>
          </w:rPr>
          <w:t>8</w:t>
        </w:r>
        <w:r w:rsidR="00F6450E">
          <w:rPr>
            <w:noProof/>
            <w:webHidden/>
          </w:rPr>
          <w:fldChar w:fldCharType="end"/>
        </w:r>
      </w:hyperlink>
    </w:p>
    <w:p w14:paraId="45B83243"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6603" w:history="1">
        <w:r w:rsidR="00F6450E" w:rsidRPr="00DE667B">
          <w:rPr>
            <w:rStyle w:val="Hypertextovodkaz"/>
            <w:noProof/>
          </w:rPr>
          <w:t>1.3</w:t>
        </w:r>
        <w:r w:rsidR="00F6450E">
          <w:rPr>
            <w:rFonts w:asciiTheme="minorHAnsi" w:eastAsiaTheme="minorEastAsia" w:hAnsiTheme="minorHAnsi"/>
            <w:noProof/>
            <w:sz w:val="22"/>
            <w:lang w:eastAsia="cs-CZ"/>
          </w:rPr>
          <w:tab/>
        </w:r>
        <w:r w:rsidR="00F6450E" w:rsidRPr="00DE667B">
          <w:rPr>
            <w:rStyle w:val="Hypertextovodkaz"/>
            <w:noProof/>
          </w:rPr>
          <w:t>Konkrétní popis nástrojů, včetně oblastí, na které by bylo vhodné se v budoucnu zaměřit, a návrh doporučení či možných variant řešení</w:t>
        </w:r>
        <w:r w:rsidR="00F6450E">
          <w:rPr>
            <w:noProof/>
            <w:webHidden/>
          </w:rPr>
          <w:tab/>
        </w:r>
        <w:r w:rsidR="00F6450E">
          <w:rPr>
            <w:noProof/>
            <w:webHidden/>
          </w:rPr>
          <w:fldChar w:fldCharType="begin"/>
        </w:r>
        <w:r w:rsidR="00F6450E">
          <w:rPr>
            <w:noProof/>
            <w:webHidden/>
          </w:rPr>
          <w:instrText xml:space="preserve"> PAGEREF _Toc73606603 \h </w:instrText>
        </w:r>
        <w:r w:rsidR="00F6450E">
          <w:rPr>
            <w:noProof/>
            <w:webHidden/>
          </w:rPr>
        </w:r>
        <w:r w:rsidR="00F6450E">
          <w:rPr>
            <w:noProof/>
            <w:webHidden/>
          </w:rPr>
          <w:fldChar w:fldCharType="separate"/>
        </w:r>
        <w:r w:rsidR="00F6450E">
          <w:rPr>
            <w:noProof/>
            <w:webHidden/>
          </w:rPr>
          <w:t>11</w:t>
        </w:r>
        <w:r w:rsidR="00F6450E">
          <w:rPr>
            <w:noProof/>
            <w:webHidden/>
          </w:rPr>
          <w:fldChar w:fldCharType="end"/>
        </w:r>
      </w:hyperlink>
    </w:p>
    <w:p w14:paraId="466D1299"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04" w:history="1">
        <w:r w:rsidR="00F6450E" w:rsidRPr="00DE667B">
          <w:rPr>
            <w:rStyle w:val="Hypertextovodkaz"/>
            <w:noProof/>
          </w:rPr>
          <w:t>A.</w:t>
        </w:r>
        <w:r w:rsidR="00F6450E">
          <w:rPr>
            <w:rFonts w:asciiTheme="minorHAnsi" w:eastAsiaTheme="minorEastAsia" w:hAnsiTheme="minorHAnsi"/>
            <w:noProof/>
            <w:sz w:val="22"/>
            <w:lang w:eastAsia="cs-CZ"/>
          </w:rPr>
          <w:tab/>
        </w:r>
        <w:r w:rsidR="00F6450E" w:rsidRPr="00DE667B">
          <w:rPr>
            <w:rStyle w:val="Hypertextovodkaz"/>
            <w:noProof/>
          </w:rPr>
          <w:t>Sebeomezující opatření</w:t>
        </w:r>
        <w:r w:rsidR="00F6450E">
          <w:rPr>
            <w:noProof/>
            <w:webHidden/>
          </w:rPr>
          <w:tab/>
        </w:r>
        <w:r w:rsidR="00F6450E">
          <w:rPr>
            <w:noProof/>
            <w:webHidden/>
          </w:rPr>
          <w:fldChar w:fldCharType="begin"/>
        </w:r>
        <w:r w:rsidR="00F6450E">
          <w:rPr>
            <w:noProof/>
            <w:webHidden/>
          </w:rPr>
          <w:instrText xml:space="preserve"> PAGEREF _Toc73606604 \h </w:instrText>
        </w:r>
        <w:r w:rsidR="00F6450E">
          <w:rPr>
            <w:noProof/>
            <w:webHidden/>
          </w:rPr>
        </w:r>
        <w:r w:rsidR="00F6450E">
          <w:rPr>
            <w:noProof/>
            <w:webHidden/>
          </w:rPr>
          <w:fldChar w:fldCharType="separate"/>
        </w:r>
        <w:r w:rsidR="00F6450E">
          <w:rPr>
            <w:noProof/>
            <w:webHidden/>
          </w:rPr>
          <w:t>11</w:t>
        </w:r>
        <w:r w:rsidR="00F6450E">
          <w:rPr>
            <w:noProof/>
            <w:webHidden/>
          </w:rPr>
          <w:fldChar w:fldCharType="end"/>
        </w:r>
      </w:hyperlink>
    </w:p>
    <w:p w14:paraId="616F64C0"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05" w:history="1">
        <w:r w:rsidR="00F6450E" w:rsidRPr="00DE667B">
          <w:rPr>
            <w:rStyle w:val="Hypertextovodkaz"/>
            <w:noProof/>
          </w:rPr>
          <w:t>i.</w:t>
        </w:r>
        <w:r w:rsidR="00F6450E">
          <w:rPr>
            <w:rFonts w:asciiTheme="minorHAnsi" w:eastAsiaTheme="minorEastAsia" w:hAnsiTheme="minorHAnsi"/>
            <w:noProof/>
            <w:sz w:val="22"/>
            <w:lang w:eastAsia="cs-CZ"/>
          </w:rPr>
          <w:tab/>
        </w:r>
        <w:r w:rsidR="00F6450E" w:rsidRPr="00DE667B">
          <w:rPr>
            <w:rStyle w:val="Hypertextovodkaz"/>
            <w:noProof/>
          </w:rPr>
          <w:t>Nejednotnost způsobu nastavení sebeomezujících opatření mezi provozovateli</w:t>
        </w:r>
        <w:r w:rsidR="00F6450E">
          <w:rPr>
            <w:noProof/>
            <w:webHidden/>
          </w:rPr>
          <w:tab/>
        </w:r>
        <w:r w:rsidR="00F6450E">
          <w:rPr>
            <w:noProof/>
            <w:webHidden/>
          </w:rPr>
          <w:fldChar w:fldCharType="begin"/>
        </w:r>
        <w:r w:rsidR="00F6450E">
          <w:rPr>
            <w:noProof/>
            <w:webHidden/>
          </w:rPr>
          <w:instrText xml:space="preserve"> PAGEREF _Toc73606605 \h </w:instrText>
        </w:r>
        <w:r w:rsidR="00F6450E">
          <w:rPr>
            <w:noProof/>
            <w:webHidden/>
          </w:rPr>
        </w:r>
        <w:r w:rsidR="00F6450E">
          <w:rPr>
            <w:noProof/>
            <w:webHidden/>
          </w:rPr>
          <w:fldChar w:fldCharType="separate"/>
        </w:r>
        <w:r w:rsidR="00F6450E">
          <w:rPr>
            <w:noProof/>
            <w:webHidden/>
          </w:rPr>
          <w:t>12</w:t>
        </w:r>
        <w:r w:rsidR="00F6450E">
          <w:rPr>
            <w:noProof/>
            <w:webHidden/>
          </w:rPr>
          <w:fldChar w:fldCharType="end"/>
        </w:r>
      </w:hyperlink>
    </w:p>
    <w:p w14:paraId="09790C8B"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06" w:history="1">
        <w:r w:rsidR="00F6450E" w:rsidRPr="00DE667B">
          <w:rPr>
            <w:rStyle w:val="Hypertextovodkaz"/>
            <w:noProof/>
          </w:rPr>
          <w:t>ii.</w:t>
        </w:r>
        <w:r w:rsidR="00F6450E">
          <w:rPr>
            <w:rFonts w:asciiTheme="minorHAnsi" w:eastAsiaTheme="minorEastAsia" w:hAnsiTheme="minorHAnsi"/>
            <w:noProof/>
            <w:sz w:val="22"/>
            <w:lang w:eastAsia="cs-CZ"/>
          </w:rPr>
          <w:tab/>
        </w:r>
        <w:r w:rsidR="00F6450E" w:rsidRPr="00DE667B">
          <w:rPr>
            <w:rStyle w:val="Hypertextovodkaz"/>
            <w:noProof/>
          </w:rPr>
          <w:t>Změna nastavení sebeomezujících opatření během vyřizování předchozího požadavku na změnu</w:t>
        </w:r>
        <w:r w:rsidR="00F6450E">
          <w:rPr>
            <w:noProof/>
            <w:webHidden/>
          </w:rPr>
          <w:tab/>
        </w:r>
        <w:r w:rsidR="00F6450E">
          <w:rPr>
            <w:noProof/>
            <w:webHidden/>
          </w:rPr>
          <w:fldChar w:fldCharType="begin"/>
        </w:r>
        <w:r w:rsidR="00F6450E">
          <w:rPr>
            <w:noProof/>
            <w:webHidden/>
          </w:rPr>
          <w:instrText xml:space="preserve"> PAGEREF _Toc73606606 \h </w:instrText>
        </w:r>
        <w:r w:rsidR="00F6450E">
          <w:rPr>
            <w:noProof/>
            <w:webHidden/>
          </w:rPr>
        </w:r>
        <w:r w:rsidR="00F6450E">
          <w:rPr>
            <w:noProof/>
            <w:webHidden/>
          </w:rPr>
          <w:fldChar w:fldCharType="separate"/>
        </w:r>
        <w:r w:rsidR="00F6450E">
          <w:rPr>
            <w:noProof/>
            <w:webHidden/>
          </w:rPr>
          <w:t>14</w:t>
        </w:r>
        <w:r w:rsidR="00F6450E">
          <w:rPr>
            <w:noProof/>
            <w:webHidden/>
          </w:rPr>
          <w:fldChar w:fldCharType="end"/>
        </w:r>
      </w:hyperlink>
    </w:p>
    <w:p w14:paraId="03E2EE77"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07" w:history="1">
        <w:r w:rsidR="00F6450E" w:rsidRPr="00DE667B">
          <w:rPr>
            <w:rStyle w:val="Hypertextovodkaz"/>
            <w:noProof/>
          </w:rPr>
          <w:t>iii.</w:t>
        </w:r>
        <w:r w:rsidR="00F6450E">
          <w:rPr>
            <w:rFonts w:asciiTheme="minorHAnsi" w:eastAsiaTheme="minorEastAsia" w:hAnsiTheme="minorHAnsi"/>
            <w:noProof/>
            <w:sz w:val="22"/>
            <w:lang w:eastAsia="cs-CZ"/>
          </w:rPr>
          <w:tab/>
        </w:r>
        <w:r w:rsidR="00F6450E" w:rsidRPr="00DE667B">
          <w:rPr>
            <w:rStyle w:val="Hypertextovodkaz"/>
            <w:noProof/>
          </w:rPr>
          <w:t>Obcházení ochranné lhůty ke změně nastavení sebeomezujících opatření založením nového uživatelského konta</w:t>
        </w:r>
        <w:r w:rsidR="00F6450E">
          <w:rPr>
            <w:noProof/>
            <w:webHidden/>
          </w:rPr>
          <w:tab/>
        </w:r>
        <w:r w:rsidR="00F6450E">
          <w:rPr>
            <w:noProof/>
            <w:webHidden/>
          </w:rPr>
          <w:fldChar w:fldCharType="begin"/>
        </w:r>
        <w:r w:rsidR="00F6450E">
          <w:rPr>
            <w:noProof/>
            <w:webHidden/>
          </w:rPr>
          <w:instrText xml:space="preserve"> PAGEREF _Toc73606607 \h </w:instrText>
        </w:r>
        <w:r w:rsidR="00F6450E">
          <w:rPr>
            <w:noProof/>
            <w:webHidden/>
          </w:rPr>
        </w:r>
        <w:r w:rsidR="00F6450E">
          <w:rPr>
            <w:noProof/>
            <w:webHidden/>
          </w:rPr>
          <w:fldChar w:fldCharType="separate"/>
        </w:r>
        <w:r w:rsidR="00F6450E">
          <w:rPr>
            <w:noProof/>
            <w:webHidden/>
          </w:rPr>
          <w:t>16</w:t>
        </w:r>
        <w:r w:rsidR="00F6450E">
          <w:rPr>
            <w:noProof/>
            <w:webHidden/>
          </w:rPr>
          <w:fldChar w:fldCharType="end"/>
        </w:r>
      </w:hyperlink>
    </w:p>
    <w:p w14:paraId="33E30706"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08" w:history="1">
        <w:r w:rsidR="00F6450E" w:rsidRPr="00DE667B">
          <w:rPr>
            <w:rStyle w:val="Hypertextovodkaz"/>
            <w:noProof/>
          </w:rPr>
          <w:t>iv.</w:t>
        </w:r>
        <w:r w:rsidR="00F6450E">
          <w:rPr>
            <w:rFonts w:asciiTheme="minorHAnsi" w:eastAsiaTheme="minorEastAsia" w:hAnsiTheme="minorHAnsi"/>
            <w:noProof/>
            <w:sz w:val="22"/>
            <w:lang w:eastAsia="cs-CZ"/>
          </w:rPr>
          <w:tab/>
        </w:r>
        <w:r w:rsidR="00F6450E" w:rsidRPr="00DE667B">
          <w:rPr>
            <w:rStyle w:val="Hypertextovodkaz"/>
            <w:noProof/>
          </w:rPr>
          <w:t>Problematika chybně připsané částky ve vztahu k sebeomezujícím opatřením</w:t>
        </w:r>
        <w:r w:rsidR="00F6450E">
          <w:rPr>
            <w:noProof/>
            <w:webHidden/>
          </w:rPr>
          <w:tab/>
        </w:r>
        <w:r w:rsidR="00F6450E">
          <w:rPr>
            <w:noProof/>
            <w:webHidden/>
          </w:rPr>
          <w:fldChar w:fldCharType="begin"/>
        </w:r>
        <w:r w:rsidR="00F6450E">
          <w:rPr>
            <w:noProof/>
            <w:webHidden/>
          </w:rPr>
          <w:instrText xml:space="preserve"> PAGEREF _Toc73606608 \h </w:instrText>
        </w:r>
        <w:r w:rsidR="00F6450E">
          <w:rPr>
            <w:noProof/>
            <w:webHidden/>
          </w:rPr>
        </w:r>
        <w:r w:rsidR="00F6450E">
          <w:rPr>
            <w:noProof/>
            <w:webHidden/>
          </w:rPr>
          <w:fldChar w:fldCharType="separate"/>
        </w:r>
        <w:r w:rsidR="00F6450E">
          <w:rPr>
            <w:noProof/>
            <w:webHidden/>
          </w:rPr>
          <w:t>17</w:t>
        </w:r>
        <w:r w:rsidR="00F6450E">
          <w:rPr>
            <w:noProof/>
            <w:webHidden/>
          </w:rPr>
          <w:fldChar w:fldCharType="end"/>
        </w:r>
      </w:hyperlink>
    </w:p>
    <w:p w14:paraId="27914913"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09" w:history="1">
        <w:r w:rsidR="00F6450E" w:rsidRPr="00DE667B">
          <w:rPr>
            <w:rStyle w:val="Hypertextovodkaz"/>
            <w:noProof/>
          </w:rPr>
          <w:t>v.</w:t>
        </w:r>
        <w:r w:rsidR="00F6450E">
          <w:rPr>
            <w:rFonts w:asciiTheme="minorHAnsi" w:eastAsiaTheme="minorEastAsia" w:hAnsiTheme="minorHAnsi"/>
            <w:noProof/>
            <w:sz w:val="22"/>
            <w:lang w:eastAsia="cs-CZ"/>
          </w:rPr>
          <w:tab/>
        </w:r>
        <w:r w:rsidR="00F6450E" w:rsidRPr="00DE667B">
          <w:rPr>
            <w:rStyle w:val="Hypertextovodkaz"/>
            <w:noProof/>
          </w:rPr>
          <w:t>Sebevyloučení „červeným tlačítkem“</w:t>
        </w:r>
        <w:r w:rsidR="00F6450E">
          <w:rPr>
            <w:noProof/>
            <w:webHidden/>
          </w:rPr>
          <w:tab/>
        </w:r>
        <w:r w:rsidR="00F6450E">
          <w:rPr>
            <w:noProof/>
            <w:webHidden/>
          </w:rPr>
          <w:fldChar w:fldCharType="begin"/>
        </w:r>
        <w:r w:rsidR="00F6450E">
          <w:rPr>
            <w:noProof/>
            <w:webHidden/>
          </w:rPr>
          <w:instrText xml:space="preserve"> PAGEREF _Toc73606609 \h </w:instrText>
        </w:r>
        <w:r w:rsidR="00F6450E">
          <w:rPr>
            <w:noProof/>
            <w:webHidden/>
          </w:rPr>
        </w:r>
        <w:r w:rsidR="00F6450E">
          <w:rPr>
            <w:noProof/>
            <w:webHidden/>
          </w:rPr>
          <w:fldChar w:fldCharType="separate"/>
        </w:r>
        <w:r w:rsidR="00F6450E">
          <w:rPr>
            <w:noProof/>
            <w:webHidden/>
          </w:rPr>
          <w:t>18</w:t>
        </w:r>
        <w:r w:rsidR="00F6450E">
          <w:rPr>
            <w:noProof/>
            <w:webHidden/>
          </w:rPr>
          <w:fldChar w:fldCharType="end"/>
        </w:r>
      </w:hyperlink>
    </w:p>
    <w:p w14:paraId="0BAD13DB"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10" w:history="1">
        <w:r w:rsidR="00F6450E" w:rsidRPr="00DE667B">
          <w:rPr>
            <w:rStyle w:val="Hypertextovodkaz"/>
            <w:noProof/>
          </w:rPr>
          <w:t>B.</w:t>
        </w:r>
        <w:r w:rsidR="00F6450E">
          <w:rPr>
            <w:rFonts w:asciiTheme="minorHAnsi" w:eastAsiaTheme="minorEastAsia" w:hAnsiTheme="minorHAnsi"/>
            <w:noProof/>
            <w:sz w:val="22"/>
            <w:lang w:eastAsia="cs-CZ"/>
          </w:rPr>
          <w:tab/>
        </w:r>
        <w:r w:rsidR="00F6450E" w:rsidRPr="00DE667B">
          <w:rPr>
            <w:rStyle w:val="Hypertextovodkaz"/>
            <w:noProof/>
          </w:rPr>
          <w:t>Rejstřík vyloučených osob</w:t>
        </w:r>
        <w:r w:rsidR="00F6450E">
          <w:rPr>
            <w:noProof/>
            <w:webHidden/>
          </w:rPr>
          <w:tab/>
        </w:r>
        <w:r w:rsidR="00F6450E">
          <w:rPr>
            <w:noProof/>
            <w:webHidden/>
          </w:rPr>
          <w:fldChar w:fldCharType="begin"/>
        </w:r>
        <w:r w:rsidR="00F6450E">
          <w:rPr>
            <w:noProof/>
            <w:webHidden/>
          </w:rPr>
          <w:instrText xml:space="preserve"> PAGEREF _Toc73606610 \h </w:instrText>
        </w:r>
        <w:r w:rsidR="00F6450E">
          <w:rPr>
            <w:noProof/>
            <w:webHidden/>
          </w:rPr>
        </w:r>
        <w:r w:rsidR="00F6450E">
          <w:rPr>
            <w:noProof/>
            <w:webHidden/>
          </w:rPr>
          <w:fldChar w:fldCharType="separate"/>
        </w:r>
        <w:r w:rsidR="00F6450E">
          <w:rPr>
            <w:noProof/>
            <w:webHidden/>
          </w:rPr>
          <w:t>19</w:t>
        </w:r>
        <w:r w:rsidR="00F6450E">
          <w:rPr>
            <w:noProof/>
            <w:webHidden/>
          </w:rPr>
          <w:fldChar w:fldCharType="end"/>
        </w:r>
      </w:hyperlink>
    </w:p>
    <w:p w14:paraId="09DF63A5"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1" w:history="1">
        <w:r w:rsidR="00F6450E" w:rsidRPr="00DE667B">
          <w:rPr>
            <w:rStyle w:val="Hypertextovodkaz"/>
            <w:noProof/>
          </w:rPr>
          <w:t>i.</w:t>
        </w:r>
        <w:r w:rsidR="00F6450E">
          <w:rPr>
            <w:rFonts w:asciiTheme="minorHAnsi" w:eastAsiaTheme="minorEastAsia" w:hAnsiTheme="minorHAnsi"/>
            <w:noProof/>
            <w:sz w:val="22"/>
            <w:lang w:eastAsia="cs-CZ"/>
          </w:rPr>
          <w:tab/>
        </w:r>
        <w:r w:rsidR="00F6450E" w:rsidRPr="00DE667B">
          <w:rPr>
            <w:rStyle w:val="Hypertextovodkaz"/>
            <w:noProof/>
          </w:rPr>
          <w:t>Rozšíření skupiny osob zapisovaných do Rejstříku vyloučených osob z moci úřední</w:t>
        </w:r>
        <w:r w:rsidR="00F6450E">
          <w:rPr>
            <w:noProof/>
            <w:webHidden/>
          </w:rPr>
          <w:tab/>
        </w:r>
        <w:r w:rsidR="00F6450E">
          <w:rPr>
            <w:noProof/>
            <w:webHidden/>
          </w:rPr>
          <w:fldChar w:fldCharType="begin"/>
        </w:r>
        <w:r w:rsidR="00F6450E">
          <w:rPr>
            <w:noProof/>
            <w:webHidden/>
          </w:rPr>
          <w:instrText xml:space="preserve"> PAGEREF _Toc73606611 \h </w:instrText>
        </w:r>
        <w:r w:rsidR="00F6450E">
          <w:rPr>
            <w:noProof/>
            <w:webHidden/>
          </w:rPr>
        </w:r>
        <w:r w:rsidR="00F6450E">
          <w:rPr>
            <w:noProof/>
            <w:webHidden/>
          </w:rPr>
          <w:fldChar w:fldCharType="separate"/>
        </w:r>
        <w:r w:rsidR="00F6450E">
          <w:rPr>
            <w:noProof/>
            <w:webHidden/>
          </w:rPr>
          <w:t>19</w:t>
        </w:r>
        <w:r w:rsidR="00F6450E">
          <w:rPr>
            <w:noProof/>
            <w:webHidden/>
          </w:rPr>
          <w:fldChar w:fldCharType="end"/>
        </w:r>
      </w:hyperlink>
    </w:p>
    <w:p w14:paraId="59FE756D"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2" w:history="1">
        <w:r w:rsidR="00F6450E" w:rsidRPr="00DE667B">
          <w:rPr>
            <w:rStyle w:val="Hypertextovodkaz"/>
            <w:noProof/>
          </w:rPr>
          <w:t>ii.</w:t>
        </w:r>
        <w:r w:rsidR="00F6450E">
          <w:rPr>
            <w:rFonts w:asciiTheme="minorHAnsi" w:eastAsiaTheme="minorEastAsia" w:hAnsiTheme="minorHAnsi"/>
            <w:noProof/>
            <w:sz w:val="22"/>
            <w:lang w:eastAsia="cs-CZ"/>
          </w:rPr>
          <w:tab/>
        </w:r>
        <w:r w:rsidR="00F6450E" w:rsidRPr="00DE667B">
          <w:rPr>
            <w:rStyle w:val="Hypertextovodkaz"/>
            <w:noProof/>
          </w:rPr>
          <w:t>Dočasná nedostupnost Rejstříku vyloučených osob či dalších databází, ze kterých systém AISG čerpá potřebná data</w:t>
        </w:r>
        <w:r w:rsidR="00F6450E">
          <w:rPr>
            <w:noProof/>
            <w:webHidden/>
          </w:rPr>
          <w:tab/>
        </w:r>
        <w:r w:rsidR="00F6450E">
          <w:rPr>
            <w:noProof/>
            <w:webHidden/>
          </w:rPr>
          <w:fldChar w:fldCharType="begin"/>
        </w:r>
        <w:r w:rsidR="00F6450E">
          <w:rPr>
            <w:noProof/>
            <w:webHidden/>
          </w:rPr>
          <w:instrText xml:space="preserve"> PAGEREF _Toc73606612 \h </w:instrText>
        </w:r>
        <w:r w:rsidR="00F6450E">
          <w:rPr>
            <w:noProof/>
            <w:webHidden/>
          </w:rPr>
        </w:r>
        <w:r w:rsidR="00F6450E">
          <w:rPr>
            <w:noProof/>
            <w:webHidden/>
          </w:rPr>
          <w:fldChar w:fldCharType="separate"/>
        </w:r>
        <w:r w:rsidR="00F6450E">
          <w:rPr>
            <w:noProof/>
            <w:webHidden/>
          </w:rPr>
          <w:t>21</w:t>
        </w:r>
        <w:r w:rsidR="00F6450E">
          <w:rPr>
            <w:noProof/>
            <w:webHidden/>
          </w:rPr>
          <w:fldChar w:fldCharType="end"/>
        </w:r>
      </w:hyperlink>
    </w:p>
    <w:p w14:paraId="11EBB130"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3" w:history="1">
        <w:r w:rsidR="00F6450E" w:rsidRPr="00DE667B">
          <w:rPr>
            <w:rStyle w:val="Hypertextovodkaz"/>
            <w:noProof/>
          </w:rPr>
          <w:t>iii.</w:t>
        </w:r>
        <w:r w:rsidR="00F6450E">
          <w:rPr>
            <w:rFonts w:asciiTheme="minorHAnsi" w:eastAsiaTheme="minorEastAsia" w:hAnsiTheme="minorHAnsi"/>
            <w:noProof/>
            <w:sz w:val="22"/>
            <w:lang w:eastAsia="cs-CZ"/>
          </w:rPr>
          <w:tab/>
        </w:r>
        <w:r w:rsidR="00F6450E" w:rsidRPr="00DE667B">
          <w:rPr>
            <w:rStyle w:val="Hypertextovodkaz"/>
            <w:noProof/>
          </w:rPr>
          <w:t>Prodloužení lhůty, po kterou fyzická osoba zapsaná v Rejstříku vyloučených osob na vlastní žádost nemůže podat žádost o výmaz</w:t>
        </w:r>
        <w:r w:rsidR="00F6450E">
          <w:rPr>
            <w:noProof/>
            <w:webHidden/>
          </w:rPr>
          <w:tab/>
        </w:r>
        <w:r w:rsidR="00F6450E">
          <w:rPr>
            <w:noProof/>
            <w:webHidden/>
          </w:rPr>
          <w:fldChar w:fldCharType="begin"/>
        </w:r>
        <w:r w:rsidR="00F6450E">
          <w:rPr>
            <w:noProof/>
            <w:webHidden/>
          </w:rPr>
          <w:instrText xml:space="preserve"> PAGEREF _Toc73606613 \h </w:instrText>
        </w:r>
        <w:r w:rsidR="00F6450E">
          <w:rPr>
            <w:noProof/>
            <w:webHidden/>
          </w:rPr>
        </w:r>
        <w:r w:rsidR="00F6450E">
          <w:rPr>
            <w:noProof/>
            <w:webHidden/>
          </w:rPr>
          <w:fldChar w:fldCharType="separate"/>
        </w:r>
        <w:r w:rsidR="00F6450E">
          <w:rPr>
            <w:noProof/>
            <w:webHidden/>
          </w:rPr>
          <w:t>22</w:t>
        </w:r>
        <w:r w:rsidR="00F6450E">
          <w:rPr>
            <w:noProof/>
            <w:webHidden/>
          </w:rPr>
          <w:fldChar w:fldCharType="end"/>
        </w:r>
      </w:hyperlink>
    </w:p>
    <w:p w14:paraId="19F94912"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14" w:history="1">
        <w:r w:rsidR="00F6450E" w:rsidRPr="00DE667B">
          <w:rPr>
            <w:rStyle w:val="Hypertextovodkaz"/>
            <w:noProof/>
          </w:rPr>
          <w:t>C.</w:t>
        </w:r>
        <w:r w:rsidR="00F6450E">
          <w:rPr>
            <w:rFonts w:asciiTheme="minorHAnsi" w:eastAsiaTheme="minorEastAsia" w:hAnsiTheme="minorHAnsi"/>
            <w:noProof/>
            <w:sz w:val="22"/>
            <w:lang w:eastAsia="cs-CZ"/>
          </w:rPr>
          <w:tab/>
        </w:r>
        <w:r w:rsidR="00F6450E" w:rsidRPr="00DE667B">
          <w:rPr>
            <w:rStyle w:val="Hypertextovodkaz"/>
            <w:noProof/>
          </w:rPr>
          <w:t>Informační povinnost u internetové hry</w:t>
        </w:r>
        <w:r w:rsidR="00F6450E">
          <w:rPr>
            <w:noProof/>
            <w:webHidden/>
          </w:rPr>
          <w:tab/>
        </w:r>
        <w:r w:rsidR="00F6450E">
          <w:rPr>
            <w:noProof/>
            <w:webHidden/>
          </w:rPr>
          <w:fldChar w:fldCharType="begin"/>
        </w:r>
        <w:r w:rsidR="00F6450E">
          <w:rPr>
            <w:noProof/>
            <w:webHidden/>
          </w:rPr>
          <w:instrText xml:space="preserve"> PAGEREF _Toc73606614 \h </w:instrText>
        </w:r>
        <w:r w:rsidR="00F6450E">
          <w:rPr>
            <w:noProof/>
            <w:webHidden/>
          </w:rPr>
        </w:r>
        <w:r w:rsidR="00F6450E">
          <w:rPr>
            <w:noProof/>
            <w:webHidden/>
          </w:rPr>
          <w:fldChar w:fldCharType="separate"/>
        </w:r>
        <w:r w:rsidR="00F6450E">
          <w:rPr>
            <w:noProof/>
            <w:webHidden/>
          </w:rPr>
          <w:t>24</w:t>
        </w:r>
        <w:r w:rsidR="00F6450E">
          <w:rPr>
            <w:noProof/>
            <w:webHidden/>
          </w:rPr>
          <w:fldChar w:fldCharType="end"/>
        </w:r>
      </w:hyperlink>
    </w:p>
    <w:p w14:paraId="0B74E7B9"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5" w:history="1">
        <w:r w:rsidR="00F6450E" w:rsidRPr="00DE667B">
          <w:rPr>
            <w:rStyle w:val="Hypertextovodkaz"/>
            <w:noProof/>
          </w:rPr>
          <w:t>i.</w:t>
        </w:r>
        <w:r w:rsidR="00F6450E">
          <w:rPr>
            <w:rFonts w:asciiTheme="minorHAnsi" w:eastAsiaTheme="minorEastAsia" w:hAnsiTheme="minorHAnsi"/>
            <w:noProof/>
            <w:sz w:val="22"/>
            <w:lang w:eastAsia="cs-CZ"/>
          </w:rPr>
          <w:tab/>
        </w:r>
        <w:r w:rsidR="00F6450E" w:rsidRPr="00DE667B">
          <w:rPr>
            <w:rStyle w:val="Hypertextovodkaz"/>
            <w:noProof/>
          </w:rPr>
          <w:t>Potřeba, aby informační povinnosti byly zřetelnější, čitelnější a snadno dostupné (dohledatelné)</w:t>
        </w:r>
        <w:r w:rsidR="00F6450E">
          <w:rPr>
            <w:noProof/>
            <w:webHidden/>
          </w:rPr>
          <w:tab/>
        </w:r>
        <w:r w:rsidR="00F6450E">
          <w:rPr>
            <w:noProof/>
            <w:webHidden/>
          </w:rPr>
          <w:fldChar w:fldCharType="begin"/>
        </w:r>
        <w:r w:rsidR="00F6450E">
          <w:rPr>
            <w:noProof/>
            <w:webHidden/>
          </w:rPr>
          <w:instrText xml:space="preserve"> PAGEREF _Toc73606615 \h </w:instrText>
        </w:r>
        <w:r w:rsidR="00F6450E">
          <w:rPr>
            <w:noProof/>
            <w:webHidden/>
          </w:rPr>
        </w:r>
        <w:r w:rsidR="00F6450E">
          <w:rPr>
            <w:noProof/>
            <w:webHidden/>
          </w:rPr>
          <w:fldChar w:fldCharType="separate"/>
        </w:r>
        <w:r w:rsidR="00F6450E">
          <w:rPr>
            <w:noProof/>
            <w:webHidden/>
          </w:rPr>
          <w:t>24</w:t>
        </w:r>
        <w:r w:rsidR="00F6450E">
          <w:rPr>
            <w:noProof/>
            <w:webHidden/>
          </w:rPr>
          <w:fldChar w:fldCharType="end"/>
        </w:r>
      </w:hyperlink>
    </w:p>
    <w:p w14:paraId="1EEA4FD1"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6616" w:history="1">
        <w:r w:rsidR="00F6450E" w:rsidRPr="00DE667B">
          <w:rPr>
            <w:rStyle w:val="Hypertextovodkaz"/>
            <w:noProof/>
          </w:rPr>
          <w:t>D.</w:t>
        </w:r>
        <w:r w:rsidR="00F6450E">
          <w:rPr>
            <w:rFonts w:asciiTheme="minorHAnsi" w:eastAsiaTheme="minorEastAsia" w:hAnsiTheme="minorHAnsi"/>
            <w:noProof/>
            <w:sz w:val="22"/>
            <w:lang w:eastAsia="cs-CZ"/>
          </w:rPr>
          <w:tab/>
        </w:r>
        <w:r w:rsidR="00F6450E" w:rsidRPr="00DE667B">
          <w:rPr>
            <w:rStyle w:val="Hypertextovodkaz"/>
            <w:noProof/>
          </w:rPr>
          <w:t>Reklama</w:t>
        </w:r>
        <w:r w:rsidR="00F6450E">
          <w:rPr>
            <w:noProof/>
            <w:webHidden/>
          </w:rPr>
          <w:tab/>
        </w:r>
        <w:r w:rsidR="00F6450E">
          <w:rPr>
            <w:noProof/>
            <w:webHidden/>
          </w:rPr>
          <w:fldChar w:fldCharType="begin"/>
        </w:r>
        <w:r w:rsidR="00F6450E">
          <w:rPr>
            <w:noProof/>
            <w:webHidden/>
          </w:rPr>
          <w:instrText xml:space="preserve"> PAGEREF _Toc73606616 \h </w:instrText>
        </w:r>
        <w:r w:rsidR="00F6450E">
          <w:rPr>
            <w:noProof/>
            <w:webHidden/>
          </w:rPr>
        </w:r>
        <w:r w:rsidR="00F6450E">
          <w:rPr>
            <w:noProof/>
            <w:webHidden/>
          </w:rPr>
          <w:fldChar w:fldCharType="separate"/>
        </w:r>
        <w:r w:rsidR="00F6450E">
          <w:rPr>
            <w:noProof/>
            <w:webHidden/>
          </w:rPr>
          <w:t>26</w:t>
        </w:r>
        <w:r w:rsidR="00F6450E">
          <w:rPr>
            <w:noProof/>
            <w:webHidden/>
          </w:rPr>
          <w:fldChar w:fldCharType="end"/>
        </w:r>
      </w:hyperlink>
    </w:p>
    <w:p w14:paraId="1E04D3D4"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7" w:history="1">
        <w:r w:rsidR="00F6450E" w:rsidRPr="00DE667B">
          <w:rPr>
            <w:rStyle w:val="Hypertextovodkaz"/>
            <w:noProof/>
          </w:rPr>
          <w:t>i.</w:t>
        </w:r>
        <w:r w:rsidR="00F6450E">
          <w:rPr>
            <w:rFonts w:asciiTheme="minorHAnsi" w:eastAsiaTheme="minorEastAsia" w:hAnsiTheme="minorHAnsi"/>
            <w:noProof/>
            <w:sz w:val="22"/>
            <w:lang w:eastAsia="cs-CZ"/>
          </w:rPr>
          <w:tab/>
        </w:r>
        <w:r w:rsidR="00F6450E" w:rsidRPr="00DE667B">
          <w:rPr>
            <w:rStyle w:val="Hypertextovodkaz"/>
            <w:noProof/>
          </w:rPr>
          <w:t>Reklama na herní prostor v blízkosti herního prostoru</w:t>
        </w:r>
        <w:r w:rsidR="00F6450E">
          <w:rPr>
            <w:noProof/>
            <w:webHidden/>
          </w:rPr>
          <w:tab/>
        </w:r>
        <w:r w:rsidR="00F6450E">
          <w:rPr>
            <w:noProof/>
            <w:webHidden/>
          </w:rPr>
          <w:fldChar w:fldCharType="begin"/>
        </w:r>
        <w:r w:rsidR="00F6450E">
          <w:rPr>
            <w:noProof/>
            <w:webHidden/>
          </w:rPr>
          <w:instrText xml:space="preserve"> PAGEREF _Toc73606617 \h </w:instrText>
        </w:r>
        <w:r w:rsidR="00F6450E">
          <w:rPr>
            <w:noProof/>
            <w:webHidden/>
          </w:rPr>
        </w:r>
        <w:r w:rsidR="00F6450E">
          <w:rPr>
            <w:noProof/>
            <w:webHidden/>
          </w:rPr>
          <w:fldChar w:fldCharType="separate"/>
        </w:r>
        <w:r w:rsidR="00F6450E">
          <w:rPr>
            <w:noProof/>
            <w:webHidden/>
          </w:rPr>
          <w:t>26</w:t>
        </w:r>
        <w:r w:rsidR="00F6450E">
          <w:rPr>
            <w:noProof/>
            <w:webHidden/>
          </w:rPr>
          <w:fldChar w:fldCharType="end"/>
        </w:r>
      </w:hyperlink>
    </w:p>
    <w:p w14:paraId="3A3F29C2"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8" w:history="1">
        <w:r w:rsidR="00F6450E" w:rsidRPr="00DE667B">
          <w:rPr>
            <w:rStyle w:val="Hypertextovodkaz"/>
            <w:noProof/>
          </w:rPr>
          <w:t>ii.</w:t>
        </w:r>
        <w:r w:rsidR="00F6450E">
          <w:rPr>
            <w:rFonts w:asciiTheme="minorHAnsi" w:eastAsiaTheme="minorEastAsia" w:hAnsiTheme="minorHAnsi"/>
            <w:noProof/>
            <w:sz w:val="22"/>
            <w:lang w:eastAsia="cs-CZ"/>
          </w:rPr>
          <w:tab/>
        </w:r>
        <w:r w:rsidR="00F6450E" w:rsidRPr="00DE667B">
          <w:rPr>
            <w:rStyle w:val="Hypertextovodkaz"/>
            <w:noProof/>
          </w:rPr>
          <w:t>Absence zákonných upozornění u SMS a tzv. push notifikací</w:t>
        </w:r>
        <w:r w:rsidR="00F6450E">
          <w:rPr>
            <w:noProof/>
            <w:webHidden/>
          </w:rPr>
          <w:tab/>
        </w:r>
        <w:r w:rsidR="00F6450E">
          <w:rPr>
            <w:noProof/>
            <w:webHidden/>
          </w:rPr>
          <w:fldChar w:fldCharType="begin"/>
        </w:r>
        <w:r w:rsidR="00F6450E">
          <w:rPr>
            <w:noProof/>
            <w:webHidden/>
          </w:rPr>
          <w:instrText xml:space="preserve"> PAGEREF _Toc73606618 \h </w:instrText>
        </w:r>
        <w:r w:rsidR="00F6450E">
          <w:rPr>
            <w:noProof/>
            <w:webHidden/>
          </w:rPr>
        </w:r>
        <w:r w:rsidR="00F6450E">
          <w:rPr>
            <w:noProof/>
            <w:webHidden/>
          </w:rPr>
          <w:fldChar w:fldCharType="separate"/>
        </w:r>
        <w:r w:rsidR="00F6450E">
          <w:rPr>
            <w:noProof/>
            <w:webHidden/>
          </w:rPr>
          <w:t>27</w:t>
        </w:r>
        <w:r w:rsidR="00F6450E">
          <w:rPr>
            <w:noProof/>
            <w:webHidden/>
          </w:rPr>
          <w:fldChar w:fldCharType="end"/>
        </w:r>
      </w:hyperlink>
    </w:p>
    <w:p w14:paraId="2431C4BB"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19" w:history="1">
        <w:r w:rsidR="00F6450E" w:rsidRPr="00DE667B">
          <w:rPr>
            <w:rStyle w:val="Hypertextovodkaz"/>
            <w:noProof/>
          </w:rPr>
          <w:t>iii.</w:t>
        </w:r>
        <w:r w:rsidR="00F6450E">
          <w:rPr>
            <w:rFonts w:asciiTheme="minorHAnsi" w:eastAsiaTheme="minorEastAsia" w:hAnsiTheme="minorHAnsi"/>
            <w:noProof/>
            <w:sz w:val="22"/>
            <w:lang w:eastAsia="cs-CZ"/>
          </w:rPr>
          <w:tab/>
        </w:r>
        <w:r w:rsidR="00F6450E" w:rsidRPr="00DE667B">
          <w:rPr>
            <w:rStyle w:val="Hypertextovodkaz"/>
            <w:noProof/>
          </w:rPr>
          <w:t>Absence zákonných upozornění při použití loga provozovatelů hazardních her</w:t>
        </w:r>
        <w:r w:rsidR="00F6450E">
          <w:rPr>
            <w:noProof/>
            <w:webHidden/>
          </w:rPr>
          <w:tab/>
        </w:r>
        <w:r w:rsidR="00F6450E">
          <w:rPr>
            <w:noProof/>
            <w:webHidden/>
          </w:rPr>
          <w:fldChar w:fldCharType="begin"/>
        </w:r>
        <w:r w:rsidR="00F6450E">
          <w:rPr>
            <w:noProof/>
            <w:webHidden/>
          </w:rPr>
          <w:instrText xml:space="preserve"> PAGEREF _Toc73606619 \h </w:instrText>
        </w:r>
        <w:r w:rsidR="00F6450E">
          <w:rPr>
            <w:noProof/>
            <w:webHidden/>
          </w:rPr>
        </w:r>
        <w:r w:rsidR="00F6450E">
          <w:rPr>
            <w:noProof/>
            <w:webHidden/>
          </w:rPr>
          <w:fldChar w:fldCharType="separate"/>
        </w:r>
        <w:r w:rsidR="00F6450E">
          <w:rPr>
            <w:noProof/>
            <w:webHidden/>
          </w:rPr>
          <w:t>29</w:t>
        </w:r>
        <w:r w:rsidR="00F6450E">
          <w:rPr>
            <w:noProof/>
            <w:webHidden/>
          </w:rPr>
          <w:fldChar w:fldCharType="end"/>
        </w:r>
      </w:hyperlink>
    </w:p>
    <w:p w14:paraId="2454F7D4"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20" w:history="1">
        <w:r w:rsidR="00F6450E" w:rsidRPr="00DE667B">
          <w:rPr>
            <w:rStyle w:val="Hypertextovodkaz"/>
            <w:noProof/>
          </w:rPr>
          <w:t>iv.</w:t>
        </w:r>
        <w:r w:rsidR="00F6450E">
          <w:rPr>
            <w:rFonts w:asciiTheme="minorHAnsi" w:eastAsiaTheme="minorEastAsia" w:hAnsiTheme="minorHAnsi"/>
            <w:noProof/>
            <w:sz w:val="22"/>
            <w:lang w:eastAsia="cs-CZ"/>
          </w:rPr>
          <w:tab/>
        </w:r>
        <w:r w:rsidR="00F6450E" w:rsidRPr="00DE667B">
          <w:rPr>
            <w:rStyle w:val="Hypertextovodkaz"/>
            <w:noProof/>
          </w:rPr>
          <w:t>Věcná příslušnost pro dozor nad dodržováním zákona o regulaci reklamy u hazardních her</w:t>
        </w:r>
        <w:r w:rsidR="00F6450E">
          <w:rPr>
            <w:noProof/>
            <w:webHidden/>
          </w:rPr>
          <w:tab/>
        </w:r>
        <w:r w:rsidR="00F6450E">
          <w:rPr>
            <w:noProof/>
            <w:webHidden/>
          </w:rPr>
          <w:fldChar w:fldCharType="begin"/>
        </w:r>
        <w:r w:rsidR="00F6450E">
          <w:rPr>
            <w:noProof/>
            <w:webHidden/>
          </w:rPr>
          <w:instrText xml:space="preserve"> PAGEREF _Toc73606620 \h </w:instrText>
        </w:r>
        <w:r w:rsidR="00F6450E">
          <w:rPr>
            <w:noProof/>
            <w:webHidden/>
          </w:rPr>
        </w:r>
        <w:r w:rsidR="00F6450E">
          <w:rPr>
            <w:noProof/>
            <w:webHidden/>
          </w:rPr>
          <w:fldChar w:fldCharType="separate"/>
        </w:r>
        <w:r w:rsidR="00F6450E">
          <w:rPr>
            <w:noProof/>
            <w:webHidden/>
          </w:rPr>
          <w:t>29</w:t>
        </w:r>
        <w:r w:rsidR="00F6450E">
          <w:rPr>
            <w:noProof/>
            <w:webHidden/>
          </w:rPr>
          <w:fldChar w:fldCharType="end"/>
        </w:r>
      </w:hyperlink>
    </w:p>
    <w:p w14:paraId="6AB434D6"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21" w:history="1">
        <w:r w:rsidR="00F6450E" w:rsidRPr="00DE667B">
          <w:rPr>
            <w:rStyle w:val="Hypertextovodkaz"/>
            <w:noProof/>
          </w:rPr>
          <w:t>v.</w:t>
        </w:r>
        <w:r w:rsidR="00F6450E">
          <w:rPr>
            <w:rFonts w:asciiTheme="minorHAnsi" w:eastAsiaTheme="minorEastAsia" w:hAnsiTheme="minorHAnsi"/>
            <w:noProof/>
            <w:sz w:val="22"/>
            <w:lang w:eastAsia="cs-CZ"/>
          </w:rPr>
          <w:tab/>
        </w:r>
        <w:r w:rsidR="00F6450E" w:rsidRPr="00DE667B">
          <w:rPr>
            <w:rStyle w:val="Hypertextovodkaz"/>
            <w:noProof/>
          </w:rPr>
          <w:t>Čitelnost</w:t>
        </w:r>
        <w:r w:rsidR="00F6450E">
          <w:rPr>
            <w:noProof/>
            <w:webHidden/>
          </w:rPr>
          <w:tab/>
        </w:r>
        <w:r w:rsidR="00F6450E">
          <w:rPr>
            <w:noProof/>
            <w:webHidden/>
          </w:rPr>
          <w:fldChar w:fldCharType="begin"/>
        </w:r>
        <w:r w:rsidR="00F6450E">
          <w:rPr>
            <w:noProof/>
            <w:webHidden/>
          </w:rPr>
          <w:instrText xml:space="preserve"> PAGEREF _Toc73606621 \h </w:instrText>
        </w:r>
        <w:r w:rsidR="00F6450E">
          <w:rPr>
            <w:noProof/>
            <w:webHidden/>
          </w:rPr>
        </w:r>
        <w:r w:rsidR="00F6450E">
          <w:rPr>
            <w:noProof/>
            <w:webHidden/>
          </w:rPr>
          <w:fldChar w:fldCharType="separate"/>
        </w:r>
        <w:r w:rsidR="00F6450E">
          <w:rPr>
            <w:noProof/>
            <w:webHidden/>
          </w:rPr>
          <w:t>31</w:t>
        </w:r>
        <w:r w:rsidR="00F6450E">
          <w:rPr>
            <w:noProof/>
            <w:webHidden/>
          </w:rPr>
          <w:fldChar w:fldCharType="end"/>
        </w:r>
      </w:hyperlink>
    </w:p>
    <w:p w14:paraId="1E5BF81F"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22" w:history="1">
        <w:r w:rsidR="00F6450E" w:rsidRPr="00DE667B">
          <w:rPr>
            <w:rStyle w:val="Hypertextovodkaz"/>
            <w:noProof/>
          </w:rPr>
          <w:t>vi.</w:t>
        </w:r>
        <w:r w:rsidR="00F6450E">
          <w:rPr>
            <w:rFonts w:asciiTheme="minorHAnsi" w:eastAsiaTheme="minorEastAsia" w:hAnsiTheme="minorHAnsi"/>
            <w:noProof/>
            <w:sz w:val="22"/>
            <w:lang w:eastAsia="cs-CZ"/>
          </w:rPr>
          <w:tab/>
        </w:r>
        <w:r w:rsidR="00F6450E" w:rsidRPr="00DE667B">
          <w:rPr>
            <w:rStyle w:val="Hypertextovodkaz"/>
            <w:noProof/>
          </w:rPr>
          <w:t>Problematika cílení na osoby mladší 18 let, vágní podmínky sdělení</w:t>
        </w:r>
        <w:r w:rsidR="00F6450E">
          <w:rPr>
            <w:noProof/>
            <w:webHidden/>
          </w:rPr>
          <w:tab/>
        </w:r>
        <w:r w:rsidR="00F6450E">
          <w:rPr>
            <w:noProof/>
            <w:webHidden/>
          </w:rPr>
          <w:fldChar w:fldCharType="begin"/>
        </w:r>
        <w:r w:rsidR="00F6450E">
          <w:rPr>
            <w:noProof/>
            <w:webHidden/>
          </w:rPr>
          <w:instrText xml:space="preserve"> PAGEREF _Toc73606622 \h </w:instrText>
        </w:r>
        <w:r w:rsidR="00F6450E">
          <w:rPr>
            <w:noProof/>
            <w:webHidden/>
          </w:rPr>
        </w:r>
        <w:r w:rsidR="00F6450E">
          <w:rPr>
            <w:noProof/>
            <w:webHidden/>
          </w:rPr>
          <w:fldChar w:fldCharType="separate"/>
        </w:r>
        <w:r w:rsidR="00F6450E">
          <w:rPr>
            <w:noProof/>
            <w:webHidden/>
          </w:rPr>
          <w:t>32</w:t>
        </w:r>
        <w:r w:rsidR="00F6450E">
          <w:rPr>
            <w:noProof/>
            <w:webHidden/>
          </w:rPr>
          <w:fldChar w:fldCharType="end"/>
        </w:r>
      </w:hyperlink>
    </w:p>
    <w:p w14:paraId="494A72D6"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6623" w:history="1">
        <w:r w:rsidR="00F6450E" w:rsidRPr="00DE667B">
          <w:rPr>
            <w:rStyle w:val="Hypertextovodkaz"/>
            <w:noProof/>
          </w:rPr>
          <w:t>vii.</w:t>
        </w:r>
        <w:r w:rsidR="00F6450E">
          <w:rPr>
            <w:rFonts w:asciiTheme="minorHAnsi" w:eastAsiaTheme="minorEastAsia" w:hAnsiTheme="minorHAnsi"/>
            <w:noProof/>
            <w:sz w:val="22"/>
            <w:lang w:eastAsia="cs-CZ"/>
          </w:rPr>
          <w:tab/>
        </w:r>
        <w:r w:rsidR="00F6450E" w:rsidRPr="00DE667B">
          <w:rPr>
            <w:rStyle w:val="Hypertextovodkaz"/>
            <w:noProof/>
          </w:rPr>
          <w:t>Problematika reklamy na sázkové poradenství, ze které lze nabýt dojmu, že účastí lze získat zdroj příjmů obdobným příjmům ze závislé, samostatné nebo jiné obdobné činnosti</w:t>
        </w:r>
        <w:r w:rsidR="00F6450E">
          <w:rPr>
            <w:noProof/>
            <w:webHidden/>
          </w:rPr>
          <w:tab/>
        </w:r>
        <w:r w:rsidR="00F6450E">
          <w:rPr>
            <w:noProof/>
            <w:webHidden/>
          </w:rPr>
          <w:fldChar w:fldCharType="begin"/>
        </w:r>
        <w:r w:rsidR="00F6450E">
          <w:rPr>
            <w:noProof/>
            <w:webHidden/>
          </w:rPr>
          <w:instrText xml:space="preserve"> PAGEREF _Toc73606623 \h </w:instrText>
        </w:r>
        <w:r w:rsidR="00F6450E">
          <w:rPr>
            <w:noProof/>
            <w:webHidden/>
          </w:rPr>
        </w:r>
        <w:r w:rsidR="00F6450E">
          <w:rPr>
            <w:noProof/>
            <w:webHidden/>
          </w:rPr>
          <w:fldChar w:fldCharType="separate"/>
        </w:r>
        <w:r w:rsidR="00F6450E">
          <w:rPr>
            <w:noProof/>
            <w:webHidden/>
          </w:rPr>
          <w:t>33</w:t>
        </w:r>
        <w:r w:rsidR="00F6450E">
          <w:rPr>
            <w:noProof/>
            <w:webHidden/>
          </w:rPr>
          <w:fldChar w:fldCharType="end"/>
        </w:r>
      </w:hyperlink>
    </w:p>
    <w:p w14:paraId="482450B6" w14:textId="77777777" w:rsidR="00F6450E" w:rsidRDefault="009C0B64" w:rsidP="00F6450E">
      <w:pPr>
        <w:pStyle w:val="Obsah6"/>
        <w:tabs>
          <w:tab w:val="left" w:pos="1767"/>
          <w:tab w:val="right" w:leader="dot" w:pos="9062"/>
        </w:tabs>
        <w:rPr>
          <w:rFonts w:asciiTheme="minorHAnsi" w:eastAsiaTheme="minorEastAsia" w:hAnsiTheme="minorHAnsi"/>
          <w:noProof/>
          <w:sz w:val="22"/>
          <w:lang w:eastAsia="cs-CZ"/>
        </w:rPr>
      </w:pPr>
      <w:hyperlink w:anchor="_Toc73606624" w:history="1">
        <w:r w:rsidR="00F6450E" w:rsidRPr="00DE667B">
          <w:rPr>
            <w:rStyle w:val="Hypertextovodkaz"/>
            <w:noProof/>
          </w:rPr>
          <w:t>viii.</w:t>
        </w:r>
        <w:r w:rsidR="00F6450E">
          <w:rPr>
            <w:rFonts w:asciiTheme="minorHAnsi" w:eastAsiaTheme="minorEastAsia" w:hAnsiTheme="minorHAnsi"/>
            <w:noProof/>
            <w:sz w:val="22"/>
            <w:lang w:eastAsia="cs-CZ"/>
          </w:rPr>
          <w:tab/>
        </w:r>
        <w:r w:rsidR="00F6450E" w:rsidRPr="00DE667B">
          <w:rPr>
            <w:rStyle w:val="Hypertextovodkaz"/>
            <w:noProof/>
          </w:rPr>
          <w:t>Problematika aktivit jednotlivců především na sociálních sítích nacházející se na hraně zákona o regulaci reklamy – tzv. influenceři a diskutující na fórech</w:t>
        </w:r>
        <w:r w:rsidR="00F6450E">
          <w:rPr>
            <w:noProof/>
            <w:webHidden/>
          </w:rPr>
          <w:tab/>
        </w:r>
        <w:r w:rsidR="00F6450E">
          <w:rPr>
            <w:noProof/>
            <w:webHidden/>
          </w:rPr>
          <w:fldChar w:fldCharType="begin"/>
        </w:r>
        <w:r w:rsidR="00F6450E">
          <w:rPr>
            <w:noProof/>
            <w:webHidden/>
          </w:rPr>
          <w:instrText xml:space="preserve"> PAGEREF _Toc73606624 \h </w:instrText>
        </w:r>
        <w:r w:rsidR="00F6450E">
          <w:rPr>
            <w:noProof/>
            <w:webHidden/>
          </w:rPr>
        </w:r>
        <w:r w:rsidR="00F6450E">
          <w:rPr>
            <w:noProof/>
            <w:webHidden/>
          </w:rPr>
          <w:fldChar w:fldCharType="separate"/>
        </w:r>
        <w:r w:rsidR="00F6450E">
          <w:rPr>
            <w:noProof/>
            <w:webHidden/>
          </w:rPr>
          <w:t>35</w:t>
        </w:r>
        <w:r w:rsidR="00F6450E">
          <w:rPr>
            <w:noProof/>
            <w:webHidden/>
          </w:rPr>
          <w:fldChar w:fldCharType="end"/>
        </w:r>
      </w:hyperlink>
    </w:p>
    <w:p w14:paraId="34392F35"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6625" w:history="1">
        <w:r w:rsidR="00F6450E" w:rsidRPr="00DE667B">
          <w:rPr>
            <w:rStyle w:val="Hypertextovodkaz"/>
            <w:noProof/>
          </w:rPr>
          <w:t>1.4</w:t>
        </w:r>
        <w:r w:rsidR="00F6450E">
          <w:rPr>
            <w:rFonts w:asciiTheme="minorHAnsi" w:eastAsiaTheme="minorEastAsia" w:hAnsiTheme="minorHAnsi"/>
            <w:noProof/>
            <w:sz w:val="22"/>
            <w:lang w:eastAsia="cs-CZ"/>
          </w:rPr>
          <w:tab/>
        </w:r>
        <w:r w:rsidR="00F6450E" w:rsidRPr="00DE667B">
          <w:rPr>
            <w:rStyle w:val="Hypertextovodkaz"/>
            <w:noProof/>
          </w:rPr>
          <w:t>Seznam tabulek, obrázků a grafů</w:t>
        </w:r>
        <w:r w:rsidR="00F6450E">
          <w:rPr>
            <w:noProof/>
            <w:webHidden/>
          </w:rPr>
          <w:tab/>
        </w:r>
        <w:r w:rsidR="00F6450E">
          <w:rPr>
            <w:noProof/>
            <w:webHidden/>
          </w:rPr>
          <w:fldChar w:fldCharType="begin"/>
        </w:r>
        <w:r w:rsidR="00F6450E">
          <w:rPr>
            <w:noProof/>
            <w:webHidden/>
          </w:rPr>
          <w:instrText xml:space="preserve"> PAGEREF _Toc73606625 \h </w:instrText>
        </w:r>
        <w:r w:rsidR="00F6450E">
          <w:rPr>
            <w:noProof/>
            <w:webHidden/>
          </w:rPr>
        </w:r>
        <w:r w:rsidR="00F6450E">
          <w:rPr>
            <w:noProof/>
            <w:webHidden/>
          </w:rPr>
          <w:fldChar w:fldCharType="separate"/>
        </w:r>
        <w:r w:rsidR="00F6450E">
          <w:rPr>
            <w:noProof/>
            <w:webHidden/>
          </w:rPr>
          <w:t>37</w:t>
        </w:r>
        <w:r w:rsidR="00F6450E">
          <w:rPr>
            <w:noProof/>
            <w:webHidden/>
          </w:rPr>
          <w:fldChar w:fldCharType="end"/>
        </w:r>
      </w:hyperlink>
    </w:p>
    <w:p w14:paraId="10D4DCF9" w14:textId="77777777" w:rsidR="00F6450E" w:rsidRDefault="009C0B64" w:rsidP="00F6450E">
      <w:pPr>
        <w:pStyle w:val="Obsah4"/>
        <w:tabs>
          <w:tab w:val="left" w:pos="1540"/>
          <w:tab w:val="right" w:leader="dot" w:pos="9062"/>
        </w:tabs>
        <w:rPr>
          <w:rFonts w:asciiTheme="minorHAnsi" w:eastAsiaTheme="minorEastAsia" w:hAnsiTheme="minorHAnsi"/>
          <w:noProof/>
          <w:sz w:val="22"/>
          <w:lang w:eastAsia="cs-CZ"/>
        </w:rPr>
      </w:pPr>
      <w:hyperlink w:anchor="_Toc73606626" w:history="1">
        <w:r w:rsidR="00F6450E" w:rsidRPr="00DE667B">
          <w:rPr>
            <w:rStyle w:val="Hypertextovodkaz"/>
            <w:noProof/>
          </w:rPr>
          <w:t>1.4.1</w:t>
        </w:r>
        <w:r w:rsidR="00F6450E">
          <w:rPr>
            <w:rFonts w:asciiTheme="minorHAnsi" w:eastAsiaTheme="minorEastAsia" w:hAnsiTheme="minorHAnsi"/>
            <w:noProof/>
            <w:sz w:val="22"/>
            <w:lang w:eastAsia="cs-CZ"/>
          </w:rPr>
          <w:tab/>
        </w:r>
        <w:r w:rsidR="00F6450E" w:rsidRPr="00DE667B">
          <w:rPr>
            <w:rStyle w:val="Hypertextovodkaz"/>
            <w:noProof/>
          </w:rPr>
          <w:t>Obrázky</w:t>
        </w:r>
        <w:r w:rsidR="00F6450E">
          <w:rPr>
            <w:noProof/>
            <w:webHidden/>
          </w:rPr>
          <w:tab/>
        </w:r>
        <w:r w:rsidR="00F6450E">
          <w:rPr>
            <w:noProof/>
            <w:webHidden/>
          </w:rPr>
          <w:fldChar w:fldCharType="begin"/>
        </w:r>
        <w:r w:rsidR="00F6450E">
          <w:rPr>
            <w:noProof/>
            <w:webHidden/>
          </w:rPr>
          <w:instrText xml:space="preserve"> PAGEREF _Toc73606626 \h </w:instrText>
        </w:r>
        <w:r w:rsidR="00F6450E">
          <w:rPr>
            <w:noProof/>
            <w:webHidden/>
          </w:rPr>
        </w:r>
        <w:r w:rsidR="00F6450E">
          <w:rPr>
            <w:noProof/>
            <w:webHidden/>
          </w:rPr>
          <w:fldChar w:fldCharType="separate"/>
        </w:r>
        <w:r w:rsidR="00F6450E">
          <w:rPr>
            <w:noProof/>
            <w:webHidden/>
          </w:rPr>
          <w:t>37</w:t>
        </w:r>
        <w:r w:rsidR="00F6450E">
          <w:rPr>
            <w:noProof/>
            <w:webHidden/>
          </w:rPr>
          <w:fldChar w:fldCharType="end"/>
        </w:r>
      </w:hyperlink>
    </w:p>
    <w:p w14:paraId="512DF254"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6627" w:history="1">
        <w:r w:rsidR="00F6450E" w:rsidRPr="00DE667B">
          <w:rPr>
            <w:rStyle w:val="Hypertextovodkaz"/>
            <w:noProof/>
          </w:rPr>
          <w:t>1.5</w:t>
        </w:r>
        <w:r w:rsidR="00F6450E">
          <w:rPr>
            <w:rFonts w:asciiTheme="minorHAnsi" w:eastAsiaTheme="minorEastAsia" w:hAnsiTheme="minorHAnsi"/>
            <w:noProof/>
            <w:sz w:val="22"/>
            <w:lang w:eastAsia="cs-CZ"/>
          </w:rPr>
          <w:tab/>
        </w:r>
        <w:r w:rsidR="00F6450E" w:rsidRPr="00DE667B">
          <w:rPr>
            <w:rStyle w:val="Hypertextovodkaz"/>
            <w:noProof/>
          </w:rPr>
          <w:t>Obsah</w:t>
        </w:r>
        <w:r w:rsidR="00F6450E">
          <w:rPr>
            <w:noProof/>
            <w:webHidden/>
          </w:rPr>
          <w:tab/>
        </w:r>
        <w:r w:rsidR="00F6450E">
          <w:rPr>
            <w:noProof/>
            <w:webHidden/>
          </w:rPr>
          <w:fldChar w:fldCharType="begin"/>
        </w:r>
        <w:r w:rsidR="00F6450E">
          <w:rPr>
            <w:noProof/>
            <w:webHidden/>
          </w:rPr>
          <w:instrText xml:space="preserve"> PAGEREF _Toc73606627 \h </w:instrText>
        </w:r>
        <w:r w:rsidR="00F6450E">
          <w:rPr>
            <w:noProof/>
            <w:webHidden/>
          </w:rPr>
        </w:r>
        <w:r w:rsidR="00F6450E">
          <w:rPr>
            <w:noProof/>
            <w:webHidden/>
          </w:rPr>
          <w:fldChar w:fldCharType="separate"/>
        </w:r>
        <w:r w:rsidR="00F6450E">
          <w:rPr>
            <w:noProof/>
            <w:webHidden/>
          </w:rPr>
          <w:t>37</w:t>
        </w:r>
        <w:r w:rsidR="00F6450E">
          <w:rPr>
            <w:noProof/>
            <w:webHidden/>
          </w:rPr>
          <w:fldChar w:fldCharType="end"/>
        </w:r>
      </w:hyperlink>
    </w:p>
    <w:p w14:paraId="4EE65DA8" w14:textId="6AB6715B" w:rsidR="00F6450E" w:rsidRPr="00F6450E" w:rsidRDefault="00F6450E" w:rsidP="00F6450E">
      <w:pPr>
        <w:rPr>
          <w:highlight w:val="lightGray"/>
        </w:rPr>
      </w:pPr>
      <w:r>
        <w:fldChar w:fldCharType="end"/>
      </w:r>
    </w:p>
    <w:p w14:paraId="26F941F5" w14:textId="1BB36E96" w:rsidR="00A861A9" w:rsidRPr="00F17245" w:rsidRDefault="00E91C8F" w:rsidP="00E91C8F">
      <w:pPr>
        <w:pStyle w:val="Nadpis3"/>
        <w:numPr>
          <w:ilvl w:val="0"/>
          <w:numId w:val="0"/>
        </w:numPr>
        <w:ind w:left="720" w:hanging="720"/>
      </w:pPr>
      <w:bookmarkStart w:id="184" w:name="_Toc72999598"/>
      <w:bookmarkStart w:id="185" w:name="_Toc73613654"/>
      <w:r w:rsidRPr="00F17245">
        <w:t xml:space="preserve">Příloha č. 4: </w:t>
      </w:r>
      <w:r w:rsidR="00A861A9" w:rsidRPr="00F17245">
        <w:t>Registrace a uživatelské konto</w:t>
      </w:r>
      <w:bookmarkEnd w:id="184"/>
      <w:bookmarkEnd w:id="185"/>
    </w:p>
    <w:p w14:paraId="2C67B41C" w14:textId="3863EFA4" w:rsidR="00A77407" w:rsidRDefault="00A77407" w:rsidP="00A77407">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2175532A" w14:textId="77777777" w:rsidR="00A77407" w:rsidRDefault="009C0B64" w:rsidP="00A77407">
      <w:pPr>
        <w:pStyle w:val="Obsah3"/>
        <w:tabs>
          <w:tab w:val="left" w:pos="1200"/>
          <w:tab w:val="right" w:leader="dot" w:pos="9062"/>
        </w:tabs>
        <w:rPr>
          <w:rFonts w:asciiTheme="minorHAnsi" w:eastAsiaTheme="minorEastAsia" w:hAnsiTheme="minorHAnsi"/>
          <w:noProof/>
          <w:sz w:val="22"/>
          <w:lang w:eastAsia="cs-CZ"/>
        </w:rPr>
      </w:pPr>
      <w:hyperlink w:anchor="_Toc73608837" w:history="1">
        <w:r w:rsidR="00A77407" w:rsidRPr="00D35D7B">
          <w:rPr>
            <w:rStyle w:val="Hypertextovodkaz"/>
            <w:noProof/>
          </w:rPr>
          <w:t>1.1</w:t>
        </w:r>
        <w:r w:rsidR="00A77407">
          <w:rPr>
            <w:rFonts w:asciiTheme="minorHAnsi" w:eastAsiaTheme="minorEastAsia" w:hAnsiTheme="minorHAnsi"/>
            <w:noProof/>
            <w:sz w:val="22"/>
            <w:lang w:eastAsia="cs-CZ"/>
          </w:rPr>
          <w:tab/>
        </w:r>
        <w:r w:rsidR="00A77407" w:rsidRPr="00D35D7B">
          <w:rPr>
            <w:rStyle w:val="Hypertextovodkaz"/>
            <w:noProof/>
          </w:rPr>
          <w:t>Konkrétní popis regulace obsažené v zákoně o loteriích</w:t>
        </w:r>
        <w:r w:rsidR="00A77407">
          <w:rPr>
            <w:noProof/>
            <w:webHidden/>
          </w:rPr>
          <w:tab/>
        </w:r>
        <w:r w:rsidR="00A77407">
          <w:rPr>
            <w:noProof/>
            <w:webHidden/>
          </w:rPr>
          <w:fldChar w:fldCharType="begin"/>
        </w:r>
        <w:r w:rsidR="00A77407">
          <w:rPr>
            <w:noProof/>
            <w:webHidden/>
          </w:rPr>
          <w:instrText xml:space="preserve"> PAGEREF _Toc73608837 \h </w:instrText>
        </w:r>
        <w:r w:rsidR="00A77407">
          <w:rPr>
            <w:noProof/>
            <w:webHidden/>
          </w:rPr>
        </w:r>
        <w:r w:rsidR="00A77407">
          <w:rPr>
            <w:noProof/>
            <w:webHidden/>
          </w:rPr>
          <w:fldChar w:fldCharType="separate"/>
        </w:r>
        <w:r w:rsidR="00A77407">
          <w:rPr>
            <w:noProof/>
            <w:webHidden/>
          </w:rPr>
          <w:t>1</w:t>
        </w:r>
        <w:r w:rsidR="00A77407">
          <w:rPr>
            <w:noProof/>
            <w:webHidden/>
          </w:rPr>
          <w:fldChar w:fldCharType="end"/>
        </w:r>
      </w:hyperlink>
    </w:p>
    <w:p w14:paraId="2D04468E" w14:textId="77777777" w:rsidR="00A77407" w:rsidRDefault="009C0B64" w:rsidP="00A77407">
      <w:pPr>
        <w:pStyle w:val="Obsah3"/>
        <w:tabs>
          <w:tab w:val="left" w:pos="1200"/>
          <w:tab w:val="right" w:leader="dot" w:pos="9062"/>
        </w:tabs>
        <w:rPr>
          <w:rFonts w:asciiTheme="minorHAnsi" w:eastAsiaTheme="minorEastAsia" w:hAnsiTheme="minorHAnsi"/>
          <w:noProof/>
          <w:sz w:val="22"/>
          <w:lang w:eastAsia="cs-CZ"/>
        </w:rPr>
      </w:pPr>
      <w:hyperlink w:anchor="_Toc73608838" w:history="1">
        <w:r w:rsidR="00A77407" w:rsidRPr="00D35D7B">
          <w:rPr>
            <w:rStyle w:val="Hypertextovodkaz"/>
            <w:noProof/>
          </w:rPr>
          <w:t>1.2</w:t>
        </w:r>
        <w:r w:rsidR="00A77407">
          <w:rPr>
            <w:rFonts w:asciiTheme="minorHAnsi" w:eastAsiaTheme="minorEastAsia" w:hAnsiTheme="minorHAnsi"/>
            <w:noProof/>
            <w:sz w:val="22"/>
            <w:lang w:eastAsia="cs-CZ"/>
          </w:rPr>
          <w:tab/>
        </w:r>
        <w:r w:rsidR="00A77407" w:rsidRPr="00D35D7B">
          <w:rPr>
            <w:rStyle w:val="Hypertextovodkaz"/>
            <w:noProof/>
          </w:rPr>
          <w:t>Konkrétní popis regulace obsažené v zákoně o hazardních hrách</w:t>
        </w:r>
        <w:r w:rsidR="00A77407">
          <w:rPr>
            <w:noProof/>
            <w:webHidden/>
          </w:rPr>
          <w:tab/>
        </w:r>
        <w:r w:rsidR="00A77407">
          <w:rPr>
            <w:noProof/>
            <w:webHidden/>
          </w:rPr>
          <w:fldChar w:fldCharType="begin"/>
        </w:r>
        <w:r w:rsidR="00A77407">
          <w:rPr>
            <w:noProof/>
            <w:webHidden/>
          </w:rPr>
          <w:instrText xml:space="preserve"> PAGEREF _Toc73608838 \h </w:instrText>
        </w:r>
        <w:r w:rsidR="00A77407">
          <w:rPr>
            <w:noProof/>
            <w:webHidden/>
          </w:rPr>
        </w:r>
        <w:r w:rsidR="00A77407">
          <w:rPr>
            <w:noProof/>
            <w:webHidden/>
          </w:rPr>
          <w:fldChar w:fldCharType="separate"/>
        </w:r>
        <w:r w:rsidR="00A77407">
          <w:rPr>
            <w:noProof/>
            <w:webHidden/>
          </w:rPr>
          <w:t>1</w:t>
        </w:r>
        <w:r w:rsidR="00A77407">
          <w:rPr>
            <w:noProof/>
            <w:webHidden/>
          </w:rPr>
          <w:fldChar w:fldCharType="end"/>
        </w:r>
      </w:hyperlink>
    </w:p>
    <w:p w14:paraId="18137654" w14:textId="77777777" w:rsidR="00A77407" w:rsidRDefault="009C0B64" w:rsidP="00A77407">
      <w:pPr>
        <w:pStyle w:val="Obsah5"/>
        <w:tabs>
          <w:tab w:val="left" w:pos="1540"/>
          <w:tab w:val="right" w:leader="dot" w:pos="9062"/>
        </w:tabs>
        <w:rPr>
          <w:rFonts w:asciiTheme="minorHAnsi" w:eastAsiaTheme="minorEastAsia" w:hAnsiTheme="minorHAnsi"/>
          <w:noProof/>
          <w:sz w:val="22"/>
          <w:lang w:eastAsia="cs-CZ"/>
        </w:rPr>
      </w:pPr>
      <w:hyperlink w:anchor="_Toc73608839" w:history="1">
        <w:r w:rsidR="00A77407" w:rsidRPr="00D35D7B">
          <w:rPr>
            <w:rStyle w:val="Hypertextovodkaz"/>
            <w:noProof/>
            <w:lang w:eastAsia="en-GB"/>
            <w14:scene3d>
              <w14:camera w14:prst="orthographicFront"/>
              <w14:lightRig w14:rig="threePt" w14:dir="t">
                <w14:rot w14:lat="0" w14:lon="0" w14:rev="0"/>
              </w14:lightRig>
            </w14:scene3d>
          </w:rPr>
          <w:t>A.</w:t>
        </w:r>
        <w:r w:rsidR="00A77407">
          <w:rPr>
            <w:rFonts w:asciiTheme="minorHAnsi" w:eastAsiaTheme="minorEastAsia" w:hAnsiTheme="minorHAnsi"/>
            <w:noProof/>
            <w:sz w:val="22"/>
            <w:lang w:eastAsia="cs-CZ"/>
          </w:rPr>
          <w:tab/>
        </w:r>
        <w:r w:rsidR="00A77407" w:rsidRPr="00D35D7B">
          <w:rPr>
            <w:rStyle w:val="Hypertextovodkaz"/>
            <w:noProof/>
            <w:lang w:eastAsia="en-GB"/>
          </w:rPr>
          <w:t>Registrace</w:t>
        </w:r>
        <w:r w:rsidR="00A77407">
          <w:rPr>
            <w:noProof/>
            <w:webHidden/>
          </w:rPr>
          <w:tab/>
        </w:r>
        <w:r w:rsidR="00A77407">
          <w:rPr>
            <w:noProof/>
            <w:webHidden/>
          </w:rPr>
          <w:fldChar w:fldCharType="begin"/>
        </w:r>
        <w:r w:rsidR="00A77407">
          <w:rPr>
            <w:noProof/>
            <w:webHidden/>
          </w:rPr>
          <w:instrText xml:space="preserve"> PAGEREF _Toc73608839 \h </w:instrText>
        </w:r>
        <w:r w:rsidR="00A77407">
          <w:rPr>
            <w:noProof/>
            <w:webHidden/>
          </w:rPr>
        </w:r>
        <w:r w:rsidR="00A77407">
          <w:rPr>
            <w:noProof/>
            <w:webHidden/>
          </w:rPr>
          <w:fldChar w:fldCharType="separate"/>
        </w:r>
        <w:r w:rsidR="00A77407">
          <w:rPr>
            <w:noProof/>
            <w:webHidden/>
          </w:rPr>
          <w:t>1</w:t>
        </w:r>
        <w:r w:rsidR="00A77407">
          <w:rPr>
            <w:noProof/>
            <w:webHidden/>
          </w:rPr>
          <w:fldChar w:fldCharType="end"/>
        </w:r>
      </w:hyperlink>
    </w:p>
    <w:p w14:paraId="3DAF2598" w14:textId="77777777" w:rsidR="00A77407" w:rsidRDefault="009C0B64" w:rsidP="00A77407">
      <w:pPr>
        <w:pStyle w:val="Obsah5"/>
        <w:tabs>
          <w:tab w:val="left" w:pos="1540"/>
          <w:tab w:val="right" w:leader="dot" w:pos="9062"/>
        </w:tabs>
        <w:rPr>
          <w:rFonts w:asciiTheme="minorHAnsi" w:eastAsiaTheme="minorEastAsia" w:hAnsiTheme="minorHAnsi"/>
          <w:noProof/>
          <w:sz w:val="22"/>
          <w:lang w:eastAsia="cs-CZ"/>
        </w:rPr>
      </w:pPr>
      <w:hyperlink w:anchor="_Toc73608840" w:history="1">
        <w:r w:rsidR="00A77407" w:rsidRPr="00D35D7B">
          <w:rPr>
            <w:rStyle w:val="Hypertextovodkaz"/>
            <w:noProof/>
            <w:lang w:eastAsia="en-GB"/>
            <w14:scene3d>
              <w14:camera w14:prst="orthographicFront"/>
              <w14:lightRig w14:rig="threePt" w14:dir="t">
                <w14:rot w14:lat="0" w14:lon="0" w14:rev="0"/>
              </w14:lightRig>
            </w14:scene3d>
          </w:rPr>
          <w:t>B.</w:t>
        </w:r>
        <w:r w:rsidR="00A77407">
          <w:rPr>
            <w:rFonts w:asciiTheme="minorHAnsi" w:eastAsiaTheme="minorEastAsia" w:hAnsiTheme="minorHAnsi"/>
            <w:noProof/>
            <w:sz w:val="22"/>
            <w:lang w:eastAsia="cs-CZ"/>
          </w:rPr>
          <w:tab/>
        </w:r>
        <w:r w:rsidR="00A77407" w:rsidRPr="00D35D7B">
          <w:rPr>
            <w:rStyle w:val="Hypertextovodkaz"/>
            <w:noProof/>
            <w:lang w:eastAsia="en-GB"/>
          </w:rPr>
          <w:t>Uživatelské konto</w:t>
        </w:r>
        <w:r w:rsidR="00A77407">
          <w:rPr>
            <w:noProof/>
            <w:webHidden/>
          </w:rPr>
          <w:tab/>
        </w:r>
        <w:r w:rsidR="00A77407">
          <w:rPr>
            <w:noProof/>
            <w:webHidden/>
          </w:rPr>
          <w:fldChar w:fldCharType="begin"/>
        </w:r>
        <w:r w:rsidR="00A77407">
          <w:rPr>
            <w:noProof/>
            <w:webHidden/>
          </w:rPr>
          <w:instrText xml:space="preserve"> PAGEREF _Toc73608840 \h </w:instrText>
        </w:r>
        <w:r w:rsidR="00A77407">
          <w:rPr>
            <w:noProof/>
            <w:webHidden/>
          </w:rPr>
        </w:r>
        <w:r w:rsidR="00A77407">
          <w:rPr>
            <w:noProof/>
            <w:webHidden/>
          </w:rPr>
          <w:fldChar w:fldCharType="separate"/>
        </w:r>
        <w:r w:rsidR="00A77407">
          <w:rPr>
            <w:noProof/>
            <w:webHidden/>
          </w:rPr>
          <w:t>6</w:t>
        </w:r>
        <w:r w:rsidR="00A77407">
          <w:rPr>
            <w:noProof/>
            <w:webHidden/>
          </w:rPr>
          <w:fldChar w:fldCharType="end"/>
        </w:r>
      </w:hyperlink>
    </w:p>
    <w:p w14:paraId="03421116" w14:textId="77777777" w:rsidR="00A77407" w:rsidRDefault="009C0B64" w:rsidP="00A77407">
      <w:pPr>
        <w:pStyle w:val="Obsah3"/>
        <w:tabs>
          <w:tab w:val="left" w:pos="1200"/>
          <w:tab w:val="right" w:leader="dot" w:pos="9062"/>
        </w:tabs>
        <w:rPr>
          <w:rFonts w:asciiTheme="minorHAnsi" w:eastAsiaTheme="minorEastAsia" w:hAnsiTheme="minorHAnsi"/>
          <w:noProof/>
          <w:sz w:val="22"/>
          <w:lang w:eastAsia="cs-CZ"/>
        </w:rPr>
      </w:pPr>
      <w:hyperlink w:anchor="_Toc73608841" w:history="1">
        <w:r w:rsidR="00A77407" w:rsidRPr="00D35D7B">
          <w:rPr>
            <w:rStyle w:val="Hypertextovodkaz"/>
            <w:noProof/>
          </w:rPr>
          <w:t>1.3</w:t>
        </w:r>
        <w:r w:rsidR="00A77407">
          <w:rPr>
            <w:rFonts w:asciiTheme="minorHAnsi" w:eastAsiaTheme="minorEastAsia" w:hAnsiTheme="minorHAnsi"/>
            <w:noProof/>
            <w:sz w:val="22"/>
            <w:lang w:eastAsia="cs-CZ"/>
          </w:rPr>
          <w:tab/>
        </w:r>
        <w:r w:rsidR="00A77407" w:rsidRPr="00D35D7B">
          <w:rPr>
            <w:rStyle w:val="Hypertextovodkaz"/>
            <w:noProof/>
          </w:rPr>
          <w:t>Konkrétní popis nástrojů, včetně oblastí, na které by bylo vhodné se v budoucnu zaměřit, a návrh doporučení či možných variant řešení</w:t>
        </w:r>
        <w:r w:rsidR="00A77407">
          <w:rPr>
            <w:noProof/>
            <w:webHidden/>
          </w:rPr>
          <w:tab/>
        </w:r>
        <w:r w:rsidR="00A77407">
          <w:rPr>
            <w:noProof/>
            <w:webHidden/>
          </w:rPr>
          <w:fldChar w:fldCharType="begin"/>
        </w:r>
        <w:r w:rsidR="00A77407">
          <w:rPr>
            <w:noProof/>
            <w:webHidden/>
          </w:rPr>
          <w:instrText xml:space="preserve"> PAGEREF _Toc73608841 \h </w:instrText>
        </w:r>
        <w:r w:rsidR="00A77407">
          <w:rPr>
            <w:noProof/>
            <w:webHidden/>
          </w:rPr>
        </w:r>
        <w:r w:rsidR="00A77407">
          <w:rPr>
            <w:noProof/>
            <w:webHidden/>
          </w:rPr>
          <w:fldChar w:fldCharType="separate"/>
        </w:r>
        <w:r w:rsidR="00A77407">
          <w:rPr>
            <w:noProof/>
            <w:webHidden/>
          </w:rPr>
          <w:t>11</w:t>
        </w:r>
        <w:r w:rsidR="00A77407">
          <w:rPr>
            <w:noProof/>
            <w:webHidden/>
          </w:rPr>
          <w:fldChar w:fldCharType="end"/>
        </w:r>
      </w:hyperlink>
    </w:p>
    <w:p w14:paraId="18963CCE" w14:textId="77777777" w:rsidR="00A77407" w:rsidRDefault="009C0B64" w:rsidP="00A77407">
      <w:pPr>
        <w:pStyle w:val="Obsah5"/>
        <w:tabs>
          <w:tab w:val="left" w:pos="1540"/>
          <w:tab w:val="right" w:leader="dot" w:pos="9062"/>
        </w:tabs>
        <w:rPr>
          <w:rFonts w:asciiTheme="minorHAnsi" w:eastAsiaTheme="minorEastAsia" w:hAnsiTheme="minorHAnsi"/>
          <w:noProof/>
          <w:sz w:val="22"/>
          <w:lang w:eastAsia="cs-CZ"/>
        </w:rPr>
      </w:pPr>
      <w:hyperlink w:anchor="_Toc73608842" w:history="1">
        <w:r w:rsidR="00A77407" w:rsidRPr="00D35D7B">
          <w:rPr>
            <w:rStyle w:val="Hypertextovodkaz"/>
            <w:noProof/>
            <w14:scene3d>
              <w14:camera w14:prst="orthographicFront"/>
              <w14:lightRig w14:rig="threePt" w14:dir="t">
                <w14:rot w14:lat="0" w14:lon="0" w14:rev="0"/>
              </w14:lightRig>
            </w14:scene3d>
          </w:rPr>
          <w:t>A.</w:t>
        </w:r>
        <w:r w:rsidR="00A77407">
          <w:rPr>
            <w:rFonts w:asciiTheme="minorHAnsi" w:eastAsiaTheme="minorEastAsia" w:hAnsiTheme="minorHAnsi"/>
            <w:noProof/>
            <w:sz w:val="22"/>
            <w:lang w:eastAsia="cs-CZ"/>
          </w:rPr>
          <w:tab/>
        </w:r>
        <w:r w:rsidR="00A77407" w:rsidRPr="00D35D7B">
          <w:rPr>
            <w:rStyle w:val="Hypertextovodkaz"/>
            <w:noProof/>
          </w:rPr>
          <w:t>Registrace</w:t>
        </w:r>
        <w:r w:rsidR="00A77407">
          <w:rPr>
            <w:noProof/>
            <w:webHidden/>
          </w:rPr>
          <w:tab/>
        </w:r>
        <w:r w:rsidR="00A77407">
          <w:rPr>
            <w:noProof/>
            <w:webHidden/>
          </w:rPr>
          <w:fldChar w:fldCharType="begin"/>
        </w:r>
        <w:r w:rsidR="00A77407">
          <w:rPr>
            <w:noProof/>
            <w:webHidden/>
          </w:rPr>
          <w:instrText xml:space="preserve"> PAGEREF _Toc73608842 \h </w:instrText>
        </w:r>
        <w:r w:rsidR="00A77407">
          <w:rPr>
            <w:noProof/>
            <w:webHidden/>
          </w:rPr>
        </w:r>
        <w:r w:rsidR="00A77407">
          <w:rPr>
            <w:noProof/>
            <w:webHidden/>
          </w:rPr>
          <w:fldChar w:fldCharType="separate"/>
        </w:r>
        <w:r w:rsidR="00A77407">
          <w:rPr>
            <w:noProof/>
            <w:webHidden/>
          </w:rPr>
          <w:t>11</w:t>
        </w:r>
        <w:r w:rsidR="00A77407">
          <w:rPr>
            <w:noProof/>
            <w:webHidden/>
          </w:rPr>
          <w:fldChar w:fldCharType="end"/>
        </w:r>
      </w:hyperlink>
    </w:p>
    <w:p w14:paraId="56A76D13"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3" w:history="1">
        <w:r w:rsidR="00A77407" w:rsidRPr="00D35D7B">
          <w:rPr>
            <w:rStyle w:val="Hypertextovodkaz"/>
            <w:noProof/>
          </w:rPr>
          <w:t>i.</w:t>
        </w:r>
        <w:r w:rsidR="00A77407">
          <w:rPr>
            <w:rFonts w:asciiTheme="minorHAnsi" w:eastAsiaTheme="minorEastAsia" w:hAnsiTheme="minorHAnsi"/>
            <w:noProof/>
            <w:sz w:val="22"/>
            <w:lang w:eastAsia="cs-CZ"/>
          </w:rPr>
          <w:tab/>
        </w:r>
        <w:r w:rsidR="00A77407" w:rsidRPr="00D35D7B">
          <w:rPr>
            <w:rStyle w:val="Hypertextovodkaz"/>
            <w:noProof/>
          </w:rPr>
          <w:t>Zajištění ověření totožnosti a věku dálkovým způsobem u kursové sázky provozované formou land-based</w:t>
        </w:r>
        <w:r w:rsidR="00A77407">
          <w:rPr>
            <w:noProof/>
            <w:webHidden/>
          </w:rPr>
          <w:tab/>
        </w:r>
        <w:r w:rsidR="00A77407">
          <w:rPr>
            <w:noProof/>
            <w:webHidden/>
          </w:rPr>
          <w:fldChar w:fldCharType="begin"/>
        </w:r>
        <w:r w:rsidR="00A77407">
          <w:rPr>
            <w:noProof/>
            <w:webHidden/>
          </w:rPr>
          <w:instrText xml:space="preserve"> PAGEREF _Toc73608843 \h </w:instrText>
        </w:r>
        <w:r w:rsidR="00A77407">
          <w:rPr>
            <w:noProof/>
            <w:webHidden/>
          </w:rPr>
        </w:r>
        <w:r w:rsidR="00A77407">
          <w:rPr>
            <w:noProof/>
            <w:webHidden/>
          </w:rPr>
          <w:fldChar w:fldCharType="separate"/>
        </w:r>
        <w:r w:rsidR="00A77407">
          <w:rPr>
            <w:noProof/>
            <w:webHidden/>
          </w:rPr>
          <w:t>11</w:t>
        </w:r>
        <w:r w:rsidR="00A77407">
          <w:rPr>
            <w:noProof/>
            <w:webHidden/>
          </w:rPr>
          <w:fldChar w:fldCharType="end"/>
        </w:r>
      </w:hyperlink>
    </w:p>
    <w:p w14:paraId="70105242"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4" w:history="1">
        <w:r w:rsidR="00A77407" w:rsidRPr="00D35D7B">
          <w:rPr>
            <w:rStyle w:val="Hypertextovodkaz"/>
            <w:noProof/>
          </w:rPr>
          <w:t>ii.</w:t>
        </w:r>
        <w:r w:rsidR="00A77407">
          <w:rPr>
            <w:rFonts w:asciiTheme="minorHAnsi" w:eastAsiaTheme="minorEastAsia" w:hAnsiTheme="minorHAnsi"/>
            <w:noProof/>
            <w:sz w:val="22"/>
            <w:lang w:eastAsia="cs-CZ"/>
          </w:rPr>
          <w:tab/>
        </w:r>
        <w:r w:rsidR="00A77407" w:rsidRPr="00D35D7B">
          <w:rPr>
            <w:rStyle w:val="Hypertextovodkaz"/>
            <w:noProof/>
          </w:rPr>
          <w:t>Úprava povinnosti žadatele o registraci poskytnout kontaktní údaje</w:t>
        </w:r>
        <w:r w:rsidR="00A77407">
          <w:rPr>
            <w:noProof/>
            <w:webHidden/>
          </w:rPr>
          <w:tab/>
        </w:r>
        <w:r w:rsidR="00A77407">
          <w:rPr>
            <w:noProof/>
            <w:webHidden/>
          </w:rPr>
          <w:fldChar w:fldCharType="begin"/>
        </w:r>
        <w:r w:rsidR="00A77407">
          <w:rPr>
            <w:noProof/>
            <w:webHidden/>
          </w:rPr>
          <w:instrText xml:space="preserve"> PAGEREF _Toc73608844 \h </w:instrText>
        </w:r>
        <w:r w:rsidR="00A77407">
          <w:rPr>
            <w:noProof/>
            <w:webHidden/>
          </w:rPr>
        </w:r>
        <w:r w:rsidR="00A77407">
          <w:rPr>
            <w:noProof/>
            <w:webHidden/>
          </w:rPr>
          <w:fldChar w:fldCharType="separate"/>
        </w:r>
        <w:r w:rsidR="00A77407">
          <w:rPr>
            <w:noProof/>
            <w:webHidden/>
          </w:rPr>
          <w:t>13</w:t>
        </w:r>
        <w:r w:rsidR="00A77407">
          <w:rPr>
            <w:noProof/>
            <w:webHidden/>
          </w:rPr>
          <w:fldChar w:fldCharType="end"/>
        </w:r>
      </w:hyperlink>
    </w:p>
    <w:p w14:paraId="3D309E72"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5" w:history="1">
        <w:r w:rsidR="00A77407" w:rsidRPr="00D35D7B">
          <w:rPr>
            <w:rStyle w:val="Hypertextovodkaz"/>
            <w:noProof/>
          </w:rPr>
          <w:t>iii.</w:t>
        </w:r>
        <w:r w:rsidR="00A77407">
          <w:rPr>
            <w:rFonts w:asciiTheme="minorHAnsi" w:eastAsiaTheme="minorEastAsia" w:hAnsiTheme="minorHAnsi"/>
            <w:noProof/>
            <w:sz w:val="22"/>
            <w:lang w:eastAsia="cs-CZ"/>
          </w:rPr>
          <w:tab/>
        </w:r>
        <w:r w:rsidR="00A77407" w:rsidRPr="00D35D7B">
          <w:rPr>
            <w:rStyle w:val="Hypertextovodkaz"/>
            <w:noProof/>
          </w:rPr>
          <w:t>Potvrzování kontaktních údajů</w:t>
        </w:r>
        <w:r w:rsidR="00A77407">
          <w:rPr>
            <w:noProof/>
            <w:webHidden/>
          </w:rPr>
          <w:tab/>
        </w:r>
        <w:r w:rsidR="00A77407">
          <w:rPr>
            <w:noProof/>
            <w:webHidden/>
          </w:rPr>
          <w:fldChar w:fldCharType="begin"/>
        </w:r>
        <w:r w:rsidR="00A77407">
          <w:rPr>
            <w:noProof/>
            <w:webHidden/>
          </w:rPr>
          <w:instrText xml:space="preserve"> PAGEREF _Toc73608845 \h </w:instrText>
        </w:r>
        <w:r w:rsidR="00A77407">
          <w:rPr>
            <w:noProof/>
            <w:webHidden/>
          </w:rPr>
        </w:r>
        <w:r w:rsidR="00A77407">
          <w:rPr>
            <w:noProof/>
            <w:webHidden/>
          </w:rPr>
          <w:fldChar w:fldCharType="separate"/>
        </w:r>
        <w:r w:rsidR="00A77407">
          <w:rPr>
            <w:noProof/>
            <w:webHidden/>
          </w:rPr>
          <w:t>14</w:t>
        </w:r>
        <w:r w:rsidR="00A77407">
          <w:rPr>
            <w:noProof/>
            <w:webHidden/>
          </w:rPr>
          <w:fldChar w:fldCharType="end"/>
        </w:r>
      </w:hyperlink>
    </w:p>
    <w:p w14:paraId="0D3B479F"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6" w:history="1">
        <w:r w:rsidR="00A77407" w:rsidRPr="00D35D7B">
          <w:rPr>
            <w:rStyle w:val="Hypertextovodkaz"/>
            <w:noProof/>
          </w:rPr>
          <w:t>iv.</w:t>
        </w:r>
        <w:r w:rsidR="00A77407">
          <w:rPr>
            <w:rFonts w:asciiTheme="minorHAnsi" w:eastAsiaTheme="minorEastAsia" w:hAnsiTheme="minorHAnsi"/>
            <w:noProof/>
            <w:sz w:val="22"/>
            <w:lang w:eastAsia="cs-CZ"/>
          </w:rPr>
          <w:tab/>
        </w:r>
        <w:r w:rsidR="00A77407" w:rsidRPr="00D35D7B">
          <w:rPr>
            <w:rStyle w:val="Hypertextovodkaz"/>
            <w:noProof/>
          </w:rPr>
          <w:t>Stanovení dostatečného standardu pro potvrzení identifikačních údajů při registraci</w:t>
        </w:r>
        <w:r w:rsidR="00A77407">
          <w:rPr>
            <w:noProof/>
            <w:webHidden/>
          </w:rPr>
          <w:tab/>
        </w:r>
        <w:r w:rsidR="00A77407">
          <w:rPr>
            <w:noProof/>
            <w:webHidden/>
          </w:rPr>
          <w:fldChar w:fldCharType="begin"/>
        </w:r>
        <w:r w:rsidR="00A77407">
          <w:rPr>
            <w:noProof/>
            <w:webHidden/>
          </w:rPr>
          <w:instrText xml:space="preserve"> PAGEREF _Toc73608846 \h </w:instrText>
        </w:r>
        <w:r w:rsidR="00A77407">
          <w:rPr>
            <w:noProof/>
            <w:webHidden/>
          </w:rPr>
        </w:r>
        <w:r w:rsidR="00A77407">
          <w:rPr>
            <w:noProof/>
            <w:webHidden/>
          </w:rPr>
          <w:fldChar w:fldCharType="separate"/>
        </w:r>
        <w:r w:rsidR="00A77407">
          <w:rPr>
            <w:noProof/>
            <w:webHidden/>
          </w:rPr>
          <w:t>16</w:t>
        </w:r>
        <w:r w:rsidR="00A77407">
          <w:rPr>
            <w:noProof/>
            <w:webHidden/>
          </w:rPr>
          <w:fldChar w:fldCharType="end"/>
        </w:r>
      </w:hyperlink>
    </w:p>
    <w:p w14:paraId="363747D3"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7" w:history="1">
        <w:r w:rsidR="00A77407" w:rsidRPr="00D35D7B">
          <w:rPr>
            <w:rStyle w:val="Hypertextovodkaz"/>
            <w:noProof/>
          </w:rPr>
          <w:t>v.</w:t>
        </w:r>
        <w:r w:rsidR="00A77407">
          <w:rPr>
            <w:rFonts w:asciiTheme="minorHAnsi" w:eastAsiaTheme="minorEastAsia" w:hAnsiTheme="minorHAnsi"/>
            <w:noProof/>
            <w:sz w:val="22"/>
            <w:lang w:eastAsia="cs-CZ"/>
          </w:rPr>
          <w:tab/>
        </w:r>
        <w:r w:rsidR="00A77407" w:rsidRPr="00D35D7B">
          <w:rPr>
            <w:rStyle w:val="Hypertextovodkaz"/>
            <w:noProof/>
          </w:rPr>
          <w:t>Časová posloupnost ověřovaní údajů při registraci k internetové hře</w:t>
        </w:r>
        <w:r w:rsidR="00A77407">
          <w:rPr>
            <w:noProof/>
            <w:webHidden/>
          </w:rPr>
          <w:tab/>
        </w:r>
        <w:r w:rsidR="00A77407">
          <w:rPr>
            <w:noProof/>
            <w:webHidden/>
          </w:rPr>
          <w:fldChar w:fldCharType="begin"/>
        </w:r>
        <w:r w:rsidR="00A77407">
          <w:rPr>
            <w:noProof/>
            <w:webHidden/>
          </w:rPr>
          <w:instrText xml:space="preserve"> PAGEREF _Toc73608847 \h </w:instrText>
        </w:r>
        <w:r w:rsidR="00A77407">
          <w:rPr>
            <w:noProof/>
            <w:webHidden/>
          </w:rPr>
        </w:r>
        <w:r w:rsidR="00A77407">
          <w:rPr>
            <w:noProof/>
            <w:webHidden/>
          </w:rPr>
          <w:fldChar w:fldCharType="separate"/>
        </w:r>
        <w:r w:rsidR="00A77407">
          <w:rPr>
            <w:noProof/>
            <w:webHidden/>
          </w:rPr>
          <w:t>18</w:t>
        </w:r>
        <w:r w:rsidR="00A77407">
          <w:rPr>
            <w:noProof/>
            <w:webHidden/>
          </w:rPr>
          <w:fldChar w:fldCharType="end"/>
        </w:r>
      </w:hyperlink>
    </w:p>
    <w:p w14:paraId="01CB31D0"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8" w:history="1">
        <w:r w:rsidR="00A77407" w:rsidRPr="00D35D7B">
          <w:rPr>
            <w:rStyle w:val="Hypertextovodkaz"/>
            <w:noProof/>
          </w:rPr>
          <w:t>vi.</w:t>
        </w:r>
        <w:r w:rsidR="00A77407">
          <w:rPr>
            <w:rFonts w:asciiTheme="minorHAnsi" w:eastAsiaTheme="minorEastAsia" w:hAnsiTheme="minorHAnsi"/>
            <w:noProof/>
            <w:sz w:val="22"/>
            <w:lang w:eastAsia="cs-CZ"/>
          </w:rPr>
          <w:tab/>
        </w:r>
        <w:r w:rsidR="00A77407" w:rsidRPr="00D35D7B">
          <w:rPr>
            <w:rStyle w:val="Hypertextovodkaz"/>
            <w:noProof/>
          </w:rPr>
          <w:t>Ověření držitele platební karty</w:t>
        </w:r>
        <w:r w:rsidR="00A77407">
          <w:rPr>
            <w:noProof/>
            <w:webHidden/>
          </w:rPr>
          <w:tab/>
        </w:r>
        <w:r w:rsidR="00A77407">
          <w:rPr>
            <w:noProof/>
            <w:webHidden/>
          </w:rPr>
          <w:fldChar w:fldCharType="begin"/>
        </w:r>
        <w:r w:rsidR="00A77407">
          <w:rPr>
            <w:noProof/>
            <w:webHidden/>
          </w:rPr>
          <w:instrText xml:space="preserve"> PAGEREF _Toc73608848 \h </w:instrText>
        </w:r>
        <w:r w:rsidR="00A77407">
          <w:rPr>
            <w:noProof/>
            <w:webHidden/>
          </w:rPr>
        </w:r>
        <w:r w:rsidR="00A77407">
          <w:rPr>
            <w:noProof/>
            <w:webHidden/>
          </w:rPr>
          <w:fldChar w:fldCharType="separate"/>
        </w:r>
        <w:r w:rsidR="00A77407">
          <w:rPr>
            <w:noProof/>
            <w:webHidden/>
          </w:rPr>
          <w:t>21</w:t>
        </w:r>
        <w:r w:rsidR="00A77407">
          <w:rPr>
            <w:noProof/>
            <w:webHidden/>
          </w:rPr>
          <w:fldChar w:fldCharType="end"/>
        </w:r>
      </w:hyperlink>
    </w:p>
    <w:p w14:paraId="6B42A8F7"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49" w:history="1">
        <w:r w:rsidR="00A77407" w:rsidRPr="00D35D7B">
          <w:rPr>
            <w:rStyle w:val="Hypertextovodkaz"/>
            <w:noProof/>
          </w:rPr>
          <w:t>vii.</w:t>
        </w:r>
        <w:r w:rsidR="00A77407">
          <w:rPr>
            <w:rFonts w:asciiTheme="minorHAnsi" w:eastAsiaTheme="minorEastAsia" w:hAnsiTheme="minorHAnsi"/>
            <w:noProof/>
            <w:sz w:val="22"/>
            <w:lang w:eastAsia="cs-CZ"/>
          </w:rPr>
          <w:tab/>
        </w:r>
        <w:r w:rsidR="00A77407" w:rsidRPr="00D35D7B">
          <w:rPr>
            <w:rStyle w:val="Hypertextovodkaz"/>
            <w:noProof/>
          </w:rPr>
          <w:t>Ověření platebních prostředků u hazardních her provozovaných formou land-based</w:t>
        </w:r>
        <w:r w:rsidR="00A77407">
          <w:rPr>
            <w:noProof/>
            <w:webHidden/>
          </w:rPr>
          <w:tab/>
        </w:r>
        <w:r w:rsidR="00A77407">
          <w:rPr>
            <w:noProof/>
            <w:webHidden/>
          </w:rPr>
          <w:fldChar w:fldCharType="begin"/>
        </w:r>
        <w:r w:rsidR="00A77407">
          <w:rPr>
            <w:noProof/>
            <w:webHidden/>
          </w:rPr>
          <w:instrText xml:space="preserve"> PAGEREF _Toc73608849 \h </w:instrText>
        </w:r>
        <w:r w:rsidR="00A77407">
          <w:rPr>
            <w:noProof/>
            <w:webHidden/>
          </w:rPr>
        </w:r>
        <w:r w:rsidR="00A77407">
          <w:rPr>
            <w:noProof/>
            <w:webHidden/>
          </w:rPr>
          <w:fldChar w:fldCharType="separate"/>
        </w:r>
        <w:r w:rsidR="00A77407">
          <w:rPr>
            <w:noProof/>
            <w:webHidden/>
          </w:rPr>
          <w:t>22</w:t>
        </w:r>
        <w:r w:rsidR="00A77407">
          <w:rPr>
            <w:noProof/>
            <w:webHidden/>
          </w:rPr>
          <w:fldChar w:fldCharType="end"/>
        </w:r>
      </w:hyperlink>
    </w:p>
    <w:p w14:paraId="7758F29B" w14:textId="77777777" w:rsidR="00A77407" w:rsidRDefault="009C0B64" w:rsidP="00A77407">
      <w:pPr>
        <w:pStyle w:val="Obsah5"/>
        <w:tabs>
          <w:tab w:val="left" w:pos="1540"/>
          <w:tab w:val="right" w:leader="dot" w:pos="9062"/>
        </w:tabs>
        <w:rPr>
          <w:rFonts w:asciiTheme="minorHAnsi" w:eastAsiaTheme="minorEastAsia" w:hAnsiTheme="minorHAnsi"/>
          <w:noProof/>
          <w:sz w:val="22"/>
          <w:lang w:eastAsia="cs-CZ"/>
        </w:rPr>
      </w:pPr>
      <w:hyperlink w:anchor="_Toc73608850" w:history="1">
        <w:r w:rsidR="00A77407" w:rsidRPr="00D35D7B">
          <w:rPr>
            <w:rStyle w:val="Hypertextovodkaz"/>
            <w:noProof/>
            <w14:scene3d>
              <w14:camera w14:prst="orthographicFront"/>
              <w14:lightRig w14:rig="threePt" w14:dir="t">
                <w14:rot w14:lat="0" w14:lon="0" w14:rev="0"/>
              </w14:lightRig>
            </w14:scene3d>
          </w:rPr>
          <w:t>B.</w:t>
        </w:r>
        <w:r w:rsidR="00A77407">
          <w:rPr>
            <w:rFonts w:asciiTheme="minorHAnsi" w:eastAsiaTheme="minorEastAsia" w:hAnsiTheme="minorHAnsi"/>
            <w:noProof/>
            <w:sz w:val="22"/>
            <w:lang w:eastAsia="cs-CZ"/>
          </w:rPr>
          <w:tab/>
        </w:r>
        <w:r w:rsidR="00A77407" w:rsidRPr="00D35D7B">
          <w:rPr>
            <w:rStyle w:val="Hypertextovodkaz"/>
            <w:noProof/>
          </w:rPr>
          <w:t>Uživatelské konto</w:t>
        </w:r>
        <w:r w:rsidR="00A77407">
          <w:rPr>
            <w:noProof/>
            <w:webHidden/>
          </w:rPr>
          <w:tab/>
        </w:r>
        <w:r w:rsidR="00A77407">
          <w:rPr>
            <w:noProof/>
            <w:webHidden/>
          </w:rPr>
          <w:fldChar w:fldCharType="begin"/>
        </w:r>
        <w:r w:rsidR="00A77407">
          <w:rPr>
            <w:noProof/>
            <w:webHidden/>
          </w:rPr>
          <w:instrText xml:space="preserve"> PAGEREF _Toc73608850 \h </w:instrText>
        </w:r>
        <w:r w:rsidR="00A77407">
          <w:rPr>
            <w:noProof/>
            <w:webHidden/>
          </w:rPr>
        </w:r>
        <w:r w:rsidR="00A77407">
          <w:rPr>
            <w:noProof/>
            <w:webHidden/>
          </w:rPr>
          <w:fldChar w:fldCharType="separate"/>
        </w:r>
        <w:r w:rsidR="00A77407">
          <w:rPr>
            <w:noProof/>
            <w:webHidden/>
          </w:rPr>
          <w:t>24</w:t>
        </w:r>
        <w:r w:rsidR="00A77407">
          <w:rPr>
            <w:noProof/>
            <w:webHidden/>
          </w:rPr>
          <w:fldChar w:fldCharType="end"/>
        </w:r>
      </w:hyperlink>
    </w:p>
    <w:p w14:paraId="2A602436"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51" w:history="1">
        <w:r w:rsidR="00A77407" w:rsidRPr="00D35D7B">
          <w:rPr>
            <w:rStyle w:val="Hypertextovodkaz"/>
            <w:noProof/>
          </w:rPr>
          <w:t>i.</w:t>
        </w:r>
        <w:r w:rsidR="00A77407">
          <w:rPr>
            <w:rFonts w:asciiTheme="minorHAnsi" w:eastAsiaTheme="minorEastAsia" w:hAnsiTheme="minorHAnsi"/>
            <w:noProof/>
            <w:sz w:val="22"/>
            <w:lang w:eastAsia="cs-CZ"/>
          </w:rPr>
          <w:tab/>
        </w:r>
        <w:r w:rsidR="00A77407" w:rsidRPr="00D35D7B">
          <w:rPr>
            <w:rStyle w:val="Hypertextovodkaz"/>
            <w:noProof/>
          </w:rPr>
          <w:t>Dočasné konto u osob, které nejsou státními občany České republiky a jejichž totožnost a věk nelze ověřit dálkovým způsobem</w:t>
        </w:r>
        <w:r w:rsidR="00A77407">
          <w:rPr>
            <w:noProof/>
            <w:webHidden/>
          </w:rPr>
          <w:tab/>
        </w:r>
        <w:r w:rsidR="00A77407">
          <w:rPr>
            <w:noProof/>
            <w:webHidden/>
          </w:rPr>
          <w:fldChar w:fldCharType="begin"/>
        </w:r>
        <w:r w:rsidR="00A77407">
          <w:rPr>
            <w:noProof/>
            <w:webHidden/>
          </w:rPr>
          <w:instrText xml:space="preserve"> PAGEREF _Toc73608851 \h </w:instrText>
        </w:r>
        <w:r w:rsidR="00A77407">
          <w:rPr>
            <w:noProof/>
            <w:webHidden/>
          </w:rPr>
        </w:r>
        <w:r w:rsidR="00A77407">
          <w:rPr>
            <w:noProof/>
            <w:webHidden/>
          </w:rPr>
          <w:fldChar w:fldCharType="separate"/>
        </w:r>
        <w:r w:rsidR="00A77407">
          <w:rPr>
            <w:noProof/>
            <w:webHidden/>
          </w:rPr>
          <w:t>24</w:t>
        </w:r>
        <w:r w:rsidR="00A77407">
          <w:rPr>
            <w:noProof/>
            <w:webHidden/>
          </w:rPr>
          <w:fldChar w:fldCharType="end"/>
        </w:r>
      </w:hyperlink>
    </w:p>
    <w:p w14:paraId="455A07DB"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52" w:history="1">
        <w:r w:rsidR="00A77407" w:rsidRPr="00D35D7B">
          <w:rPr>
            <w:rStyle w:val="Hypertextovodkaz"/>
            <w:noProof/>
          </w:rPr>
          <w:t>ii.</w:t>
        </w:r>
        <w:r w:rsidR="00A77407">
          <w:rPr>
            <w:rFonts w:asciiTheme="minorHAnsi" w:eastAsiaTheme="minorEastAsia" w:hAnsiTheme="minorHAnsi"/>
            <w:noProof/>
            <w:sz w:val="22"/>
            <w:lang w:eastAsia="cs-CZ"/>
          </w:rPr>
          <w:tab/>
        </w:r>
        <w:r w:rsidR="00A77407" w:rsidRPr="00D35D7B">
          <w:rPr>
            <w:rStyle w:val="Hypertextovodkaz"/>
            <w:noProof/>
          </w:rPr>
          <w:t>Povinnost zřizovat uživatelské konto v případě živé hry, binga a totalizátorové hry provozovaných formou land-based</w:t>
        </w:r>
        <w:r w:rsidR="00A77407">
          <w:rPr>
            <w:noProof/>
            <w:webHidden/>
          </w:rPr>
          <w:tab/>
        </w:r>
        <w:r w:rsidR="00A77407">
          <w:rPr>
            <w:noProof/>
            <w:webHidden/>
          </w:rPr>
          <w:fldChar w:fldCharType="begin"/>
        </w:r>
        <w:r w:rsidR="00A77407">
          <w:rPr>
            <w:noProof/>
            <w:webHidden/>
          </w:rPr>
          <w:instrText xml:space="preserve"> PAGEREF _Toc73608852 \h </w:instrText>
        </w:r>
        <w:r w:rsidR="00A77407">
          <w:rPr>
            <w:noProof/>
            <w:webHidden/>
          </w:rPr>
        </w:r>
        <w:r w:rsidR="00A77407">
          <w:rPr>
            <w:noProof/>
            <w:webHidden/>
          </w:rPr>
          <w:fldChar w:fldCharType="separate"/>
        </w:r>
        <w:r w:rsidR="00A77407">
          <w:rPr>
            <w:noProof/>
            <w:webHidden/>
          </w:rPr>
          <w:t>26</w:t>
        </w:r>
        <w:r w:rsidR="00A77407">
          <w:rPr>
            <w:noProof/>
            <w:webHidden/>
          </w:rPr>
          <w:fldChar w:fldCharType="end"/>
        </w:r>
      </w:hyperlink>
    </w:p>
    <w:p w14:paraId="29EC270A" w14:textId="77777777" w:rsidR="00A77407" w:rsidRDefault="009C0B64" w:rsidP="00A77407">
      <w:pPr>
        <w:pStyle w:val="Obsah6"/>
        <w:tabs>
          <w:tab w:val="left" w:pos="1760"/>
          <w:tab w:val="right" w:leader="dot" w:pos="9062"/>
        </w:tabs>
        <w:rPr>
          <w:rFonts w:asciiTheme="minorHAnsi" w:eastAsiaTheme="minorEastAsia" w:hAnsiTheme="minorHAnsi"/>
          <w:noProof/>
          <w:sz w:val="22"/>
          <w:lang w:eastAsia="cs-CZ"/>
        </w:rPr>
      </w:pPr>
      <w:hyperlink w:anchor="_Toc73608853" w:history="1">
        <w:r w:rsidR="00A77407" w:rsidRPr="00D35D7B">
          <w:rPr>
            <w:rStyle w:val="Hypertextovodkaz"/>
            <w:noProof/>
          </w:rPr>
          <w:t>iii.</w:t>
        </w:r>
        <w:r w:rsidR="00A77407">
          <w:rPr>
            <w:rFonts w:asciiTheme="minorHAnsi" w:eastAsiaTheme="minorEastAsia" w:hAnsiTheme="minorHAnsi"/>
            <w:noProof/>
            <w:sz w:val="22"/>
            <w:lang w:eastAsia="cs-CZ"/>
          </w:rPr>
          <w:tab/>
        </w:r>
        <w:r w:rsidR="00A77407" w:rsidRPr="00D35D7B">
          <w:rPr>
            <w:rStyle w:val="Hypertextovodkaz"/>
            <w:noProof/>
          </w:rPr>
          <w:t>Stanovení procesu a podmínek při zrušení uživatelského konta</w:t>
        </w:r>
        <w:r w:rsidR="00A77407">
          <w:rPr>
            <w:noProof/>
            <w:webHidden/>
          </w:rPr>
          <w:tab/>
        </w:r>
        <w:r w:rsidR="00A77407">
          <w:rPr>
            <w:noProof/>
            <w:webHidden/>
          </w:rPr>
          <w:fldChar w:fldCharType="begin"/>
        </w:r>
        <w:r w:rsidR="00A77407">
          <w:rPr>
            <w:noProof/>
            <w:webHidden/>
          </w:rPr>
          <w:instrText xml:space="preserve"> PAGEREF _Toc73608853 \h </w:instrText>
        </w:r>
        <w:r w:rsidR="00A77407">
          <w:rPr>
            <w:noProof/>
            <w:webHidden/>
          </w:rPr>
        </w:r>
        <w:r w:rsidR="00A77407">
          <w:rPr>
            <w:noProof/>
            <w:webHidden/>
          </w:rPr>
          <w:fldChar w:fldCharType="separate"/>
        </w:r>
        <w:r w:rsidR="00A77407">
          <w:rPr>
            <w:noProof/>
            <w:webHidden/>
          </w:rPr>
          <w:t>28</w:t>
        </w:r>
        <w:r w:rsidR="00A77407">
          <w:rPr>
            <w:noProof/>
            <w:webHidden/>
          </w:rPr>
          <w:fldChar w:fldCharType="end"/>
        </w:r>
      </w:hyperlink>
    </w:p>
    <w:p w14:paraId="63A2733D" w14:textId="77777777" w:rsidR="00A77407" w:rsidRDefault="009C0B64" w:rsidP="00A77407">
      <w:pPr>
        <w:pStyle w:val="Obsah3"/>
        <w:tabs>
          <w:tab w:val="left" w:pos="1200"/>
          <w:tab w:val="right" w:leader="dot" w:pos="9062"/>
        </w:tabs>
        <w:rPr>
          <w:rFonts w:asciiTheme="minorHAnsi" w:eastAsiaTheme="minorEastAsia" w:hAnsiTheme="minorHAnsi"/>
          <w:noProof/>
          <w:sz w:val="22"/>
          <w:lang w:eastAsia="cs-CZ"/>
        </w:rPr>
      </w:pPr>
      <w:hyperlink w:anchor="_Toc73608854" w:history="1">
        <w:r w:rsidR="00A77407" w:rsidRPr="00D35D7B">
          <w:rPr>
            <w:rStyle w:val="Hypertextovodkaz"/>
            <w:noProof/>
          </w:rPr>
          <w:t>1.4</w:t>
        </w:r>
        <w:r w:rsidR="00A77407">
          <w:rPr>
            <w:rFonts w:asciiTheme="minorHAnsi" w:eastAsiaTheme="minorEastAsia" w:hAnsiTheme="minorHAnsi"/>
            <w:noProof/>
            <w:sz w:val="22"/>
            <w:lang w:eastAsia="cs-CZ"/>
          </w:rPr>
          <w:tab/>
        </w:r>
        <w:r w:rsidR="00A77407" w:rsidRPr="00D35D7B">
          <w:rPr>
            <w:rStyle w:val="Hypertextovodkaz"/>
            <w:noProof/>
          </w:rPr>
          <w:t>Seznam tabulek, grafů a obrázků</w:t>
        </w:r>
        <w:r w:rsidR="00A77407">
          <w:rPr>
            <w:noProof/>
            <w:webHidden/>
          </w:rPr>
          <w:tab/>
        </w:r>
        <w:r w:rsidR="00A77407">
          <w:rPr>
            <w:noProof/>
            <w:webHidden/>
          </w:rPr>
          <w:fldChar w:fldCharType="begin"/>
        </w:r>
        <w:r w:rsidR="00A77407">
          <w:rPr>
            <w:noProof/>
            <w:webHidden/>
          </w:rPr>
          <w:instrText xml:space="preserve"> PAGEREF _Toc73608854 \h </w:instrText>
        </w:r>
        <w:r w:rsidR="00A77407">
          <w:rPr>
            <w:noProof/>
            <w:webHidden/>
          </w:rPr>
        </w:r>
        <w:r w:rsidR="00A77407">
          <w:rPr>
            <w:noProof/>
            <w:webHidden/>
          </w:rPr>
          <w:fldChar w:fldCharType="separate"/>
        </w:r>
        <w:r w:rsidR="00A77407">
          <w:rPr>
            <w:noProof/>
            <w:webHidden/>
          </w:rPr>
          <w:t>29</w:t>
        </w:r>
        <w:r w:rsidR="00A77407">
          <w:rPr>
            <w:noProof/>
            <w:webHidden/>
          </w:rPr>
          <w:fldChar w:fldCharType="end"/>
        </w:r>
      </w:hyperlink>
    </w:p>
    <w:p w14:paraId="6A2BC55F" w14:textId="77777777" w:rsidR="00A77407" w:rsidRDefault="009C0B64" w:rsidP="00A77407">
      <w:pPr>
        <w:pStyle w:val="Obsah3"/>
        <w:tabs>
          <w:tab w:val="left" w:pos="1200"/>
          <w:tab w:val="right" w:leader="dot" w:pos="9062"/>
        </w:tabs>
        <w:rPr>
          <w:rFonts w:asciiTheme="minorHAnsi" w:eastAsiaTheme="minorEastAsia" w:hAnsiTheme="minorHAnsi"/>
          <w:noProof/>
          <w:sz w:val="22"/>
          <w:lang w:eastAsia="cs-CZ"/>
        </w:rPr>
      </w:pPr>
      <w:hyperlink w:anchor="_Toc73608855" w:history="1">
        <w:r w:rsidR="00A77407" w:rsidRPr="00D35D7B">
          <w:rPr>
            <w:rStyle w:val="Hypertextovodkaz"/>
            <w:noProof/>
          </w:rPr>
          <w:t>1.5</w:t>
        </w:r>
        <w:r w:rsidR="00A77407">
          <w:rPr>
            <w:rFonts w:asciiTheme="minorHAnsi" w:eastAsiaTheme="minorEastAsia" w:hAnsiTheme="minorHAnsi"/>
            <w:noProof/>
            <w:sz w:val="22"/>
            <w:lang w:eastAsia="cs-CZ"/>
          </w:rPr>
          <w:tab/>
        </w:r>
        <w:r w:rsidR="00A77407" w:rsidRPr="00D35D7B">
          <w:rPr>
            <w:rStyle w:val="Hypertextovodkaz"/>
            <w:noProof/>
          </w:rPr>
          <w:t>Obsah</w:t>
        </w:r>
        <w:r w:rsidR="00A77407">
          <w:rPr>
            <w:noProof/>
            <w:webHidden/>
          </w:rPr>
          <w:tab/>
        </w:r>
        <w:r w:rsidR="00A77407">
          <w:rPr>
            <w:noProof/>
            <w:webHidden/>
          </w:rPr>
          <w:fldChar w:fldCharType="begin"/>
        </w:r>
        <w:r w:rsidR="00A77407">
          <w:rPr>
            <w:noProof/>
            <w:webHidden/>
          </w:rPr>
          <w:instrText xml:space="preserve"> PAGEREF _Toc73608855 \h </w:instrText>
        </w:r>
        <w:r w:rsidR="00A77407">
          <w:rPr>
            <w:noProof/>
            <w:webHidden/>
          </w:rPr>
        </w:r>
        <w:r w:rsidR="00A77407">
          <w:rPr>
            <w:noProof/>
            <w:webHidden/>
          </w:rPr>
          <w:fldChar w:fldCharType="separate"/>
        </w:r>
        <w:r w:rsidR="00A77407">
          <w:rPr>
            <w:noProof/>
            <w:webHidden/>
          </w:rPr>
          <w:t>29</w:t>
        </w:r>
        <w:r w:rsidR="00A77407">
          <w:rPr>
            <w:noProof/>
            <w:webHidden/>
          </w:rPr>
          <w:fldChar w:fldCharType="end"/>
        </w:r>
      </w:hyperlink>
    </w:p>
    <w:p w14:paraId="4DA62D2F" w14:textId="2C3FC207" w:rsidR="00F6450E" w:rsidRPr="00F6450E" w:rsidRDefault="00A77407" w:rsidP="00A77407">
      <w:pPr>
        <w:rPr>
          <w:highlight w:val="lightGray"/>
        </w:rPr>
      </w:pPr>
      <w:r>
        <w:fldChar w:fldCharType="end"/>
      </w:r>
    </w:p>
    <w:p w14:paraId="19BD6CBD" w14:textId="4541D954" w:rsidR="00A861A9" w:rsidRDefault="00E91C8F" w:rsidP="00E91C8F">
      <w:pPr>
        <w:pStyle w:val="Nadpis3"/>
        <w:numPr>
          <w:ilvl w:val="0"/>
          <w:numId w:val="0"/>
        </w:numPr>
        <w:ind w:left="720" w:hanging="720"/>
      </w:pPr>
      <w:bookmarkStart w:id="186" w:name="_Toc72999599"/>
      <w:bookmarkStart w:id="187" w:name="_Toc73613655"/>
      <w:r w:rsidRPr="00F17245">
        <w:t xml:space="preserve">Příloha č. 5: </w:t>
      </w:r>
      <w:r w:rsidR="00A861A9" w:rsidRPr="00F17245">
        <w:t>Druhy hazardních her</w:t>
      </w:r>
      <w:bookmarkEnd w:id="186"/>
      <w:bookmarkEnd w:id="187"/>
    </w:p>
    <w:p w14:paraId="33D69E20" w14:textId="1E45CF20" w:rsidR="00764589" w:rsidRPr="008F08FA" w:rsidRDefault="00764589" w:rsidP="00764589">
      <w:pPr>
        <w:pStyle w:val="Nadpis2"/>
        <w:numPr>
          <w:ilvl w:val="0"/>
          <w:numId w:val="0"/>
        </w:numPr>
      </w:pPr>
      <w:r>
        <w:fldChar w:fldCharType="begin"/>
      </w:r>
      <w:r>
        <w:instrText xml:space="preserve"> TOC \o "1-6" \h \z \u </w:instrText>
      </w:r>
      <w:r>
        <w:fldChar w:fldCharType="separate"/>
      </w:r>
    </w:p>
    <w:p w14:paraId="4B7D0F96"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566" w:history="1">
        <w:r w:rsidR="00764589" w:rsidRPr="009B71D6">
          <w:rPr>
            <w:rStyle w:val="Hypertextovodkaz"/>
            <w:noProof/>
          </w:rPr>
          <w:t>1</w:t>
        </w:r>
        <w:r w:rsidR="00764589">
          <w:rPr>
            <w:rFonts w:asciiTheme="minorHAnsi" w:eastAsiaTheme="minorEastAsia" w:hAnsiTheme="minorHAnsi"/>
            <w:noProof/>
            <w:sz w:val="22"/>
            <w:lang w:eastAsia="cs-CZ"/>
          </w:rPr>
          <w:tab/>
        </w:r>
        <w:r w:rsidR="00764589" w:rsidRPr="009B71D6">
          <w:rPr>
            <w:rStyle w:val="Hypertextovodkaz"/>
            <w:noProof/>
          </w:rPr>
          <w:t>Loterie</w:t>
        </w:r>
        <w:r w:rsidR="00764589">
          <w:rPr>
            <w:noProof/>
            <w:webHidden/>
          </w:rPr>
          <w:tab/>
        </w:r>
        <w:r w:rsidR="00764589">
          <w:rPr>
            <w:noProof/>
            <w:webHidden/>
          </w:rPr>
          <w:fldChar w:fldCharType="begin"/>
        </w:r>
        <w:r w:rsidR="00764589">
          <w:rPr>
            <w:noProof/>
            <w:webHidden/>
          </w:rPr>
          <w:instrText xml:space="preserve"> PAGEREF _Toc73611566 \h </w:instrText>
        </w:r>
        <w:r w:rsidR="00764589">
          <w:rPr>
            <w:noProof/>
            <w:webHidden/>
          </w:rPr>
        </w:r>
        <w:r w:rsidR="00764589">
          <w:rPr>
            <w:noProof/>
            <w:webHidden/>
          </w:rPr>
          <w:fldChar w:fldCharType="separate"/>
        </w:r>
        <w:r w:rsidR="00764589">
          <w:rPr>
            <w:noProof/>
            <w:webHidden/>
          </w:rPr>
          <w:t>1</w:t>
        </w:r>
        <w:r w:rsidR="00764589">
          <w:rPr>
            <w:noProof/>
            <w:webHidden/>
          </w:rPr>
          <w:fldChar w:fldCharType="end"/>
        </w:r>
      </w:hyperlink>
    </w:p>
    <w:p w14:paraId="17CBBECB"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67" w:history="1">
        <w:r w:rsidR="00764589" w:rsidRPr="009B71D6">
          <w:rPr>
            <w:rStyle w:val="Hypertextovodkaz"/>
            <w:noProof/>
          </w:rPr>
          <w:t>1.1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_Toc73611567 \h </w:instrText>
        </w:r>
        <w:r w:rsidR="00764589">
          <w:rPr>
            <w:noProof/>
            <w:webHidden/>
          </w:rPr>
        </w:r>
        <w:r w:rsidR="00764589">
          <w:rPr>
            <w:noProof/>
            <w:webHidden/>
          </w:rPr>
          <w:fldChar w:fldCharType="separate"/>
        </w:r>
        <w:r w:rsidR="00764589">
          <w:rPr>
            <w:noProof/>
            <w:webHidden/>
          </w:rPr>
          <w:t>1</w:t>
        </w:r>
        <w:r w:rsidR="00764589">
          <w:rPr>
            <w:noProof/>
            <w:webHidden/>
          </w:rPr>
          <w:fldChar w:fldCharType="end"/>
        </w:r>
      </w:hyperlink>
    </w:p>
    <w:p w14:paraId="7E63284A"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68" w:history="1">
        <w:r w:rsidR="00764589" w:rsidRPr="009B71D6">
          <w:rPr>
            <w:rStyle w:val="Hypertextovodkaz"/>
            <w:noProof/>
          </w:rPr>
          <w:t>1.2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_Toc73611568 \h </w:instrText>
        </w:r>
        <w:r w:rsidR="00764589">
          <w:rPr>
            <w:noProof/>
            <w:webHidden/>
          </w:rPr>
        </w:r>
        <w:r w:rsidR="00764589">
          <w:rPr>
            <w:noProof/>
            <w:webHidden/>
          </w:rPr>
          <w:fldChar w:fldCharType="separate"/>
        </w:r>
        <w:r w:rsidR="00764589">
          <w:rPr>
            <w:noProof/>
            <w:webHidden/>
          </w:rPr>
          <w:t>1</w:t>
        </w:r>
        <w:r w:rsidR="00764589">
          <w:rPr>
            <w:noProof/>
            <w:webHidden/>
          </w:rPr>
          <w:fldChar w:fldCharType="end"/>
        </w:r>
      </w:hyperlink>
    </w:p>
    <w:p w14:paraId="3D0DA814" w14:textId="6DA248CB"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69" w:history="1">
        <w:r w:rsidR="00764589" w:rsidRPr="009B71D6">
          <w:rPr>
            <w:rStyle w:val="Hypertextovodkaz"/>
            <w:noProof/>
          </w:rPr>
          <w:t>1.3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w:t>
        </w:r>
        <w:r w:rsidR="00A353EC">
          <w:rPr>
            <w:rStyle w:val="Hypertextovodkaz"/>
            <w:noProof/>
          </w:rPr>
          <w:t>í, na které by bylo vhodné se v </w:t>
        </w:r>
        <w:r w:rsidR="00764589" w:rsidRPr="009B71D6">
          <w:rPr>
            <w:rStyle w:val="Hypertextovodkaz"/>
            <w:noProof/>
          </w:rPr>
          <w:t>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_Toc73611569 \h </w:instrText>
        </w:r>
        <w:r w:rsidR="00764589">
          <w:rPr>
            <w:noProof/>
            <w:webHidden/>
          </w:rPr>
        </w:r>
        <w:r w:rsidR="00764589">
          <w:rPr>
            <w:noProof/>
            <w:webHidden/>
          </w:rPr>
          <w:fldChar w:fldCharType="separate"/>
        </w:r>
        <w:r w:rsidR="00764589">
          <w:rPr>
            <w:noProof/>
            <w:webHidden/>
          </w:rPr>
          <w:t>4</w:t>
        </w:r>
        <w:r w:rsidR="00764589">
          <w:rPr>
            <w:noProof/>
            <w:webHidden/>
          </w:rPr>
          <w:fldChar w:fldCharType="end"/>
        </w:r>
      </w:hyperlink>
    </w:p>
    <w:p w14:paraId="4FF5D138"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70"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Okamžité loterie</w:t>
        </w:r>
        <w:r w:rsidR="00764589">
          <w:rPr>
            <w:noProof/>
            <w:webHidden/>
          </w:rPr>
          <w:tab/>
        </w:r>
        <w:r w:rsidR="00764589">
          <w:rPr>
            <w:noProof/>
            <w:webHidden/>
          </w:rPr>
          <w:fldChar w:fldCharType="begin"/>
        </w:r>
        <w:r w:rsidR="00764589">
          <w:rPr>
            <w:noProof/>
            <w:webHidden/>
          </w:rPr>
          <w:instrText xml:space="preserve"> PAGEREF _Toc73611570 \h </w:instrText>
        </w:r>
        <w:r w:rsidR="00764589">
          <w:rPr>
            <w:noProof/>
            <w:webHidden/>
          </w:rPr>
        </w:r>
        <w:r w:rsidR="00764589">
          <w:rPr>
            <w:noProof/>
            <w:webHidden/>
          </w:rPr>
          <w:fldChar w:fldCharType="separate"/>
        </w:r>
        <w:r w:rsidR="00764589">
          <w:rPr>
            <w:noProof/>
            <w:webHidden/>
          </w:rPr>
          <w:t>4</w:t>
        </w:r>
        <w:r w:rsidR="00764589">
          <w:rPr>
            <w:noProof/>
            <w:webHidden/>
          </w:rPr>
          <w:fldChar w:fldCharType="end"/>
        </w:r>
      </w:hyperlink>
    </w:p>
    <w:p w14:paraId="246835E6"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1"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Problematika přesahu délky prodeje okamžité loterie přes platnost základního povolení</w:t>
        </w:r>
        <w:r w:rsidR="00764589">
          <w:rPr>
            <w:noProof/>
            <w:webHidden/>
          </w:rPr>
          <w:tab/>
        </w:r>
        <w:r w:rsidR="00764589">
          <w:rPr>
            <w:noProof/>
            <w:webHidden/>
          </w:rPr>
          <w:fldChar w:fldCharType="begin"/>
        </w:r>
        <w:r w:rsidR="00764589">
          <w:rPr>
            <w:noProof/>
            <w:webHidden/>
          </w:rPr>
          <w:instrText xml:space="preserve"> PAGEREF _Toc73611571 \h </w:instrText>
        </w:r>
        <w:r w:rsidR="00764589">
          <w:rPr>
            <w:noProof/>
            <w:webHidden/>
          </w:rPr>
        </w:r>
        <w:r w:rsidR="00764589">
          <w:rPr>
            <w:noProof/>
            <w:webHidden/>
          </w:rPr>
          <w:fldChar w:fldCharType="separate"/>
        </w:r>
        <w:r w:rsidR="00764589">
          <w:rPr>
            <w:noProof/>
            <w:webHidden/>
          </w:rPr>
          <w:t>4</w:t>
        </w:r>
        <w:r w:rsidR="00764589">
          <w:rPr>
            <w:noProof/>
            <w:webHidden/>
          </w:rPr>
          <w:fldChar w:fldCharType="end"/>
        </w:r>
      </w:hyperlink>
    </w:p>
    <w:p w14:paraId="4CE88941"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2"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Problematika dětských motivů na losech okamžité loterie</w:t>
        </w:r>
        <w:r w:rsidR="00764589">
          <w:rPr>
            <w:noProof/>
            <w:webHidden/>
          </w:rPr>
          <w:tab/>
        </w:r>
        <w:r w:rsidR="00764589">
          <w:rPr>
            <w:noProof/>
            <w:webHidden/>
          </w:rPr>
          <w:fldChar w:fldCharType="begin"/>
        </w:r>
        <w:r w:rsidR="00764589">
          <w:rPr>
            <w:noProof/>
            <w:webHidden/>
          </w:rPr>
          <w:instrText xml:space="preserve"> PAGEREF _Toc73611572 \h </w:instrText>
        </w:r>
        <w:r w:rsidR="00764589">
          <w:rPr>
            <w:noProof/>
            <w:webHidden/>
          </w:rPr>
        </w:r>
        <w:r w:rsidR="00764589">
          <w:rPr>
            <w:noProof/>
            <w:webHidden/>
          </w:rPr>
          <w:fldChar w:fldCharType="separate"/>
        </w:r>
        <w:r w:rsidR="00764589">
          <w:rPr>
            <w:noProof/>
            <w:webHidden/>
          </w:rPr>
          <w:t>6</w:t>
        </w:r>
        <w:r w:rsidR="00764589">
          <w:rPr>
            <w:noProof/>
            <w:webHidden/>
          </w:rPr>
          <w:fldChar w:fldCharType="end"/>
        </w:r>
      </w:hyperlink>
    </w:p>
    <w:p w14:paraId="0FE64E25"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3"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Zabezpečení losu (dokumentace o zabezpečení losu, sjednocení obsahu uvedeného ve výrobní specifikaci)</w:t>
        </w:r>
        <w:r w:rsidR="00764589">
          <w:rPr>
            <w:noProof/>
            <w:webHidden/>
          </w:rPr>
          <w:tab/>
        </w:r>
        <w:r w:rsidR="00764589">
          <w:rPr>
            <w:noProof/>
            <w:webHidden/>
          </w:rPr>
          <w:fldChar w:fldCharType="begin"/>
        </w:r>
        <w:r w:rsidR="00764589">
          <w:rPr>
            <w:noProof/>
            <w:webHidden/>
          </w:rPr>
          <w:instrText xml:space="preserve"> PAGEREF _Toc73611573 \h </w:instrText>
        </w:r>
        <w:r w:rsidR="00764589">
          <w:rPr>
            <w:noProof/>
            <w:webHidden/>
          </w:rPr>
        </w:r>
        <w:r w:rsidR="00764589">
          <w:rPr>
            <w:noProof/>
            <w:webHidden/>
          </w:rPr>
          <w:fldChar w:fldCharType="separate"/>
        </w:r>
        <w:r w:rsidR="00764589">
          <w:rPr>
            <w:noProof/>
            <w:webHidden/>
          </w:rPr>
          <w:t>7</w:t>
        </w:r>
        <w:r w:rsidR="00764589">
          <w:rPr>
            <w:noProof/>
            <w:webHidden/>
          </w:rPr>
          <w:fldChar w:fldCharType="end"/>
        </w:r>
      </w:hyperlink>
    </w:p>
    <w:p w14:paraId="11509884"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4" w:history="1">
        <w:r w:rsidR="00764589" w:rsidRPr="009B71D6">
          <w:rPr>
            <w:rStyle w:val="Hypertextovodkaz"/>
            <w:rFonts w:cs="Arial"/>
            <w:noProof/>
          </w:rPr>
          <w:t>iv.</w:t>
        </w:r>
        <w:r w:rsidR="00764589">
          <w:rPr>
            <w:rFonts w:asciiTheme="minorHAnsi" w:eastAsiaTheme="minorEastAsia" w:hAnsiTheme="minorHAnsi"/>
            <w:noProof/>
            <w:sz w:val="22"/>
            <w:lang w:eastAsia="cs-CZ"/>
          </w:rPr>
          <w:tab/>
        </w:r>
        <w:r w:rsidR="00764589" w:rsidRPr="009B71D6">
          <w:rPr>
            <w:rStyle w:val="Hypertextovodkaz"/>
            <w:noProof/>
          </w:rPr>
          <w:t>Tisk celé emise losů okamžité loterie</w:t>
        </w:r>
        <w:r w:rsidR="00764589">
          <w:rPr>
            <w:noProof/>
            <w:webHidden/>
          </w:rPr>
          <w:tab/>
        </w:r>
        <w:r w:rsidR="00764589">
          <w:rPr>
            <w:noProof/>
            <w:webHidden/>
          </w:rPr>
          <w:fldChar w:fldCharType="begin"/>
        </w:r>
        <w:r w:rsidR="00764589">
          <w:rPr>
            <w:noProof/>
            <w:webHidden/>
          </w:rPr>
          <w:instrText xml:space="preserve"> PAGEREF _Toc73611574 \h </w:instrText>
        </w:r>
        <w:r w:rsidR="00764589">
          <w:rPr>
            <w:noProof/>
            <w:webHidden/>
          </w:rPr>
        </w:r>
        <w:r w:rsidR="00764589">
          <w:rPr>
            <w:noProof/>
            <w:webHidden/>
          </w:rPr>
          <w:fldChar w:fldCharType="separate"/>
        </w:r>
        <w:r w:rsidR="00764589">
          <w:rPr>
            <w:noProof/>
            <w:webHidden/>
          </w:rPr>
          <w:t>9</w:t>
        </w:r>
        <w:r w:rsidR="00764589">
          <w:rPr>
            <w:noProof/>
            <w:webHidden/>
          </w:rPr>
          <w:fldChar w:fldCharType="end"/>
        </w:r>
      </w:hyperlink>
    </w:p>
    <w:p w14:paraId="5BF7C6D5"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75"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Číselné loterie</w:t>
        </w:r>
        <w:r w:rsidR="00764589">
          <w:rPr>
            <w:noProof/>
            <w:webHidden/>
          </w:rPr>
          <w:tab/>
        </w:r>
        <w:r w:rsidR="00764589">
          <w:rPr>
            <w:noProof/>
            <w:webHidden/>
          </w:rPr>
          <w:fldChar w:fldCharType="begin"/>
        </w:r>
        <w:r w:rsidR="00764589">
          <w:rPr>
            <w:noProof/>
            <w:webHidden/>
          </w:rPr>
          <w:instrText xml:space="preserve"> PAGEREF _Toc73611575 \h </w:instrText>
        </w:r>
        <w:r w:rsidR="00764589">
          <w:rPr>
            <w:noProof/>
            <w:webHidden/>
          </w:rPr>
        </w:r>
        <w:r w:rsidR="00764589">
          <w:rPr>
            <w:noProof/>
            <w:webHidden/>
          </w:rPr>
          <w:fldChar w:fldCharType="separate"/>
        </w:r>
        <w:r w:rsidR="00764589">
          <w:rPr>
            <w:noProof/>
            <w:webHidden/>
          </w:rPr>
          <w:t>9</w:t>
        </w:r>
        <w:r w:rsidR="00764589">
          <w:rPr>
            <w:noProof/>
            <w:webHidden/>
          </w:rPr>
          <w:fldChar w:fldCharType="end"/>
        </w:r>
      </w:hyperlink>
    </w:p>
    <w:p w14:paraId="4B93D323"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6"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Účast notáře a loterní komise u slosování číselné loterie</w:t>
        </w:r>
        <w:r w:rsidR="00764589">
          <w:rPr>
            <w:noProof/>
            <w:webHidden/>
          </w:rPr>
          <w:tab/>
        </w:r>
        <w:r w:rsidR="00764589">
          <w:rPr>
            <w:noProof/>
            <w:webHidden/>
          </w:rPr>
          <w:fldChar w:fldCharType="begin"/>
        </w:r>
        <w:r w:rsidR="00764589">
          <w:rPr>
            <w:noProof/>
            <w:webHidden/>
          </w:rPr>
          <w:instrText xml:space="preserve"> PAGEREF _Toc73611576 \h </w:instrText>
        </w:r>
        <w:r w:rsidR="00764589">
          <w:rPr>
            <w:noProof/>
            <w:webHidden/>
          </w:rPr>
        </w:r>
        <w:r w:rsidR="00764589">
          <w:rPr>
            <w:noProof/>
            <w:webHidden/>
          </w:rPr>
          <w:fldChar w:fldCharType="separate"/>
        </w:r>
        <w:r w:rsidR="00764589">
          <w:rPr>
            <w:noProof/>
            <w:webHidden/>
          </w:rPr>
          <w:t>9</w:t>
        </w:r>
        <w:r w:rsidR="00764589">
          <w:rPr>
            <w:noProof/>
            <w:webHidden/>
          </w:rPr>
          <w:fldChar w:fldCharType="end"/>
        </w:r>
      </w:hyperlink>
    </w:p>
    <w:p w14:paraId="0117C5ED"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7"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Závěrečné/mimořádné slosování u číselných loterií</w:t>
        </w:r>
        <w:r w:rsidR="00764589">
          <w:rPr>
            <w:noProof/>
            <w:webHidden/>
          </w:rPr>
          <w:tab/>
        </w:r>
        <w:r w:rsidR="00764589">
          <w:rPr>
            <w:noProof/>
            <w:webHidden/>
          </w:rPr>
          <w:fldChar w:fldCharType="begin"/>
        </w:r>
        <w:r w:rsidR="00764589">
          <w:rPr>
            <w:noProof/>
            <w:webHidden/>
          </w:rPr>
          <w:instrText xml:space="preserve"> PAGEREF _Toc73611577 \h </w:instrText>
        </w:r>
        <w:r w:rsidR="00764589">
          <w:rPr>
            <w:noProof/>
            <w:webHidden/>
          </w:rPr>
        </w:r>
        <w:r w:rsidR="00764589">
          <w:rPr>
            <w:noProof/>
            <w:webHidden/>
          </w:rPr>
          <w:fldChar w:fldCharType="separate"/>
        </w:r>
        <w:r w:rsidR="00764589">
          <w:rPr>
            <w:noProof/>
            <w:webHidden/>
          </w:rPr>
          <w:t>11</w:t>
        </w:r>
        <w:r w:rsidR="00764589">
          <w:rPr>
            <w:noProof/>
            <w:webHidden/>
          </w:rPr>
          <w:fldChar w:fldCharType="end"/>
        </w:r>
      </w:hyperlink>
    </w:p>
    <w:p w14:paraId="0810D145"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78" w:history="1">
        <w:r w:rsidR="00764589" w:rsidRPr="009B71D6">
          <w:rPr>
            <w:rStyle w:val="Hypertextovodkaz"/>
            <w:noProof/>
            <w14:scene3d>
              <w14:camera w14:prst="orthographicFront"/>
              <w14:lightRig w14:rig="threePt" w14:dir="t">
                <w14:rot w14:lat="0" w14:lon="0" w14:rev="0"/>
              </w14:lightRig>
            </w14:scene3d>
          </w:rPr>
          <w:t>C.</w:t>
        </w:r>
        <w:r w:rsidR="00764589">
          <w:rPr>
            <w:rFonts w:asciiTheme="minorHAnsi" w:eastAsiaTheme="minorEastAsia" w:hAnsiTheme="minorHAnsi"/>
            <w:noProof/>
            <w:sz w:val="22"/>
            <w:lang w:eastAsia="cs-CZ"/>
          </w:rPr>
          <w:tab/>
        </w:r>
        <w:r w:rsidR="00764589" w:rsidRPr="009B71D6">
          <w:rPr>
            <w:rStyle w:val="Hypertextovodkaz"/>
            <w:noProof/>
          </w:rPr>
          <w:t>Obecné</w:t>
        </w:r>
        <w:r w:rsidR="00764589">
          <w:rPr>
            <w:noProof/>
            <w:webHidden/>
          </w:rPr>
          <w:tab/>
        </w:r>
        <w:r w:rsidR="00764589">
          <w:rPr>
            <w:noProof/>
            <w:webHidden/>
          </w:rPr>
          <w:fldChar w:fldCharType="begin"/>
        </w:r>
        <w:r w:rsidR="00764589">
          <w:rPr>
            <w:noProof/>
            <w:webHidden/>
          </w:rPr>
          <w:instrText xml:space="preserve"> PAGEREF _Toc73611578 \h </w:instrText>
        </w:r>
        <w:r w:rsidR="00764589">
          <w:rPr>
            <w:noProof/>
            <w:webHidden/>
          </w:rPr>
        </w:r>
        <w:r w:rsidR="00764589">
          <w:rPr>
            <w:noProof/>
            <w:webHidden/>
          </w:rPr>
          <w:fldChar w:fldCharType="separate"/>
        </w:r>
        <w:r w:rsidR="00764589">
          <w:rPr>
            <w:noProof/>
            <w:webHidden/>
          </w:rPr>
          <w:t>11</w:t>
        </w:r>
        <w:r w:rsidR="00764589">
          <w:rPr>
            <w:noProof/>
            <w:webHidden/>
          </w:rPr>
          <w:fldChar w:fldCharType="end"/>
        </w:r>
      </w:hyperlink>
    </w:p>
    <w:p w14:paraId="0838F214"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79"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Úhrnná cena výher</w:t>
        </w:r>
        <w:r w:rsidR="00764589">
          <w:rPr>
            <w:noProof/>
            <w:webHidden/>
          </w:rPr>
          <w:tab/>
        </w:r>
        <w:r w:rsidR="00764589">
          <w:rPr>
            <w:noProof/>
            <w:webHidden/>
          </w:rPr>
          <w:fldChar w:fldCharType="begin"/>
        </w:r>
        <w:r w:rsidR="00764589">
          <w:rPr>
            <w:noProof/>
            <w:webHidden/>
          </w:rPr>
          <w:instrText xml:space="preserve"> PAGEREF _Toc73611579 \h </w:instrText>
        </w:r>
        <w:r w:rsidR="00764589">
          <w:rPr>
            <w:noProof/>
            <w:webHidden/>
          </w:rPr>
        </w:r>
        <w:r w:rsidR="00764589">
          <w:rPr>
            <w:noProof/>
            <w:webHidden/>
          </w:rPr>
          <w:fldChar w:fldCharType="separate"/>
        </w:r>
        <w:r w:rsidR="00764589">
          <w:rPr>
            <w:noProof/>
            <w:webHidden/>
          </w:rPr>
          <w:t>11</w:t>
        </w:r>
        <w:r w:rsidR="00764589">
          <w:rPr>
            <w:noProof/>
            <w:webHidden/>
          </w:rPr>
          <w:fldChar w:fldCharType="end"/>
        </w:r>
      </w:hyperlink>
    </w:p>
    <w:p w14:paraId="0BAB961D"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80"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Zasílání protokolů o slosování</w:t>
        </w:r>
        <w:r w:rsidR="00764589">
          <w:rPr>
            <w:noProof/>
            <w:webHidden/>
          </w:rPr>
          <w:tab/>
        </w:r>
        <w:r w:rsidR="00764589">
          <w:rPr>
            <w:noProof/>
            <w:webHidden/>
          </w:rPr>
          <w:fldChar w:fldCharType="begin"/>
        </w:r>
        <w:r w:rsidR="00764589">
          <w:rPr>
            <w:noProof/>
            <w:webHidden/>
          </w:rPr>
          <w:instrText xml:space="preserve"> PAGEREF _Toc73611580 \h </w:instrText>
        </w:r>
        <w:r w:rsidR="00764589">
          <w:rPr>
            <w:noProof/>
            <w:webHidden/>
          </w:rPr>
        </w:r>
        <w:r w:rsidR="00764589">
          <w:rPr>
            <w:noProof/>
            <w:webHidden/>
          </w:rPr>
          <w:fldChar w:fldCharType="separate"/>
        </w:r>
        <w:r w:rsidR="00764589">
          <w:rPr>
            <w:noProof/>
            <w:webHidden/>
          </w:rPr>
          <w:t>12</w:t>
        </w:r>
        <w:r w:rsidR="00764589">
          <w:rPr>
            <w:noProof/>
            <w:webHidden/>
          </w:rPr>
          <w:fldChar w:fldCharType="end"/>
        </w:r>
      </w:hyperlink>
    </w:p>
    <w:p w14:paraId="50AA9224"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581" w:history="1">
        <w:r w:rsidR="00764589" w:rsidRPr="009B71D6">
          <w:rPr>
            <w:rStyle w:val="Hypertextovodkaz"/>
            <w:noProof/>
          </w:rPr>
          <w:t>2</w:t>
        </w:r>
        <w:r w:rsidR="00764589">
          <w:rPr>
            <w:rFonts w:asciiTheme="minorHAnsi" w:eastAsiaTheme="minorEastAsia" w:hAnsiTheme="minorHAnsi"/>
            <w:noProof/>
            <w:sz w:val="22"/>
            <w:lang w:eastAsia="cs-CZ"/>
          </w:rPr>
          <w:tab/>
        </w:r>
        <w:r w:rsidR="00764589" w:rsidRPr="009B71D6">
          <w:rPr>
            <w:rStyle w:val="Hypertextovodkaz"/>
            <w:noProof/>
          </w:rPr>
          <w:t>Kursová sázka a totalizátorová hra</w:t>
        </w:r>
        <w:r w:rsidR="00764589">
          <w:rPr>
            <w:noProof/>
            <w:webHidden/>
          </w:rPr>
          <w:tab/>
        </w:r>
        <w:r w:rsidR="00764589">
          <w:rPr>
            <w:noProof/>
            <w:webHidden/>
          </w:rPr>
          <w:fldChar w:fldCharType="begin"/>
        </w:r>
        <w:r w:rsidR="00764589">
          <w:rPr>
            <w:noProof/>
            <w:webHidden/>
          </w:rPr>
          <w:instrText xml:space="preserve"> PAGEREF _Toc73611581 \h </w:instrText>
        </w:r>
        <w:r w:rsidR="00764589">
          <w:rPr>
            <w:noProof/>
            <w:webHidden/>
          </w:rPr>
        </w:r>
        <w:r w:rsidR="00764589">
          <w:rPr>
            <w:noProof/>
            <w:webHidden/>
          </w:rPr>
          <w:fldChar w:fldCharType="separate"/>
        </w:r>
        <w:r w:rsidR="00764589">
          <w:rPr>
            <w:noProof/>
            <w:webHidden/>
          </w:rPr>
          <w:t>13</w:t>
        </w:r>
        <w:r w:rsidR="00764589">
          <w:rPr>
            <w:noProof/>
            <w:webHidden/>
          </w:rPr>
          <w:fldChar w:fldCharType="end"/>
        </w:r>
      </w:hyperlink>
    </w:p>
    <w:p w14:paraId="3AB548BB"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82" w:history="1">
        <w:r w:rsidR="00764589" w:rsidRPr="009B71D6">
          <w:rPr>
            <w:rStyle w:val="Hypertextovodkaz"/>
            <w:noProof/>
          </w:rPr>
          <w:t>2.1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_Toc73611582 \h </w:instrText>
        </w:r>
        <w:r w:rsidR="00764589">
          <w:rPr>
            <w:noProof/>
            <w:webHidden/>
          </w:rPr>
        </w:r>
        <w:r w:rsidR="00764589">
          <w:rPr>
            <w:noProof/>
            <w:webHidden/>
          </w:rPr>
          <w:fldChar w:fldCharType="separate"/>
        </w:r>
        <w:r w:rsidR="00764589">
          <w:rPr>
            <w:noProof/>
            <w:webHidden/>
          </w:rPr>
          <w:t>13</w:t>
        </w:r>
        <w:r w:rsidR="00764589">
          <w:rPr>
            <w:noProof/>
            <w:webHidden/>
          </w:rPr>
          <w:fldChar w:fldCharType="end"/>
        </w:r>
      </w:hyperlink>
    </w:p>
    <w:p w14:paraId="57B40167"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83"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Kursová sázka</w:t>
        </w:r>
        <w:r w:rsidR="00764589">
          <w:rPr>
            <w:noProof/>
            <w:webHidden/>
          </w:rPr>
          <w:tab/>
        </w:r>
        <w:r w:rsidR="00764589">
          <w:rPr>
            <w:noProof/>
            <w:webHidden/>
          </w:rPr>
          <w:fldChar w:fldCharType="begin"/>
        </w:r>
        <w:r w:rsidR="00764589">
          <w:rPr>
            <w:noProof/>
            <w:webHidden/>
          </w:rPr>
          <w:instrText xml:space="preserve"> PAGEREF _Toc73611583 \h </w:instrText>
        </w:r>
        <w:r w:rsidR="00764589">
          <w:rPr>
            <w:noProof/>
            <w:webHidden/>
          </w:rPr>
        </w:r>
        <w:r w:rsidR="00764589">
          <w:rPr>
            <w:noProof/>
            <w:webHidden/>
          </w:rPr>
          <w:fldChar w:fldCharType="separate"/>
        </w:r>
        <w:r w:rsidR="00764589">
          <w:rPr>
            <w:noProof/>
            <w:webHidden/>
          </w:rPr>
          <w:t>13</w:t>
        </w:r>
        <w:r w:rsidR="00764589">
          <w:rPr>
            <w:noProof/>
            <w:webHidden/>
          </w:rPr>
          <w:fldChar w:fldCharType="end"/>
        </w:r>
      </w:hyperlink>
    </w:p>
    <w:p w14:paraId="2FA6B398"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84"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Totalizátorová hra</w:t>
        </w:r>
        <w:r w:rsidR="00764589">
          <w:rPr>
            <w:noProof/>
            <w:webHidden/>
          </w:rPr>
          <w:tab/>
        </w:r>
        <w:r w:rsidR="00764589">
          <w:rPr>
            <w:noProof/>
            <w:webHidden/>
          </w:rPr>
          <w:fldChar w:fldCharType="begin"/>
        </w:r>
        <w:r w:rsidR="00764589">
          <w:rPr>
            <w:noProof/>
            <w:webHidden/>
          </w:rPr>
          <w:instrText xml:space="preserve"> PAGEREF _Toc73611584 \h </w:instrText>
        </w:r>
        <w:r w:rsidR="00764589">
          <w:rPr>
            <w:noProof/>
            <w:webHidden/>
          </w:rPr>
        </w:r>
        <w:r w:rsidR="00764589">
          <w:rPr>
            <w:noProof/>
            <w:webHidden/>
          </w:rPr>
          <w:fldChar w:fldCharType="separate"/>
        </w:r>
        <w:r w:rsidR="00764589">
          <w:rPr>
            <w:noProof/>
            <w:webHidden/>
          </w:rPr>
          <w:t>13</w:t>
        </w:r>
        <w:r w:rsidR="00764589">
          <w:rPr>
            <w:noProof/>
            <w:webHidden/>
          </w:rPr>
          <w:fldChar w:fldCharType="end"/>
        </w:r>
      </w:hyperlink>
    </w:p>
    <w:p w14:paraId="2944ACA1"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85" w:history="1">
        <w:r w:rsidR="00764589" w:rsidRPr="009B71D6">
          <w:rPr>
            <w:rStyle w:val="Hypertextovodkaz"/>
            <w:noProof/>
          </w:rPr>
          <w:t>2.2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_Toc73611585 \h </w:instrText>
        </w:r>
        <w:r w:rsidR="00764589">
          <w:rPr>
            <w:noProof/>
            <w:webHidden/>
          </w:rPr>
        </w:r>
        <w:r w:rsidR="00764589">
          <w:rPr>
            <w:noProof/>
            <w:webHidden/>
          </w:rPr>
          <w:fldChar w:fldCharType="separate"/>
        </w:r>
        <w:r w:rsidR="00764589">
          <w:rPr>
            <w:noProof/>
            <w:webHidden/>
          </w:rPr>
          <w:t>14</w:t>
        </w:r>
        <w:r w:rsidR="00764589">
          <w:rPr>
            <w:noProof/>
            <w:webHidden/>
          </w:rPr>
          <w:fldChar w:fldCharType="end"/>
        </w:r>
      </w:hyperlink>
    </w:p>
    <w:p w14:paraId="4A9F713B"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86"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Kursová sázka</w:t>
        </w:r>
        <w:r w:rsidR="00764589">
          <w:rPr>
            <w:noProof/>
            <w:webHidden/>
          </w:rPr>
          <w:tab/>
        </w:r>
        <w:r w:rsidR="00764589">
          <w:rPr>
            <w:noProof/>
            <w:webHidden/>
          </w:rPr>
          <w:fldChar w:fldCharType="begin"/>
        </w:r>
        <w:r w:rsidR="00764589">
          <w:rPr>
            <w:noProof/>
            <w:webHidden/>
          </w:rPr>
          <w:instrText xml:space="preserve"> PAGEREF _Toc73611586 \h </w:instrText>
        </w:r>
        <w:r w:rsidR="00764589">
          <w:rPr>
            <w:noProof/>
            <w:webHidden/>
          </w:rPr>
        </w:r>
        <w:r w:rsidR="00764589">
          <w:rPr>
            <w:noProof/>
            <w:webHidden/>
          </w:rPr>
          <w:fldChar w:fldCharType="separate"/>
        </w:r>
        <w:r w:rsidR="00764589">
          <w:rPr>
            <w:noProof/>
            <w:webHidden/>
          </w:rPr>
          <w:t>14</w:t>
        </w:r>
        <w:r w:rsidR="00764589">
          <w:rPr>
            <w:noProof/>
            <w:webHidden/>
          </w:rPr>
          <w:fldChar w:fldCharType="end"/>
        </w:r>
      </w:hyperlink>
    </w:p>
    <w:p w14:paraId="61C7CEFB"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87"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Totalizátorová hra</w:t>
        </w:r>
        <w:r w:rsidR="00764589">
          <w:rPr>
            <w:noProof/>
            <w:webHidden/>
          </w:rPr>
          <w:tab/>
        </w:r>
        <w:r w:rsidR="00764589">
          <w:rPr>
            <w:noProof/>
            <w:webHidden/>
          </w:rPr>
          <w:fldChar w:fldCharType="begin"/>
        </w:r>
        <w:r w:rsidR="00764589">
          <w:rPr>
            <w:noProof/>
            <w:webHidden/>
          </w:rPr>
          <w:instrText xml:space="preserve"> PAGEREF _Toc73611587 \h </w:instrText>
        </w:r>
        <w:r w:rsidR="00764589">
          <w:rPr>
            <w:noProof/>
            <w:webHidden/>
          </w:rPr>
        </w:r>
        <w:r w:rsidR="00764589">
          <w:rPr>
            <w:noProof/>
            <w:webHidden/>
          </w:rPr>
          <w:fldChar w:fldCharType="separate"/>
        </w:r>
        <w:r w:rsidR="00764589">
          <w:rPr>
            <w:noProof/>
            <w:webHidden/>
          </w:rPr>
          <w:t>16</w:t>
        </w:r>
        <w:r w:rsidR="00764589">
          <w:rPr>
            <w:noProof/>
            <w:webHidden/>
          </w:rPr>
          <w:fldChar w:fldCharType="end"/>
        </w:r>
      </w:hyperlink>
    </w:p>
    <w:p w14:paraId="495C5843"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588" w:history="1">
        <w:r w:rsidR="00764589" w:rsidRPr="009B71D6">
          <w:rPr>
            <w:rStyle w:val="Hypertextovodkaz"/>
            <w:noProof/>
          </w:rPr>
          <w:t>2.3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oblastí, na které by bylo vhodné se v 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_Toc73611588 \h </w:instrText>
        </w:r>
        <w:r w:rsidR="00764589">
          <w:rPr>
            <w:noProof/>
            <w:webHidden/>
          </w:rPr>
        </w:r>
        <w:r w:rsidR="00764589">
          <w:rPr>
            <w:noProof/>
            <w:webHidden/>
          </w:rPr>
          <w:fldChar w:fldCharType="separate"/>
        </w:r>
        <w:r w:rsidR="00764589">
          <w:rPr>
            <w:noProof/>
            <w:webHidden/>
          </w:rPr>
          <w:t>17</w:t>
        </w:r>
        <w:r w:rsidR="00764589">
          <w:rPr>
            <w:noProof/>
            <w:webHidden/>
          </w:rPr>
          <w:fldChar w:fldCharType="end"/>
        </w:r>
      </w:hyperlink>
    </w:p>
    <w:p w14:paraId="76B2DD73"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89"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Kursová sázka</w:t>
        </w:r>
        <w:r w:rsidR="00764589">
          <w:rPr>
            <w:noProof/>
            <w:webHidden/>
          </w:rPr>
          <w:tab/>
        </w:r>
        <w:r w:rsidR="00764589">
          <w:rPr>
            <w:noProof/>
            <w:webHidden/>
          </w:rPr>
          <w:fldChar w:fldCharType="begin"/>
        </w:r>
        <w:r w:rsidR="00764589">
          <w:rPr>
            <w:noProof/>
            <w:webHidden/>
          </w:rPr>
          <w:instrText xml:space="preserve"> PAGEREF _Toc73611589 \h </w:instrText>
        </w:r>
        <w:r w:rsidR="00764589">
          <w:rPr>
            <w:noProof/>
            <w:webHidden/>
          </w:rPr>
        </w:r>
        <w:r w:rsidR="00764589">
          <w:rPr>
            <w:noProof/>
            <w:webHidden/>
          </w:rPr>
          <w:fldChar w:fldCharType="separate"/>
        </w:r>
        <w:r w:rsidR="00764589">
          <w:rPr>
            <w:noProof/>
            <w:webHidden/>
          </w:rPr>
          <w:t>17</w:t>
        </w:r>
        <w:r w:rsidR="00764589">
          <w:rPr>
            <w:noProof/>
            <w:webHidden/>
          </w:rPr>
          <w:fldChar w:fldCharType="end"/>
        </w:r>
      </w:hyperlink>
    </w:p>
    <w:p w14:paraId="46E6802F"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0"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Vypořádání dlouhodobých sázek vzhledem k platnosti základního povolení nebo k ukončení provozování</w:t>
        </w:r>
        <w:r w:rsidR="00764589">
          <w:rPr>
            <w:noProof/>
            <w:webHidden/>
          </w:rPr>
          <w:tab/>
        </w:r>
        <w:r w:rsidR="00764589">
          <w:rPr>
            <w:noProof/>
            <w:webHidden/>
          </w:rPr>
          <w:fldChar w:fldCharType="begin"/>
        </w:r>
        <w:r w:rsidR="00764589">
          <w:rPr>
            <w:noProof/>
            <w:webHidden/>
          </w:rPr>
          <w:instrText xml:space="preserve"> PAGEREF _Toc73611590 \h </w:instrText>
        </w:r>
        <w:r w:rsidR="00764589">
          <w:rPr>
            <w:noProof/>
            <w:webHidden/>
          </w:rPr>
        </w:r>
        <w:r w:rsidR="00764589">
          <w:rPr>
            <w:noProof/>
            <w:webHidden/>
          </w:rPr>
          <w:fldChar w:fldCharType="separate"/>
        </w:r>
        <w:r w:rsidR="00764589">
          <w:rPr>
            <w:noProof/>
            <w:webHidden/>
          </w:rPr>
          <w:t>17</w:t>
        </w:r>
        <w:r w:rsidR="00764589">
          <w:rPr>
            <w:noProof/>
            <w:webHidden/>
          </w:rPr>
          <w:fldChar w:fldCharType="end"/>
        </w:r>
      </w:hyperlink>
    </w:p>
    <w:p w14:paraId="13D06B36"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1"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Sázková burza</w:t>
        </w:r>
        <w:r w:rsidR="00764589">
          <w:rPr>
            <w:noProof/>
            <w:webHidden/>
          </w:rPr>
          <w:tab/>
        </w:r>
        <w:r w:rsidR="00764589">
          <w:rPr>
            <w:noProof/>
            <w:webHidden/>
          </w:rPr>
          <w:fldChar w:fldCharType="begin"/>
        </w:r>
        <w:r w:rsidR="00764589">
          <w:rPr>
            <w:noProof/>
            <w:webHidden/>
          </w:rPr>
          <w:instrText xml:space="preserve"> PAGEREF _Toc73611591 \h </w:instrText>
        </w:r>
        <w:r w:rsidR="00764589">
          <w:rPr>
            <w:noProof/>
            <w:webHidden/>
          </w:rPr>
        </w:r>
        <w:r w:rsidR="00764589">
          <w:rPr>
            <w:noProof/>
            <w:webHidden/>
          </w:rPr>
          <w:fldChar w:fldCharType="separate"/>
        </w:r>
        <w:r w:rsidR="00764589">
          <w:rPr>
            <w:noProof/>
            <w:webHidden/>
          </w:rPr>
          <w:t>18</w:t>
        </w:r>
        <w:r w:rsidR="00764589">
          <w:rPr>
            <w:noProof/>
            <w:webHidden/>
          </w:rPr>
          <w:fldChar w:fldCharType="end"/>
        </w:r>
      </w:hyperlink>
    </w:p>
    <w:p w14:paraId="3DADABD1"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2"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Terminologie sázková událost a sázková příležitost</w:t>
        </w:r>
        <w:r w:rsidR="00764589">
          <w:rPr>
            <w:noProof/>
            <w:webHidden/>
          </w:rPr>
          <w:tab/>
        </w:r>
        <w:r w:rsidR="00764589">
          <w:rPr>
            <w:noProof/>
            <w:webHidden/>
          </w:rPr>
          <w:fldChar w:fldCharType="begin"/>
        </w:r>
        <w:r w:rsidR="00764589">
          <w:rPr>
            <w:noProof/>
            <w:webHidden/>
          </w:rPr>
          <w:instrText xml:space="preserve"> PAGEREF _Toc73611592 \h </w:instrText>
        </w:r>
        <w:r w:rsidR="00764589">
          <w:rPr>
            <w:noProof/>
            <w:webHidden/>
          </w:rPr>
        </w:r>
        <w:r w:rsidR="00764589">
          <w:rPr>
            <w:noProof/>
            <w:webHidden/>
          </w:rPr>
          <w:fldChar w:fldCharType="separate"/>
        </w:r>
        <w:r w:rsidR="00764589">
          <w:rPr>
            <w:noProof/>
            <w:webHidden/>
          </w:rPr>
          <w:t>20</w:t>
        </w:r>
        <w:r w:rsidR="00764589">
          <w:rPr>
            <w:noProof/>
            <w:webHidden/>
          </w:rPr>
          <w:fldChar w:fldCharType="end"/>
        </w:r>
      </w:hyperlink>
    </w:p>
    <w:p w14:paraId="4AA5496A"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3" w:history="1">
        <w:r w:rsidR="00764589" w:rsidRPr="009B71D6">
          <w:rPr>
            <w:rStyle w:val="Hypertextovodkaz"/>
            <w:rFonts w:cs="Arial"/>
            <w:noProof/>
          </w:rPr>
          <w:t>iv.</w:t>
        </w:r>
        <w:r w:rsidR="00764589">
          <w:rPr>
            <w:rFonts w:asciiTheme="minorHAnsi" w:eastAsiaTheme="minorEastAsia" w:hAnsiTheme="minorHAnsi"/>
            <w:noProof/>
            <w:sz w:val="22"/>
            <w:lang w:eastAsia="cs-CZ"/>
          </w:rPr>
          <w:tab/>
        </w:r>
        <w:r w:rsidR="00764589" w:rsidRPr="009B71D6">
          <w:rPr>
            <w:rStyle w:val="Hypertextovodkaz"/>
            <w:noProof/>
          </w:rPr>
          <w:t>Postup provozovatele při prokázání či dokládání match-fixingu</w:t>
        </w:r>
        <w:r w:rsidR="00764589">
          <w:rPr>
            <w:noProof/>
            <w:webHidden/>
          </w:rPr>
          <w:tab/>
        </w:r>
        <w:r w:rsidR="00764589">
          <w:rPr>
            <w:noProof/>
            <w:webHidden/>
          </w:rPr>
          <w:fldChar w:fldCharType="begin"/>
        </w:r>
        <w:r w:rsidR="00764589">
          <w:rPr>
            <w:noProof/>
            <w:webHidden/>
          </w:rPr>
          <w:instrText xml:space="preserve"> PAGEREF _Toc73611593 \h </w:instrText>
        </w:r>
        <w:r w:rsidR="00764589">
          <w:rPr>
            <w:noProof/>
            <w:webHidden/>
          </w:rPr>
        </w:r>
        <w:r w:rsidR="00764589">
          <w:rPr>
            <w:noProof/>
            <w:webHidden/>
          </w:rPr>
          <w:fldChar w:fldCharType="separate"/>
        </w:r>
        <w:r w:rsidR="00764589">
          <w:rPr>
            <w:noProof/>
            <w:webHidden/>
          </w:rPr>
          <w:t>20</w:t>
        </w:r>
        <w:r w:rsidR="00764589">
          <w:rPr>
            <w:noProof/>
            <w:webHidden/>
          </w:rPr>
          <w:fldChar w:fldCharType="end"/>
        </w:r>
      </w:hyperlink>
    </w:p>
    <w:p w14:paraId="41FE5534"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4" w:history="1">
        <w:r w:rsidR="00764589" w:rsidRPr="009B71D6">
          <w:rPr>
            <w:rStyle w:val="Hypertextovodkaz"/>
            <w:rFonts w:cs="Arial"/>
            <w:noProof/>
          </w:rPr>
          <w:t>v.</w:t>
        </w:r>
        <w:r w:rsidR="00764589">
          <w:rPr>
            <w:rFonts w:asciiTheme="minorHAnsi" w:eastAsiaTheme="minorEastAsia" w:hAnsiTheme="minorHAnsi"/>
            <w:noProof/>
            <w:sz w:val="22"/>
            <w:lang w:eastAsia="cs-CZ"/>
          </w:rPr>
          <w:tab/>
        </w:r>
        <w:r w:rsidR="00764589" w:rsidRPr="009B71D6">
          <w:rPr>
            <w:rStyle w:val="Hypertextovodkaz"/>
            <w:noProof/>
          </w:rPr>
          <w:t>Zablokování uživatelského konta provozovatelem z důvodu match-fixingu</w:t>
        </w:r>
        <w:r w:rsidR="00764589">
          <w:rPr>
            <w:noProof/>
            <w:webHidden/>
          </w:rPr>
          <w:tab/>
        </w:r>
        <w:r w:rsidR="00764589">
          <w:rPr>
            <w:noProof/>
            <w:webHidden/>
          </w:rPr>
          <w:fldChar w:fldCharType="begin"/>
        </w:r>
        <w:r w:rsidR="00764589">
          <w:rPr>
            <w:noProof/>
            <w:webHidden/>
          </w:rPr>
          <w:instrText xml:space="preserve"> PAGEREF _Toc73611594 \h </w:instrText>
        </w:r>
        <w:r w:rsidR="00764589">
          <w:rPr>
            <w:noProof/>
            <w:webHidden/>
          </w:rPr>
        </w:r>
        <w:r w:rsidR="00764589">
          <w:rPr>
            <w:noProof/>
            <w:webHidden/>
          </w:rPr>
          <w:fldChar w:fldCharType="separate"/>
        </w:r>
        <w:r w:rsidR="00764589">
          <w:rPr>
            <w:noProof/>
            <w:webHidden/>
          </w:rPr>
          <w:t>22</w:t>
        </w:r>
        <w:r w:rsidR="00764589">
          <w:rPr>
            <w:noProof/>
            <w:webHidden/>
          </w:rPr>
          <w:fldChar w:fldCharType="end"/>
        </w:r>
      </w:hyperlink>
    </w:p>
    <w:p w14:paraId="551782BB"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5" w:history="1">
        <w:r w:rsidR="00764589" w:rsidRPr="009B71D6">
          <w:rPr>
            <w:rStyle w:val="Hypertextovodkaz"/>
            <w:rFonts w:cs="Arial"/>
            <w:noProof/>
          </w:rPr>
          <w:t>vi.</w:t>
        </w:r>
        <w:r w:rsidR="00764589">
          <w:rPr>
            <w:rFonts w:asciiTheme="minorHAnsi" w:eastAsiaTheme="minorEastAsia" w:hAnsiTheme="minorHAnsi"/>
            <w:noProof/>
            <w:sz w:val="22"/>
            <w:lang w:eastAsia="cs-CZ"/>
          </w:rPr>
          <w:tab/>
        </w:r>
        <w:r w:rsidR="00764589" w:rsidRPr="009B71D6">
          <w:rPr>
            <w:rStyle w:val="Hypertextovodkaz"/>
            <w:noProof/>
          </w:rPr>
          <w:t>CashOut</w:t>
        </w:r>
        <w:r w:rsidR="00764589">
          <w:rPr>
            <w:noProof/>
            <w:webHidden/>
          </w:rPr>
          <w:tab/>
        </w:r>
        <w:r w:rsidR="00764589">
          <w:rPr>
            <w:noProof/>
            <w:webHidden/>
          </w:rPr>
          <w:fldChar w:fldCharType="begin"/>
        </w:r>
        <w:r w:rsidR="00764589">
          <w:rPr>
            <w:noProof/>
            <w:webHidden/>
          </w:rPr>
          <w:instrText xml:space="preserve"> PAGEREF _Toc73611595 \h </w:instrText>
        </w:r>
        <w:r w:rsidR="00764589">
          <w:rPr>
            <w:noProof/>
            <w:webHidden/>
          </w:rPr>
        </w:r>
        <w:r w:rsidR="00764589">
          <w:rPr>
            <w:noProof/>
            <w:webHidden/>
          </w:rPr>
          <w:fldChar w:fldCharType="separate"/>
        </w:r>
        <w:r w:rsidR="00764589">
          <w:rPr>
            <w:noProof/>
            <w:webHidden/>
          </w:rPr>
          <w:t>23</w:t>
        </w:r>
        <w:r w:rsidR="00764589">
          <w:rPr>
            <w:noProof/>
            <w:webHidden/>
          </w:rPr>
          <w:fldChar w:fldCharType="end"/>
        </w:r>
      </w:hyperlink>
    </w:p>
    <w:p w14:paraId="01FF2DC8"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6" w:history="1">
        <w:r w:rsidR="00764589" w:rsidRPr="009B71D6">
          <w:rPr>
            <w:rStyle w:val="Hypertextovodkaz"/>
            <w:rFonts w:cs="Arial"/>
            <w:noProof/>
          </w:rPr>
          <w:t>vii.</w:t>
        </w:r>
        <w:r w:rsidR="00764589">
          <w:rPr>
            <w:rFonts w:asciiTheme="minorHAnsi" w:eastAsiaTheme="minorEastAsia" w:hAnsiTheme="minorHAnsi"/>
            <w:noProof/>
            <w:sz w:val="22"/>
            <w:lang w:eastAsia="cs-CZ"/>
          </w:rPr>
          <w:tab/>
        </w:r>
        <w:r w:rsidR="00764589" w:rsidRPr="009B71D6">
          <w:rPr>
            <w:rStyle w:val="Hypertextovodkaz"/>
            <w:noProof/>
          </w:rPr>
          <w:t>Poskytování sázek na zvířecí dostihy bez registrace i na pobočkách a ne pouze na závodišti</w:t>
        </w:r>
        <w:r w:rsidR="00764589">
          <w:rPr>
            <w:noProof/>
            <w:webHidden/>
          </w:rPr>
          <w:tab/>
        </w:r>
        <w:r w:rsidR="00764589">
          <w:rPr>
            <w:noProof/>
            <w:webHidden/>
          </w:rPr>
          <w:fldChar w:fldCharType="begin"/>
        </w:r>
        <w:r w:rsidR="00764589">
          <w:rPr>
            <w:noProof/>
            <w:webHidden/>
          </w:rPr>
          <w:instrText xml:space="preserve"> PAGEREF _Toc73611596 \h </w:instrText>
        </w:r>
        <w:r w:rsidR="00764589">
          <w:rPr>
            <w:noProof/>
            <w:webHidden/>
          </w:rPr>
        </w:r>
        <w:r w:rsidR="00764589">
          <w:rPr>
            <w:noProof/>
            <w:webHidden/>
          </w:rPr>
          <w:fldChar w:fldCharType="separate"/>
        </w:r>
        <w:r w:rsidR="00764589">
          <w:rPr>
            <w:noProof/>
            <w:webHidden/>
          </w:rPr>
          <w:t>24</w:t>
        </w:r>
        <w:r w:rsidR="00764589">
          <w:rPr>
            <w:noProof/>
            <w:webHidden/>
          </w:rPr>
          <w:fldChar w:fldCharType="end"/>
        </w:r>
      </w:hyperlink>
    </w:p>
    <w:p w14:paraId="358C1013"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597"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Totalizátorová hra</w:t>
        </w:r>
        <w:r w:rsidR="00764589">
          <w:rPr>
            <w:noProof/>
            <w:webHidden/>
          </w:rPr>
          <w:tab/>
        </w:r>
        <w:r w:rsidR="00764589">
          <w:rPr>
            <w:noProof/>
            <w:webHidden/>
          </w:rPr>
          <w:fldChar w:fldCharType="begin"/>
        </w:r>
        <w:r w:rsidR="00764589">
          <w:rPr>
            <w:noProof/>
            <w:webHidden/>
          </w:rPr>
          <w:instrText xml:space="preserve"> PAGEREF _Toc73611597 \h </w:instrText>
        </w:r>
        <w:r w:rsidR="00764589">
          <w:rPr>
            <w:noProof/>
            <w:webHidden/>
          </w:rPr>
        </w:r>
        <w:r w:rsidR="00764589">
          <w:rPr>
            <w:noProof/>
            <w:webHidden/>
          </w:rPr>
          <w:fldChar w:fldCharType="separate"/>
        </w:r>
        <w:r w:rsidR="00764589">
          <w:rPr>
            <w:noProof/>
            <w:webHidden/>
          </w:rPr>
          <w:t>26</w:t>
        </w:r>
        <w:r w:rsidR="00764589">
          <w:rPr>
            <w:noProof/>
            <w:webHidden/>
          </w:rPr>
          <w:fldChar w:fldCharType="end"/>
        </w:r>
      </w:hyperlink>
    </w:p>
    <w:p w14:paraId="59516825"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8"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Nemožnost převádět nevyplacené výhry z jedné hry totalizátorové hry do další hry totalizátorové hry a stanovení úhrnné ceny výher</w:t>
        </w:r>
        <w:r w:rsidR="00764589">
          <w:rPr>
            <w:noProof/>
            <w:webHidden/>
          </w:rPr>
          <w:tab/>
        </w:r>
        <w:r w:rsidR="00764589">
          <w:rPr>
            <w:noProof/>
            <w:webHidden/>
          </w:rPr>
          <w:fldChar w:fldCharType="begin"/>
        </w:r>
        <w:r w:rsidR="00764589">
          <w:rPr>
            <w:noProof/>
            <w:webHidden/>
          </w:rPr>
          <w:instrText xml:space="preserve"> PAGEREF _Toc73611598 \h </w:instrText>
        </w:r>
        <w:r w:rsidR="00764589">
          <w:rPr>
            <w:noProof/>
            <w:webHidden/>
          </w:rPr>
        </w:r>
        <w:r w:rsidR="00764589">
          <w:rPr>
            <w:noProof/>
            <w:webHidden/>
          </w:rPr>
          <w:fldChar w:fldCharType="separate"/>
        </w:r>
        <w:r w:rsidR="00764589">
          <w:rPr>
            <w:noProof/>
            <w:webHidden/>
          </w:rPr>
          <w:t>26</w:t>
        </w:r>
        <w:r w:rsidR="00764589">
          <w:rPr>
            <w:noProof/>
            <w:webHidden/>
          </w:rPr>
          <w:fldChar w:fldCharType="end"/>
        </w:r>
      </w:hyperlink>
    </w:p>
    <w:p w14:paraId="2315299C"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599"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Registrace a sebeomezující opatření u totalizátorové hry</w:t>
        </w:r>
        <w:r w:rsidR="00764589">
          <w:rPr>
            <w:noProof/>
            <w:webHidden/>
          </w:rPr>
          <w:tab/>
        </w:r>
        <w:r w:rsidR="00764589">
          <w:rPr>
            <w:noProof/>
            <w:webHidden/>
          </w:rPr>
          <w:fldChar w:fldCharType="begin"/>
        </w:r>
        <w:r w:rsidR="00764589">
          <w:rPr>
            <w:noProof/>
            <w:webHidden/>
          </w:rPr>
          <w:instrText xml:space="preserve"> PAGEREF _Toc73611599 \h </w:instrText>
        </w:r>
        <w:r w:rsidR="00764589">
          <w:rPr>
            <w:noProof/>
            <w:webHidden/>
          </w:rPr>
        </w:r>
        <w:r w:rsidR="00764589">
          <w:rPr>
            <w:noProof/>
            <w:webHidden/>
          </w:rPr>
          <w:fldChar w:fldCharType="separate"/>
        </w:r>
        <w:r w:rsidR="00764589">
          <w:rPr>
            <w:noProof/>
            <w:webHidden/>
          </w:rPr>
          <w:t>27</w:t>
        </w:r>
        <w:r w:rsidR="00764589">
          <w:rPr>
            <w:noProof/>
            <w:webHidden/>
          </w:rPr>
          <w:fldChar w:fldCharType="end"/>
        </w:r>
      </w:hyperlink>
    </w:p>
    <w:p w14:paraId="7DEA1B29"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00"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Sdílená totalizátorová hra</w:t>
        </w:r>
        <w:r w:rsidR="00764589">
          <w:rPr>
            <w:noProof/>
            <w:webHidden/>
          </w:rPr>
          <w:tab/>
        </w:r>
        <w:r w:rsidR="00764589">
          <w:rPr>
            <w:noProof/>
            <w:webHidden/>
          </w:rPr>
          <w:fldChar w:fldCharType="begin"/>
        </w:r>
        <w:r w:rsidR="00764589">
          <w:rPr>
            <w:noProof/>
            <w:webHidden/>
          </w:rPr>
          <w:instrText xml:space="preserve"> PAGEREF _Toc73611600 \h </w:instrText>
        </w:r>
        <w:r w:rsidR="00764589">
          <w:rPr>
            <w:noProof/>
            <w:webHidden/>
          </w:rPr>
        </w:r>
        <w:r w:rsidR="00764589">
          <w:rPr>
            <w:noProof/>
            <w:webHidden/>
          </w:rPr>
          <w:fldChar w:fldCharType="separate"/>
        </w:r>
        <w:r w:rsidR="00764589">
          <w:rPr>
            <w:noProof/>
            <w:webHidden/>
          </w:rPr>
          <w:t>27</w:t>
        </w:r>
        <w:r w:rsidR="00764589">
          <w:rPr>
            <w:noProof/>
            <w:webHidden/>
          </w:rPr>
          <w:fldChar w:fldCharType="end"/>
        </w:r>
      </w:hyperlink>
    </w:p>
    <w:p w14:paraId="1920FDC4"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01" w:history="1">
        <w:r w:rsidR="00764589" w:rsidRPr="009B71D6">
          <w:rPr>
            <w:rStyle w:val="Hypertextovodkaz"/>
            <w:noProof/>
          </w:rPr>
          <w:t>3</w:t>
        </w:r>
        <w:r w:rsidR="00764589">
          <w:rPr>
            <w:rFonts w:asciiTheme="minorHAnsi" w:eastAsiaTheme="minorEastAsia" w:hAnsiTheme="minorHAnsi"/>
            <w:noProof/>
            <w:sz w:val="22"/>
            <w:lang w:eastAsia="cs-CZ"/>
          </w:rPr>
          <w:tab/>
        </w:r>
        <w:r w:rsidR="00764589" w:rsidRPr="009B71D6">
          <w:rPr>
            <w:rStyle w:val="Hypertextovodkaz"/>
            <w:noProof/>
          </w:rPr>
          <w:t>Bingo</w:t>
        </w:r>
        <w:r w:rsidR="00764589">
          <w:rPr>
            <w:noProof/>
            <w:webHidden/>
          </w:rPr>
          <w:tab/>
        </w:r>
        <w:r w:rsidR="00764589">
          <w:rPr>
            <w:noProof/>
            <w:webHidden/>
          </w:rPr>
          <w:fldChar w:fldCharType="begin"/>
        </w:r>
        <w:r w:rsidR="00764589">
          <w:rPr>
            <w:noProof/>
            <w:webHidden/>
          </w:rPr>
          <w:instrText xml:space="preserve"> PAGEREF _Toc73611601 \h </w:instrText>
        </w:r>
        <w:r w:rsidR="00764589">
          <w:rPr>
            <w:noProof/>
            <w:webHidden/>
          </w:rPr>
        </w:r>
        <w:r w:rsidR="00764589">
          <w:rPr>
            <w:noProof/>
            <w:webHidden/>
          </w:rPr>
          <w:fldChar w:fldCharType="separate"/>
        </w:r>
        <w:r w:rsidR="00764589">
          <w:rPr>
            <w:noProof/>
            <w:webHidden/>
          </w:rPr>
          <w:t>28</w:t>
        </w:r>
        <w:r w:rsidR="00764589">
          <w:rPr>
            <w:noProof/>
            <w:webHidden/>
          </w:rPr>
          <w:fldChar w:fldCharType="end"/>
        </w:r>
      </w:hyperlink>
    </w:p>
    <w:p w14:paraId="21B40413"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02" w:history="1">
        <w:r w:rsidR="00764589" w:rsidRPr="009B71D6">
          <w:rPr>
            <w:rStyle w:val="Hypertextovodkaz"/>
            <w:noProof/>
          </w:rPr>
          <w:t>3.1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_Toc73611602 \h </w:instrText>
        </w:r>
        <w:r w:rsidR="00764589">
          <w:rPr>
            <w:noProof/>
            <w:webHidden/>
          </w:rPr>
        </w:r>
        <w:r w:rsidR="00764589">
          <w:rPr>
            <w:noProof/>
            <w:webHidden/>
          </w:rPr>
          <w:fldChar w:fldCharType="separate"/>
        </w:r>
        <w:r w:rsidR="00764589">
          <w:rPr>
            <w:noProof/>
            <w:webHidden/>
          </w:rPr>
          <w:t>28</w:t>
        </w:r>
        <w:r w:rsidR="00764589">
          <w:rPr>
            <w:noProof/>
            <w:webHidden/>
          </w:rPr>
          <w:fldChar w:fldCharType="end"/>
        </w:r>
      </w:hyperlink>
    </w:p>
    <w:p w14:paraId="120D0567"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03" w:history="1">
        <w:r w:rsidR="00764589" w:rsidRPr="009B71D6">
          <w:rPr>
            <w:rStyle w:val="Hypertextovodkaz"/>
            <w:rFonts w:cs="Arial"/>
            <w:noProof/>
          </w:rPr>
          <w:t>3.2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_Toc73611603 \h </w:instrText>
        </w:r>
        <w:r w:rsidR="00764589">
          <w:rPr>
            <w:noProof/>
            <w:webHidden/>
          </w:rPr>
        </w:r>
        <w:r w:rsidR="00764589">
          <w:rPr>
            <w:noProof/>
            <w:webHidden/>
          </w:rPr>
          <w:fldChar w:fldCharType="separate"/>
        </w:r>
        <w:r w:rsidR="00764589">
          <w:rPr>
            <w:noProof/>
            <w:webHidden/>
          </w:rPr>
          <w:t>28</w:t>
        </w:r>
        <w:r w:rsidR="00764589">
          <w:rPr>
            <w:noProof/>
            <w:webHidden/>
          </w:rPr>
          <w:fldChar w:fldCharType="end"/>
        </w:r>
      </w:hyperlink>
    </w:p>
    <w:p w14:paraId="1894F23F"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04" w:history="1">
        <w:r w:rsidR="00764589" w:rsidRPr="009B71D6">
          <w:rPr>
            <w:rStyle w:val="Hypertextovodkaz"/>
            <w:noProof/>
          </w:rPr>
          <w:t>3.3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oblastí, na které by bylo vhodné se v 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_Toc73611604 \h </w:instrText>
        </w:r>
        <w:r w:rsidR="00764589">
          <w:rPr>
            <w:noProof/>
            <w:webHidden/>
          </w:rPr>
        </w:r>
        <w:r w:rsidR="00764589">
          <w:rPr>
            <w:noProof/>
            <w:webHidden/>
          </w:rPr>
          <w:fldChar w:fldCharType="separate"/>
        </w:r>
        <w:r w:rsidR="00764589">
          <w:rPr>
            <w:noProof/>
            <w:webHidden/>
          </w:rPr>
          <w:t>29</w:t>
        </w:r>
        <w:r w:rsidR="00764589">
          <w:rPr>
            <w:noProof/>
            <w:webHidden/>
          </w:rPr>
          <w:fldChar w:fldCharType="end"/>
        </w:r>
      </w:hyperlink>
    </w:p>
    <w:p w14:paraId="251E2CB6"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05"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Nemožnost převádět nevyplacené výhry z jedné hry binga do další hry binga</w:t>
        </w:r>
        <w:r w:rsidR="00764589">
          <w:rPr>
            <w:noProof/>
            <w:webHidden/>
          </w:rPr>
          <w:tab/>
        </w:r>
        <w:r w:rsidR="00764589">
          <w:rPr>
            <w:noProof/>
            <w:webHidden/>
          </w:rPr>
          <w:fldChar w:fldCharType="begin"/>
        </w:r>
        <w:r w:rsidR="00764589">
          <w:rPr>
            <w:noProof/>
            <w:webHidden/>
          </w:rPr>
          <w:instrText xml:space="preserve"> PAGEREF _Toc73611605 \h </w:instrText>
        </w:r>
        <w:r w:rsidR="00764589">
          <w:rPr>
            <w:noProof/>
            <w:webHidden/>
          </w:rPr>
        </w:r>
        <w:r w:rsidR="00764589">
          <w:rPr>
            <w:noProof/>
            <w:webHidden/>
          </w:rPr>
          <w:fldChar w:fldCharType="separate"/>
        </w:r>
        <w:r w:rsidR="00764589">
          <w:rPr>
            <w:noProof/>
            <w:webHidden/>
          </w:rPr>
          <w:t>30</w:t>
        </w:r>
        <w:r w:rsidR="00764589">
          <w:rPr>
            <w:noProof/>
            <w:webHidden/>
          </w:rPr>
          <w:fldChar w:fldCharType="end"/>
        </w:r>
      </w:hyperlink>
    </w:p>
    <w:p w14:paraId="11A60315"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06" w:history="1">
        <w:r w:rsidR="00764589" w:rsidRPr="009B71D6">
          <w:rPr>
            <w:rStyle w:val="Hypertextovodkaz"/>
            <w:noProof/>
          </w:rPr>
          <w:t>4</w:t>
        </w:r>
        <w:r w:rsidR="00764589">
          <w:rPr>
            <w:rFonts w:asciiTheme="minorHAnsi" w:eastAsiaTheme="minorEastAsia" w:hAnsiTheme="minorHAnsi"/>
            <w:noProof/>
            <w:sz w:val="22"/>
            <w:lang w:eastAsia="cs-CZ"/>
          </w:rPr>
          <w:tab/>
        </w:r>
        <w:r w:rsidR="00764589" w:rsidRPr="009B71D6">
          <w:rPr>
            <w:rStyle w:val="Hypertextovodkaz"/>
            <w:noProof/>
          </w:rPr>
          <w:t>Technická hra</w:t>
        </w:r>
        <w:r w:rsidR="00764589">
          <w:rPr>
            <w:noProof/>
            <w:webHidden/>
          </w:rPr>
          <w:tab/>
        </w:r>
        <w:r w:rsidR="00764589">
          <w:rPr>
            <w:noProof/>
            <w:webHidden/>
          </w:rPr>
          <w:fldChar w:fldCharType="begin"/>
        </w:r>
        <w:r w:rsidR="00764589">
          <w:rPr>
            <w:noProof/>
            <w:webHidden/>
          </w:rPr>
          <w:instrText xml:space="preserve"> PAGEREF _Toc73611606 \h </w:instrText>
        </w:r>
        <w:r w:rsidR="00764589">
          <w:rPr>
            <w:noProof/>
            <w:webHidden/>
          </w:rPr>
        </w:r>
        <w:r w:rsidR="00764589">
          <w:rPr>
            <w:noProof/>
            <w:webHidden/>
          </w:rPr>
          <w:fldChar w:fldCharType="separate"/>
        </w:r>
        <w:r w:rsidR="00764589">
          <w:rPr>
            <w:noProof/>
            <w:webHidden/>
          </w:rPr>
          <w:t>31</w:t>
        </w:r>
        <w:r w:rsidR="00764589">
          <w:rPr>
            <w:noProof/>
            <w:webHidden/>
          </w:rPr>
          <w:fldChar w:fldCharType="end"/>
        </w:r>
      </w:hyperlink>
    </w:p>
    <w:p w14:paraId="28D1029D"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07" w:history="1">
        <w:r w:rsidR="00764589" w:rsidRPr="009B71D6">
          <w:rPr>
            <w:rStyle w:val="Hypertextovodkaz"/>
            <w:noProof/>
          </w:rPr>
          <w:t>4.1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_Toc73611607 \h </w:instrText>
        </w:r>
        <w:r w:rsidR="00764589">
          <w:rPr>
            <w:noProof/>
            <w:webHidden/>
          </w:rPr>
        </w:r>
        <w:r w:rsidR="00764589">
          <w:rPr>
            <w:noProof/>
            <w:webHidden/>
          </w:rPr>
          <w:fldChar w:fldCharType="separate"/>
        </w:r>
        <w:r w:rsidR="00764589">
          <w:rPr>
            <w:noProof/>
            <w:webHidden/>
          </w:rPr>
          <w:t>31</w:t>
        </w:r>
        <w:r w:rsidR="00764589">
          <w:rPr>
            <w:noProof/>
            <w:webHidden/>
          </w:rPr>
          <w:fldChar w:fldCharType="end"/>
        </w:r>
      </w:hyperlink>
    </w:p>
    <w:p w14:paraId="755E0D89"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08" w:history="1">
        <w:r w:rsidR="00764589" w:rsidRPr="009B71D6">
          <w:rPr>
            <w:rStyle w:val="Hypertextovodkaz"/>
            <w:noProof/>
          </w:rPr>
          <w:t>4.2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_Toc73611608 \h </w:instrText>
        </w:r>
        <w:r w:rsidR="00764589">
          <w:rPr>
            <w:noProof/>
            <w:webHidden/>
          </w:rPr>
        </w:r>
        <w:r w:rsidR="00764589">
          <w:rPr>
            <w:noProof/>
            <w:webHidden/>
          </w:rPr>
          <w:fldChar w:fldCharType="separate"/>
        </w:r>
        <w:r w:rsidR="00764589">
          <w:rPr>
            <w:noProof/>
            <w:webHidden/>
          </w:rPr>
          <w:t>31</w:t>
        </w:r>
        <w:r w:rsidR="00764589">
          <w:rPr>
            <w:noProof/>
            <w:webHidden/>
          </w:rPr>
          <w:fldChar w:fldCharType="end"/>
        </w:r>
      </w:hyperlink>
    </w:p>
    <w:p w14:paraId="343A2C11"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09"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Obecná charakteristika</w:t>
        </w:r>
        <w:r w:rsidR="00764589">
          <w:rPr>
            <w:noProof/>
            <w:webHidden/>
          </w:rPr>
          <w:tab/>
        </w:r>
        <w:r w:rsidR="00764589">
          <w:rPr>
            <w:noProof/>
            <w:webHidden/>
          </w:rPr>
          <w:fldChar w:fldCharType="begin"/>
        </w:r>
        <w:r w:rsidR="00764589">
          <w:rPr>
            <w:noProof/>
            <w:webHidden/>
          </w:rPr>
          <w:instrText xml:space="preserve"> PAGEREF _Toc73611609 \h </w:instrText>
        </w:r>
        <w:r w:rsidR="00764589">
          <w:rPr>
            <w:noProof/>
            <w:webHidden/>
          </w:rPr>
        </w:r>
        <w:r w:rsidR="00764589">
          <w:rPr>
            <w:noProof/>
            <w:webHidden/>
          </w:rPr>
          <w:fldChar w:fldCharType="separate"/>
        </w:r>
        <w:r w:rsidR="00764589">
          <w:rPr>
            <w:noProof/>
            <w:webHidden/>
          </w:rPr>
          <w:t>31</w:t>
        </w:r>
        <w:r w:rsidR="00764589">
          <w:rPr>
            <w:noProof/>
            <w:webHidden/>
          </w:rPr>
          <w:fldChar w:fldCharType="end"/>
        </w:r>
      </w:hyperlink>
    </w:p>
    <w:p w14:paraId="36B96636"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0"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Hra technické hry</w:t>
        </w:r>
        <w:r w:rsidR="00764589">
          <w:rPr>
            <w:noProof/>
            <w:webHidden/>
          </w:rPr>
          <w:tab/>
        </w:r>
        <w:r w:rsidR="00764589">
          <w:rPr>
            <w:noProof/>
            <w:webHidden/>
          </w:rPr>
          <w:fldChar w:fldCharType="begin"/>
        </w:r>
        <w:r w:rsidR="00764589">
          <w:rPr>
            <w:noProof/>
            <w:webHidden/>
          </w:rPr>
          <w:instrText xml:space="preserve"> PAGEREF _Toc73611610 \h </w:instrText>
        </w:r>
        <w:r w:rsidR="00764589">
          <w:rPr>
            <w:noProof/>
            <w:webHidden/>
          </w:rPr>
        </w:r>
        <w:r w:rsidR="00764589">
          <w:rPr>
            <w:noProof/>
            <w:webHidden/>
          </w:rPr>
          <w:fldChar w:fldCharType="separate"/>
        </w:r>
        <w:r w:rsidR="00764589">
          <w:rPr>
            <w:noProof/>
            <w:webHidden/>
          </w:rPr>
          <w:t>32</w:t>
        </w:r>
        <w:r w:rsidR="00764589">
          <w:rPr>
            <w:noProof/>
            <w:webHidden/>
          </w:rPr>
          <w:fldChar w:fldCharType="end"/>
        </w:r>
      </w:hyperlink>
    </w:p>
    <w:p w14:paraId="0192FDE3"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1" w:history="1">
        <w:r w:rsidR="00764589" w:rsidRPr="009B71D6">
          <w:rPr>
            <w:rStyle w:val="Hypertextovodkaz"/>
            <w:noProof/>
            <w14:scene3d>
              <w14:camera w14:prst="orthographicFront"/>
              <w14:lightRig w14:rig="threePt" w14:dir="t">
                <w14:rot w14:lat="0" w14:lon="0" w14:rev="0"/>
              </w14:lightRig>
            </w14:scene3d>
          </w:rPr>
          <w:t>C.</w:t>
        </w:r>
        <w:r w:rsidR="00764589">
          <w:rPr>
            <w:rFonts w:asciiTheme="minorHAnsi" w:eastAsiaTheme="minorEastAsia" w:hAnsiTheme="minorHAnsi"/>
            <w:noProof/>
            <w:sz w:val="22"/>
            <w:lang w:eastAsia="cs-CZ"/>
          </w:rPr>
          <w:tab/>
        </w:r>
        <w:r w:rsidR="00764589" w:rsidRPr="009B71D6">
          <w:rPr>
            <w:rStyle w:val="Hypertextovodkaz"/>
            <w:noProof/>
          </w:rPr>
          <w:t>Výherní podíl</w:t>
        </w:r>
        <w:r w:rsidR="00764589">
          <w:rPr>
            <w:noProof/>
            <w:webHidden/>
          </w:rPr>
          <w:tab/>
        </w:r>
        <w:r w:rsidR="00764589">
          <w:rPr>
            <w:noProof/>
            <w:webHidden/>
          </w:rPr>
          <w:fldChar w:fldCharType="begin"/>
        </w:r>
        <w:r w:rsidR="00764589">
          <w:rPr>
            <w:noProof/>
            <w:webHidden/>
          </w:rPr>
          <w:instrText xml:space="preserve"> PAGEREF _Toc73611611 \h </w:instrText>
        </w:r>
        <w:r w:rsidR="00764589">
          <w:rPr>
            <w:noProof/>
            <w:webHidden/>
          </w:rPr>
        </w:r>
        <w:r w:rsidR="00764589">
          <w:rPr>
            <w:noProof/>
            <w:webHidden/>
          </w:rPr>
          <w:fldChar w:fldCharType="separate"/>
        </w:r>
        <w:r w:rsidR="00764589">
          <w:rPr>
            <w:noProof/>
            <w:webHidden/>
          </w:rPr>
          <w:t>33</w:t>
        </w:r>
        <w:r w:rsidR="00764589">
          <w:rPr>
            <w:noProof/>
            <w:webHidden/>
          </w:rPr>
          <w:fldChar w:fldCharType="end"/>
        </w:r>
      </w:hyperlink>
    </w:p>
    <w:p w14:paraId="7F229FE3"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2" w:history="1">
        <w:r w:rsidR="00764589" w:rsidRPr="009B71D6">
          <w:rPr>
            <w:rStyle w:val="Hypertextovodkaz"/>
            <w:noProof/>
            <w14:scene3d>
              <w14:camera w14:prst="orthographicFront"/>
              <w14:lightRig w14:rig="threePt" w14:dir="t">
                <w14:rot w14:lat="0" w14:lon="0" w14:rev="0"/>
              </w14:lightRig>
            </w14:scene3d>
          </w:rPr>
          <w:t>D.</w:t>
        </w:r>
        <w:r w:rsidR="00764589">
          <w:rPr>
            <w:rFonts w:asciiTheme="minorHAnsi" w:eastAsiaTheme="minorEastAsia" w:hAnsiTheme="minorHAnsi"/>
            <w:noProof/>
            <w:sz w:val="22"/>
            <w:lang w:eastAsia="cs-CZ"/>
          </w:rPr>
          <w:tab/>
        </w:r>
        <w:r w:rsidR="00764589" w:rsidRPr="009B71D6">
          <w:rPr>
            <w:rStyle w:val="Hypertextovodkaz"/>
            <w:noProof/>
          </w:rPr>
          <w:t>Povinná přestávka</w:t>
        </w:r>
        <w:r w:rsidR="00764589">
          <w:rPr>
            <w:noProof/>
            <w:webHidden/>
          </w:rPr>
          <w:tab/>
        </w:r>
        <w:r w:rsidR="00764589">
          <w:rPr>
            <w:noProof/>
            <w:webHidden/>
          </w:rPr>
          <w:fldChar w:fldCharType="begin"/>
        </w:r>
        <w:r w:rsidR="00764589">
          <w:rPr>
            <w:noProof/>
            <w:webHidden/>
          </w:rPr>
          <w:instrText xml:space="preserve"> PAGEREF _Toc73611612 \h </w:instrText>
        </w:r>
        <w:r w:rsidR="00764589">
          <w:rPr>
            <w:noProof/>
            <w:webHidden/>
          </w:rPr>
        </w:r>
        <w:r w:rsidR="00764589">
          <w:rPr>
            <w:noProof/>
            <w:webHidden/>
          </w:rPr>
          <w:fldChar w:fldCharType="separate"/>
        </w:r>
        <w:r w:rsidR="00764589">
          <w:rPr>
            <w:noProof/>
            <w:webHidden/>
          </w:rPr>
          <w:t>33</w:t>
        </w:r>
        <w:r w:rsidR="00764589">
          <w:rPr>
            <w:noProof/>
            <w:webHidden/>
          </w:rPr>
          <w:fldChar w:fldCharType="end"/>
        </w:r>
      </w:hyperlink>
    </w:p>
    <w:p w14:paraId="6E5CD108"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3" w:history="1">
        <w:r w:rsidR="00764589" w:rsidRPr="009B71D6">
          <w:rPr>
            <w:rStyle w:val="Hypertextovodkaz"/>
            <w:noProof/>
            <w14:scene3d>
              <w14:camera w14:prst="orthographicFront"/>
              <w14:lightRig w14:rig="threePt" w14:dir="t">
                <w14:rot w14:lat="0" w14:lon="0" w14:rev="0"/>
              </w14:lightRig>
            </w14:scene3d>
          </w:rPr>
          <w:t>E.</w:t>
        </w:r>
        <w:r w:rsidR="00764589">
          <w:rPr>
            <w:rFonts w:asciiTheme="minorHAnsi" w:eastAsiaTheme="minorEastAsia" w:hAnsiTheme="minorHAnsi"/>
            <w:noProof/>
            <w:sz w:val="22"/>
            <w:lang w:eastAsia="cs-CZ"/>
          </w:rPr>
          <w:tab/>
        </w:r>
        <w:r w:rsidR="00764589" w:rsidRPr="009B71D6">
          <w:rPr>
            <w:rStyle w:val="Hypertextovodkaz"/>
            <w:noProof/>
          </w:rPr>
          <w:t>Nejvyšší sázka a nejvyšší výhra</w:t>
        </w:r>
        <w:r w:rsidR="00764589">
          <w:rPr>
            <w:noProof/>
            <w:webHidden/>
          </w:rPr>
          <w:tab/>
        </w:r>
        <w:r w:rsidR="00764589">
          <w:rPr>
            <w:noProof/>
            <w:webHidden/>
          </w:rPr>
          <w:fldChar w:fldCharType="begin"/>
        </w:r>
        <w:r w:rsidR="00764589">
          <w:rPr>
            <w:noProof/>
            <w:webHidden/>
          </w:rPr>
          <w:instrText xml:space="preserve"> PAGEREF _Toc73611613 \h </w:instrText>
        </w:r>
        <w:r w:rsidR="00764589">
          <w:rPr>
            <w:noProof/>
            <w:webHidden/>
          </w:rPr>
        </w:r>
        <w:r w:rsidR="00764589">
          <w:rPr>
            <w:noProof/>
            <w:webHidden/>
          </w:rPr>
          <w:fldChar w:fldCharType="separate"/>
        </w:r>
        <w:r w:rsidR="00764589">
          <w:rPr>
            <w:noProof/>
            <w:webHidden/>
          </w:rPr>
          <w:t>33</w:t>
        </w:r>
        <w:r w:rsidR="00764589">
          <w:rPr>
            <w:noProof/>
            <w:webHidden/>
          </w:rPr>
          <w:fldChar w:fldCharType="end"/>
        </w:r>
      </w:hyperlink>
    </w:p>
    <w:p w14:paraId="79CC182A"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4" w:history="1">
        <w:r w:rsidR="00764589" w:rsidRPr="009B71D6">
          <w:rPr>
            <w:rStyle w:val="Hypertextovodkaz"/>
            <w:noProof/>
            <w14:scene3d>
              <w14:camera w14:prst="orthographicFront"/>
              <w14:lightRig w14:rig="threePt" w14:dir="t">
                <w14:rot w14:lat="0" w14:lon="0" w14:rev="0"/>
              </w14:lightRig>
            </w14:scene3d>
          </w:rPr>
          <w:t>F.</w:t>
        </w:r>
        <w:r w:rsidR="00764589">
          <w:rPr>
            <w:rFonts w:asciiTheme="minorHAnsi" w:eastAsiaTheme="minorEastAsia" w:hAnsiTheme="minorHAnsi"/>
            <w:noProof/>
            <w:sz w:val="22"/>
            <w:lang w:eastAsia="cs-CZ"/>
          </w:rPr>
          <w:tab/>
        </w:r>
        <w:r w:rsidR="00764589" w:rsidRPr="009B71D6">
          <w:rPr>
            <w:rStyle w:val="Hypertextovodkaz"/>
            <w:noProof/>
          </w:rPr>
          <w:t>Nejvyšší hodinová prohra</w:t>
        </w:r>
        <w:r w:rsidR="00764589">
          <w:rPr>
            <w:noProof/>
            <w:webHidden/>
          </w:rPr>
          <w:tab/>
        </w:r>
        <w:r w:rsidR="00764589">
          <w:rPr>
            <w:noProof/>
            <w:webHidden/>
          </w:rPr>
          <w:fldChar w:fldCharType="begin"/>
        </w:r>
        <w:r w:rsidR="00764589">
          <w:rPr>
            <w:noProof/>
            <w:webHidden/>
          </w:rPr>
          <w:instrText xml:space="preserve"> PAGEREF _Toc73611614 \h </w:instrText>
        </w:r>
        <w:r w:rsidR="00764589">
          <w:rPr>
            <w:noProof/>
            <w:webHidden/>
          </w:rPr>
        </w:r>
        <w:r w:rsidR="00764589">
          <w:rPr>
            <w:noProof/>
            <w:webHidden/>
          </w:rPr>
          <w:fldChar w:fldCharType="separate"/>
        </w:r>
        <w:r w:rsidR="00764589">
          <w:rPr>
            <w:noProof/>
            <w:webHidden/>
          </w:rPr>
          <w:t>36</w:t>
        </w:r>
        <w:r w:rsidR="00764589">
          <w:rPr>
            <w:noProof/>
            <w:webHidden/>
          </w:rPr>
          <w:fldChar w:fldCharType="end"/>
        </w:r>
      </w:hyperlink>
    </w:p>
    <w:p w14:paraId="25C7F1A1" w14:textId="64C78DE4"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15" w:history="1">
        <w:r w:rsidR="00764589" w:rsidRPr="009B71D6">
          <w:rPr>
            <w:rStyle w:val="Hypertextovodkaz"/>
            <w:noProof/>
          </w:rPr>
          <w:t>4.3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w:t>
        </w:r>
        <w:r w:rsidR="00A353EC">
          <w:rPr>
            <w:rStyle w:val="Hypertextovodkaz"/>
            <w:noProof/>
          </w:rPr>
          <w:t>í, na které by bylo vhodné se v </w:t>
        </w:r>
        <w:r w:rsidR="00764589" w:rsidRPr="009B71D6">
          <w:rPr>
            <w:rStyle w:val="Hypertextovodkaz"/>
            <w:noProof/>
          </w:rPr>
          <w:t>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_Toc73611615 \h </w:instrText>
        </w:r>
        <w:r w:rsidR="00764589">
          <w:rPr>
            <w:noProof/>
            <w:webHidden/>
          </w:rPr>
        </w:r>
        <w:r w:rsidR="00764589">
          <w:rPr>
            <w:noProof/>
            <w:webHidden/>
          </w:rPr>
          <w:fldChar w:fldCharType="separate"/>
        </w:r>
        <w:r w:rsidR="00764589">
          <w:rPr>
            <w:noProof/>
            <w:webHidden/>
          </w:rPr>
          <w:t>37</w:t>
        </w:r>
        <w:r w:rsidR="00764589">
          <w:rPr>
            <w:noProof/>
            <w:webHidden/>
          </w:rPr>
          <w:fldChar w:fldCharType="end"/>
        </w:r>
      </w:hyperlink>
    </w:p>
    <w:p w14:paraId="028D7666"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16" w:history="1">
        <w:r w:rsidR="00764589" w:rsidRPr="009B71D6">
          <w:rPr>
            <w:rStyle w:val="Hypertextovodkaz"/>
            <w:noProof/>
            <w14:scene3d>
              <w14:camera w14:prst="orthographicFront"/>
              <w14:lightRig w14:rig="threePt" w14:dir="t">
                <w14:rot w14:lat="0" w14:lon="0" w14:rev="0"/>
              </w14:lightRig>
            </w14:scene3d>
          </w:rPr>
          <w:t>A.</w:t>
        </w:r>
        <w:r w:rsidR="00764589">
          <w:rPr>
            <w:rFonts w:asciiTheme="minorHAnsi" w:eastAsiaTheme="minorEastAsia" w:hAnsiTheme="minorHAnsi"/>
            <w:noProof/>
            <w:sz w:val="22"/>
            <w:lang w:eastAsia="cs-CZ"/>
          </w:rPr>
          <w:tab/>
        </w:r>
        <w:r w:rsidR="00764589" w:rsidRPr="009B71D6">
          <w:rPr>
            <w:rStyle w:val="Hypertextovodkaz"/>
            <w:noProof/>
          </w:rPr>
          <w:t>Hra technické hry</w:t>
        </w:r>
        <w:r w:rsidR="00764589">
          <w:rPr>
            <w:noProof/>
            <w:webHidden/>
          </w:rPr>
          <w:tab/>
        </w:r>
        <w:r w:rsidR="00764589">
          <w:rPr>
            <w:noProof/>
            <w:webHidden/>
          </w:rPr>
          <w:fldChar w:fldCharType="begin"/>
        </w:r>
        <w:r w:rsidR="00764589">
          <w:rPr>
            <w:noProof/>
            <w:webHidden/>
          </w:rPr>
          <w:instrText xml:space="preserve"> PAGEREF _Toc73611616 \h </w:instrText>
        </w:r>
        <w:r w:rsidR="00764589">
          <w:rPr>
            <w:noProof/>
            <w:webHidden/>
          </w:rPr>
        </w:r>
        <w:r w:rsidR="00764589">
          <w:rPr>
            <w:noProof/>
            <w:webHidden/>
          </w:rPr>
          <w:fldChar w:fldCharType="separate"/>
        </w:r>
        <w:r w:rsidR="00764589">
          <w:rPr>
            <w:noProof/>
            <w:webHidden/>
          </w:rPr>
          <w:t>37</w:t>
        </w:r>
        <w:r w:rsidR="00764589">
          <w:rPr>
            <w:noProof/>
            <w:webHidden/>
          </w:rPr>
          <w:fldChar w:fldCharType="end"/>
        </w:r>
      </w:hyperlink>
    </w:p>
    <w:p w14:paraId="0803D06B"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17"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Herní koncept „Risk“</w:t>
        </w:r>
        <w:r w:rsidR="00764589">
          <w:rPr>
            <w:noProof/>
            <w:webHidden/>
          </w:rPr>
          <w:tab/>
        </w:r>
        <w:r w:rsidR="00764589">
          <w:rPr>
            <w:noProof/>
            <w:webHidden/>
          </w:rPr>
          <w:fldChar w:fldCharType="begin"/>
        </w:r>
        <w:r w:rsidR="00764589">
          <w:rPr>
            <w:noProof/>
            <w:webHidden/>
          </w:rPr>
          <w:instrText xml:space="preserve"> PAGEREF _Toc73611617 \h </w:instrText>
        </w:r>
        <w:r w:rsidR="00764589">
          <w:rPr>
            <w:noProof/>
            <w:webHidden/>
          </w:rPr>
        </w:r>
        <w:r w:rsidR="00764589">
          <w:rPr>
            <w:noProof/>
            <w:webHidden/>
          </w:rPr>
          <w:fldChar w:fldCharType="separate"/>
        </w:r>
        <w:r w:rsidR="00764589">
          <w:rPr>
            <w:noProof/>
            <w:webHidden/>
          </w:rPr>
          <w:t>37</w:t>
        </w:r>
        <w:r w:rsidR="00764589">
          <w:rPr>
            <w:noProof/>
            <w:webHidden/>
          </w:rPr>
          <w:fldChar w:fldCharType="end"/>
        </w:r>
      </w:hyperlink>
    </w:p>
    <w:p w14:paraId="155F568B"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18"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Bonusové hry zdarma</w:t>
        </w:r>
        <w:r w:rsidR="00764589">
          <w:rPr>
            <w:noProof/>
            <w:webHidden/>
          </w:rPr>
          <w:tab/>
        </w:r>
        <w:r w:rsidR="00764589">
          <w:rPr>
            <w:noProof/>
            <w:webHidden/>
          </w:rPr>
          <w:fldChar w:fldCharType="begin"/>
        </w:r>
        <w:r w:rsidR="00764589">
          <w:rPr>
            <w:noProof/>
            <w:webHidden/>
          </w:rPr>
          <w:instrText xml:space="preserve"> PAGEREF _Toc73611618 \h </w:instrText>
        </w:r>
        <w:r w:rsidR="00764589">
          <w:rPr>
            <w:noProof/>
            <w:webHidden/>
          </w:rPr>
        </w:r>
        <w:r w:rsidR="00764589">
          <w:rPr>
            <w:noProof/>
            <w:webHidden/>
          </w:rPr>
          <w:fldChar w:fldCharType="separate"/>
        </w:r>
        <w:r w:rsidR="00764589">
          <w:rPr>
            <w:noProof/>
            <w:webHidden/>
          </w:rPr>
          <w:t>39</w:t>
        </w:r>
        <w:r w:rsidR="00764589">
          <w:rPr>
            <w:noProof/>
            <w:webHidden/>
          </w:rPr>
          <w:fldChar w:fldCharType="end"/>
        </w:r>
      </w:hyperlink>
    </w:p>
    <w:p w14:paraId="0587C96A"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19"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Interakce účastníka hazardní hry a jeho vliv na výsledek hazardní hry</w:t>
        </w:r>
        <w:r w:rsidR="00764589">
          <w:rPr>
            <w:noProof/>
            <w:webHidden/>
          </w:rPr>
          <w:tab/>
        </w:r>
        <w:r w:rsidR="00764589">
          <w:rPr>
            <w:noProof/>
            <w:webHidden/>
          </w:rPr>
          <w:fldChar w:fldCharType="begin"/>
        </w:r>
        <w:r w:rsidR="00764589">
          <w:rPr>
            <w:noProof/>
            <w:webHidden/>
          </w:rPr>
          <w:instrText xml:space="preserve"> PAGEREF _Toc73611619 \h </w:instrText>
        </w:r>
        <w:r w:rsidR="00764589">
          <w:rPr>
            <w:noProof/>
            <w:webHidden/>
          </w:rPr>
        </w:r>
        <w:r w:rsidR="00764589">
          <w:rPr>
            <w:noProof/>
            <w:webHidden/>
          </w:rPr>
          <w:fldChar w:fldCharType="separate"/>
        </w:r>
        <w:r w:rsidR="00764589">
          <w:rPr>
            <w:noProof/>
            <w:webHidden/>
          </w:rPr>
          <w:t>40</w:t>
        </w:r>
        <w:r w:rsidR="00764589">
          <w:rPr>
            <w:noProof/>
            <w:webHidden/>
          </w:rPr>
          <w:fldChar w:fldCharType="end"/>
        </w:r>
      </w:hyperlink>
    </w:p>
    <w:p w14:paraId="45469135"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20" w:history="1">
        <w:r w:rsidR="00764589" w:rsidRPr="009B71D6">
          <w:rPr>
            <w:rStyle w:val="Hypertextovodkaz"/>
            <w:rFonts w:cs="Arial"/>
            <w:noProof/>
          </w:rPr>
          <w:t>iv.</w:t>
        </w:r>
        <w:r w:rsidR="00764589">
          <w:rPr>
            <w:rFonts w:asciiTheme="minorHAnsi" w:eastAsiaTheme="minorEastAsia" w:hAnsiTheme="minorHAnsi"/>
            <w:noProof/>
            <w:sz w:val="22"/>
            <w:lang w:eastAsia="cs-CZ"/>
          </w:rPr>
          <w:tab/>
        </w:r>
        <w:r w:rsidR="00764589" w:rsidRPr="009B71D6">
          <w:rPr>
            <w:rStyle w:val="Hypertextovodkaz"/>
            <w:noProof/>
          </w:rPr>
          <w:t>Jackpot</w:t>
        </w:r>
        <w:r w:rsidR="00764589">
          <w:rPr>
            <w:noProof/>
            <w:webHidden/>
          </w:rPr>
          <w:tab/>
        </w:r>
        <w:r w:rsidR="00764589">
          <w:rPr>
            <w:noProof/>
            <w:webHidden/>
          </w:rPr>
          <w:fldChar w:fldCharType="begin"/>
        </w:r>
        <w:r w:rsidR="00764589">
          <w:rPr>
            <w:noProof/>
            <w:webHidden/>
          </w:rPr>
          <w:instrText xml:space="preserve"> PAGEREF _Toc73611620 \h </w:instrText>
        </w:r>
        <w:r w:rsidR="00764589">
          <w:rPr>
            <w:noProof/>
            <w:webHidden/>
          </w:rPr>
        </w:r>
        <w:r w:rsidR="00764589">
          <w:rPr>
            <w:noProof/>
            <w:webHidden/>
          </w:rPr>
          <w:fldChar w:fldCharType="separate"/>
        </w:r>
        <w:r w:rsidR="00764589">
          <w:rPr>
            <w:noProof/>
            <w:webHidden/>
          </w:rPr>
          <w:t>41</w:t>
        </w:r>
        <w:r w:rsidR="00764589">
          <w:rPr>
            <w:noProof/>
            <w:webHidden/>
          </w:rPr>
          <w:fldChar w:fldCharType="end"/>
        </w:r>
      </w:hyperlink>
    </w:p>
    <w:p w14:paraId="3F3D6819" w14:textId="77777777" w:rsidR="00764589" w:rsidRDefault="009C0B64" w:rsidP="00764589">
      <w:pPr>
        <w:pStyle w:val="Obsah5"/>
        <w:tabs>
          <w:tab w:val="left" w:pos="1540"/>
          <w:tab w:val="right" w:leader="dot" w:pos="9062"/>
        </w:tabs>
        <w:rPr>
          <w:rFonts w:asciiTheme="minorHAnsi" w:eastAsiaTheme="minorEastAsia" w:hAnsiTheme="minorHAnsi"/>
          <w:noProof/>
          <w:sz w:val="22"/>
          <w:lang w:eastAsia="cs-CZ"/>
        </w:rPr>
      </w:pPr>
      <w:hyperlink w:anchor="_Toc73611621" w:history="1">
        <w:r w:rsidR="00764589" w:rsidRPr="009B71D6">
          <w:rPr>
            <w:rStyle w:val="Hypertextovodkaz"/>
            <w:noProof/>
            <w14:scene3d>
              <w14:camera w14:prst="orthographicFront"/>
              <w14:lightRig w14:rig="threePt" w14:dir="t">
                <w14:rot w14:lat="0" w14:lon="0" w14:rev="0"/>
              </w14:lightRig>
            </w14:scene3d>
          </w:rPr>
          <w:t>B.</w:t>
        </w:r>
        <w:r w:rsidR="00764589">
          <w:rPr>
            <w:rFonts w:asciiTheme="minorHAnsi" w:eastAsiaTheme="minorEastAsia" w:hAnsiTheme="minorHAnsi"/>
            <w:noProof/>
            <w:sz w:val="22"/>
            <w:lang w:eastAsia="cs-CZ"/>
          </w:rPr>
          <w:tab/>
        </w:r>
        <w:r w:rsidR="00764589" w:rsidRPr="009B71D6">
          <w:rPr>
            <w:rStyle w:val="Hypertextovodkaz"/>
            <w:noProof/>
          </w:rPr>
          <w:t>Nejvyšší hodinová prohra</w:t>
        </w:r>
        <w:r w:rsidR="00764589">
          <w:rPr>
            <w:noProof/>
            <w:webHidden/>
          </w:rPr>
          <w:tab/>
        </w:r>
        <w:r w:rsidR="00764589">
          <w:rPr>
            <w:noProof/>
            <w:webHidden/>
          </w:rPr>
          <w:fldChar w:fldCharType="begin"/>
        </w:r>
        <w:r w:rsidR="00764589">
          <w:rPr>
            <w:noProof/>
            <w:webHidden/>
          </w:rPr>
          <w:instrText xml:space="preserve"> PAGEREF _Toc73611621 \h </w:instrText>
        </w:r>
        <w:r w:rsidR="00764589">
          <w:rPr>
            <w:noProof/>
            <w:webHidden/>
          </w:rPr>
        </w:r>
        <w:r w:rsidR="00764589">
          <w:rPr>
            <w:noProof/>
            <w:webHidden/>
          </w:rPr>
          <w:fldChar w:fldCharType="separate"/>
        </w:r>
        <w:r w:rsidR="00764589">
          <w:rPr>
            <w:noProof/>
            <w:webHidden/>
          </w:rPr>
          <w:t>44</w:t>
        </w:r>
        <w:r w:rsidR="00764589">
          <w:rPr>
            <w:noProof/>
            <w:webHidden/>
          </w:rPr>
          <w:fldChar w:fldCharType="end"/>
        </w:r>
      </w:hyperlink>
    </w:p>
    <w:p w14:paraId="31CF4DF7"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22"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Hodnota je nastavena velmi vysoko, takže nereguluje účastníky hazardní hry, kteří nedisponují vysokými peněžními prostředky</w:t>
        </w:r>
        <w:r w:rsidR="00764589">
          <w:rPr>
            <w:noProof/>
            <w:webHidden/>
          </w:rPr>
          <w:tab/>
        </w:r>
        <w:r w:rsidR="00764589">
          <w:rPr>
            <w:noProof/>
            <w:webHidden/>
          </w:rPr>
          <w:fldChar w:fldCharType="begin"/>
        </w:r>
        <w:r w:rsidR="00764589">
          <w:rPr>
            <w:noProof/>
            <w:webHidden/>
          </w:rPr>
          <w:instrText xml:space="preserve"> PAGEREF _Toc73611622 \h </w:instrText>
        </w:r>
        <w:r w:rsidR="00764589">
          <w:rPr>
            <w:noProof/>
            <w:webHidden/>
          </w:rPr>
        </w:r>
        <w:r w:rsidR="00764589">
          <w:rPr>
            <w:noProof/>
            <w:webHidden/>
          </w:rPr>
          <w:fldChar w:fldCharType="separate"/>
        </w:r>
        <w:r w:rsidR="00764589">
          <w:rPr>
            <w:noProof/>
            <w:webHidden/>
          </w:rPr>
          <w:t>44</w:t>
        </w:r>
        <w:r w:rsidR="00764589">
          <w:rPr>
            <w:noProof/>
            <w:webHidden/>
          </w:rPr>
          <w:fldChar w:fldCharType="end"/>
        </w:r>
      </w:hyperlink>
    </w:p>
    <w:p w14:paraId="78EED01F"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23" w:history="1">
        <w:r w:rsidR="00764589" w:rsidRPr="009B71D6">
          <w:rPr>
            <w:rStyle w:val="Hypertextovodkaz"/>
            <w:noProof/>
          </w:rPr>
          <w:t>5</w:t>
        </w:r>
        <w:r w:rsidR="00764589">
          <w:rPr>
            <w:rFonts w:asciiTheme="minorHAnsi" w:eastAsiaTheme="minorEastAsia" w:hAnsiTheme="minorHAnsi"/>
            <w:noProof/>
            <w:sz w:val="22"/>
            <w:lang w:eastAsia="cs-CZ"/>
          </w:rPr>
          <w:tab/>
        </w:r>
        <w:r w:rsidR="00764589" w:rsidRPr="009B71D6">
          <w:rPr>
            <w:rStyle w:val="Hypertextovodkaz"/>
            <w:noProof/>
          </w:rPr>
          <w:t>Živá hra</w:t>
        </w:r>
        <w:r w:rsidR="00764589">
          <w:rPr>
            <w:noProof/>
            <w:webHidden/>
          </w:rPr>
          <w:tab/>
        </w:r>
        <w:r w:rsidR="00764589">
          <w:rPr>
            <w:noProof/>
            <w:webHidden/>
          </w:rPr>
          <w:fldChar w:fldCharType="begin"/>
        </w:r>
        <w:r w:rsidR="00764589">
          <w:rPr>
            <w:noProof/>
            <w:webHidden/>
          </w:rPr>
          <w:instrText xml:space="preserve"> PAGEREF _Toc73611623 \h </w:instrText>
        </w:r>
        <w:r w:rsidR="00764589">
          <w:rPr>
            <w:noProof/>
            <w:webHidden/>
          </w:rPr>
        </w:r>
        <w:r w:rsidR="00764589">
          <w:rPr>
            <w:noProof/>
            <w:webHidden/>
          </w:rPr>
          <w:fldChar w:fldCharType="separate"/>
        </w:r>
        <w:r w:rsidR="00764589">
          <w:rPr>
            <w:noProof/>
            <w:webHidden/>
          </w:rPr>
          <w:t>49</w:t>
        </w:r>
        <w:r w:rsidR="00764589">
          <w:rPr>
            <w:noProof/>
            <w:webHidden/>
          </w:rPr>
          <w:fldChar w:fldCharType="end"/>
        </w:r>
      </w:hyperlink>
    </w:p>
    <w:p w14:paraId="7CB33BD4"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24" w:history="1">
        <w:r w:rsidR="00764589" w:rsidRPr="009B71D6">
          <w:rPr>
            <w:rStyle w:val="Hypertextovodkaz"/>
            <w:noProof/>
          </w:rPr>
          <w:t>5.1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_Toc73611624 \h </w:instrText>
        </w:r>
        <w:r w:rsidR="00764589">
          <w:rPr>
            <w:noProof/>
            <w:webHidden/>
          </w:rPr>
        </w:r>
        <w:r w:rsidR="00764589">
          <w:rPr>
            <w:noProof/>
            <w:webHidden/>
          </w:rPr>
          <w:fldChar w:fldCharType="separate"/>
        </w:r>
        <w:r w:rsidR="00764589">
          <w:rPr>
            <w:noProof/>
            <w:webHidden/>
          </w:rPr>
          <w:t>49</w:t>
        </w:r>
        <w:r w:rsidR="00764589">
          <w:rPr>
            <w:noProof/>
            <w:webHidden/>
          </w:rPr>
          <w:fldChar w:fldCharType="end"/>
        </w:r>
      </w:hyperlink>
    </w:p>
    <w:p w14:paraId="030B3CEA"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25" w:history="1">
        <w:r w:rsidR="00764589" w:rsidRPr="009B71D6">
          <w:rPr>
            <w:rStyle w:val="Hypertextovodkaz"/>
            <w:noProof/>
          </w:rPr>
          <w:t>5.2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_Toc73611625 \h </w:instrText>
        </w:r>
        <w:r w:rsidR="00764589">
          <w:rPr>
            <w:noProof/>
            <w:webHidden/>
          </w:rPr>
        </w:r>
        <w:r w:rsidR="00764589">
          <w:rPr>
            <w:noProof/>
            <w:webHidden/>
          </w:rPr>
          <w:fldChar w:fldCharType="separate"/>
        </w:r>
        <w:r w:rsidR="00764589">
          <w:rPr>
            <w:noProof/>
            <w:webHidden/>
          </w:rPr>
          <w:t>49</w:t>
        </w:r>
        <w:r w:rsidR="00764589">
          <w:rPr>
            <w:noProof/>
            <w:webHidden/>
          </w:rPr>
          <w:fldChar w:fldCharType="end"/>
        </w:r>
      </w:hyperlink>
    </w:p>
    <w:p w14:paraId="612C8B16" w14:textId="7874E1FA"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26" w:history="1">
        <w:r w:rsidR="00764589" w:rsidRPr="009B71D6">
          <w:rPr>
            <w:rStyle w:val="Hypertextovodkaz"/>
            <w:noProof/>
          </w:rPr>
          <w:t>5.3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w:t>
        </w:r>
        <w:r w:rsidR="00A353EC">
          <w:rPr>
            <w:rStyle w:val="Hypertextovodkaz"/>
            <w:noProof/>
          </w:rPr>
          <w:t>í, na které by bylo vhodné se v </w:t>
        </w:r>
        <w:r w:rsidR="00764589" w:rsidRPr="009B71D6">
          <w:rPr>
            <w:rStyle w:val="Hypertextovodkaz"/>
            <w:noProof/>
          </w:rPr>
          <w:t>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_Toc73611626 \h </w:instrText>
        </w:r>
        <w:r w:rsidR="00764589">
          <w:rPr>
            <w:noProof/>
            <w:webHidden/>
          </w:rPr>
        </w:r>
        <w:r w:rsidR="00764589">
          <w:rPr>
            <w:noProof/>
            <w:webHidden/>
          </w:rPr>
          <w:fldChar w:fldCharType="separate"/>
        </w:r>
        <w:r w:rsidR="00764589">
          <w:rPr>
            <w:noProof/>
            <w:webHidden/>
          </w:rPr>
          <w:t>50</w:t>
        </w:r>
        <w:r w:rsidR="00764589">
          <w:rPr>
            <w:noProof/>
            <w:webHidden/>
          </w:rPr>
          <w:fldChar w:fldCharType="end"/>
        </w:r>
      </w:hyperlink>
    </w:p>
    <w:p w14:paraId="04E0C009"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27"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Kvalifikace krupiérů</w:t>
        </w:r>
        <w:r w:rsidR="00764589">
          <w:rPr>
            <w:noProof/>
            <w:webHidden/>
          </w:rPr>
          <w:tab/>
        </w:r>
        <w:r w:rsidR="00764589">
          <w:rPr>
            <w:noProof/>
            <w:webHidden/>
          </w:rPr>
          <w:fldChar w:fldCharType="begin"/>
        </w:r>
        <w:r w:rsidR="00764589">
          <w:rPr>
            <w:noProof/>
            <w:webHidden/>
          </w:rPr>
          <w:instrText xml:space="preserve"> PAGEREF _Toc73611627 \h </w:instrText>
        </w:r>
        <w:r w:rsidR="00764589">
          <w:rPr>
            <w:noProof/>
            <w:webHidden/>
          </w:rPr>
        </w:r>
        <w:r w:rsidR="00764589">
          <w:rPr>
            <w:noProof/>
            <w:webHidden/>
          </w:rPr>
          <w:fldChar w:fldCharType="separate"/>
        </w:r>
        <w:r w:rsidR="00764589">
          <w:rPr>
            <w:noProof/>
            <w:webHidden/>
          </w:rPr>
          <w:t>50</w:t>
        </w:r>
        <w:r w:rsidR="00764589">
          <w:rPr>
            <w:noProof/>
            <w:webHidden/>
          </w:rPr>
          <w:fldChar w:fldCharType="end"/>
        </w:r>
      </w:hyperlink>
    </w:p>
    <w:p w14:paraId="3D33D91C"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28"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Žetony - Vyznačená hodnota žetonu</w:t>
        </w:r>
        <w:r w:rsidR="00764589">
          <w:rPr>
            <w:noProof/>
            <w:webHidden/>
          </w:rPr>
          <w:tab/>
        </w:r>
        <w:r w:rsidR="00764589">
          <w:rPr>
            <w:noProof/>
            <w:webHidden/>
          </w:rPr>
          <w:fldChar w:fldCharType="begin"/>
        </w:r>
        <w:r w:rsidR="00764589">
          <w:rPr>
            <w:noProof/>
            <w:webHidden/>
          </w:rPr>
          <w:instrText xml:space="preserve"> PAGEREF _Toc73611628 \h </w:instrText>
        </w:r>
        <w:r w:rsidR="00764589">
          <w:rPr>
            <w:noProof/>
            <w:webHidden/>
          </w:rPr>
        </w:r>
        <w:r w:rsidR="00764589">
          <w:rPr>
            <w:noProof/>
            <w:webHidden/>
          </w:rPr>
          <w:fldChar w:fldCharType="separate"/>
        </w:r>
        <w:r w:rsidR="00764589">
          <w:rPr>
            <w:noProof/>
            <w:webHidden/>
          </w:rPr>
          <w:t>51</w:t>
        </w:r>
        <w:r w:rsidR="00764589">
          <w:rPr>
            <w:noProof/>
            <w:webHidden/>
          </w:rPr>
          <w:fldChar w:fldCharType="end"/>
        </w:r>
      </w:hyperlink>
    </w:p>
    <w:p w14:paraId="091CD7B9"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29"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Žetony - Uvedení názvu provozovatele na žetonu</w:t>
        </w:r>
        <w:r w:rsidR="00764589">
          <w:rPr>
            <w:noProof/>
            <w:webHidden/>
          </w:rPr>
          <w:tab/>
        </w:r>
        <w:r w:rsidR="00764589">
          <w:rPr>
            <w:noProof/>
            <w:webHidden/>
          </w:rPr>
          <w:fldChar w:fldCharType="begin"/>
        </w:r>
        <w:r w:rsidR="00764589">
          <w:rPr>
            <w:noProof/>
            <w:webHidden/>
          </w:rPr>
          <w:instrText xml:space="preserve"> PAGEREF _Toc73611629 \h </w:instrText>
        </w:r>
        <w:r w:rsidR="00764589">
          <w:rPr>
            <w:noProof/>
            <w:webHidden/>
          </w:rPr>
        </w:r>
        <w:r w:rsidR="00764589">
          <w:rPr>
            <w:noProof/>
            <w:webHidden/>
          </w:rPr>
          <w:fldChar w:fldCharType="separate"/>
        </w:r>
        <w:r w:rsidR="00764589">
          <w:rPr>
            <w:noProof/>
            <w:webHidden/>
          </w:rPr>
          <w:t>52</w:t>
        </w:r>
        <w:r w:rsidR="00764589">
          <w:rPr>
            <w:noProof/>
            <w:webHidden/>
          </w:rPr>
          <w:fldChar w:fldCharType="end"/>
        </w:r>
      </w:hyperlink>
    </w:p>
    <w:p w14:paraId="328C91CD"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30" w:history="1">
        <w:r w:rsidR="00764589" w:rsidRPr="009B71D6">
          <w:rPr>
            <w:rStyle w:val="Hypertextovodkaz"/>
            <w:rFonts w:cs="Arial"/>
            <w:noProof/>
          </w:rPr>
          <w:t>iv.</w:t>
        </w:r>
        <w:r w:rsidR="00764589">
          <w:rPr>
            <w:rFonts w:asciiTheme="minorHAnsi" w:eastAsiaTheme="minorEastAsia" w:hAnsiTheme="minorHAnsi"/>
            <w:noProof/>
            <w:sz w:val="22"/>
            <w:lang w:eastAsia="cs-CZ"/>
          </w:rPr>
          <w:tab/>
        </w:r>
        <w:r w:rsidR="00764589" w:rsidRPr="009B71D6">
          <w:rPr>
            <w:rStyle w:val="Hypertextovodkaz"/>
            <w:noProof/>
          </w:rPr>
          <w:t>Sdílené turnaje živé hry</w:t>
        </w:r>
        <w:r w:rsidR="00764589">
          <w:rPr>
            <w:noProof/>
            <w:webHidden/>
          </w:rPr>
          <w:tab/>
        </w:r>
        <w:r w:rsidR="00764589">
          <w:rPr>
            <w:noProof/>
            <w:webHidden/>
          </w:rPr>
          <w:fldChar w:fldCharType="begin"/>
        </w:r>
        <w:r w:rsidR="00764589">
          <w:rPr>
            <w:noProof/>
            <w:webHidden/>
          </w:rPr>
          <w:instrText xml:space="preserve"> PAGEREF _Toc73611630 \h </w:instrText>
        </w:r>
        <w:r w:rsidR="00764589">
          <w:rPr>
            <w:noProof/>
            <w:webHidden/>
          </w:rPr>
        </w:r>
        <w:r w:rsidR="00764589">
          <w:rPr>
            <w:noProof/>
            <w:webHidden/>
          </w:rPr>
          <w:fldChar w:fldCharType="separate"/>
        </w:r>
        <w:r w:rsidR="00764589">
          <w:rPr>
            <w:noProof/>
            <w:webHidden/>
          </w:rPr>
          <w:t>52</w:t>
        </w:r>
        <w:r w:rsidR="00764589">
          <w:rPr>
            <w:noProof/>
            <w:webHidden/>
          </w:rPr>
          <w:fldChar w:fldCharType="end"/>
        </w:r>
      </w:hyperlink>
    </w:p>
    <w:p w14:paraId="55C224C9"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31" w:history="1">
        <w:r w:rsidR="00764589" w:rsidRPr="009B71D6">
          <w:rPr>
            <w:rStyle w:val="Hypertextovodkaz"/>
            <w:rFonts w:cs="Arial"/>
            <w:noProof/>
          </w:rPr>
          <w:t>v.</w:t>
        </w:r>
        <w:r w:rsidR="00764589">
          <w:rPr>
            <w:rFonts w:asciiTheme="minorHAnsi" w:eastAsiaTheme="minorEastAsia" w:hAnsiTheme="minorHAnsi"/>
            <w:noProof/>
            <w:sz w:val="22"/>
            <w:lang w:eastAsia="cs-CZ"/>
          </w:rPr>
          <w:tab/>
        </w:r>
        <w:r w:rsidR="00764589" w:rsidRPr="009B71D6">
          <w:rPr>
            <w:rStyle w:val="Hypertextovodkaz"/>
            <w:noProof/>
          </w:rPr>
          <w:t>Virtuální žetony používané účastníky hazardní hry prostřednictvím tabletu, touchpadu apod.</w:t>
        </w:r>
        <w:r w:rsidR="00764589">
          <w:rPr>
            <w:noProof/>
            <w:webHidden/>
          </w:rPr>
          <w:tab/>
        </w:r>
        <w:r w:rsidR="00764589">
          <w:rPr>
            <w:noProof/>
            <w:webHidden/>
          </w:rPr>
          <w:fldChar w:fldCharType="begin"/>
        </w:r>
        <w:r w:rsidR="00764589">
          <w:rPr>
            <w:noProof/>
            <w:webHidden/>
          </w:rPr>
          <w:instrText xml:space="preserve"> PAGEREF _Toc73611631 \h </w:instrText>
        </w:r>
        <w:r w:rsidR="00764589">
          <w:rPr>
            <w:noProof/>
            <w:webHidden/>
          </w:rPr>
        </w:r>
        <w:r w:rsidR="00764589">
          <w:rPr>
            <w:noProof/>
            <w:webHidden/>
          </w:rPr>
          <w:fldChar w:fldCharType="separate"/>
        </w:r>
        <w:r w:rsidR="00764589">
          <w:rPr>
            <w:noProof/>
            <w:webHidden/>
          </w:rPr>
          <w:t>53</w:t>
        </w:r>
        <w:r w:rsidR="00764589">
          <w:rPr>
            <w:noProof/>
            <w:webHidden/>
          </w:rPr>
          <w:fldChar w:fldCharType="end"/>
        </w:r>
      </w:hyperlink>
    </w:p>
    <w:p w14:paraId="140A1F85"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32" w:history="1">
        <w:r w:rsidR="00764589" w:rsidRPr="009B71D6">
          <w:rPr>
            <w:rStyle w:val="Hypertextovodkaz"/>
            <w:rFonts w:cs="Arial"/>
            <w:noProof/>
          </w:rPr>
          <w:t>vi.</w:t>
        </w:r>
        <w:r w:rsidR="00764589">
          <w:rPr>
            <w:rFonts w:asciiTheme="minorHAnsi" w:eastAsiaTheme="minorEastAsia" w:hAnsiTheme="minorHAnsi"/>
            <w:noProof/>
            <w:sz w:val="22"/>
            <w:lang w:eastAsia="cs-CZ"/>
          </w:rPr>
          <w:tab/>
        </w:r>
        <w:r w:rsidR="00764589" w:rsidRPr="009B71D6">
          <w:rPr>
            <w:rStyle w:val="Hypertextovodkaz"/>
            <w:noProof/>
          </w:rPr>
          <w:t>Live dealer games</w:t>
        </w:r>
        <w:r w:rsidR="00764589">
          <w:rPr>
            <w:noProof/>
            <w:webHidden/>
          </w:rPr>
          <w:tab/>
        </w:r>
        <w:r w:rsidR="00764589">
          <w:rPr>
            <w:noProof/>
            <w:webHidden/>
          </w:rPr>
          <w:fldChar w:fldCharType="begin"/>
        </w:r>
        <w:r w:rsidR="00764589">
          <w:rPr>
            <w:noProof/>
            <w:webHidden/>
          </w:rPr>
          <w:instrText xml:space="preserve"> PAGEREF _Toc73611632 \h </w:instrText>
        </w:r>
        <w:r w:rsidR="00764589">
          <w:rPr>
            <w:noProof/>
            <w:webHidden/>
          </w:rPr>
        </w:r>
        <w:r w:rsidR="00764589">
          <w:rPr>
            <w:noProof/>
            <w:webHidden/>
          </w:rPr>
          <w:fldChar w:fldCharType="separate"/>
        </w:r>
        <w:r w:rsidR="00764589">
          <w:rPr>
            <w:noProof/>
            <w:webHidden/>
          </w:rPr>
          <w:t>53</w:t>
        </w:r>
        <w:r w:rsidR="00764589">
          <w:rPr>
            <w:noProof/>
            <w:webHidden/>
          </w:rPr>
          <w:fldChar w:fldCharType="end"/>
        </w:r>
      </w:hyperlink>
    </w:p>
    <w:p w14:paraId="6367E564"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33" w:history="1">
        <w:r w:rsidR="00764589" w:rsidRPr="009B71D6">
          <w:rPr>
            <w:rStyle w:val="Hypertextovodkaz"/>
            <w:noProof/>
          </w:rPr>
          <w:t>6</w:t>
        </w:r>
        <w:r w:rsidR="00764589">
          <w:rPr>
            <w:rFonts w:asciiTheme="minorHAnsi" w:eastAsiaTheme="minorEastAsia" w:hAnsiTheme="minorHAnsi"/>
            <w:noProof/>
            <w:sz w:val="22"/>
            <w:lang w:eastAsia="cs-CZ"/>
          </w:rPr>
          <w:tab/>
        </w:r>
        <w:r w:rsidR="00764589" w:rsidRPr="009B71D6">
          <w:rPr>
            <w:rStyle w:val="Hypertextovodkaz"/>
            <w:noProof/>
          </w:rPr>
          <w:t>Tombola a turnaj malého rozsahu</w:t>
        </w:r>
        <w:r w:rsidR="00764589">
          <w:rPr>
            <w:noProof/>
            <w:webHidden/>
          </w:rPr>
          <w:tab/>
        </w:r>
        <w:r w:rsidR="00764589">
          <w:rPr>
            <w:noProof/>
            <w:webHidden/>
          </w:rPr>
          <w:fldChar w:fldCharType="begin"/>
        </w:r>
        <w:r w:rsidR="00764589">
          <w:rPr>
            <w:noProof/>
            <w:webHidden/>
          </w:rPr>
          <w:instrText xml:space="preserve"> PAGEREF _Toc73611633 \h </w:instrText>
        </w:r>
        <w:r w:rsidR="00764589">
          <w:rPr>
            <w:noProof/>
            <w:webHidden/>
          </w:rPr>
        </w:r>
        <w:r w:rsidR="00764589">
          <w:rPr>
            <w:noProof/>
            <w:webHidden/>
          </w:rPr>
          <w:fldChar w:fldCharType="separate"/>
        </w:r>
        <w:r w:rsidR="00764589">
          <w:rPr>
            <w:noProof/>
            <w:webHidden/>
          </w:rPr>
          <w:t>55</w:t>
        </w:r>
        <w:r w:rsidR="00764589">
          <w:rPr>
            <w:noProof/>
            <w:webHidden/>
          </w:rPr>
          <w:fldChar w:fldCharType="end"/>
        </w:r>
      </w:hyperlink>
    </w:p>
    <w:p w14:paraId="23D81063"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34" w:history="1">
        <w:r w:rsidR="00764589" w:rsidRPr="009B71D6">
          <w:rPr>
            <w:rStyle w:val="Hypertextovodkaz"/>
            <w:noProof/>
          </w:rPr>
          <w:t>6.1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_Toc73611634 \h </w:instrText>
        </w:r>
        <w:r w:rsidR="00764589">
          <w:rPr>
            <w:noProof/>
            <w:webHidden/>
          </w:rPr>
        </w:r>
        <w:r w:rsidR="00764589">
          <w:rPr>
            <w:noProof/>
            <w:webHidden/>
          </w:rPr>
          <w:fldChar w:fldCharType="separate"/>
        </w:r>
        <w:r w:rsidR="00764589">
          <w:rPr>
            <w:noProof/>
            <w:webHidden/>
          </w:rPr>
          <w:t>55</w:t>
        </w:r>
        <w:r w:rsidR="00764589">
          <w:rPr>
            <w:noProof/>
            <w:webHidden/>
          </w:rPr>
          <w:fldChar w:fldCharType="end"/>
        </w:r>
      </w:hyperlink>
    </w:p>
    <w:p w14:paraId="32F95E63"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35" w:history="1">
        <w:r w:rsidR="00764589" w:rsidRPr="009B71D6">
          <w:rPr>
            <w:rStyle w:val="Hypertextovodkaz"/>
            <w:noProof/>
          </w:rPr>
          <w:t>6.2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_Toc73611635 \h </w:instrText>
        </w:r>
        <w:r w:rsidR="00764589">
          <w:rPr>
            <w:noProof/>
            <w:webHidden/>
          </w:rPr>
        </w:r>
        <w:r w:rsidR="00764589">
          <w:rPr>
            <w:noProof/>
            <w:webHidden/>
          </w:rPr>
          <w:fldChar w:fldCharType="separate"/>
        </w:r>
        <w:r w:rsidR="00764589">
          <w:rPr>
            <w:noProof/>
            <w:webHidden/>
          </w:rPr>
          <w:t>55</w:t>
        </w:r>
        <w:r w:rsidR="00764589">
          <w:rPr>
            <w:noProof/>
            <w:webHidden/>
          </w:rPr>
          <w:fldChar w:fldCharType="end"/>
        </w:r>
      </w:hyperlink>
    </w:p>
    <w:p w14:paraId="23A6CD30" w14:textId="4051E438"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36" w:history="1">
        <w:r w:rsidR="00764589" w:rsidRPr="009B71D6">
          <w:rPr>
            <w:rStyle w:val="Hypertextovodkaz"/>
            <w:noProof/>
          </w:rPr>
          <w:t>6.3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w:t>
        </w:r>
        <w:r w:rsidR="00A353EC">
          <w:rPr>
            <w:rStyle w:val="Hypertextovodkaz"/>
            <w:noProof/>
          </w:rPr>
          <w:t>í, na které by bylo vhodné se v </w:t>
        </w:r>
        <w:r w:rsidR="00764589" w:rsidRPr="009B71D6">
          <w:rPr>
            <w:rStyle w:val="Hypertextovodkaz"/>
            <w:noProof/>
          </w:rPr>
          <w:t>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_Toc73611636 \h </w:instrText>
        </w:r>
        <w:r w:rsidR="00764589">
          <w:rPr>
            <w:noProof/>
            <w:webHidden/>
          </w:rPr>
        </w:r>
        <w:r w:rsidR="00764589">
          <w:rPr>
            <w:noProof/>
            <w:webHidden/>
          </w:rPr>
          <w:fldChar w:fldCharType="separate"/>
        </w:r>
        <w:r w:rsidR="00764589">
          <w:rPr>
            <w:noProof/>
            <w:webHidden/>
          </w:rPr>
          <w:t>56</w:t>
        </w:r>
        <w:r w:rsidR="00764589">
          <w:rPr>
            <w:noProof/>
            <w:webHidden/>
          </w:rPr>
          <w:fldChar w:fldCharType="end"/>
        </w:r>
      </w:hyperlink>
    </w:p>
    <w:p w14:paraId="511A8061"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37"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Sázkové tikety do tomboly lze prodávat a výhry vydávat pouze v den a na místě slosování</w:t>
        </w:r>
        <w:r w:rsidR="00764589">
          <w:rPr>
            <w:noProof/>
            <w:webHidden/>
          </w:rPr>
          <w:tab/>
        </w:r>
        <w:r w:rsidR="00764589">
          <w:rPr>
            <w:noProof/>
            <w:webHidden/>
          </w:rPr>
          <w:fldChar w:fldCharType="begin"/>
        </w:r>
        <w:r w:rsidR="00764589">
          <w:rPr>
            <w:noProof/>
            <w:webHidden/>
          </w:rPr>
          <w:instrText xml:space="preserve"> PAGEREF _Toc73611637 \h </w:instrText>
        </w:r>
        <w:r w:rsidR="00764589">
          <w:rPr>
            <w:noProof/>
            <w:webHidden/>
          </w:rPr>
        </w:r>
        <w:r w:rsidR="00764589">
          <w:rPr>
            <w:noProof/>
            <w:webHidden/>
          </w:rPr>
          <w:fldChar w:fldCharType="separate"/>
        </w:r>
        <w:r w:rsidR="00764589">
          <w:rPr>
            <w:noProof/>
            <w:webHidden/>
          </w:rPr>
          <w:t>56</w:t>
        </w:r>
        <w:r w:rsidR="00764589">
          <w:rPr>
            <w:noProof/>
            <w:webHidden/>
          </w:rPr>
          <w:fldChar w:fldCharType="end"/>
        </w:r>
      </w:hyperlink>
    </w:p>
    <w:p w14:paraId="00BBF032"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38" w:history="1">
        <w:r w:rsidR="00764589" w:rsidRPr="009B71D6">
          <w:rPr>
            <w:rStyle w:val="Hypertextovodkaz"/>
            <w:noProof/>
          </w:rPr>
          <w:t>7</w:t>
        </w:r>
        <w:r w:rsidR="00764589">
          <w:rPr>
            <w:rFonts w:asciiTheme="minorHAnsi" w:eastAsiaTheme="minorEastAsia" w:hAnsiTheme="minorHAnsi"/>
            <w:noProof/>
            <w:sz w:val="22"/>
            <w:lang w:eastAsia="cs-CZ"/>
          </w:rPr>
          <w:tab/>
        </w:r>
        <w:r w:rsidR="00764589" w:rsidRPr="009B71D6">
          <w:rPr>
            <w:rStyle w:val="Hypertextovodkaz"/>
            <w:noProof/>
          </w:rPr>
          <w:t>Nové koncepty hazardních her</w:t>
        </w:r>
        <w:r w:rsidR="00764589">
          <w:rPr>
            <w:noProof/>
            <w:webHidden/>
          </w:rPr>
          <w:tab/>
        </w:r>
        <w:r w:rsidR="00764589">
          <w:rPr>
            <w:noProof/>
            <w:webHidden/>
          </w:rPr>
          <w:fldChar w:fldCharType="begin"/>
        </w:r>
        <w:r w:rsidR="00764589">
          <w:rPr>
            <w:noProof/>
            <w:webHidden/>
          </w:rPr>
          <w:instrText xml:space="preserve"> PAGEREF _Toc73611638 \h </w:instrText>
        </w:r>
        <w:r w:rsidR="00764589">
          <w:rPr>
            <w:noProof/>
            <w:webHidden/>
          </w:rPr>
        </w:r>
        <w:r w:rsidR="00764589">
          <w:rPr>
            <w:noProof/>
            <w:webHidden/>
          </w:rPr>
          <w:fldChar w:fldCharType="separate"/>
        </w:r>
        <w:r w:rsidR="00764589">
          <w:rPr>
            <w:noProof/>
            <w:webHidden/>
          </w:rPr>
          <w:t>58</w:t>
        </w:r>
        <w:r w:rsidR="00764589">
          <w:rPr>
            <w:noProof/>
            <w:webHidden/>
          </w:rPr>
          <w:fldChar w:fldCharType="end"/>
        </w:r>
      </w:hyperlink>
    </w:p>
    <w:p w14:paraId="44FA514E"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39" w:history="1">
        <w:r w:rsidR="00764589" w:rsidRPr="009B71D6">
          <w:rPr>
            <w:rStyle w:val="Hypertextovodkaz"/>
            <w:noProof/>
          </w:rPr>
          <w:t>7.1</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loteriích</w:t>
        </w:r>
        <w:r w:rsidR="00764589">
          <w:rPr>
            <w:noProof/>
            <w:webHidden/>
          </w:rPr>
          <w:tab/>
        </w:r>
        <w:r w:rsidR="00764589">
          <w:rPr>
            <w:noProof/>
            <w:webHidden/>
          </w:rPr>
          <w:fldChar w:fldCharType="begin"/>
        </w:r>
        <w:r w:rsidR="00764589">
          <w:rPr>
            <w:noProof/>
            <w:webHidden/>
          </w:rPr>
          <w:instrText xml:space="preserve"> PAGEREF _Toc73611639 \h </w:instrText>
        </w:r>
        <w:r w:rsidR="00764589">
          <w:rPr>
            <w:noProof/>
            <w:webHidden/>
          </w:rPr>
        </w:r>
        <w:r w:rsidR="00764589">
          <w:rPr>
            <w:noProof/>
            <w:webHidden/>
          </w:rPr>
          <w:fldChar w:fldCharType="separate"/>
        </w:r>
        <w:r w:rsidR="00764589">
          <w:rPr>
            <w:noProof/>
            <w:webHidden/>
          </w:rPr>
          <w:t>58</w:t>
        </w:r>
        <w:r w:rsidR="00764589">
          <w:rPr>
            <w:noProof/>
            <w:webHidden/>
          </w:rPr>
          <w:fldChar w:fldCharType="end"/>
        </w:r>
      </w:hyperlink>
    </w:p>
    <w:p w14:paraId="520DFE72"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40" w:history="1">
        <w:r w:rsidR="00764589" w:rsidRPr="009B71D6">
          <w:rPr>
            <w:rStyle w:val="Hypertextovodkaz"/>
            <w:noProof/>
          </w:rPr>
          <w:t>7.2</w:t>
        </w:r>
        <w:r w:rsidR="00764589">
          <w:rPr>
            <w:rFonts w:asciiTheme="minorHAnsi" w:eastAsiaTheme="minorEastAsia" w:hAnsiTheme="minorHAnsi"/>
            <w:noProof/>
            <w:sz w:val="22"/>
            <w:lang w:eastAsia="cs-CZ"/>
          </w:rPr>
          <w:tab/>
        </w:r>
        <w:r w:rsidR="00764589" w:rsidRPr="009B71D6">
          <w:rPr>
            <w:rStyle w:val="Hypertextovodkaz"/>
            <w:noProof/>
          </w:rPr>
          <w:t>Konkrétní popis regulace obsažené v zákoně o hazardních hrách</w:t>
        </w:r>
        <w:r w:rsidR="00764589">
          <w:rPr>
            <w:noProof/>
            <w:webHidden/>
          </w:rPr>
          <w:tab/>
        </w:r>
        <w:r w:rsidR="00764589">
          <w:rPr>
            <w:noProof/>
            <w:webHidden/>
          </w:rPr>
          <w:fldChar w:fldCharType="begin"/>
        </w:r>
        <w:r w:rsidR="00764589">
          <w:rPr>
            <w:noProof/>
            <w:webHidden/>
          </w:rPr>
          <w:instrText xml:space="preserve"> PAGEREF _Toc73611640 \h </w:instrText>
        </w:r>
        <w:r w:rsidR="00764589">
          <w:rPr>
            <w:noProof/>
            <w:webHidden/>
          </w:rPr>
        </w:r>
        <w:r w:rsidR="00764589">
          <w:rPr>
            <w:noProof/>
            <w:webHidden/>
          </w:rPr>
          <w:fldChar w:fldCharType="separate"/>
        </w:r>
        <w:r w:rsidR="00764589">
          <w:rPr>
            <w:noProof/>
            <w:webHidden/>
          </w:rPr>
          <w:t>58</w:t>
        </w:r>
        <w:r w:rsidR="00764589">
          <w:rPr>
            <w:noProof/>
            <w:webHidden/>
          </w:rPr>
          <w:fldChar w:fldCharType="end"/>
        </w:r>
      </w:hyperlink>
    </w:p>
    <w:p w14:paraId="7DE729EF" w14:textId="2B546751"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41" w:history="1">
        <w:r w:rsidR="00764589" w:rsidRPr="009B71D6">
          <w:rPr>
            <w:rStyle w:val="Hypertextovodkaz"/>
            <w:noProof/>
          </w:rPr>
          <w:t>7.3</w:t>
        </w:r>
        <w:r w:rsidR="00764589">
          <w:rPr>
            <w:rFonts w:asciiTheme="minorHAnsi" w:eastAsiaTheme="minorEastAsia" w:hAnsiTheme="minorHAnsi"/>
            <w:noProof/>
            <w:sz w:val="22"/>
            <w:lang w:eastAsia="cs-CZ"/>
          </w:rPr>
          <w:tab/>
        </w:r>
        <w:r w:rsidR="00764589" w:rsidRPr="009B71D6">
          <w:rPr>
            <w:rStyle w:val="Hypertextovodkaz"/>
            <w:noProof/>
          </w:rPr>
          <w:t>Konkrétní popis nástrojů, včetně oblast</w:t>
        </w:r>
        <w:r w:rsidR="00A353EC">
          <w:rPr>
            <w:rStyle w:val="Hypertextovodkaz"/>
            <w:noProof/>
          </w:rPr>
          <w:t>í, na které by bylo vhodné se v </w:t>
        </w:r>
        <w:r w:rsidR="00764589" w:rsidRPr="009B71D6">
          <w:rPr>
            <w:rStyle w:val="Hypertextovodkaz"/>
            <w:noProof/>
          </w:rPr>
          <w:t>budoucnu zaměřit, a návrh doporučení či možných variant řešení</w:t>
        </w:r>
        <w:r w:rsidR="00764589">
          <w:rPr>
            <w:noProof/>
            <w:webHidden/>
          </w:rPr>
          <w:tab/>
        </w:r>
        <w:r w:rsidR="00764589">
          <w:rPr>
            <w:noProof/>
            <w:webHidden/>
          </w:rPr>
          <w:fldChar w:fldCharType="begin"/>
        </w:r>
        <w:r w:rsidR="00764589">
          <w:rPr>
            <w:noProof/>
            <w:webHidden/>
          </w:rPr>
          <w:instrText xml:space="preserve"> PAGEREF _Toc73611641 \h </w:instrText>
        </w:r>
        <w:r w:rsidR="00764589">
          <w:rPr>
            <w:noProof/>
            <w:webHidden/>
          </w:rPr>
        </w:r>
        <w:r w:rsidR="00764589">
          <w:rPr>
            <w:noProof/>
            <w:webHidden/>
          </w:rPr>
          <w:fldChar w:fldCharType="separate"/>
        </w:r>
        <w:r w:rsidR="00764589">
          <w:rPr>
            <w:noProof/>
            <w:webHidden/>
          </w:rPr>
          <w:t>58</w:t>
        </w:r>
        <w:r w:rsidR="00764589">
          <w:rPr>
            <w:noProof/>
            <w:webHidden/>
          </w:rPr>
          <w:fldChar w:fldCharType="end"/>
        </w:r>
      </w:hyperlink>
    </w:p>
    <w:p w14:paraId="2840C3D1"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2" w:history="1">
        <w:r w:rsidR="00764589" w:rsidRPr="009B71D6">
          <w:rPr>
            <w:rStyle w:val="Hypertextovodkaz"/>
            <w:rFonts w:cs="Arial"/>
            <w:noProof/>
          </w:rPr>
          <w:t>i.</w:t>
        </w:r>
        <w:r w:rsidR="00764589">
          <w:rPr>
            <w:rFonts w:asciiTheme="minorHAnsi" w:eastAsiaTheme="minorEastAsia" w:hAnsiTheme="minorHAnsi"/>
            <w:noProof/>
            <w:sz w:val="22"/>
            <w:lang w:eastAsia="cs-CZ"/>
          </w:rPr>
          <w:tab/>
        </w:r>
        <w:r w:rsidR="00764589" w:rsidRPr="009B71D6">
          <w:rPr>
            <w:rStyle w:val="Hypertextovodkaz"/>
            <w:noProof/>
          </w:rPr>
          <w:t>Terminály pro provozování kursové sázky a loterie</w:t>
        </w:r>
        <w:r w:rsidR="00764589">
          <w:rPr>
            <w:noProof/>
            <w:webHidden/>
          </w:rPr>
          <w:tab/>
        </w:r>
        <w:r w:rsidR="00764589">
          <w:rPr>
            <w:noProof/>
            <w:webHidden/>
          </w:rPr>
          <w:fldChar w:fldCharType="begin"/>
        </w:r>
        <w:r w:rsidR="00764589">
          <w:rPr>
            <w:noProof/>
            <w:webHidden/>
          </w:rPr>
          <w:instrText xml:space="preserve"> PAGEREF _Toc73611642 \h </w:instrText>
        </w:r>
        <w:r w:rsidR="00764589">
          <w:rPr>
            <w:noProof/>
            <w:webHidden/>
          </w:rPr>
        </w:r>
        <w:r w:rsidR="00764589">
          <w:rPr>
            <w:noProof/>
            <w:webHidden/>
          </w:rPr>
          <w:fldChar w:fldCharType="separate"/>
        </w:r>
        <w:r w:rsidR="00764589">
          <w:rPr>
            <w:noProof/>
            <w:webHidden/>
          </w:rPr>
          <w:t>58</w:t>
        </w:r>
        <w:r w:rsidR="00764589">
          <w:rPr>
            <w:noProof/>
            <w:webHidden/>
          </w:rPr>
          <w:fldChar w:fldCharType="end"/>
        </w:r>
      </w:hyperlink>
    </w:p>
    <w:p w14:paraId="57A4E47E"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3" w:history="1">
        <w:r w:rsidR="00764589" w:rsidRPr="009B71D6">
          <w:rPr>
            <w:rStyle w:val="Hypertextovodkaz"/>
            <w:rFonts w:cs="Arial"/>
            <w:noProof/>
          </w:rPr>
          <w:t>ii.</w:t>
        </w:r>
        <w:r w:rsidR="00764589">
          <w:rPr>
            <w:rFonts w:asciiTheme="minorHAnsi" w:eastAsiaTheme="minorEastAsia" w:hAnsiTheme="minorHAnsi"/>
            <w:noProof/>
            <w:sz w:val="22"/>
            <w:lang w:eastAsia="cs-CZ"/>
          </w:rPr>
          <w:tab/>
        </w:r>
        <w:r w:rsidR="00764589" w:rsidRPr="009B71D6">
          <w:rPr>
            <w:rStyle w:val="Hypertextovodkaz"/>
            <w:noProof/>
          </w:rPr>
          <w:t>Virtuální sporty</w:t>
        </w:r>
        <w:r w:rsidR="00764589">
          <w:rPr>
            <w:noProof/>
            <w:webHidden/>
          </w:rPr>
          <w:tab/>
        </w:r>
        <w:r w:rsidR="00764589">
          <w:rPr>
            <w:noProof/>
            <w:webHidden/>
          </w:rPr>
          <w:fldChar w:fldCharType="begin"/>
        </w:r>
        <w:r w:rsidR="00764589">
          <w:rPr>
            <w:noProof/>
            <w:webHidden/>
          </w:rPr>
          <w:instrText xml:space="preserve"> PAGEREF _Toc73611643 \h </w:instrText>
        </w:r>
        <w:r w:rsidR="00764589">
          <w:rPr>
            <w:noProof/>
            <w:webHidden/>
          </w:rPr>
        </w:r>
        <w:r w:rsidR="00764589">
          <w:rPr>
            <w:noProof/>
            <w:webHidden/>
          </w:rPr>
          <w:fldChar w:fldCharType="separate"/>
        </w:r>
        <w:r w:rsidR="00764589">
          <w:rPr>
            <w:noProof/>
            <w:webHidden/>
          </w:rPr>
          <w:t>59</w:t>
        </w:r>
        <w:r w:rsidR="00764589">
          <w:rPr>
            <w:noProof/>
            <w:webHidden/>
          </w:rPr>
          <w:fldChar w:fldCharType="end"/>
        </w:r>
      </w:hyperlink>
    </w:p>
    <w:p w14:paraId="6BDE9F1F"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4" w:history="1">
        <w:r w:rsidR="00764589" w:rsidRPr="009B71D6">
          <w:rPr>
            <w:rStyle w:val="Hypertextovodkaz"/>
            <w:rFonts w:cs="Arial"/>
            <w:noProof/>
          </w:rPr>
          <w:t>iii.</w:t>
        </w:r>
        <w:r w:rsidR="00764589">
          <w:rPr>
            <w:rFonts w:asciiTheme="minorHAnsi" w:eastAsiaTheme="minorEastAsia" w:hAnsiTheme="minorHAnsi"/>
            <w:noProof/>
            <w:sz w:val="22"/>
            <w:lang w:eastAsia="cs-CZ"/>
          </w:rPr>
          <w:tab/>
        </w:r>
        <w:r w:rsidR="00764589" w:rsidRPr="009B71D6">
          <w:rPr>
            <w:rStyle w:val="Hypertextovodkaz"/>
            <w:noProof/>
          </w:rPr>
          <w:t>Social gaming</w:t>
        </w:r>
        <w:r w:rsidR="00764589">
          <w:rPr>
            <w:noProof/>
            <w:webHidden/>
          </w:rPr>
          <w:tab/>
        </w:r>
        <w:r w:rsidR="00764589">
          <w:rPr>
            <w:noProof/>
            <w:webHidden/>
          </w:rPr>
          <w:fldChar w:fldCharType="begin"/>
        </w:r>
        <w:r w:rsidR="00764589">
          <w:rPr>
            <w:noProof/>
            <w:webHidden/>
          </w:rPr>
          <w:instrText xml:space="preserve"> PAGEREF _Toc73611644 \h </w:instrText>
        </w:r>
        <w:r w:rsidR="00764589">
          <w:rPr>
            <w:noProof/>
            <w:webHidden/>
          </w:rPr>
        </w:r>
        <w:r w:rsidR="00764589">
          <w:rPr>
            <w:noProof/>
            <w:webHidden/>
          </w:rPr>
          <w:fldChar w:fldCharType="separate"/>
        </w:r>
        <w:r w:rsidR="00764589">
          <w:rPr>
            <w:noProof/>
            <w:webHidden/>
          </w:rPr>
          <w:t>61</w:t>
        </w:r>
        <w:r w:rsidR="00764589">
          <w:rPr>
            <w:noProof/>
            <w:webHidden/>
          </w:rPr>
          <w:fldChar w:fldCharType="end"/>
        </w:r>
      </w:hyperlink>
    </w:p>
    <w:p w14:paraId="568B50EF"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5" w:history="1">
        <w:r w:rsidR="00764589" w:rsidRPr="009B71D6">
          <w:rPr>
            <w:rStyle w:val="Hypertextovodkaz"/>
            <w:rFonts w:cs="Arial"/>
            <w:noProof/>
          </w:rPr>
          <w:t>iv.</w:t>
        </w:r>
        <w:r w:rsidR="00764589">
          <w:rPr>
            <w:rFonts w:asciiTheme="minorHAnsi" w:eastAsiaTheme="minorEastAsia" w:hAnsiTheme="minorHAnsi"/>
            <w:noProof/>
            <w:sz w:val="22"/>
            <w:lang w:eastAsia="cs-CZ"/>
          </w:rPr>
          <w:tab/>
        </w:r>
        <w:r w:rsidR="00764589" w:rsidRPr="009B71D6">
          <w:rPr>
            <w:rStyle w:val="Hypertextovodkaz"/>
            <w:noProof/>
          </w:rPr>
          <w:t>Simulované hazardní hry</w:t>
        </w:r>
        <w:r w:rsidR="00764589">
          <w:rPr>
            <w:noProof/>
            <w:webHidden/>
          </w:rPr>
          <w:tab/>
        </w:r>
        <w:r w:rsidR="00764589">
          <w:rPr>
            <w:noProof/>
            <w:webHidden/>
          </w:rPr>
          <w:fldChar w:fldCharType="begin"/>
        </w:r>
        <w:r w:rsidR="00764589">
          <w:rPr>
            <w:noProof/>
            <w:webHidden/>
          </w:rPr>
          <w:instrText xml:space="preserve"> PAGEREF _Toc73611645 \h </w:instrText>
        </w:r>
        <w:r w:rsidR="00764589">
          <w:rPr>
            <w:noProof/>
            <w:webHidden/>
          </w:rPr>
        </w:r>
        <w:r w:rsidR="00764589">
          <w:rPr>
            <w:noProof/>
            <w:webHidden/>
          </w:rPr>
          <w:fldChar w:fldCharType="separate"/>
        </w:r>
        <w:r w:rsidR="00764589">
          <w:rPr>
            <w:noProof/>
            <w:webHidden/>
          </w:rPr>
          <w:t>62</w:t>
        </w:r>
        <w:r w:rsidR="00764589">
          <w:rPr>
            <w:noProof/>
            <w:webHidden/>
          </w:rPr>
          <w:fldChar w:fldCharType="end"/>
        </w:r>
      </w:hyperlink>
    </w:p>
    <w:p w14:paraId="39ACD796"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6" w:history="1">
        <w:r w:rsidR="00764589" w:rsidRPr="009B71D6">
          <w:rPr>
            <w:rStyle w:val="Hypertextovodkaz"/>
            <w:rFonts w:cs="Arial"/>
            <w:noProof/>
          </w:rPr>
          <w:t>v.</w:t>
        </w:r>
        <w:r w:rsidR="00764589">
          <w:rPr>
            <w:rFonts w:asciiTheme="minorHAnsi" w:eastAsiaTheme="minorEastAsia" w:hAnsiTheme="minorHAnsi"/>
            <w:noProof/>
            <w:sz w:val="22"/>
            <w:lang w:eastAsia="cs-CZ"/>
          </w:rPr>
          <w:tab/>
        </w:r>
        <w:r w:rsidR="00764589" w:rsidRPr="009B71D6">
          <w:rPr>
            <w:rStyle w:val="Hypertextovodkaz"/>
            <w:noProof/>
          </w:rPr>
          <w:t>Loot boxy</w:t>
        </w:r>
        <w:r w:rsidR="00764589">
          <w:rPr>
            <w:noProof/>
            <w:webHidden/>
          </w:rPr>
          <w:tab/>
        </w:r>
        <w:r w:rsidR="00764589">
          <w:rPr>
            <w:noProof/>
            <w:webHidden/>
          </w:rPr>
          <w:fldChar w:fldCharType="begin"/>
        </w:r>
        <w:r w:rsidR="00764589">
          <w:rPr>
            <w:noProof/>
            <w:webHidden/>
          </w:rPr>
          <w:instrText xml:space="preserve"> PAGEREF _Toc73611646 \h </w:instrText>
        </w:r>
        <w:r w:rsidR="00764589">
          <w:rPr>
            <w:noProof/>
            <w:webHidden/>
          </w:rPr>
        </w:r>
        <w:r w:rsidR="00764589">
          <w:rPr>
            <w:noProof/>
            <w:webHidden/>
          </w:rPr>
          <w:fldChar w:fldCharType="separate"/>
        </w:r>
        <w:r w:rsidR="00764589">
          <w:rPr>
            <w:noProof/>
            <w:webHidden/>
          </w:rPr>
          <w:t>63</w:t>
        </w:r>
        <w:r w:rsidR="00764589">
          <w:rPr>
            <w:noProof/>
            <w:webHidden/>
          </w:rPr>
          <w:fldChar w:fldCharType="end"/>
        </w:r>
      </w:hyperlink>
    </w:p>
    <w:p w14:paraId="36D76B83"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7" w:history="1">
        <w:r w:rsidR="00764589" w:rsidRPr="009B71D6">
          <w:rPr>
            <w:rStyle w:val="Hypertextovodkaz"/>
            <w:rFonts w:cs="Arial"/>
            <w:noProof/>
          </w:rPr>
          <w:t>vi.</w:t>
        </w:r>
        <w:r w:rsidR="00764589">
          <w:rPr>
            <w:rFonts w:asciiTheme="minorHAnsi" w:eastAsiaTheme="minorEastAsia" w:hAnsiTheme="minorHAnsi"/>
            <w:noProof/>
            <w:sz w:val="22"/>
            <w:lang w:eastAsia="cs-CZ"/>
          </w:rPr>
          <w:tab/>
        </w:r>
        <w:r w:rsidR="00764589" w:rsidRPr="009B71D6">
          <w:rPr>
            <w:rStyle w:val="Hypertextovodkaz"/>
            <w:noProof/>
          </w:rPr>
          <w:t>Mikrotranskace (mikroplatby)</w:t>
        </w:r>
        <w:r w:rsidR="00764589">
          <w:rPr>
            <w:noProof/>
            <w:webHidden/>
          </w:rPr>
          <w:tab/>
        </w:r>
        <w:r w:rsidR="00764589">
          <w:rPr>
            <w:noProof/>
            <w:webHidden/>
          </w:rPr>
          <w:fldChar w:fldCharType="begin"/>
        </w:r>
        <w:r w:rsidR="00764589">
          <w:rPr>
            <w:noProof/>
            <w:webHidden/>
          </w:rPr>
          <w:instrText xml:space="preserve"> PAGEREF _Toc73611647 \h </w:instrText>
        </w:r>
        <w:r w:rsidR="00764589">
          <w:rPr>
            <w:noProof/>
            <w:webHidden/>
          </w:rPr>
        </w:r>
        <w:r w:rsidR="00764589">
          <w:rPr>
            <w:noProof/>
            <w:webHidden/>
          </w:rPr>
          <w:fldChar w:fldCharType="separate"/>
        </w:r>
        <w:r w:rsidR="00764589">
          <w:rPr>
            <w:noProof/>
            <w:webHidden/>
          </w:rPr>
          <w:t>63</w:t>
        </w:r>
        <w:r w:rsidR="00764589">
          <w:rPr>
            <w:noProof/>
            <w:webHidden/>
          </w:rPr>
          <w:fldChar w:fldCharType="end"/>
        </w:r>
      </w:hyperlink>
    </w:p>
    <w:p w14:paraId="01444827" w14:textId="77777777" w:rsidR="00764589" w:rsidRDefault="009C0B64" w:rsidP="00764589">
      <w:pPr>
        <w:pStyle w:val="Obsah6"/>
        <w:tabs>
          <w:tab w:val="left" w:pos="1760"/>
          <w:tab w:val="right" w:leader="dot" w:pos="9062"/>
        </w:tabs>
        <w:rPr>
          <w:rFonts w:asciiTheme="minorHAnsi" w:eastAsiaTheme="minorEastAsia" w:hAnsiTheme="minorHAnsi"/>
          <w:noProof/>
          <w:sz w:val="22"/>
          <w:lang w:eastAsia="cs-CZ"/>
        </w:rPr>
      </w:pPr>
      <w:hyperlink w:anchor="_Toc73611648" w:history="1">
        <w:r w:rsidR="00764589" w:rsidRPr="009B71D6">
          <w:rPr>
            <w:rStyle w:val="Hypertextovodkaz"/>
            <w:rFonts w:cs="Arial"/>
            <w:noProof/>
          </w:rPr>
          <w:t>vii.</w:t>
        </w:r>
        <w:r w:rsidR="00764589">
          <w:rPr>
            <w:rFonts w:asciiTheme="minorHAnsi" w:eastAsiaTheme="minorEastAsia" w:hAnsiTheme="minorHAnsi"/>
            <w:noProof/>
            <w:sz w:val="22"/>
            <w:lang w:eastAsia="cs-CZ"/>
          </w:rPr>
          <w:tab/>
        </w:r>
        <w:r w:rsidR="00764589" w:rsidRPr="009B71D6">
          <w:rPr>
            <w:rStyle w:val="Hypertextovodkaz"/>
            <w:noProof/>
          </w:rPr>
          <w:t>Skin gambling/skin betting</w:t>
        </w:r>
        <w:r w:rsidR="00764589">
          <w:rPr>
            <w:noProof/>
            <w:webHidden/>
          </w:rPr>
          <w:tab/>
        </w:r>
        <w:r w:rsidR="00764589">
          <w:rPr>
            <w:noProof/>
            <w:webHidden/>
          </w:rPr>
          <w:fldChar w:fldCharType="begin"/>
        </w:r>
        <w:r w:rsidR="00764589">
          <w:rPr>
            <w:noProof/>
            <w:webHidden/>
          </w:rPr>
          <w:instrText xml:space="preserve"> PAGEREF _Toc73611648 \h </w:instrText>
        </w:r>
        <w:r w:rsidR="00764589">
          <w:rPr>
            <w:noProof/>
            <w:webHidden/>
          </w:rPr>
        </w:r>
        <w:r w:rsidR="00764589">
          <w:rPr>
            <w:noProof/>
            <w:webHidden/>
          </w:rPr>
          <w:fldChar w:fldCharType="separate"/>
        </w:r>
        <w:r w:rsidR="00764589">
          <w:rPr>
            <w:noProof/>
            <w:webHidden/>
          </w:rPr>
          <w:t>64</w:t>
        </w:r>
        <w:r w:rsidR="00764589">
          <w:rPr>
            <w:noProof/>
            <w:webHidden/>
          </w:rPr>
          <w:fldChar w:fldCharType="end"/>
        </w:r>
      </w:hyperlink>
    </w:p>
    <w:p w14:paraId="33909F30"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49" w:history="1">
        <w:r w:rsidR="00764589" w:rsidRPr="009B71D6">
          <w:rPr>
            <w:rStyle w:val="Hypertextovodkaz"/>
            <w:noProof/>
          </w:rPr>
          <w:t>8</w:t>
        </w:r>
        <w:r w:rsidR="00764589">
          <w:rPr>
            <w:rFonts w:asciiTheme="minorHAnsi" w:eastAsiaTheme="minorEastAsia" w:hAnsiTheme="minorHAnsi"/>
            <w:noProof/>
            <w:sz w:val="22"/>
            <w:lang w:eastAsia="cs-CZ"/>
          </w:rPr>
          <w:tab/>
        </w:r>
        <w:r w:rsidR="00764589" w:rsidRPr="009B71D6">
          <w:rPr>
            <w:rStyle w:val="Hypertextovodkaz"/>
            <w:noProof/>
          </w:rPr>
          <w:t>Seznam tabulek, obrázků a grafů</w:t>
        </w:r>
        <w:r w:rsidR="00764589">
          <w:rPr>
            <w:noProof/>
            <w:webHidden/>
          </w:rPr>
          <w:tab/>
        </w:r>
        <w:r w:rsidR="00764589">
          <w:rPr>
            <w:noProof/>
            <w:webHidden/>
          </w:rPr>
          <w:fldChar w:fldCharType="begin"/>
        </w:r>
        <w:r w:rsidR="00764589">
          <w:rPr>
            <w:noProof/>
            <w:webHidden/>
          </w:rPr>
          <w:instrText xml:space="preserve"> PAGEREF _Toc73611649 \h </w:instrText>
        </w:r>
        <w:r w:rsidR="00764589">
          <w:rPr>
            <w:noProof/>
            <w:webHidden/>
          </w:rPr>
        </w:r>
        <w:r w:rsidR="00764589">
          <w:rPr>
            <w:noProof/>
            <w:webHidden/>
          </w:rPr>
          <w:fldChar w:fldCharType="separate"/>
        </w:r>
        <w:r w:rsidR="00764589">
          <w:rPr>
            <w:noProof/>
            <w:webHidden/>
          </w:rPr>
          <w:t>65</w:t>
        </w:r>
        <w:r w:rsidR="00764589">
          <w:rPr>
            <w:noProof/>
            <w:webHidden/>
          </w:rPr>
          <w:fldChar w:fldCharType="end"/>
        </w:r>
      </w:hyperlink>
    </w:p>
    <w:p w14:paraId="4E37D5EB"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50" w:history="1">
        <w:r w:rsidR="00764589" w:rsidRPr="009B71D6">
          <w:rPr>
            <w:rStyle w:val="Hypertextovodkaz"/>
            <w:noProof/>
          </w:rPr>
          <w:t>8.1</w:t>
        </w:r>
        <w:r w:rsidR="00764589">
          <w:rPr>
            <w:rFonts w:asciiTheme="minorHAnsi" w:eastAsiaTheme="minorEastAsia" w:hAnsiTheme="minorHAnsi"/>
            <w:noProof/>
            <w:sz w:val="22"/>
            <w:lang w:eastAsia="cs-CZ"/>
          </w:rPr>
          <w:tab/>
        </w:r>
        <w:r w:rsidR="00764589" w:rsidRPr="009B71D6">
          <w:rPr>
            <w:rStyle w:val="Hypertextovodkaz"/>
            <w:noProof/>
          </w:rPr>
          <w:t>Obrázky</w:t>
        </w:r>
        <w:r w:rsidR="00764589">
          <w:rPr>
            <w:noProof/>
            <w:webHidden/>
          </w:rPr>
          <w:tab/>
        </w:r>
        <w:r w:rsidR="00764589">
          <w:rPr>
            <w:noProof/>
            <w:webHidden/>
          </w:rPr>
          <w:fldChar w:fldCharType="begin"/>
        </w:r>
        <w:r w:rsidR="00764589">
          <w:rPr>
            <w:noProof/>
            <w:webHidden/>
          </w:rPr>
          <w:instrText xml:space="preserve"> PAGEREF _Toc73611650 \h </w:instrText>
        </w:r>
        <w:r w:rsidR="00764589">
          <w:rPr>
            <w:noProof/>
            <w:webHidden/>
          </w:rPr>
        </w:r>
        <w:r w:rsidR="00764589">
          <w:rPr>
            <w:noProof/>
            <w:webHidden/>
          </w:rPr>
          <w:fldChar w:fldCharType="separate"/>
        </w:r>
        <w:r w:rsidR="00764589">
          <w:rPr>
            <w:noProof/>
            <w:webHidden/>
          </w:rPr>
          <w:t>65</w:t>
        </w:r>
        <w:r w:rsidR="00764589">
          <w:rPr>
            <w:noProof/>
            <w:webHidden/>
          </w:rPr>
          <w:fldChar w:fldCharType="end"/>
        </w:r>
      </w:hyperlink>
    </w:p>
    <w:p w14:paraId="4F1689C6" w14:textId="77777777" w:rsidR="00764589" w:rsidRDefault="009C0B64" w:rsidP="00764589">
      <w:pPr>
        <w:pStyle w:val="Obsah3"/>
        <w:tabs>
          <w:tab w:val="left" w:pos="1200"/>
          <w:tab w:val="right" w:leader="dot" w:pos="9062"/>
        </w:tabs>
        <w:rPr>
          <w:rFonts w:asciiTheme="minorHAnsi" w:eastAsiaTheme="minorEastAsia" w:hAnsiTheme="minorHAnsi"/>
          <w:noProof/>
          <w:sz w:val="22"/>
          <w:lang w:eastAsia="cs-CZ"/>
        </w:rPr>
      </w:pPr>
      <w:hyperlink w:anchor="_Toc73611651" w:history="1">
        <w:r w:rsidR="00764589" w:rsidRPr="009B71D6">
          <w:rPr>
            <w:rStyle w:val="Hypertextovodkaz"/>
            <w:noProof/>
          </w:rPr>
          <w:t>8.2</w:t>
        </w:r>
        <w:r w:rsidR="00764589">
          <w:rPr>
            <w:rFonts w:asciiTheme="minorHAnsi" w:eastAsiaTheme="minorEastAsia" w:hAnsiTheme="minorHAnsi"/>
            <w:noProof/>
            <w:sz w:val="22"/>
            <w:lang w:eastAsia="cs-CZ"/>
          </w:rPr>
          <w:tab/>
        </w:r>
        <w:r w:rsidR="00764589" w:rsidRPr="009B71D6">
          <w:rPr>
            <w:rStyle w:val="Hypertextovodkaz"/>
            <w:noProof/>
          </w:rPr>
          <w:t>Grafy</w:t>
        </w:r>
        <w:r w:rsidR="00764589">
          <w:rPr>
            <w:noProof/>
            <w:webHidden/>
          </w:rPr>
          <w:tab/>
        </w:r>
        <w:r w:rsidR="00764589">
          <w:rPr>
            <w:noProof/>
            <w:webHidden/>
          </w:rPr>
          <w:fldChar w:fldCharType="begin"/>
        </w:r>
        <w:r w:rsidR="00764589">
          <w:rPr>
            <w:noProof/>
            <w:webHidden/>
          </w:rPr>
          <w:instrText xml:space="preserve"> PAGEREF _Toc73611651 \h </w:instrText>
        </w:r>
        <w:r w:rsidR="00764589">
          <w:rPr>
            <w:noProof/>
            <w:webHidden/>
          </w:rPr>
        </w:r>
        <w:r w:rsidR="00764589">
          <w:rPr>
            <w:noProof/>
            <w:webHidden/>
          </w:rPr>
          <w:fldChar w:fldCharType="separate"/>
        </w:r>
        <w:r w:rsidR="00764589">
          <w:rPr>
            <w:noProof/>
            <w:webHidden/>
          </w:rPr>
          <w:t>65</w:t>
        </w:r>
        <w:r w:rsidR="00764589">
          <w:rPr>
            <w:noProof/>
            <w:webHidden/>
          </w:rPr>
          <w:fldChar w:fldCharType="end"/>
        </w:r>
      </w:hyperlink>
    </w:p>
    <w:p w14:paraId="2EB05A94" w14:textId="77777777" w:rsidR="00764589" w:rsidRDefault="009C0B64" w:rsidP="00764589">
      <w:pPr>
        <w:pStyle w:val="Obsah2"/>
        <w:tabs>
          <w:tab w:val="left" w:pos="660"/>
          <w:tab w:val="right" w:leader="dot" w:pos="9062"/>
        </w:tabs>
        <w:rPr>
          <w:rFonts w:asciiTheme="minorHAnsi" w:eastAsiaTheme="minorEastAsia" w:hAnsiTheme="minorHAnsi"/>
          <w:noProof/>
          <w:sz w:val="22"/>
          <w:lang w:eastAsia="cs-CZ"/>
        </w:rPr>
      </w:pPr>
      <w:hyperlink w:anchor="_Toc73611652" w:history="1">
        <w:r w:rsidR="00764589" w:rsidRPr="009B71D6">
          <w:rPr>
            <w:rStyle w:val="Hypertextovodkaz"/>
            <w:noProof/>
          </w:rPr>
          <w:t>9</w:t>
        </w:r>
        <w:r w:rsidR="00764589">
          <w:rPr>
            <w:rFonts w:asciiTheme="minorHAnsi" w:eastAsiaTheme="minorEastAsia" w:hAnsiTheme="minorHAnsi"/>
            <w:noProof/>
            <w:sz w:val="22"/>
            <w:lang w:eastAsia="cs-CZ"/>
          </w:rPr>
          <w:tab/>
        </w:r>
        <w:r w:rsidR="00764589" w:rsidRPr="009B71D6">
          <w:rPr>
            <w:rStyle w:val="Hypertextovodkaz"/>
            <w:noProof/>
          </w:rPr>
          <w:t>Obsah</w:t>
        </w:r>
        <w:r w:rsidR="00764589">
          <w:rPr>
            <w:noProof/>
            <w:webHidden/>
          </w:rPr>
          <w:tab/>
        </w:r>
        <w:r w:rsidR="00764589">
          <w:rPr>
            <w:noProof/>
            <w:webHidden/>
          </w:rPr>
          <w:fldChar w:fldCharType="begin"/>
        </w:r>
        <w:r w:rsidR="00764589">
          <w:rPr>
            <w:noProof/>
            <w:webHidden/>
          </w:rPr>
          <w:instrText xml:space="preserve"> PAGEREF _Toc73611652 \h </w:instrText>
        </w:r>
        <w:r w:rsidR="00764589">
          <w:rPr>
            <w:noProof/>
            <w:webHidden/>
          </w:rPr>
        </w:r>
        <w:r w:rsidR="00764589">
          <w:rPr>
            <w:noProof/>
            <w:webHidden/>
          </w:rPr>
          <w:fldChar w:fldCharType="separate"/>
        </w:r>
        <w:r w:rsidR="00764589">
          <w:rPr>
            <w:noProof/>
            <w:webHidden/>
          </w:rPr>
          <w:t>65</w:t>
        </w:r>
        <w:r w:rsidR="00764589">
          <w:rPr>
            <w:noProof/>
            <w:webHidden/>
          </w:rPr>
          <w:fldChar w:fldCharType="end"/>
        </w:r>
      </w:hyperlink>
    </w:p>
    <w:p w14:paraId="0A3B3ADE" w14:textId="3E8FBDF3" w:rsidR="00764589" w:rsidRPr="00764589" w:rsidRDefault="00764589" w:rsidP="00764589">
      <w:r>
        <w:fldChar w:fldCharType="end"/>
      </w:r>
    </w:p>
    <w:p w14:paraId="3C12B97A" w14:textId="638F690A" w:rsidR="00A861A9" w:rsidRPr="00F17245" w:rsidRDefault="00E91C8F" w:rsidP="00E91C8F">
      <w:pPr>
        <w:pStyle w:val="Nadpis3"/>
        <w:numPr>
          <w:ilvl w:val="0"/>
          <w:numId w:val="0"/>
        </w:numPr>
        <w:ind w:left="720" w:hanging="720"/>
      </w:pPr>
      <w:bookmarkStart w:id="188" w:name="_Toc72999600"/>
      <w:bookmarkStart w:id="189" w:name="_Toc73613656"/>
      <w:r w:rsidRPr="00F17245">
        <w:lastRenderedPageBreak/>
        <w:t xml:space="preserve">Příloha č. 6: </w:t>
      </w:r>
      <w:r w:rsidR="00A861A9" w:rsidRPr="00F17245">
        <w:t>Herní prostor</w:t>
      </w:r>
      <w:bookmarkEnd w:id="188"/>
      <w:bookmarkEnd w:id="189"/>
    </w:p>
    <w:p w14:paraId="0D3D2692" w14:textId="4766C3F6" w:rsidR="00F6450E" w:rsidRDefault="00F6450E" w:rsidP="00F6450E">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7DFD59E5"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5271" w:history="1">
        <w:r w:rsidR="00F6450E" w:rsidRPr="00655089">
          <w:rPr>
            <w:rStyle w:val="Hypertextovodkaz"/>
            <w:noProof/>
          </w:rPr>
          <w:t>1.1</w:t>
        </w:r>
        <w:r w:rsidR="00F6450E">
          <w:rPr>
            <w:rFonts w:asciiTheme="minorHAnsi" w:eastAsiaTheme="minorEastAsia" w:hAnsiTheme="minorHAnsi"/>
            <w:noProof/>
            <w:sz w:val="22"/>
            <w:lang w:eastAsia="cs-CZ"/>
          </w:rPr>
          <w:tab/>
        </w:r>
        <w:r w:rsidR="00F6450E" w:rsidRPr="00655089">
          <w:rPr>
            <w:rStyle w:val="Hypertextovodkaz"/>
            <w:noProof/>
          </w:rPr>
          <w:t>Konkrétní popis regulace obsažené v zákoně o loteriích</w:t>
        </w:r>
        <w:r w:rsidR="00F6450E">
          <w:rPr>
            <w:noProof/>
            <w:webHidden/>
          </w:rPr>
          <w:tab/>
        </w:r>
        <w:r w:rsidR="00F6450E">
          <w:rPr>
            <w:noProof/>
            <w:webHidden/>
          </w:rPr>
          <w:fldChar w:fldCharType="begin"/>
        </w:r>
        <w:r w:rsidR="00F6450E">
          <w:rPr>
            <w:noProof/>
            <w:webHidden/>
          </w:rPr>
          <w:instrText xml:space="preserve"> PAGEREF _Toc73605271 \h </w:instrText>
        </w:r>
        <w:r w:rsidR="00F6450E">
          <w:rPr>
            <w:noProof/>
            <w:webHidden/>
          </w:rPr>
        </w:r>
        <w:r w:rsidR="00F6450E">
          <w:rPr>
            <w:noProof/>
            <w:webHidden/>
          </w:rPr>
          <w:fldChar w:fldCharType="separate"/>
        </w:r>
        <w:r w:rsidR="00F6450E">
          <w:rPr>
            <w:noProof/>
            <w:webHidden/>
          </w:rPr>
          <w:t>1</w:t>
        </w:r>
        <w:r w:rsidR="00F6450E">
          <w:rPr>
            <w:noProof/>
            <w:webHidden/>
          </w:rPr>
          <w:fldChar w:fldCharType="end"/>
        </w:r>
      </w:hyperlink>
    </w:p>
    <w:p w14:paraId="7B6EA27F"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5272" w:history="1">
        <w:r w:rsidR="00F6450E" w:rsidRPr="00655089">
          <w:rPr>
            <w:rStyle w:val="Hypertextovodkaz"/>
            <w:noProof/>
          </w:rPr>
          <w:t>1.2</w:t>
        </w:r>
        <w:r w:rsidR="00F6450E">
          <w:rPr>
            <w:rFonts w:asciiTheme="minorHAnsi" w:eastAsiaTheme="minorEastAsia" w:hAnsiTheme="minorHAnsi"/>
            <w:noProof/>
            <w:sz w:val="22"/>
            <w:lang w:eastAsia="cs-CZ"/>
          </w:rPr>
          <w:tab/>
        </w:r>
        <w:r w:rsidR="00F6450E" w:rsidRPr="00655089">
          <w:rPr>
            <w:rStyle w:val="Hypertextovodkaz"/>
            <w:noProof/>
          </w:rPr>
          <w:t>Konkrétní popis regulace obsažené v zákoně o hazardních hrách</w:t>
        </w:r>
        <w:r w:rsidR="00F6450E">
          <w:rPr>
            <w:noProof/>
            <w:webHidden/>
          </w:rPr>
          <w:tab/>
        </w:r>
        <w:r w:rsidR="00F6450E">
          <w:rPr>
            <w:noProof/>
            <w:webHidden/>
          </w:rPr>
          <w:fldChar w:fldCharType="begin"/>
        </w:r>
        <w:r w:rsidR="00F6450E">
          <w:rPr>
            <w:noProof/>
            <w:webHidden/>
          </w:rPr>
          <w:instrText xml:space="preserve"> PAGEREF _Toc73605272 \h </w:instrText>
        </w:r>
        <w:r w:rsidR="00F6450E">
          <w:rPr>
            <w:noProof/>
            <w:webHidden/>
          </w:rPr>
        </w:r>
        <w:r w:rsidR="00F6450E">
          <w:rPr>
            <w:noProof/>
            <w:webHidden/>
          </w:rPr>
          <w:fldChar w:fldCharType="separate"/>
        </w:r>
        <w:r w:rsidR="00F6450E">
          <w:rPr>
            <w:noProof/>
            <w:webHidden/>
          </w:rPr>
          <w:t>2</w:t>
        </w:r>
        <w:r w:rsidR="00F6450E">
          <w:rPr>
            <w:noProof/>
            <w:webHidden/>
          </w:rPr>
          <w:fldChar w:fldCharType="end"/>
        </w:r>
      </w:hyperlink>
    </w:p>
    <w:p w14:paraId="5E5CC929"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3" w:history="1">
        <w:r w:rsidR="00F6450E" w:rsidRPr="00655089">
          <w:rPr>
            <w:rStyle w:val="Hypertextovodkaz"/>
            <w:noProof/>
            <w14:scene3d>
              <w14:camera w14:prst="orthographicFront"/>
              <w14:lightRig w14:rig="threePt" w14:dir="t">
                <w14:rot w14:lat="0" w14:lon="0" w14:rev="0"/>
              </w14:lightRig>
            </w14:scene3d>
          </w:rPr>
          <w:t>A.</w:t>
        </w:r>
        <w:r w:rsidR="00F6450E">
          <w:rPr>
            <w:rFonts w:asciiTheme="minorHAnsi" w:eastAsiaTheme="minorEastAsia" w:hAnsiTheme="minorHAnsi"/>
            <w:noProof/>
            <w:sz w:val="22"/>
            <w:lang w:eastAsia="cs-CZ"/>
          </w:rPr>
          <w:tab/>
        </w:r>
        <w:r w:rsidR="00F6450E" w:rsidRPr="00655089">
          <w:rPr>
            <w:rStyle w:val="Hypertextovodkaz"/>
            <w:noProof/>
          </w:rPr>
          <w:t>Samostatnost a stavební oddělenost</w:t>
        </w:r>
        <w:r w:rsidR="00F6450E">
          <w:rPr>
            <w:noProof/>
            <w:webHidden/>
          </w:rPr>
          <w:tab/>
        </w:r>
        <w:r w:rsidR="00F6450E">
          <w:rPr>
            <w:noProof/>
            <w:webHidden/>
          </w:rPr>
          <w:fldChar w:fldCharType="begin"/>
        </w:r>
        <w:r w:rsidR="00F6450E">
          <w:rPr>
            <w:noProof/>
            <w:webHidden/>
          </w:rPr>
          <w:instrText xml:space="preserve"> PAGEREF _Toc73605273 \h </w:instrText>
        </w:r>
        <w:r w:rsidR="00F6450E">
          <w:rPr>
            <w:noProof/>
            <w:webHidden/>
          </w:rPr>
        </w:r>
        <w:r w:rsidR="00F6450E">
          <w:rPr>
            <w:noProof/>
            <w:webHidden/>
          </w:rPr>
          <w:fldChar w:fldCharType="separate"/>
        </w:r>
        <w:r w:rsidR="00F6450E">
          <w:rPr>
            <w:noProof/>
            <w:webHidden/>
          </w:rPr>
          <w:t>7</w:t>
        </w:r>
        <w:r w:rsidR="00F6450E">
          <w:rPr>
            <w:noProof/>
            <w:webHidden/>
          </w:rPr>
          <w:fldChar w:fldCharType="end"/>
        </w:r>
      </w:hyperlink>
    </w:p>
    <w:p w14:paraId="289E20CF"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4" w:history="1">
        <w:r w:rsidR="00F6450E" w:rsidRPr="00655089">
          <w:rPr>
            <w:rStyle w:val="Hypertextovodkaz"/>
            <w:noProof/>
            <w14:scene3d>
              <w14:camera w14:prst="orthographicFront"/>
              <w14:lightRig w14:rig="threePt" w14:dir="t">
                <w14:rot w14:lat="0" w14:lon="0" w14:rev="0"/>
              </w14:lightRig>
            </w14:scene3d>
          </w:rPr>
          <w:t>B.</w:t>
        </w:r>
        <w:r w:rsidR="00F6450E">
          <w:rPr>
            <w:rFonts w:asciiTheme="minorHAnsi" w:eastAsiaTheme="minorEastAsia" w:hAnsiTheme="minorHAnsi"/>
            <w:noProof/>
            <w:sz w:val="22"/>
            <w:lang w:eastAsia="cs-CZ"/>
          </w:rPr>
          <w:tab/>
        </w:r>
        <w:r w:rsidR="00F6450E" w:rsidRPr="00655089">
          <w:rPr>
            <w:rStyle w:val="Hypertextovodkaz"/>
            <w:noProof/>
          </w:rPr>
          <w:t>Hlavní činnost a provozní doba herního prostoru</w:t>
        </w:r>
        <w:r w:rsidR="00F6450E">
          <w:rPr>
            <w:noProof/>
            <w:webHidden/>
          </w:rPr>
          <w:tab/>
        </w:r>
        <w:r w:rsidR="00F6450E">
          <w:rPr>
            <w:noProof/>
            <w:webHidden/>
          </w:rPr>
          <w:fldChar w:fldCharType="begin"/>
        </w:r>
        <w:r w:rsidR="00F6450E">
          <w:rPr>
            <w:noProof/>
            <w:webHidden/>
          </w:rPr>
          <w:instrText xml:space="preserve"> PAGEREF _Toc73605274 \h </w:instrText>
        </w:r>
        <w:r w:rsidR="00F6450E">
          <w:rPr>
            <w:noProof/>
            <w:webHidden/>
          </w:rPr>
        </w:r>
        <w:r w:rsidR="00F6450E">
          <w:rPr>
            <w:noProof/>
            <w:webHidden/>
          </w:rPr>
          <w:fldChar w:fldCharType="separate"/>
        </w:r>
        <w:r w:rsidR="00F6450E">
          <w:rPr>
            <w:noProof/>
            <w:webHidden/>
          </w:rPr>
          <w:t>10</w:t>
        </w:r>
        <w:r w:rsidR="00F6450E">
          <w:rPr>
            <w:noProof/>
            <w:webHidden/>
          </w:rPr>
          <w:fldChar w:fldCharType="end"/>
        </w:r>
      </w:hyperlink>
    </w:p>
    <w:p w14:paraId="555D62CA"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5" w:history="1">
        <w:r w:rsidR="00F6450E" w:rsidRPr="00655089">
          <w:rPr>
            <w:rStyle w:val="Hypertextovodkaz"/>
            <w:noProof/>
            <w14:scene3d>
              <w14:camera w14:prst="orthographicFront"/>
              <w14:lightRig w14:rig="threePt" w14:dir="t">
                <w14:rot w14:lat="0" w14:lon="0" w14:rev="0"/>
              </w14:lightRig>
            </w14:scene3d>
          </w:rPr>
          <w:t>C.</w:t>
        </w:r>
        <w:r w:rsidR="00F6450E">
          <w:rPr>
            <w:rFonts w:asciiTheme="minorHAnsi" w:eastAsiaTheme="minorEastAsia" w:hAnsiTheme="minorHAnsi"/>
            <w:noProof/>
            <w:sz w:val="22"/>
            <w:lang w:eastAsia="cs-CZ"/>
          </w:rPr>
          <w:tab/>
        </w:r>
        <w:r w:rsidR="00F6450E" w:rsidRPr="00655089">
          <w:rPr>
            <w:rStyle w:val="Hypertextovodkaz"/>
            <w:noProof/>
          </w:rPr>
          <w:t>Označení herního prostoru</w:t>
        </w:r>
        <w:r w:rsidR="00F6450E">
          <w:rPr>
            <w:noProof/>
            <w:webHidden/>
          </w:rPr>
          <w:tab/>
        </w:r>
        <w:r w:rsidR="00F6450E">
          <w:rPr>
            <w:noProof/>
            <w:webHidden/>
          </w:rPr>
          <w:fldChar w:fldCharType="begin"/>
        </w:r>
        <w:r w:rsidR="00F6450E">
          <w:rPr>
            <w:noProof/>
            <w:webHidden/>
          </w:rPr>
          <w:instrText xml:space="preserve"> PAGEREF _Toc73605275 \h </w:instrText>
        </w:r>
        <w:r w:rsidR="00F6450E">
          <w:rPr>
            <w:noProof/>
            <w:webHidden/>
          </w:rPr>
        </w:r>
        <w:r w:rsidR="00F6450E">
          <w:rPr>
            <w:noProof/>
            <w:webHidden/>
          </w:rPr>
          <w:fldChar w:fldCharType="separate"/>
        </w:r>
        <w:r w:rsidR="00F6450E">
          <w:rPr>
            <w:noProof/>
            <w:webHidden/>
          </w:rPr>
          <w:t>14</w:t>
        </w:r>
        <w:r w:rsidR="00F6450E">
          <w:rPr>
            <w:noProof/>
            <w:webHidden/>
          </w:rPr>
          <w:fldChar w:fldCharType="end"/>
        </w:r>
      </w:hyperlink>
    </w:p>
    <w:p w14:paraId="7AA3C50F"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6" w:history="1">
        <w:r w:rsidR="00F6450E" w:rsidRPr="00655089">
          <w:rPr>
            <w:rStyle w:val="Hypertextovodkaz"/>
            <w:noProof/>
            <w14:scene3d>
              <w14:camera w14:prst="orthographicFront"/>
              <w14:lightRig w14:rig="threePt" w14:dir="t">
                <w14:rot w14:lat="0" w14:lon="0" w14:rev="0"/>
              </w14:lightRig>
            </w14:scene3d>
          </w:rPr>
          <w:t>D.</w:t>
        </w:r>
        <w:r w:rsidR="00F6450E">
          <w:rPr>
            <w:rFonts w:asciiTheme="minorHAnsi" w:eastAsiaTheme="minorEastAsia" w:hAnsiTheme="minorHAnsi"/>
            <w:noProof/>
            <w:sz w:val="22"/>
            <w:lang w:eastAsia="cs-CZ"/>
          </w:rPr>
          <w:tab/>
        </w:r>
        <w:r w:rsidR="00F6450E" w:rsidRPr="00655089">
          <w:rPr>
            <w:rStyle w:val="Hypertextovodkaz"/>
            <w:noProof/>
          </w:rPr>
          <w:t>Monitoring herního prostoru</w:t>
        </w:r>
        <w:r w:rsidR="00F6450E">
          <w:rPr>
            <w:noProof/>
            <w:webHidden/>
          </w:rPr>
          <w:tab/>
        </w:r>
        <w:r w:rsidR="00F6450E">
          <w:rPr>
            <w:noProof/>
            <w:webHidden/>
          </w:rPr>
          <w:fldChar w:fldCharType="begin"/>
        </w:r>
        <w:r w:rsidR="00F6450E">
          <w:rPr>
            <w:noProof/>
            <w:webHidden/>
          </w:rPr>
          <w:instrText xml:space="preserve"> PAGEREF _Toc73605276 \h </w:instrText>
        </w:r>
        <w:r w:rsidR="00F6450E">
          <w:rPr>
            <w:noProof/>
            <w:webHidden/>
          </w:rPr>
        </w:r>
        <w:r w:rsidR="00F6450E">
          <w:rPr>
            <w:noProof/>
            <w:webHidden/>
          </w:rPr>
          <w:fldChar w:fldCharType="separate"/>
        </w:r>
        <w:r w:rsidR="00F6450E">
          <w:rPr>
            <w:noProof/>
            <w:webHidden/>
          </w:rPr>
          <w:t>17</w:t>
        </w:r>
        <w:r w:rsidR="00F6450E">
          <w:rPr>
            <w:noProof/>
            <w:webHidden/>
          </w:rPr>
          <w:fldChar w:fldCharType="end"/>
        </w:r>
      </w:hyperlink>
    </w:p>
    <w:p w14:paraId="77CBBCF1"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7" w:history="1">
        <w:r w:rsidR="00F6450E" w:rsidRPr="00655089">
          <w:rPr>
            <w:rStyle w:val="Hypertextovodkaz"/>
            <w:noProof/>
            <w14:scene3d>
              <w14:camera w14:prst="orthographicFront"/>
              <w14:lightRig w14:rig="threePt" w14:dir="t">
                <w14:rot w14:lat="0" w14:lon="0" w14:rev="0"/>
              </w14:lightRig>
            </w14:scene3d>
          </w:rPr>
          <w:t>E.</w:t>
        </w:r>
        <w:r w:rsidR="00F6450E">
          <w:rPr>
            <w:rFonts w:asciiTheme="minorHAnsi" w:eastAsiaTheme="minorEastAsia" w:hAnsiTheme="minorHAnsi"/>
            <w:noProof/>
            <w:sz w:val="22"/>
            <w:lang w:eastAsia="cs-CZ"/>
          </w:rPr>
          <w:tab/>
        </w:r>
        <w:r w:rsidR="00F6450E" w:rsidRPr="00655089">
          <w:rPr>
            <w:rStyle w:val="Hypertextovodkaz"/>
            <w:noProof/>
          </w:rPr>
          <w:t>Informační povinnosti v herním prostoru a u technické hry</w:t>
        </w:r>
        <w:r w:rsidR="00F6450E">
          <w:rPr>
            <w:noProof/>
            <w:webHidden/>
          </w:rPr>
          <w:tab/>
        </w:r>
        <w:r w:rsidR="00F6450E">
          <w:rPr>
            <w:noProof/>
            <w:webHidden/>
          </w:rPr>
          <w:fldChar w:fldCharType="begin"/>
        </w:r>
        <w:r w:rsidR="00F6450E">
          <w:rPr>
            <w:noProof/>
            <w:webHidden/>
          </w:rPr>
          <w:instrText xml:space="preserve"> PAGEREF _Toc73605277 \h </w:instrText>
        </w:r>
        <w:r w:rsidR="00F6450E">
          <w:rPr>
            <w:noProof/>
            <w:webHidden/>
          </w:rPr>
        </w:r>
        <w:r w:rsidR="00F6450E">
          <w:rPr>
            <w:noProof/>
            <w:webHidden/>
          </w:rPr>
          <w:fldChar w:fldCharType="separate"/>
        </w:r>
        <w:r w:rsidR="00F6450E">
          <w:rPr>
            <w:noProof/>
            <w:webHidden/>
          </w:rPr>
          <w:t>19</w:t>
        </w:r>
        <w:r w:rsidR="00F6450E">
          <w:rPr>
            <w:noProof/>
            <w:webHidden/>
          </w:rPr>
          <w:fldChar w:fldCharType="end"/>
        </w:r>
      </w:hyperlink>
    </w:p>
    <w:p w14:paraId="5E1C6A5A"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5278" w:history="1">
        <w:r w:rsidR="00F6450E" w:rsidRPr="00655089">
          <w:rPr>
            <w:rStyle w:val="Hypertextovodkaz"/>
            <w:noProof/>
          </w:rPr>
          <w:t>1.3</w:t>
        </w:r>
        <w:r w:rsidR="00F6450E">
          <w:rPr>
            <w:rFonts w:asciiTheme="minorHAnsi" w:eastAsiaTheme="minorEastAsia" w:hAnsiTheme="minorHAnsi"/>
            <w:noProof/>
            <w:sz w:val="22"/>
            <w:lang w:eastAsia="cs-CZ"/>
          </w:rPr>
          <w:tab/>
        </w:r>
        <w:r w:rsidR="00F6450E" w:rsidRPr="00655089">
          <w:rPr>
            <w:rStyle w:val="Hypertextovodkaz"/>
            <w:noProof/>
          </w:rPr>
          <w:t>Konkrétní popis nástrojů, včetně oblastí, na které by bylo vhodné se v budoucnu zaměřit, a návrh doporučení či možných variant řešení</w:t>
        </w:r>
        <w:r w:rsidR="00F6450E">
          <w:rPr>
            <w:noProof/>
            <w:webHidden/>
          </w:rPr>
          <w:tab/>
        </w:r>
        <w:r w:rsidR="00F6450E">
          <w:rPr>
            <w:noProof/>
            <w:webHidden/>
          </w:rPr>
          <w:fldChar w:fldCharType="begin"/>
        </w:r>
        <w:r w:rsidR="00F6450E">
          <w:rPr>
            <w:noProof/>
            <w:webHidden/>
          </w:rPr>
          <w:instrText xml:space="preserve"> PAGEREF _Toc73605278 \h </w:instrText>
        </w:r>
        <w:r w:rsidR="00F6450E">
          <w:rPr>
            <w:noProof/>
            <w:webHidden/>
          </w:rPr>
        </w:r>
        <w:r w:rsidR="00F6450E">
          <w:rPr>
            <w:noProof/>
            <w:webHidden/>
          </w:rPr>
          <w:fldChar w:fldCharType="separate"/>
        </w:r>
        <w:r w:rsidR="00F6450E">
          <w:rPr>
            <w:noProof/>
            <w:webHidden/>
          </w:rPr>
          <w:t>24</w:t>
        </w:r>
        <w:r w:rsidR="00F6450E">
          <w:rPr>
            <w:noProof/>
            <w:webHidden/>
          </w:rPr>
          <w:fldChar w:fldCharType="end"/>
        </w:r>
      </w:hyperlink>
    </w:p>
    <w:p w14:paraId="0328E1D4"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79" w:history="1">
        <w:r w:rsidR="00F6450E" w:rsidRPr="00655089">
          <w:rPr>
            <w:rStyle w:val="Hypertextovodkaz"/>
            <w:noProof/>
            <w14:scene3d>
              <w14:camera w14:prst="orthographicFront"/>
              <w14:lightRig w14:rig="threePt" w14:dir="t">
                <w14:rot w14:lat="0" w14:lon="0" w14:rev="0"/>
              </w14:lightRig>
            </w14:scene3d>
          </w:rPr>
          <w:t>A.</w:t>
        </w:r>
        <w:r w:rsidR="00F6450E">
          <w:rPr>
            <w:rFonts w:asciiTheme="minorHAnsi" w:eastAsiaTheme="minorEastAsia" w:hAnsiTheme="minorHAnsi"/>
            <w:noProof/>
            <w:sz w:val="22"/>
            <w:lang w:eastAsia="cs-CZ"/>
          </w:rPr>
          <w:tab/>
        </w:r>
        <w:r w:rsidR="00F6450E" w:rsidRPr="00655089">
          <w:rPr>
            <w:rStyle w:val="Hypertextovodkaz"/>
            <w:noProof/>
          </w:rPr>
          <w:t>Samostatnost a stavební oddělenost</w:t>
        </w:r>
        <w:r w:rsidR="00F6450E">
          <w:rPr>
            <w:noProof/>
            <w:webHidden/>
          </w:rPr>
          <w:tab/>
        </w:r>
        <w:r w:rsidR="00F6450E">
          <w:rPr>
            <w:noProof/>
            <w:webHidden/>
          </w:rPr>
          <w:fldChar w:fldCharType="begin"/>
        </w:r>
        <w:r w:rsidR="00F6450E">
          <w:rPr>
            <w:noProof/>
            <w:webHidden/>
          </w:rPr>
          <w:instrText xml:space="preserve"> PAGEREF _Toc73605279 \h </w:instrText>
        </w:r>
        <w:r w:rsidR="00F6450E">
          <w:rPr>
            <w:noProof/>
            <w:webHidden/>
          </w:rPr>
        </w:r>
        <w:r w:rsidR="00F6450E">
          <w:rPr>
            <w:noProof/>
            <w:webHidden/>
          </w:rPr>
          <w:fldChar w:fldCharType="separate"/>
        </w:r>
        <w:r w:rsidR="00F6450E">
          <w:rPr>
            <w:noProof/>
            <w:webHidden/>
          </w:rPr>
          <w:t>24</w:t>
        </w:r>
        <w:r w:rsidR="00F6450E">
          <w:rPr>
            <w:noProof/>
            <w:webHidden/>
          </w:rPr>
          <w:fldChar w:fldCharType="end"/>
        </w:r>
      </w:hyperlink>
    </w:p>
    <w:p w14:paraId="526C4167"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0" w:history="1">
        <w:r w:rsidR="00F6450E" w:rsidRPr="00655089">
          <w:rPr>
            <w:rStyle w:val="Hypertextovodkaz"/>
            <w:noProof/>
          </w:rPr>
          <w:t>i.</w:t>
        </w:r>
        <w:r w:rsidR="00F6450E">
          <w:rPr>
            <w:rFonts w:asciiTheme="minorHAnsi" w:eastAsiaTheme="minorEastAsia" w:hAnsiTheme="minorHAnsi"/>
            <w:noProof/>
            <w:sz w:val="22"/>
            <w:lang w:eastAsia="cs-CZ"/>
          </w:rPr>
          <w:tab/>
        </w:r>
        <w:r w:rsidR="00F6450E" w:rsidRPr="00655089">
          <w:rPr>
            <w:rStyle w:val="Hypertextovodkaz"/>
            <w:noProof/>
          </w:rPr>
          <w:t>Stanovení významu termínů „samostatný“ a „stavebně oddělený“</w:t>
        </w:r>
        <w:r w:rsidR="00F6450E">
          <w:rPr>
            <w:noProof/>
            <w:webHidden/>
          </w:rPr>
          <w:tab/>
        </w:r>
        <w:r w:rsidR="00F6450E">
          <w:rPr>
            <w:noProof/>
            <w:webHidden/>
          </w:rPr>
          <w:fldChar w:fldCharType="begin"/>
        </w:r>
        <w:r w:rsidR="00F6450E">
          <w:rPr>
            <w:noProof/>
            <w:webHidden/>
          </w:rPr>
          <w:instrText xml:space="preserve"> PAGEREF _Toc73605280 \h </w:instrText>
        </w:r>
        <w:r w:rsidR="00F6450E">
          <w:rPr>
            <w:noProof/>
            <w:webHidden/>
          </w:rPr>
        </w:r>
        <w:r w:rsidR="00F6450E">
          <w:rPr>
            <w:noProof/>
            <w:webHidden/>
          </w:rPr>
          <w:fldChar w:fldCharType="separate"/>
        </w:r>
        <w:r w:rsidR="00F6450E">
          <w:rPr>
            <w:noProof/>
            <w:webHidden/>
          </w:rPr>
          <w:t>24</w:t>
        </w:r>
        <w:r w:rsidR="00F6450E">
          <w:rPr>
            <w:noProof/>
            <w:webHidden/>
          </w:rPr>
          <w:fldChar w:fldCharType="end"/>
        </w:r>
      </w:hyperlink>
    </w:p>
    <w:p w14:paraId="1E15FFE3"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81" w:history="1">
        <w:r w:rsidR="00F6450E" w:rsidRPr="00655089">
          <w:rPr>
            <w:rStyle w:val="Hypertextovodkaz"/>
            <w:noProof/>
            <w14:scene3d>
              <w14:camera w14:prst="orthographicFront"/>
              <w14:lightRig w14:rig="threePt" w14:dir="t">
                <w14:rot w14:lat="0" w14:lon="0" w14:rev="0"/>
              </w14:lightRig>
            </w14:scene3d>
          </w:rPr>
          <w:t>B.</w:t>
        </w:r>
        <w:r w:rsidR="00F6450E">
          <w:rPr>
            <w:rFonts w:asciiTheme="minorHAnsi" w:eastAsiaTheme="minorEastAsia" w:hAnsiTheme="minorHAnsi"/>
            <w:noProof/>
            <w:sz w:val="22"/>
            <w:lang w:eastAsia="cs-CZ"/>
          </w:rPr>
          <w:tab/>
        </w:r>
        <w:r w:rsidR="00F6450E" w:rsidRPr="00655089">
          <w:rPr>
            <w:rStyle w:val="Hypertextovodkaz"/>
            <w:noProof/>
          </w:rPr>
          <w:t>Hlavní činnost a provozní doba herního prostoru</w:t>
        </w:r>
        <w:r w:rsidR="00F6450E">
          <w:rPr>
            <w:noProof/>
            <w:webHidden/>
          </w:rPr>
          <w:tab/>
        </w:r>
        <w:r w:rsidR="00F6450E">
          <w:rPr>
            <w:noProof/>
            <w:webHidden/>
          </w:rPr>
          <w:fldChar w:fldCharType="begin"/>
        </w:r>
        <w:r w:rsidR="00F6450E">
          <w:rPr>
            <w:noProof/>
            <w:webHidden/>
          </w:rPr>
          <w:instrText xml:space="preserve"> PAGEREF _Toc73605281 \h </w:instrText>
        </w:r>
        <w:r w:rsidR="00F6450E">
          <w:rPr>
            <w:noProof/>
            <w:webHidden/>
          </w:rPr>
        </w:r>
        <w:r w:rsidR="00F6450E">
          <w:rPr>
            <w:noProof/>
            <w:webHidden/>
          </w:rPr>
          <w:fldChar w:fldCharType="separate"/>
        </w:r>
        <w:r w:rsidR="00F6450E">
          <w:rPr>
            <w:noProof/>
            <w:webHidden/>
          </w:rPr>
          <w:t>25</w:t>
        </w:r>
        <w:r w:rsidR="00F6450E">
          <w:rPr>
            <w:noProof/>
            <w:webHidden/>
          </w:rPr>
          <w:fldChar w:fldCharType="end"/>
        </w:r>
      </w:hyperlink>
    </w:p>
    <w:p w14:paraId="4D066E6C"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2" w:history="1">
        <w:r w:rsidR="00F6450E" w:rsidRPr="00655089">
          <w:rPr>
            <w:rStyle w:val="Hypertextovodkaz"/>
            <w:noProof/>
          </w:rPr>
          <w:t>i.</w:t>
        </w:r>
        <w:r w:rsidR="00F6450E">
          <w:rPr>
            <w:rFonts w:asciiTheme="minorHAnsi" w:eastAsiaTheme="minorEastAsia" w:hAnsiTheme="minorHAnsi"/>
            <w:noProof/>
            <w:sz w:val="22"/>
            <w:lang w:eastAsia="cs-CZ"/>
          </w:rPr>
          <w:tab/>
        </w:r>
        <w:r w:rsidR="00F6450E" w:rsidRPr="00655089">
          <w:rPr>
            <w:rStyle w:val="Hypertextovodkaz"/>
            <w:noProof/>
          </w:rPr>
          <w:t>Sjednocení provozní doby kasina a herny</w:t>
        </w:r>
        <w:r w:rsidR="00F6450E">
          <w:rPr>
            <w:noProof/>
            <w:webHidden/>
          </w:rPr>
          <w:tab/>
        </w:r>
        <w:r w:rsidR="00F6450E">
          <w:rPr>
            <w:noProof/>
            <w:webHidden/>
          </w:rPr>
          <w:fldChar w:fldCharType="begin"/>
        </w:r>
        <w:r w:rsidR="00F6450E">
          <w:rPr>
            <w:noProof/>
            <w:webHidden/>
          </w:rPr>
          <w:instrText xml:space="preserve"> PAGEREF _Toc73605282 \h </w:instrText>
        </w:r>
        <w:r w:rsidR="00F6450E">
          <w:rPr>
            <w:noProof/>
            <w:webHidden/>
          </w:rPr>
        </w:r>
        <w:r w:rsidR="00F6450E">
          <w:rPr>
            <w:noProof/>
            <w:webHidden/>
          </w:rPr>
          <w:fldChar w:fldCharType="separate"/>
        </w:r>
        <w:r w:rsidR="00F6450E">
          <w:rPr>
            <w:noProof/>
            <w:webHidden/>
          </w:rPr>
          <w:t>28</w:t>
        </w:r>
        <w:r w:rsidR="00F6450E">
          <w:rPr>
            <w:noProof/>
            <w:webHidden/>
          </w:rPr>
          <w:fldChar w:fldCharType="end"/>
        </w:r>
      </w:hyperlink>
    </w:p>
    <w:p w14:paraId="0AC6FF9A"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3" w:history="1">
        <w:r w:rsidR="00F6450E" w:rsidRPr="00655089">
          <w:rPr>
            <w:rStyle w:val="Hypertextovodkaz"/>
            <w:noProof/>
          </w:rPr>
          <w:t>ii.</w:t>
        </w:r>
        <w:r w:rsidR="00F6450E">
          <w:rPr>
            <w:rFonts w:asciiTheme="minorHAnsi" w:eastAsiaTheme="minorEastAsia" w:hAnsiTheme="minorHAnsi"/>
            <w:noProof/>
            <w:sz w:val="22"/>
            <w:lang w:eastAsia="cs-CZ"/>
          </w:rPr>
          <w:tab/>
        </w:r>
        <w:r w:rsidR="00F6450E" w:rsidRPr="00655089">
          <w:rPr>
            <w:rStyle w:val="Hypertextovodkaz"/>
            <w:noProof/>
          </w:rPr>
          <w:t>Živá hra na započitatelných stolech živé hry po celou provozní dobu</w:t>
        </w:r>
        <w:r w:rsidR="00F6450E">
          <w:rPr>
            <w:noProof/>
            <w:webHidden/>
          </w:rPr>
          <w:tab/>
        </w:r>
        <w:r w:rsidR="00F6450E">
          <w:rPr>
            <w:noProof/>
            <w:webHidden/>
          </w:rPr>
          <w:fldChar w:fldCharType="begin"/>
        </w:r>
        <w:r w:rsidR="00F6450E">
          <w:rPr>
            <w:noProof/>
            <w:webHidden/>
          </w:rPr>
          <w:instrText xml:space="preserve"> PAGEREF _Toc73605283 \h </w:instrText>
        </w:r>
        <w:r w:rsidR="00F6450E">
          <w:rPr>
            <w:noProof/>
            <w:webHidden/>
          </w:rPr>
        </w:r>
        <w:r w:rsidR="00F6450E">
          <w:rPr>
            <w:noProof/>
            <w:webHidden/>
          </w:rPr>
          <w:fldChar w:fldCharType="separate"/>
        </w:r>
        <w:r w:rsidR="00F6450E">
          <w:rPr>
            <w:noProof/>
            <w:webHidden/>
          </w:rPr>
          <w:t>29</w:t>
        </w:r>
        <w:r w:rsidR="00F6450E">
          <w:rPr>
            <w:noProof/>
            <w:webHidden/>
          </w:rPr>
          <w:fldChar w:fldCharType="end"/>
        </w:r>
      </w:hyperlink>
    </w:p>
    <w:p w14:paraId="0F486CAC"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84" w:history="1">
        <w:r w:rsidR="00F6450E" w:rsidRPr="00655089">
          <w:rPr>
            <w:rStyle w:val="Hypertextovodkaz"/>
            <w:noProof/>
            <w14:scene3d>
              <w14:camera w14:prst="orthographicFront"/>
              <w14:lightRig w14:rig="threePt" w14:dir="t">
                <w14:rot w14:lat="0" w14:lon="0" w14:rev="0"/>
              </w14:lightRig>
            </w14:scene3d>
          </w:rPr>
          <w:t>C.</w:t>
        </w:r>
        <w:r w:rsidR="00F6450E">
          <w:rPr>
            <w:rFonts w:asciiTheme="minorHAnsi" w:eastAsiaTheme="minorEastAsia" w:hAnsiTheme="minorHAnsi"/>
            <w:noProof/>
            <w:sz w:val="22"/>
            <w:lang w:eastAsia="cs-CZ"/>
          </w:rPr>
          <w:tab/>
        </w:r>
        <w:r w:rsidR="00F6450E" w:rsidRPr="00655089">
          <w:rPr>
            <w:rStyle w:val="Hypertextovodkaz"/>
            <w:noProof/>
          </w:rPr>
          <w:t>Označení herního prostoru</w:t>
        </w:r>
        <w:r w:rsidR="00F6450E">
          <w:rPr>
            <w:noProof/>
            <w:webHidden/>
          </w:rPr>
          <w:tab/>
        </w:r>
        <w:r w:rsidR="00F6450E">
          <w:rPr>
            <w:noProof/>
            <w:webHidden/>
          </w:rPr>
          <w:fldChar w:fldCharType="begin"/>
        </w:r>
        <w:r w:rsidR="00F6450E">
          <w:rPr>
            <w:noProof/>
            <w:webHidden/>
          </w:rPr>
          <w:instrText xml:space="preserve"> PAGEREF _Toc73605284 \h </w:instrText>
        </w:r>
        <w:r w:rsidR="00F6450E">
          <w:rPr>
            <w:noProof/>
            <w:webHidden/>
          </w:rPr>
        </w:r>
        <w:r w:rsidR="00F6450E">
          <w:rPr>
            <w:noProof/>
            <w:webHidden/>
          </w:rPr>
          <w:fldChar w:fldCharType="separate"/>
        </w:r>
        <w:r w:rsidR="00F6450E">
          <w:rPr>
            <w:noProof/>
            <w:webHidden/>
          </w:rPr>
          <w:t>31</w:t>
        </w:r>
        <w:r w:rsidR="00F6450E">
          <w:rPr>
            <w:noProof/>
            <w:webHidden/>
          </w:rPr>
          <w:fldChar w:fldCharType="end"/>
        </w:r>
      </w:hyperlink>
    </w:p>
    <w:p w14:paraId="687DBF06"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5" w:history="1">
        <w:r w:rsidR="00F6450E" w:rsidRPr="00655089">
          <w:rPr>
            <w:rStyle w:val="Hypertextovodkaz"/>
            <w:noProof/>
          </w:rPr>
          <w:t>i.</w:t>
        </w:r>
        <w:r w:rsidR="00F6450E">
          <w:rPr>
            <w:rFonts w:asciiTheme="minorHAnsi" w:eastAsiaTheme="minorEastAsia" w:hAnsiTheme="minorHAnsi"/>
            <w:noProof/>
            <w:sz w:val="22"/>
            <w:lang w:eastAsia="cs-CZ"/>
          </w:rPr>
          <w:tab/>
        </w:r>
        <w:r w:rsidR="00F6450E" w:rsidRPr="00655089">
          <w:rPr>
            <w:rStyle w:val="Hypertextovodkaz"/>
            <w:noProof/>
          </w:rPr>
          <w:t>Označení herního prostoru slovem „herna“ nebo slovem „kasino“</w:t>
        </w:r>
        <w:r w:rsidR="00F6450E">
          <w:rPr>
            <w:noProof/>
            <w:webHidden/>
          </w:rPr>
          <w:tab/>
        </w:r>
        <w:r w:rsidR="00F6450E">
          <w:rPr>
            <w:noProof/>
            <w:webHidden/>
          </w:rPr>
          <w:fldChar w:fldCharType="begin"/>
        </w:r>
        <w:r w:rsidR="00F6450E">
          <w:rPr>
            <w:noProof/>
            <w:webHidden/>
          </w:rPr>
          <w:instrText xml:space="preserve"> PAGEREF _Toc73605285 \h </w:instrText>
        </w:r>
        <w:r w:rsidR="00F6450E">
          <w:rPr>
            <w:noProof/>
            <w:webHidden/>
          </w:rPr>
        </w:r>
        <w:r w:rsidR="00F6450E">
          <w:rPr>
            <w:noProof/>
            <w:webHidden/>
          </w:rPr>
          <w:fldChar w:fldCharType="separate"/>
        </w:r>
        <w:r w:rsidR="00F6450E">
          <w:rPr>
            <w:noProof/>
            <w:webHidden/>
          </w:rPr>
          <w:t>31</w:t>
        </w:r>
        <w:r w:rsidR="00F6450E">
          <w:rPr>
            <w:noProof/>
            <w:webHidden/>
          </w:rPr>
          <w:fldChar w:fldCharType="end"/>
        </w:r>
      </w:hyperlink>
    </w:p>
    <w:p w14:paraId="3B164064"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86" w:history="1">
        <w:r w:rsidR="00F6450E" w:rsidRPr="00655089">
          <w:rPr>
            <w:rStyle w:val="Hypertextovodkaz"/>
            <w:noProof/>
            <w14:scene3d>
              <w14:camera w14:prst="orthographicFront"/>
              <w14:lightRig w14:rig="threePt" w14:dir="t">
                <w14:rot w14:lat="0" w14:lon="0" w14:rev="0"/>
              </w14:lightRig>
            </w14:scene3d>
          </w:rPr>
          <w:t>D.</w:t>
        </w:r>
        <w:r w:rsidR="00F6450E">
          <w:rPr>
            <w:rFonts w:asciiTheme="minorHAnsi" w:eastAsiaTheme="minorEastAsia" w:hAnsiTheme="minorHAnsi"/>
            <w:noProof/>
            <w:sz w:val="22"/>
            <w:lang w:eastAsia="cs-CZ"/>
          </w:rPr>
          <w:tab/>
        </w:r>
        <w:r w:rsidR="00F6450E" w:rsidRPr="00655089">
          <w:rPr>
            <w:rStyle w:val="Hypertextovodkaz"/>
            <w:noProof/>
          </w:rPr>
          <w:t>Monitoring herního prostoru</w:t>
        </w:r>
        <w:r w:rsidR="00F6450E">
          <w:rPr>
            <w:noProof/>
            <w:webHidden/>
          </w:rPr>
          <w:tab/>
        </w:r>
        <w:r w:rsidR="00F6450E">
          <w:rPr>
            <w:noProof/>
            <w:webHidden/>
          </w:rPr>
          <w:fldChar w:fldCharType="begin"/>
        </w:r>
        <w:r w:rsidR="00F6450E">
          <w:rPr>
            <w:noProof/>
            <w:webHidden/>
          </w:rPr>
          <w:instrText xml:space="preserve"> PAGEREF _Toc73605286 \h </w:instrText>
        </w:r>
        <w:r w:rsidR="00F6450E">
          <w:rPr>
            <w:noProof/>
            <w:webHidden/>
          </w:rPr>
        </w:r>
        <w:r w:rsidR="00F6450E">
          <w:rPr>
            <w:noProof/>
            <w:webHidden/>
          </w:rPr>
          <w:fldChar w:fldCharType="separate"/>
        </w:r>
        <w:r w:rsidR="00F6450E">
          <w:rPr>
            <w:noProof/>
            <w:webHidden/>
          </w:rPr>
          <w:t>32</w:t>
        </w:r>
        <w:r w:rsidR="00F6450E">
          <w:rPr>
            <w:noProof/>
            <w:webHidden/>
          </w:rPr>
          <w:fldChar w:fldCharType="end"/>
        </w:r>
      </w:hyperlink>
    </w:p>
    <w:p w14:paraId="5FB115CA"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7" w:history="1">
        <w:r w:rsidR="00F6450E" w:rsidRPr="00655089">
          <w:rPr>
            <w:rStyle w:val="Hypertextovodkaz"/>
            <w:noProof/>
          </w:rPr>
          <w:t>i.</w:t>
        </w:r>
        <w:r w:rsidR="00F6450E">
          <w:rPr>
            <w:rFonts w:asciiTheme="minorHAnsi" w:eastAsiaTheme="minorEastAsia" w:hAnsiTheme="minorHAnsi"/>
            <w:noProof/>
            <w:sz w:val="22"/>
            <w:lang w:eastAsia="cs-CZ"/>
          </w:rPr>
          <w:tab/>
        </w:r>
        <w:r w:rsidR="00F6450E" w:rsidRPr="00655089">
          <w:rPr>
            <w:rStyle w:val="Hypertextovodkaz"/>
            <w:noProof/>
          </w:rPr>
          <w:t>Ověření funkčnosti monitorovacího zařízení</w:t>
        </w:r>
        <w:r w:rsidR="00F6450E">
          <w:rPr>
            <w:noProof/>
            <w:webHidden/>
          </w:rPr>
          <w:tab/>
        </w:r>
        <w:r w:rsidR="00F6450E">
          <w:rPr>
            <w:noProof/>
            <w:webHidden/>
          </w:rPr>
          <w:fldChar w:fldCharType="begin"/>
        </w:r>
        <w:r w:rsidR="00F6450E">
          <w:rPr>
            <w:noProof/>
            <w:webHidden/>
          </w:rPr>
          <w:instrText xml:space="preserve"> PAGEREF _Toc73605287 \h </w:instrText>
        </w:r>
        <w:r w:rsidR="00F6450E">
          <w:rPr>
            <w:noProof/>
            <w:webHidden/>
          </w:rPr>
        </w:r>
        <w:r w:rsidR="00F6450E">
          <w:rPr>
            <w:noProof/>
            <w:webHidden/>
          </w:rPr>
          <w:fldChar w:fldCharType="separate"/>
        </w:r>
        <w:r w:rsidR="00F6450E">
          <w:rPr>
            <w:noProof/>
            <w:webHidden/>
          </w:rPr>
          <w:t>32</w:t>
        </w:r>
        <w:r w:rsidR="00F6450E">
          <w:rPr>
            <w:noProof/>
            <w:webHidden/>
          </w:rPr>
          <w:fldChar w:fldCharType="end"/>
        </w:r>
      </w:hyperlink>
    </w:p>
    <w:p w14:paraId="279DE1F1" w14:textId="77777777" w:rsidR="00F6450E" w:rsidRDefault="009C0B64" w:rsidP="00F6450E">
      <w:pPr>
        <w:pStyle w:val="Obsah5"/>
        <w:tabs>
          <w:tab w:val="left" w:pos="1540"/>
          <w:tab w:val="right" w:leader="dot" w:pos="9062"/>
        </w:tabs>
        <w:rPr>
          <w:rFonts w:asciiTheme="minorHAnsi" w:eastAsiaTheme="minorEastAsia" w:hAnsiTheme="minorHAnsi"/>
          <w:noProof/>
          <w:sz w:val="22"/>
          <w:lang w:eastAsia="cs-CZ"/>
        </w:rPr>
      </w:pPr>
      <w:hyperlink w:anchor="_Toc73605288" w:history="1">
        <w:r w:rsidR="00F6450E" w:rsidRPr="00655089">
          <w:rPr>
            <w:rStyle w:val="Hypertextovodkaz"/>
            <w:noProof/>
            <w14:scene3d>
              <w14:camera w14:prst="orthographicFront"/>
              <w14:lightRig w14:rig="threePt" w14:dir="t">
                <w14:rot w14:lat="0" w14:lon="0" w14:rev="0"/>
              </w14:lightRig>
            </w14:scene3d>
          </w:rPr>
          <w:t>E.</w:t>
        </w:r>
        <w:r w:rsidR="00F6450E">
          <w:rPr>
            <w:rFonts w:asciiTheme="minorHAnsi" w:eastAsiaTheme="minorEastAsia" w:hAnsiTheme="minorHAnsi"/>
            <w:noProof/>
            <w:sz w:val="22"/>
            <w:lang w:eastAsia="cs-CZ"/>
          </w:rPr>
          <w:tab/>
        </w:r>
        <w:r w:rsidR="00F6450E" w:rsidRPr="00655089">
          <w:rPr>
            <w:rStyle w:val="Hypertextovodkaz"/>
            <w:noProof/>
          </w:rPr>
          <w:t>Informační povinnosti v herním prostoru a u technické hry</w:t>
        </w:r>
        <w:r w:rsidR="00F6450E">
          <w:rPr>
            <w:noProof/>
            <w:webHidden/>
          </w:rPr>
          <w:tab/>
        </w:r>
        <w:r w:rsidR="00F6450E">
          <w:rPr>
            <w:noProof/>
            <w:webHidden/>
          </w:rPr>
          <w:fldChar w:fldCharType="begin"/>
        </w:r>
        <w:r w:rsidR="00F6450E">
          <w:rPr>
            <w:noProof/>
            <w:webHidden/>
          </w:rPr>
          <w:instrText xml:space="preserve"> PAGEREF _Toc73605288 \h </w:instrText>
        </w:r>
        <w:r w:rsidR="00F6450E">
          <w:rPr>
            <w:noProof/>
            <w:webHidden/>
          </w:rPr>
        </w:r>
        <w:r w:rsidR="00F6450E">
          <w:rPr>
            <w:noProof/>
            <w:webHidden/>
          </w:rPr>
          <w:fldChar w:fldCharType="separate"/>
        </w:r>
        <w:r w:rsidR="00F6450E">
          <w:rPr>
            <w:noProof/>
            <w:webHidden/>
          </w:rPr>
          <w:t>34</w:t>
        </w:r>
        <w:r w:rsidR="00F6450E">
          <w:rPr>
            <w:noProof/>
            <w:webHidden/>
          </w:rPr>
          <w:fldChar w:fldCharType="end"/>
        </w:r>
      </w:hyperlink>
    </w:p>
    <w:p w14:paraId="6EF1A22E"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89" w:history="1">
        <w:r w:rsidR="00F6450E" w:rsidRPr="00655089">
          <w:rPr>
            <w:rStyle w:val="Hypertextovodkaz"/>
            <w:noProof/>
          </w:rPr>
          <w:t>i.</w:t>
        </w:r>
        <w:r w:rsidR="00F6450E">
          <w:rPr>
            <w:rFonts w:asciiTheme="minorHAnsi" w:eastAsiaTheme="minorEastAsia" w:hAnsiTheme="minorHAnsi"/>
            <w:noProof/>
            <w:sz w:val="22"/>
            <w:lang w:eastAsia="cs-CZ"/>
          </w:rPr>
          <w:tab/>
        </w:r>
        <w:r w:rsidR="00F6450E" w:rsidRPr="00655089">
          <w:rPr>
            <w:rStyle w:val="Hypertextovodkaz"/>
            <w:noProof/>
          </w:rPr>
          <w:t>Obsahové vymezení termínu „na viditelném místě“ v herním prostoru</w:t>
        </w:r>
        <w:r w:rsidR="00F6450E">
          <w:rPr>
            <w:noProof/>
            <w:webHidden/>
          </w:rPr>
          <w:tab/>
        </w:r>
        <w:r w:rsidR="00F6450E">
          <w:rPr>
            <w:noProof/>
            <w:webHidden/>
          </w:rPr>
          <w:fldChar w:fldCharType="begin"/>
        </w:r>
        <w:r w:rsidR="00F6450E">
          <w:rPr>
            <w:noProof/>
            <w:webHidden/>
          </w:rPr>
          <w:instrText xml:space="preserve"> PAGEREF _Toc73605289 \h </w:instrText>
        </w:r>
        <w:r w:rsidR="00F6450E">
          <w:rPr>
            <w:noProof/>
            <w:webHidden/>
          </w:rPr>
        </w:r>
        <w:r w:rsidR="00F6450E">
          <w:rPr>
            <w:noProof/>
            <w:webHidden/>
          </w:rPr>
          <w:fldChar w:fldCharType="separate"/>
        </w:r>
        <w:r w:rsidR="00F6450E">
          <w:rPr>
            <w:noProof/>
            <w:webHidden/>
          </w:rPr>
          <w:t>34</w:t>
        </w:r>
        <w:r w:rsidR="00F6450E">
          <w:rPr>
            <w:noProof/>
            <w:webHidden/>
          </w:rPr>
          <w:fldChar w:fldCharType="end"/>
        </w:r>
      </w:hyperlink>
    </w:p>
    <w:p w14:paraId="46E7B16D"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90" w:history="1">
        <w:r w:rsidR="00F6450E" w:rsidRPr="00655089">
          <w:rPr>
            <w:rStyle w:val="Hypertextovodkaz"/>
            <w:noProof/>
          </w:rPr>
          <w:t>ii.</w:t>
        </w:r>
        <w:r w:rsidR="00F6450E">
          <w:rPr>
            <w:rFonts w:asciiTheme="minorHAnsi" w:eastAsiaTheme="minorEastAsia" w:hAnsiTheme="minorHAnsi"/>
            <w:noProof/>
            <w:sz w:val="22"/>
            <w:lang w:eastAsia="cs-CZ"/>
          </w:rPr>
          <w:tab/>
        </w:r>
        <w:r w:rsidR="00F6450E" w:rsidRPr="00655089">
          <w:rPr>
            <w:rStyle w:val="Hypertextovodkaz"/>
            <w:noProof/>
          </w:rPr>
          <w:t>Vizualizace ukazatele délky účasti na hazardní hře a ukazatele celkového přehledu čistých proher</w:t>
        </w:r>
        <w:r w:rsidR="00F6450E">
          <w:rPr>
            <w:noProof/>
            <w:webHidden/>
          </w:rPr>
          <w:tab/>
        </w:r>
        <w:r w:rsidR="00F6450E">
          <w:rPr>
            <w:noProof/>
            <w:webHidden/>
          </w:rPr>
          <w:fldChar w:fldCharType="begin"/>
        </w:r>
        <w:r w:rsidR="00F6450E">
          <w:rPr>
            <w:noProof/>
            <w:webHidden/>
          </w:rPr>
          <w:instrText xml:space="preserve"> PAGEREF _Toc73605290 \h </w:instrText>
        </w:r>
        <w:r w:rsidR="00F6450E">
          <w:rPr>
            <w:noProof/>
            <w:webHidden/>
          </w:rPr>
        </w:r>
        <w:r w:rsidR="00F6450E">
          <w:rPr>
            <w:noProof/>
            <w:webHidden/>
          </w:rPr>
          <w:fldChar w:fldCharType="separate"/>
        </w:r>
        <w:r w:rsidR="00F6450E">
          <w:rPr>
            <w:noProof/>
            <w:webHidden/>
          </w:rPr>
          <w:t>36</w:t>
        </w:r>
        <w:r w:rsidR="00F6450E">
          <w:rPr>
            <w:noProof/>
            <w:webHidden/>
          </w:rPr>
          <w:fldChar w:fldCharType="end"/>
        </w:r>
      </w:hyperlink>
    </w:p>
    <w:p w14:paraId="418E8009"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91" w:history="1">
        <w:r w:rsidR="00F6450E" w:rsidRPr="00655089">
          <w:rPr>
            <w:rStyle w:val="Hypertextovodkaz"/>
            <w:noProof/>
          </w:rPr>
          <w:t>iii.</w:t>
        </w:r>
        <w:r w:rsidR="00F6450E">
          <w:rPr>
            <w:rFonts w:asciiTheme="minorHAnsi" w:eastAsiaTheme="minorEastAsia" w:hAnsiTheme="minorHAnsi"/>
            <w:noProof/>
            <w:sz w:val="22"/>
            <w:lang w:eastAsia="cs-CZ"/>
          </w:rPr>
          <w:tab/>
        </w:r>
        <w:r w:rsidR="00F6450E" w:rsidRPr="00655089">
          <w:rPr>
            <w:rStyle w:val="Hypertextovodkaz"/>
            <w:noProof/>
          </w:rPr>
          <w:t>Definice ukazatele celkového přehledu čistých proher</w:t>
        </w:r>
        <w:r w:rsidR="00F6450E">
          <w:rPr>
            <w:noProof/>
            <w:webHidden/>
          </w:rPr>
          <w:tab/>
        </w:r>
        <w:r w:rsidR="00F6450E">
          <w:rPr>
            <w:noProof/>
            <w:webHidden/>
          </w:rPr>
          <w:fldChar w:fldCharType="begin"/>
        </w:r>
        <w:r w:rsidR="00F6450E">
          <w:rPr>
            <w:noProof/>
            <w:webHidden/>
          </w:rPr>
          <w:instrText xml:space="preserve"> PAGEREF _Toc73605291 \h </w:instrText>
        </w:r>
        <w:r w:rsidR="00F6450E">
          <w:rPr>
            <w:noProof/>
            <w:webHidden/>
          </w:rPr>
        </w:r>
        <w:r w:rsidR="00F6450E">
          <w:rPr>
            <w:noProof/>
            <w:webHidden/>
          </w:rPr>
          <w:fldChar w:fldCharType="separate"/>
        </w:r>
        <w:r w:rsidR="00F6450E">
          <w:rPr>
            <w:noProof/>
            <w:webHidden/>
          </w:rPr>
          <w:t>37</w:t>
        </w:r>
        <w:r w:rsidR="00F6450E">
          <w:rPr>
            <w:noProof/>
            <w:webHidden/>
          </w:rPr>
          <w:fldChar w:fldCharType="end"/>
        </w:r>
      </w:hyperlink>
    </w:p>
    <w:p w14:paraId="12D2A028"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92" w:history="1">
        <w:r w:rsidR="00F6450E" w:rsidRPr="00655089">
          <w:rPr>
            <w:rStyle w:val="Hypertextovodkaz"/>
            <w:noProof/>
          </w:rPr>
          <w:t>iv.</w:t>
        </w:r>
        <w:r w:rsidR="00F6450E">
          <w:rPr>
            <w:rFonts w:asciiTheme="minorHAnsi" w:eastAsiaTheme="minorEastAsia" w:hAnsiTheme="minorHAnsi"/>
            <w:noProof/>
            <w:sz w:val="22"/>
            <w:lang w:eastAsia="cs-CZ"/>
          </w:rPr>
          <w:tab/>
        </w:r>
        <w:r w:rsidR="00F6450E" w:rsidRPr="00655089">
          <w:rPr>
            <w:rStyle w:val="Hypertextovodkaz"/>
            <w:noProof/>
          </w:rPr>
          <w:t>Sebeomezující opatření a povinnost informovat účastníka hazardní hry o možnosti nastavení sebeomezujících opatření</w:t>
        </w:r>
        <w:r w:rsidR="00F6450E">
          <w:rPr>
            <w:noProof/>
            <w:webHidden/>
          </w:rPr>
          <w:tab/>
        </w:r>
        <w:r w:rsidR="00F6450E">
          <w:rPr>
            <w:noProof/>
            <w:webHidden/>
          </w:rPr>
          <w:fldChar w:fldCharType="begin"/>
        </w:r>
        <w:r w:rsidR="00F6450E">
          <w:rPr>
            <w:noProof/>
            <w:webHidden/>
          </w:rPr>
          <w:instrText xml:space="preserve"> PAGEREF _Toc73605292 \h </w:instrText>
        </w:r>
        <w:r w:rsidR="00F6450E">
          <w:rPr>
            <w:noProof/>
            <w:webHidden/>
          </w:rPr>
        </w:r>
        <w:r w:rsidR="00F6450E">
          <w:rPr>
            <w:noProof/>
            <w:webHidden/>
          </w:rPr>
          <w:fldChar w:fldCharType="separate"/>
        </w:r>
        <w:r w:rsidR="00F6450E">
          <w:rPr>
            <w:noProof/>
            <w:webHidden/>
          </w:rPr>
          <w:t>39</w:t>
        </w:r>
        <w:r w:rsidR="00F6450E">
          <w:rPr>
            <w:noProof/>
            <w:webHidden/>
          </w:rPr>
          <w:fldChar w:fldCharType="end"/>
        </w:r>
      </w:hyperlink>
    </w:p>
    <w:p w14:paraId="3556CB90" w14:textId="77777777" w:rsidR="00F6450E" w:rsidRDefault="009C0B64" w:rsidP="00F6450E">
      <w:pPr>
        <w:pStyle w:val="Obsah6"/>
        <w:tabs>
          <w:tab w:val="left" w:pos="1760"/>
          <w:tab w:val="right" w:leader="dot" w:pos="9062"/>
        </w:tabs>
        <w:rPr>
          <w:rFonts w:asciiTheme="minorHAnsi" w:eastAsiaTheme="minorEastAsia" w:hAnsiTheme="minorHAnsi"/>
          <w:noProof/>
          <w:sz w:val="22"/>
          <w:lang w:eastAsia="cs-CZ"/>
        </w:rPr>
      </w:pPr>
      <w:hyperlink w:anchor="_Toc73605293" w:history="1">
        <w:r w:rsidR="00F6450E" w:rsidRPr="00655089">
          <w:rPr>
            <w:rStyle w:val="Hypertextovodkaz"/>
            <w:noProof/>
          </w:rPr>
          <w:t>v.</w:t>
        </w:r>
        <w:r w:rsidR="00F6450E">
          <w:rPr>
            <w:rFonts w:asciiTheme="minorHAnsi" w:eastAsiaTheme="minorEastAsia" w:hAnsiTheme="minorHAnsi"/>
            <w:noProof/>
            <w:sz w:val="22"/>
            <w:lang w:eastAsia="cs-CZ"/>
          </w:rPr>
          <w:tab/>
        </w:r>
        <w:r w:rsidR="00F6450E" w:rsidRPr="00655089">
          <w:rPr>
            <w:rStyle w:val="Hypertextovodkaz"/>
            <w:noProof/>
          </w:rPr>
          <w:t>Rozšíření informační povinnosti na vstupu do herního prostoru</w:t>
        </w:r>
        <w:r w:rsidR="00F6450E">
          <w:rPr>
            <w:noProof/>
            <w:webHidden/>
          </w:rPr>
          <w:tab/>
        </w:r>
        <w:r w:rsidR="00F6450E">
          <w:rPr>
            <w:noProof/>
            <w:webHidden/>
          </w:rPr>
          <w:fldChar w:fldCharType="begin"/>
        </w:r>
        <w:r w:rsidR="00F6450E">
          <w:rPr>
            <w:noProof/>
            <w:webHidden/>
          </w:rPr>
          <w:instrText xml:space="preserve"> PAGEREF _Toc73605293 \h </w:instrText>
        </w:r>
        <w:r w:rsidR="00F6450E">
          <w:rPr>
            <w:noProof/>
            <w:webHidden/>
          </w:rPr>
        </w:r>
        <w:r w:rsidR="00F6450E">
          <w:rPr>
            <w:noProof/>
            <w:webHidden/>
          </w:rPr>
          <w:fldChar w:fldCharType="separate"/>
        </w:r>
        <w:r w:rsidR="00F6450E">
          <w:rPr>
            <w:noProof/>
            <w:webHidden/>
          </w:rPr>
          <w:t>42</w:t>
        </w:r>
        <w:r w:rsidR="00F6450E">
          <w:rPr>
            <w:noProof/>
            <w:webHidden/>
          </w:rPr>
          <w:fldChar w:fldCharType="end"/>
        </w:r>
      </w:hyperlink>
    </w:p>
    <w:p w14:paraId="5DCC3385"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5294" w:history="1">
        <w:r w:rsidR="00F6450E" w:rsidRPr="00655089">
          <w:rPr>
            <w:rStyle w:val="Hypertextovodkaz"/>
            <w:noProof/>
          </w:rPr>
          <w:t>1.4</w:t>
        </w:r>
        <w:r w:rsidR="00F6450E">
          <w:rPr>
            <w:rFonts w:asciiTheme="minorHAnsi" w:eastAsiaTheme="minorEastAsia" w:hAnsiTheme="minorHAnsi"/>
            <w:noProof/>
            <w:sz w:val="22"/>
            <w:lang w:eastAsia="cs-CZ"/>
          </w:rPr>
          <w:tab/>
        </w:r>
        <w:r w:rsidR="00F6450E" w:rsidRPr="00655089">
          <w:rPr>
            <w:rStyle w:val="Hypertextovodkaz"/>
            <w:noProof/>
          </w:rPr>
          <w:t>Seznam tabulek, obrázků a grafů</w:t>
        </w:r>
        <w:r w:rsidR="00F6450E">
          <w:rPr>
            <w:noProof/>
            <w:webHidden/>
          </w:rPr>
          <w:tab/>
        </w:r>
        <w:r w:rsidR="00F6450E">
          <w:rPr>
            <w:noProof/>
            <w:webHidden/>
          </w:rPr>
          <w:fldChar w:fldCharType="begin"/>
        </w:r>
        <w:r w:rsidR="00F6450E">
          <w:rPr>
            <w:noProof/>
            <w:webHidden/>
          </w:rPr>
          <w:instrText xml:space="preserve"> PAGEREF _Toc73605294 \h </w:instrText>
        </w:r>
        <w:r w:rsidR="00F6450E">
          <w:rPr>
            <w:noProof/>
            <w:webHidden/>
          </w:rPr>
        </w:r>
        <w:r w:rsidR="00F6450E">
          <w:rPr>
            <w:noProof/>
            <w:webHidden/>
          </w:rPr>
          <w:fldChar w:fldCharType="separate"/>
        </w:r>
        <w:r w:rsidR="00F6450E">
          <w:rPr>
            <w:noProof/>
            <w:webHidden/>
          </w:rPr>
          <w:t>43</w:t>
        </w:r>
        <w:r w:rsidR="00F6450E">
          <w:rPr>
            <w:noProof/>
            <w:webHidden/>
          </w:rPr>
          <w:fldChar w:fldCharType="end"/>
        </w:r>
      </w:hyperlink>
    </w:p>
    <w:p w14:paraId="7DE157D8" w14:textId="77777777" w:rsidR="00F6450E" w:rsidRDefault="009C0B64" w:rsidP="00F6450E">
      <w:pPr>
        <w:pStyle w:val="Obsah4"/>
        <w:tabs>
          <w:tab w:val="left" w:pos="1540"/>
          <w:tab w:val="right" w:leader="dot" w:pos="9062"/>
        </w:tabs>
        <w:rPr>
          <w:rFonts w:asciiTheme="minorHAnsi" w:eastAsiaTheme="minorEastAsia" w:hAnsiTheme="minorHAnsi"/>
          <w:noProof/>
          <w:sz w:val="22"/>
          <w:lang w:eastAsia="cs-CZ"/>
        </w:rPr>
      </w:pPr>
      <w:hyperlink w:anchor="_Toc73605295" w:history="1">
        <w:r w:rsidR="00F6450E" w:rsidRPr="00655089">
          <w:rPr>
            <w:rStyle w:val="Hypertextovodkaz"/>
            <w:noProof/>
          </w:rPr>
          <w:t>1.4.1</w:t>
        </w:r>
        <w:r w:rsidR="00F6450E">
          <w:rPr>
            <w:rFonts w:asciiTheme="minorHAnsi" w:eastAsiaTheme="minorEastAsia" w:hAnsiTheme="minorHAnsi"/>
            <w:noProof/>
            <w:sz w:val="22"/>
            <w:lang w:eastAsia="cs-CZ"/>
          </w:rPr>
          <w:tab/>
        </w:r>
        <w:r w:rsidR="00F6450E" w:rsidRPr="00655089">
          <w:rPr>
            <w:rStyle w:val="Hypertextovodkaz"/>
            <w:noProof/>
          </w:rPr>
          <w:t>Tabulky</w:t>
        </w:r>
        <w:r w:rsidR="00F6450E">
          <w:rPr>
            <w:noProof/>
            <w:webHidden/>
          </w:rPr>
          <w:tab/>
        </w:r>
        <w:r w:rsidR="00F6450E">
          <w:rPr>
            <w:noProof/>
            <w:webHidden/>
          </w:rPr>
          <w:fldChar w:fldCharType="begin"/>
        </w:r>
        <w:r w:rsidR="00F6450E">
          <w:rPr>
            <w:noProof/>
            <w:webHidden/>
          </w:rPr>
          <w:instrText xml:space="preserve"> PAGEREF _Toc73605295 \h </w:instrText>
        </w:r>
        <w:r w:rsidR="00F6450E">
          <w:rPr>
            <w:noProof/>
            <w:webHidden/>
          </w:rPr>
        </w:r>
        <w:r w:rsidR="00F6450E">
          <w:rPr>
            <w:noProof/>
            <w:webHidden/>
          </w:rPr>
          <w:fldChar w:fldCharType="separate"/>
        </w:r>
        <w:r w:rsidR="00F6450E">
          <w:rPr>
            <w:noProof/>
            <w:webHidden/>
          </w:rPr>
          <w:t>43</w:t>
        </w:r>
        <w:r w:rsidR="00F6450E">
          <w:rPr>
            <w:noProof/>
            <w:webHidden/>
          </w:rPr>
          <w:fldChar w:fldCharType="end"/>
        </w:r>
      </w:hyperlink>
    </w:p>
    <w:p w14:paraId="48F3F433" w14:textId="77777777" w:rsidR="00F6450E" w:rsidRDefault="009C0B64" w:rsidP="00F6450E">
      <w:pPr>
        <w:pStyle w:val="Obsah4"/>
        <w:tabs>
          <w:tab w:val="left" w:pos="1540"/>
          <w:tab w:val="right" w:leader="dot" w:pos="9062"/>
        </w:tabs>
        <w:rPr>
          <w:rFonts w:asciiTheme="minorHAnsi" w:eastAsiaTheme="minorEastAsia" w:hAnsiTheme="minorHAnsi"/>
          <w:noProof/>
          <w:sz w:val="22"/>
          <w:lang w:eastAsia="cs-CZ"/>
        </w:rPr>
      </w:pPr>
      <w:hyperlink w:anchor="_Toc73605296" w:history="1">
        <w:r w:rsidR="00F6450E" w:rsidRPr="00655089">
          <w:rPr>
            <w:rStyle w:val="Hypertextovodkaz"/>
            <w:noProof/>
          </w:rPr>
          <w:t>1.4.2</w:t>
        </w:r>
        <w:r w:rsidR="00F6450E">
          <w:rPr>
            <w:rFonts w:asciiTheme="minorHAnsi" w:eastAsiaTheme="minorEastAsia" w:hAnsiTheme="minorHAnsi"/>
            <w:noProof/>
            <w:sz w:val="22"/>
            <w:lang w:eastAsia="cs-CZ"/>
          </w:rPr>
          <w:tab/>
        </w:r>
        <w:r w:rsidR="00F6450E" w:rsidRPr="00655089">
          <w:rPr>
            <w:rStyle w:val="Hypertextovodkaz"/>
            <w:noProof/>
          </w:rPr>
          <w:t>Obrázky</w:t>
        </w:r>
        <w:r w:rsidR="00F6450E">
          <w:rPr>
            <w:noProof/>
            <w:webHidden/>
          </w:rPr>
          <w:tab/>
        </w:r>
        <w:r w:rsidR="00F6450E">
          <w:rPr>
            <w:noProof/>
            <w:webHidden/>
          </w:rPr>
          <w:fldChar w:fldCharType="begin"/>
        </w:r>
        <w:r w:rsidR="00F6450E">
          <w:rPr>
            <w:noProof/>
            <w:webHidden/>
          </w:rPr>
          <w:instrText xml:space="preserve"> PAGEREF _Toc73605296 \h </w:instrText>
        </w:r>
        <w:r w:rsidR="00F6450E">
          <w:rPr>
            <w:noProof/>
            <w:webHidden/>
          </w:rPr>
        </w:r>
        <w:r w:rsidR="00F6450E">
          <w:rPr>
            <w:noProof/>
            <w:webHidden/>
          </w:rPr>
          <w:fldChar w:fldCharType="separate"/>
        </w:r>
        <w:r w:rsidR="00F6450E">
          <w:rPr>
            <w:noProof/>
            <w:webHidden/>
          </w:rPr>
          <w:t>43</w:t>
        </w:r>
        <w:r w:rsidR="00F6450E">
          <w:rPr>
            <w:noProof/>
            <w:webHidden/>
          </w:rPr>
          <w:fldChar w:fldCharType="end"/>
        </w:r>
      </w:hyperlink>
    </w:p>
    <w:p w14:paraId="51EC36BF" w14:textId="77777777" w:rsidR="00F6450E" w:rsidRDefault="009C0B64" w:rsidP="00F6450E">
      <w:pPr>
        <w:pStyle w:val="Obsah4"/>
        <w:tabs>
          <w:tab w:val="left" w:pos="1540"/>
          <w:tab w:val="right" w:leader="dot" w:pos="9062"/>
        </w:tabs>
        <w:rPr>
          <w:rFonts w:asciiTheme="minorHAnsi" w:eastAsiaTheme="minorEastAsia" w:hAnsiTheme="minorHAnsi"/>
          <w:noProof/>
          <w:sz w:val="22"/>
          <w:lang w:eastAsia="cs-CZ"/>
        </w:rPr>
      </w:pPr>
      <w:hyperlink w:anchor="_Toc73605297" w:history="1">
        <w:r w:rsidR="00F6450E" w:rsidRPr="00655089">
          <w:rPr>
            <w:rStyle w:val="Hypertextovodkaz"/>
            <w:noProof/>
          </w:rPr>
          <w:t>1.4.3</w:t>
        </w:r>
        <w:r w:rsidR="00F6450E">
          <w:rPr>
            <w:rFonts w:asciiTheme="minorHAnsi" w:eastAsiaTheme="minorEastAsia" w:hAnsiTheme="minorHAnsi"/>
            <w:noProof/>
            <w:sz w:val="22"/>
            <w:lang w:eastAsia="cs-CZ"/>
          </w:rPr>
          <w:tab/>
        </w:r>
        <w:r w:rsidR="00F6450E" w:rsidRPr="00655089">
          <w:rPr>
            <w:rStyle w:val="Hypertextovodkaz"/>
            <w:noProof/>
          </w:rPr>
          <w:t>Grafy</w:t>
        </w:r>
        <w:r w:rsidR="00F6450E">
          <w:rPr>
            <w:noProof/>
            <w:webHidden/>
          </w:rPr>
          <w:tab/>
        </w:r>
        <w:r w:rsidR="00F6450E">
          <w:rPr>
            <w:noProof/>
            <w:webHidden/>
          </w:rPr>
          <w:fldChar w:fldCharType="begin"/>
        </w:r>
        <w:r w:rsidR="00F6450E">
          <w:rPr>
            <w:noProof/>
            <w:webHidden/>
          </w:rPr>
          <w:instrText xml:space="preserve"> PAGEREF _Toc73605297 \h </w:instrText>
        </w:r>
        <w:r w:rsidR="00F6450E">
          <w:rPr>
            <w:noProof/>
            <w:webHidden/>
          </w:rPr>
        </w:r>
        <w:r w:rsidR="00F6450E">
          <w:rPr>
            <w:noProof/>
            <w:webHidden/>
          </w:rPr>
          <w:fldChar w:fldCharType="separate"/>
        </w:r>
        <w:r w:rsidR="00F6450E">
          <w:rPr>
            <w:noProof/>
            <w:webHidden/>
          </w:rPr>
          <w:t>44</w:t>
        </w:r>
        <w:r w:rsidR="00F6450E">
          <w:rPr>
            <w:noProof/>
            <w:webHidden/>
          </w:rPr>
          <w:fldChar w:fldCharType="end"/>
        </w:r>
      </w:hyperlink>
    </w:p>
    <w:p w14:paraId="6DFD1EA4" w14:textId="77777777" w:rsidR="00F6450E" w:rsidRDefault="009C0B64" w:rsidP="00F6450E">
      <w:pPr>
        <w:pStyle w:val="Obsah3"/>
        <w:tabs>
          <w:tab w:val="left" w:pos="1200"/>
          <w:tab w:val="right" w:leader="dot" w:pos="9062"/>
        </w:tabs>
        <w:rPr>
          <w:rFonts w:asciiTheme="minorHAnsi" w:eastAsiaTheme="minorEastAsia" w:hAnsiTheme="minorHAnsi"/>
          <w:noProof/>
          <w:sz w:val="22"/>
          <w:lang w:eastAsia="cs-CZ"/>
        </w:rPr>
      </w:pPr>
      <w:hyperlink w:anchor="_Toc73605298" w:history="1">
        <w:r w:rsidR="00F6450E" w:rsidRPr="00655089">
          <w:rPr>
            <w:rStyle w:val="Hypertextovodkaz"/>
            <w:noProof/>
          </w:rPr>
          <w:t>1.5</w:t>
        </w:r>
        <w:r w:rsidR="00F6450E">
          <w:rPr>
            <w:rFonts w:asciiTheme="minorHAnsi" w:eastAsiaTheme="minorEastAsia" w:hAnsiTheme="minorHAnsi"/>
            <w:noProof/>
            <w:sz w:val="22"/>
            <w:lang w:eastAsia="cs-CZ"/>
          </w:rPr>
          <w:tab/>
        </w:r>
        <w:r w:rsidR="00F6450E" w:rsidRPr="00655089">
          <w:rPr>
            <w:rStyle w:val="Hypertextovodkaz"/>
            <w:noProof/>
          </w:rPr>
          <w:t>Obsah</w:t>
        </w:r>
        <w:r w:rsidR="00F6450E">
          <w:rPr>
            <w:noProof/>
            <w:webHidden/>
          </w:rPr>
          <w:tab/>
        </w:r>
        <w:r w:rsidR="00F6450E">
          <w:rPr>
            <w:noProof/>
            <w:webHidden/>
          </w:rPr>
          <w:fldChar w:fldCharType="begin"/>
        </w:r>
        <w:r w:rsidR="00F6450E">
          <w:rPr>
            <w:noProof/>
            <w:webHidden/>
          </w:rPr>
          <w:instrText xml:space="preserve"> PAGEREF _Toc73605298 \h </w:instrText>
        </w:r>
        <w:r w:rsidR="00F6450E">
          <w:rPr>
            <w:noProof/>
            <w:webHidden/>
          </w:rPr>
        </w:r>
        <w:r w:rsidR="00F6450E">
          <w:rPr>
            <w:noProof/>
            <w:webHidden/>
          </w:rPr>
          <w:fldChar w:fldCharType="separate"/>
        </w:r>
        <w:r w:rsidR="00F6450E">
          <w:rPr>
            <w:noProof/>
            <w:webHidden/>
          </w:rPr>
          <w:t>44</w:t>
        </w:r>
        <w:r w:rsidR="00F6450E">
          <w:rPr>
            <w:noProof/>
            <w:webHidden/>
          </w:rPr>
          <w:fldChar w:fldCharType="end"/>
        </w:r>
      </w:hyperlink>
    </w:p>
    <w:p w14:paraId="0FBD9627" w14:textId="228D70F1" w:rsidR="00F6450E" w:rsidRPr="00F6450E" w:rsidRDefault="00F6450E" w:rsidP="00F6450E">
      <w:pPr>
        <w:rPr>
          <w:highlight w:val="lightGray"/>
        </w:rPr>
      </w:pPr>
      <w:r>
        <w:fldChar w:fldCharType="end"/>
      </w:r>
    </w:p>
    <w:p w14:paraId="450743E9" w14:textId="176F2CD7" w:rsidR="00A861A9" w:rsidRPr="00F17245" w:rsidRDefault="00E91C8F" w:rsidP="00E91C8F">
      <w:pPr>
        <w:pStyle w:val="Nadpis3"/>
        <w:numPr>
          <w:ilvl w:val="0"/>
          <w:numId w:val="0"/>
        </w:numPr>
        <w:ind w:left="720" w:hanging="720"/>
      </w:pPr>
      <w:bookmarkStart w:id="190" w:name="_Toc72999601"/>
      <w:bookmarkStart w:id="191" w:name="_Toc73613657"/>
      <w:r w:rsidRPr="00F17245">
        <w:lastRenderedPageBreak/>
        <w:t xml:space="preserve">Příloha č. 7: </w:t>
      </w:r>
      <w:r w:rsidR="00A861A9" w:rsidRPr="00F17245">
        <w:t>Internetová hra</w:t>
      </w:r>
      <w:bookmarkEnd w:id="190"/>
      <w:bookmarkEnd w:id="191"/>
    </w:p>
    <w:p w14:paraId="70126D19" w14:textId="6BCD905C" w:rsidR="00EF7418" w:rsidRDefault="00EF7418" w:rsidP="00EF7418">
      <w:pPr>
        <w:pStyle w:val="Nadpis3"/>
        <w:numPr>
          <w:ilvl w:val="0"/>
          <w:numId w:val="0"/>
        </w:numPr>
        <w:spacing w:line="259" w:lineRule="auto"/>
        <w:ind w:left="720" w:hanging="720"/>
        <w:rPr>
          <w:noProof/>
        </w:rPr>
      </w:pPr>
      <w:r>
        <w:fldChar w:fldCharType="begin"/>
      </w:r>
      <w:r w:rsidRPr="00C42E39">
        <w:instrText xml:space="preserve"> TOC \o "1-6" \h \z \u </w:instrText>
      </w:r>
      <w:r>
        <w:fldChar w:fldCharType="separate"/>
      </w:r>
    </w:p>
    <w:p w14:paraId="0DF0390B" w14:textId="77777777" w:rsidR="00EF7418" w:rsidRDefault="009C0B64" w:rsidP="00EF7418">
      <w:pPr>
        <w:pStyle w:val="Obsah3"/>
        <w:tabs>
          <w:tab w:val="left" w:pos="1200"/>
          <w:tab w:val="right" w:leader="dot" w:pos="9062"/>
        </w:tabs>
        <w:rPr>
          <w:rFonts w:asciiTheme="minorHAnsi" w:eastAsiaTheme="minorEastAsia" w:hAnsiTheme="minorHAnsi"/>
          <w:noProof/>
          <w:sz w:val="22"/>
          <w:lang w:eastAsia="cs-CZ"/>
        </w:rPr>
      </w:pPr>
      <w:hyperlink w:anchor="_Toc73608592" w:history="1">
        <w:r w:rsidR="00EF7418" w:rsidRPr="00371286">
          <w:rPr>
            <w:rStyle w:val="Hypertextovodkaz"/>
            <w:noProof/>
          </w:rPr>
          <w:t>1.1</w:t>
        </w:r>
        <w:r w:rsidR="00EF7418">
          <w:rPr>
            <w:rFonts w:asciiTheme="minorHAnsi" w:eastAsiaTheme="minorEastAsia" w:hAnsiTheme="minorHAnsi"/>
            <w:noProof/>
            <w:sz w:val="22"/>
            <w:lang w:eastAsia="cs-CZ"/>
          </w:rPr>
          <w:tab/>
        </w:r>
        <w:r w:rsidR="00EF7418" w:rsidRPr="00371286">
          <w:rPr>
            <w:rStyle w:val="Hypertextovodkaz"/>
            <w:noProof/>
          </w:rPr>
          <w:t>Konkrétní popis regulace obsažené v zákoně o loteriích</w:t>
        </w:r>
        <w:r w:rsidR="00EF7418">
          <w:rPr>
            <w:noProof/>
            <w:webHidden/>
          </w:rPr>
          <w:tab/>
        </w:r>
        <w:r w:rsidR="00EF7418">
          <w:rPr>
            <w:noProof/>
            <w:webHidden/>
          </w:rPr>
          <w:fldChar w:fldCharType="begin"/>
        </w:r>
        <w:r w:rsidR="00EF7418">
          <w:rPr>
            <w:noProof/>
            <w:webHidden/>
          </w:rPr>
          <w:instrText xml:space="preserve"> PAGEREF _Toc73608592 \h </w:instrText>
        </w:r>
        <w:r w:rsidR="00EF7418">
          <w:rPr>
            <w:noProof/>
            <w:webHidden/>
          </w:rPr>
        </w:r>
        <w:r w:rsidR="00EF7418">
          <w:rPr>
            <w:noProof/>
            <w:webHidden/>
          </w:rPr>
          <w:fldChar w:fldCharType="separate"/>
        </w:r>
        <w:r w:rsidR="00EF7418">
          <w:rPr>
            <w:noProof/>
            <w:webHidden/>
          </w:rPr>
          <w:t>1</w:t>
        </w:r>
        <w:r w:rsidR="00EF7418">
          <w:rPr>
            <w:noProof/>
            <w:webHidden/>
          </w:rPr>
          <w:fldChar w:fldCharType="end"/>
        </w:r>
      </w:hyperlink>
    </w:p>
    <w:p w14:paraId="53C91045" w14:textId="77777777" w:rsidR="00EF7418" w:rsidRDefault="009C0B64" w:rsidP="00EF7418">
      <w:pPr>
        <w:pStyle w:val="Obsah3"/>
        <w:tabs>
          <w:tab w:val="left" w:pos="1200"/>
          <w:tab w:val="right" w:leader="dot" w:pos="9062"/>
        </w:tabs>
        <w:rPr>
          <w:rFonts w:asciiTheme="minorHAnsi" w:eastAsiaTheme="minorEastAsia" w:hAnsiTheme="minorHAnsi"/>
          <w:noProof/>
          <w:sz w:val="22"/>
          <w:lang w:eastAsia="cs-CZ"/>
        </w:rPr>
      </w:pPr>
      <w:hyperlink w:anchor="_Toc73608593" w:history="1">
        <w:r w:rsidR="00EF7418" w:rsidRPr="00371286">
          <w:rPr>
            <w:rStyle w:val="Hypertextovodkaz"/>
            <w:noProof/>
          </w:rPr>
          <w:t>1.2</w:t>
        </w:r>
        <w:r w:rsidR="00EF7418">
          <w:rPr>
            <w:rFonts w:asciiTheme="minorHAnsi" w:eastAsiaTheme="minorEastAsia" w:hAnsiTheme="minorHAnsi"/>
            <w:noProof/>
            <w:sz w:val="22"/>
            <w:lang w:eastAsia="cs-CZ"/>
          </w:rPr>
          <w:tab/>
        </w:r>
        <w:r w:rsidR="00EF7418" w:rsidRPr="00371286">
          <w:rPr>
            <w:rStyle w:val="Hypertextovodkaz"/>
            <w:noProof/>
          </w:rPr>
          <w:t>Konkrétní popis regulace obsažené v zákoně o hazardních hrách</w:t>
        </w:r>
        <w:r w:rsidR="00EF7418">
          <w:rPr>
            <w:noProof/>
            <w:webHidden/>
          </w:rPr>
          <w:tab/>
        </w:r>
        <w:r w:rsidR="00EF7418">
          <w:rPr>
            <w:noProof/>
            <w:webHidden/>
          </w:rPr>
          <w:fldChar w:fldCharType="begin"/>
        </w:r>
        <w:r w:rsidR="00EF7418">
          <w:rPr>
            <w:noProof/>
            <w:webHidden/>
          </w:rPr>
          <w:instrText xml:space="preserve"> PAGEREF _Toc73608593 \h </w:instrText>
        </w:r>
        <w:r w:rsidR="00EF7418">
          <w:rPr>
            <w:noProof/>
            <w:webHidden/>
          </w:rPr>
        </w:r>
        <w:r w:rsidR="00EF7418">
          <w:rPr>
            <w:noProof/>
            <w:webHidden/>
          </w:rPr>
          <w:fldChar w:fldCharType="separate"/>
        </w:r>
        <w:r w:rsidR="00EF7418">
          <w:rPr>
            <w:noProof/>
            <w:webHidden/>
          </w:rPr>
          <w:t>1</w:t>
        </w:r>
        <w:r w:rsidR="00EF7418">
          <w:rPr>
            <w:noProof/>
            <w:webHidden/>
          </w:rPr>
          <w:fldChar w:fldCharType="end"/>
        </w:r>
      </w:hyperlink>
    </w:p>
    <w:p w14:paraId="63820686" w14:textId="77777777" w:rsidR="00EF7418" w:rsidRDefault="009C0B64" w:rsidP="00EF7418">
      <w:pPr>
        <w:pStyle w:val="Obsah3"/>
        <w:tabs>
          <w:tab w:val="left" w:pos="1200"/>
          <w:tab w:val="right" w:leader="dot" w:pos="9062"/>
        </w:tabs>
        <w:rPr>
          <w:rFonts w:asciiTheme="minorHAnsi" w:eastAsiaTheme="minorEastAsia" w:hAnsiTheme="minorHAnsi"/>
          <w:noProof/>
          <w:sz w:val="22"/>
          <w:lang w:eastAsia="cs-CZ"/>
        </w:rPr>
      </w:pPr>
      <w:hyperlink w:anchor="_Toc73608594" w:history="1">
        <w:r w:rsidR="00EF7418" w:rsidRPr="00371286">
          <w:rPr>
            <w:rStyle w:val="Hypertextovodkaz"/>
            <w:noProof/>
          </w:rPr>
          <w:t>1.3</w:t>
        </w:r>
        <w:r w:rsidR="00EF7418">
          <w:rPr>
            <w:rFonts w:asciiTheme="minorHAnsi" w:eastAsiaTheme="minorEastAsia" w:hAnsiTheme="minorHAnsi"/>
            <w:noProof/>
            <w:sz w:val="22"/>
            <w:lang w:eastAsia="cs-CZ"/>
          </w:rPr>
          <w:tab/>
        </w:r>
        <w:r w:rsidR="00EF7418" w:rsidRPr="00371286">
          <w:rPr>
            <w:rStyle w:val="Hypertextovodkaz"/>
            <w:noProof/>
          </w:rPr>
          <w:t>Konkrétní popis nástrojů, včetně oblastí, na které by bylo vhodné se v budoucnu zaměřit, a návrh možných doporučení či variant řešení</w:t>
        </w:r>
        <w:r w:rsidR="00EF7418">
          <w:rPr>
            <w:noProof/>
            <w:webHidden/>
          </w:rPr>
          <w:tab/>
        </w:r>
        <w:r w:rsidR="00EF7418">
          <w:rPr>
            <w:noProof/>
            <w:webHidden/>
          </w:rPr>
          <w:fldChar w:fldCharType="begin"/>
        </w:r>
        <w:r w:rsidR="00EF7418">
          <w:rPr>
            <w:noProof/>
            <w:webHidden/>
          </w:rPr>
          <w:instrText xml:space="preserve"> PAGEREF _Toc73608594 \h </w:instrText>
        </w:r>
        <w:r w:rsidR="00EF7418">
          <w:rPr>
            <w:noProof/>
            <w:webHidden/>
          </w:rPr>
        </w:r>
        <w:r w:rsidR="00EF7418">
          <w:rPr>
            <w:noProof/>
            <w:webHidden/>
          </w:rPr>
          <w:fldChar w:fldCharType="separate"/>
        </w:r>
        <w:r w:rsidR="00EF7418">
          <w:rPr>
            <w:noProof/>
            <w:webHidden/>
          </w:rPr>
          <w:t>4</w:t>
        </w:r>
        <w:r w:rsidR="00EF7418">
          <w:rPr>
            <w:noProof/>
            <w:webHidden/>
          </w:rPr>
          <w:fldChar w:fldCharType="end"/>
        </w:r>
      </w:hyperlink>
    </w:p>
    <w:p w14:paraId="0E412C42" w14:textId="77777777" w:rsidR="00EF7418" w:rsidRDefault="009C0B64" w:rsidP="00EF7418">
      <w:pPr>
        <w:pStyle w:val="Obsah6"/>
        <w:tabs>
          <w:tab w:val="left" w:pos="1760"/>
          <w:tab w:val="right" w:leader="dot" w:pos="9062"/>
        </w:tabs>
        <w:rPr>
          <w:rFonts w:asciiTheme="minorHAnsi" w:eastAsiaTheme="minorEastAsia" w:hAnsiTheme="minorHAnsi"/>
          <w:noProof/>
          <w:sz w:val="22"/>
          <w:lang w:eastAsia="cs-CZ"/>
        </w:rPr>
      </w:pPr>
      <w:hyperlink w:anchor="_Toc73608595" w:history="1">
        <w:r w:rsidR="00EF7418" w:rsidRPr="00371286">
          <w:rPr>
            <w:rStyle w:val="Hypertextovodkaz"/>
            <w:noProof/>
          </w:rPr>
          <w:t>i.</w:t>
        </w:r>
        <w:r w:rsidR="00EF7418">
          <w:rPr>
            <w:rFonts w:asciiTheme="minorHAnsi" w:eastAsiaTheme="minorEastAsia" w:hAnsiTheme="minorHAnsi"/>
            <w:noProof/>
            <w:sz w:val="22"/>
            <w:lang w:eastAsia="cs-CZ"/>
          </w:rPr>
          <w:tab/>
        </w:r>
        <w:r w:rsidR="00EF7418" w:rsidRPr="00371286">
          <w:rPr>
            <w:rStyle w:val="Hypertextovodkaz"/>
            <w:noProof/>
          </w:rPr>
          <w:t>Podobnost druhů hazardních her v internetovém prostředí</w:t>
        </w:r>
        <w:r w:rsidR="00EF7418">
          <w:rPr>
            <w:noProof/>
            <w:webHidden/>
          </w:rPr>
          <w:tab/>
        </w:r>
        <w:r w:rsidR="00EF7418">
          <w:rPr>
            <w:noProof/>
            <w:webHidden/>
          </w:rPr>
          <w:fldChar w:fldCharType="begin"/>
        </w:r>
        <w:r w:rsidR="00EF7418">
          <w:rPr>
            <w:noProof/>
            <w:webHidden/>
          </w:rPr>
          <w:instrText xml:space="preserve"> PAGEREF _Toc73608595 \h </w:instrText>
        </w:r>
        <w:r w:rsidR="00EF7418">
          <w:rPr>
            <w:noProof/>
            <w:webHidden/>
          </w:rPr>
        </w:r>
        <w:r w:rsidR="00EF7418">
          <w:rPr>
            <w:noProof/>
            <w:webHidden/>
          </w:rPr>
          <w:fldChar w:fldCharType="separate"/>
        </w:r>
        <w:r w:rsidR="00EF7418">
          <w:rPr>
            <w:noProof/>
            <w:webHidden/>
          </w:rPr>
          <w:t>4</w:t>
        </w:r>
        <w:r w:rsidR="00EF7418">
          <w:rPr>
            <w:noProof/>
            <w:webHidden/>
          </w:rPr>
          <w:fldChar w:fldCharType="end"/>
        </w:r>
      </w:hyperlink>
    </w:p>
    <w:p w14:paraId="754B90D4" w14:textId="77777777" w:rsidR="00EF7418" w:rsidRDefault="009C0B64" w:rsidP="00EF7418">
      <w:pPr>
        <w:pStyle w:val="Obsah6"/>
        <w:tabs>
          <w:tab w:val="left" w:pos="1760"/>
          <w:tab w:val="right" w:leader="dot" w:pos="9062"/>
        </w:tabs>
        <w:rPr>
          <w:rFonts w:asciiTheme="minorHAnsi" w:eastAsiaTheme="minorEastAsia" w:hAnsiTheme="minorHAnsi"/>
          <w:noProof/>
          <w:sz w:val="22"/>
          <w:lang w:eastAsia="cs-CZ"/>
        </w:rPr>
      </w:pPr>
      <w:hyperlink w:anchor="_Toc73608596" w:history="1">
        <w:r w:rsidR="00EF7418" w:rsidRPr="00371286">
          <w:rPr>
            <w:rStyle w:val="Hypertextovodkaz"/>
            <w:noProof/>
          </w:rPr>
          <w:t>ii.</w:t>
        </w:r>
        <w:r w:rsidR="00EF7418">
          <w:rPr>
            <w:rFonts w:asciiTheme="minorHAnsi" w:eastAsiaTheme="minorEastAsia" w:hAnsiTheme="minorHAnsi"/>
            <w:noProof/>
            <w:sz w:val="22"/>
            <w:lang w:eastAsia="cs-CZ"/>
          </w:rPr>
          <w:tab/>
        </w:r>
        <w:r w:rsidR="00EF7418" w:rsidRPr="00371286">
          <w:rPr>
            <w:rStyle w:val="Hypertextovodkaz"/>
            <w:noProof/>
          </w:rPr>
          <w:t>Provozování hazardních her prostřednictvím internetové stránky a prostřednictvím aplikace</w:t>
        </w:r>
        <w:r w:rsidR="00EF7418">
          <w:rPr>
            <w:noProof/>
            <w:webHidden/>
          </w:rPr>
          <w:tab/>
        </w:r>
        <w:r w:rsidR="00EF7418">
          <w:rPr>
            <w:noProof/>
            <w:webHidden/>
          </w:rPr>
          <w:fldChar w:fldCharType="begin"/>
        </w:r>
        <w:r w:rsidR="00EF7418">
          <w:rPr>
            <w:noProof/>
            <w:webHidden/>
          </w:rPr>
          <w:instrText xml:space="preserve"> PAGEREF _Toc73608596 \h </w:instrText>
        </w:r>
        <w:r w:rsidR="00EF7418">
          <w:rPr>
            <w:noProof/>
            <w:webHidden/>
          </w:rPr>
        </w:r>
        <w:r w:rsidR="00EF7418">
          <w:rPr>
            <w:noProof/>
            <w:webHidden/>
          </w:rPr>
          <w:fldChar w:fldCharType="separate"/>
        </w:r>
        <w:r w:rsidR="00EF7418">
          <w:rPr>
            <w:noProof/>
            <w:webHidden/>
          </w:rPr>
          <w:t>6</w:t>
        </w:r>
        <w:r w:rsidR="00EF7418">
          <w:rPr>
            <w:noProof/>
            <w:webHidden/>
          </w:rPr>
          <w:fldChar w:fldCharType="end"/>
        </w:r>
      </w:hyperlink>
    </w:p>
    <w:p w14:paraId="6EFFFF56" w14:textId="77777777" w:rsidR="00EF7418" w:rsidRDefault="009C0B64" w:rsidP="00EF7418">
      <w:pPr>
        <w:pStyle w:val="Obsah6"/>
        <w:tabs>
          <w:tab w:val="left" w:pos="1760"/>
          <w:tab w:val="right" w:leader="dot" w:pos="9062"/>
        </w:tabs>
        <w:rPr>
          <w:rFonts w:asciiTheme="minorHAnsi" w:eastAsiaTheme="minorEastAsia" w:hAnsiTheme="minorHAnsi"/>
          <w:noProof/>
          <w:sz w:val="22"/>
          <w:lang w:eastAsia="cs-CZ"/>
        </w:rPr>
      </w:pPr>
      <w:hyperlink w:anchor="_Toc73608597" w:history="1">
        <w:r w:rsidR="00EF7418" w:rsidRPr="00371286">
          <w:rPr>
            <w:rStyle w:val="Hypertextovodkaz"/>
            <w:noProof/>
          </w:rPr>
          <w:t>iii.</w:t>
        </w:r>
        <w:r w:rsidR="00EF7418">
          <w:rPr>
            <w:rFonts w:asciiTheme="minorHAnsi" w:eastAsiaTheme="minorEastAsia" w:hAnsiTheme="minorHAnsi"/>
            <w:noProof/>
            <w:sz w:val="22"/>
            <w:lang w:eastAsia="cs-CZ"/>
          </w:rPr>
          <w:tab/>
        </w:r>
        <w:r w:rsidR="00EF7418" w:rsidRPr="00371286">
          <w:rPr>
            <w:rStyle w:val="Hypertextovodkaz"/>
            <w:noProof/>
          </w:rPr>
          <w:t>Přiměřenost podmínek stanovených pro internetové hry</w:t>
        </w:r>
        <w:r w:rsidR="00EF7418">
          <w:rPr>
            <w:noProof/>
            <w:webHidden/>
          </w:rPr>
          <w:tab/>
        </w:r>
        <w:r w:rsidR="00EF7418">
          <w:rPr>
            <w:noProof/>
            <w:webHidden/>
          </w:rPr>
          <w:fldChar w:fldCharType="begin"/>
        </w:r>
        <w:r w:rsidR="00EF7418">
          <w:rPr>
            <w:noProof/>
            <w:webHidden/>
          </w:rPr>
          <w:instrText xml:space="preserve"> PAGEREF _Toc73608597 \h </w:instrText>
        </w:r>
        <w:r w:rsidR="00EF7418">
          <w:rPr>
            <w:noProof/>
            <w:webHidden/>
          </w:rPr>
        </w:r>
        <w:r w:rsidR="00EF7418">
          <w:rPr>
            <w:noProof/>
            <w:webHidden/>
          </w:rPr>
          <w:fldChar w:fldCharType="separate"/>
        </w:r>
        <w:r w:rsidR="00EF7418">
          <w:rPr>
            <w:noProof/>
            <w:webHidden/>
          </w:rPr>
          <w:t>8</w:t>
        </w:r>
        <w:r w:rsidR="00EF7418">
          <w:rPr>
            <w:noProof/>
            <w:webHidden/>
          </w:rPr>
          <w:fldChar w:fldCharType="end"/>
        </w:r>
      </w:hyperlink>
    </w:p>
    <w:p w14:paraId="6DF37CDA" w14:textId="77777777" w:rsidR="00EF7418" w:rsidRDefault="009C0B64" w:rsidP="00EF7418">
      <w:pPr>
        <w:pStyle w:val="Obsah6"/>
        <w:tabs>
          <w:tab w:val="left" w:pos="1760"/>
          <w:tab w:val="right" w:leader="dot" w:pos="9062"/>
        </w:tabs>
        <w:rPr>
          <w:rFonts w:asciiTheme="minorHAnsi" w:eastAsiaTheme="minorEastAsia" w:hAnsiTheme="minorHAnsi"/>
          <w:noProof/>
          <w:sz w:val="22"/>
          <w:lang w:eastAsia="cs-CZ"/>
        </w:rPr>
      </w:pPr>
      <w:hyperlink w:anchor="_Toc73608598" w:history="1">
        <w:r w:rsidR="00EF7418" w:rsidRPr="00371286">
          <w:rPr>
            <w:rStyle w:val="Hypertextovodkaz"/>
            <w:noProof/>
          </w:rPr>
          <w:t>iv.</w:t>
        </w:r>
        <w:r w:rsidR="00EF7418">
          <w:rPr>
            <w:rFonts w:asciiTheme="minorHAnsi" w:eastAsiaTheme="minorEastAsia" w:hAnsiTheme="minorHAnsi"/>
            <w:noProof/>
            <w:sz w:val="22"/>
            <w:lang w:eastAsia="cs-CZ"/>
          </w:rPr>
          <w:tab/>
        </w:r>
        <w:r w:rsidR="00EF7418" w:rsidRPr="00371286">
          <w:rPr>
            <w:rStyle w:val="Hypertextovodkaz"/>
            <w:noProof/>
          </w:rPr>
          <w:t>Provozování na více internetových stránkách a možnost přesměrování stránek</w:t>
        </w:r>
        <w:r w:rsidR="00EF7418">
          <w:rPr>
            <w:noProof/>
            <w:webHidden/>
          </w:rPr>
          <w:tab/>
        </w:r>
        <w:r w:rsidR="00EF7418">
          <w:rPr>
            <w:noProof/>
            <w:webHidden/>
          </w:rPr>
          <w:fldChar w:fldCharType="begin"/>
        </w:r>
        <w:r w:rsidR="00EF7418">
          <w:rPr>
            <w:noProof/>
            <w:webHidden/>
          </w:rPr>
          <w:instrText xml:space="preserve"> PAGEREF _Toc73608598 \h </w:instrText>
        </w:r>
        <w:r w:rsidR="00EF7418">
          <w:rPr>
            <w:noProof/>
            <w:webHidden/>
          </w:rPr>
        </w:r>
        <w:r w:rsidR="00EF7418">
          <w:rPr>
            <w:noProof/>
            <w:webHidden/>
          </w:rPr>
          <w:fldChar w:fldCharType="separate"/>
        </w:r>
        <w:r w:rsidR="00EF7418">
          <w:rPr>
            <w:noProof/>
            <w:webHidden/>
          </w:rPr>
          <w:t>9</w:t>
        </w:r>
        <w:r w:rsidR="00EF7418">
          <w:rPr>
            <w:noProof/>
            <w:webHidden/>
          </w:rPr>
          <w:fldChar w:fldCharType="end"/>
        </w:r>
      </w:hyperlink>
    </w:p>
    <w:p w14:paraId="3109A5B7" w14:textId="77777777" w:rsidR="00EF7418" w:rsidRDefault="009C0B64" w:rsidP="00EF7418">
      <w:pPr>
        <w:pStyle w:val="Obsah6"/>
        <w:tabs>
          <w:tab w:val="left" w:pos="1760"/>
          <w:tab w:val="right" w:leader="dot" w:pos="9062"/>
        </w:tabs>
        <w:rPr>
          <w:rFonts w:asciiTheme="minorHAnsi" w:eastAsiaTheme="minorEastAsia" w:hAnsiTheme="minorHAnsi"/>
          <w:noProof/>
          <w:sz w:val="22"/>
          <w:lang w:eastAsia="cs-CZ"/>
        </w:rPr>
      </w:pPr>
      <w:hyperlink w:anchor="_Toc73608599" w:history="1">
        <w:r w:rsidR="00EF7418" w:rsidRPr="00371286">
          <w:rPr>
            <w:rStyle w:val="Hypertextovodkaz"/>
            <w:noProof/>
          </w:rPr>
          <w:t>v.</w:t>
        </w:r>
        <w:r w:rsidR="00EF7418">
          <w:rPr>
            <w:rFonts w:asciiTheme="minorHAnsi" w:eastAsiaTheme="minorEastAsia" w:hAnsiTheme="minorHAnsi"/>
            <w:noProof/>
            <w:sz w:val="22"/>
            <w:lang w:eastAsia="cs-CZ"/>
          </w:rPr>
          <w:tab/>
        </w:r>
        <w:r w:rsidR="00EF7418" w:rsidRPr="00371286">
          <w:rPr>
            <w:rStyle w:val="Hypertextovodkaz"/>
            <w:noProof/>
          </w:rPr>
          <w:t>Doklad o uzavření sázky v případě internetových loterií</w:t>
        </w:r>
        <w:r w:rsidR="00EF7418">
          <w:rPr>
            <w:noProof/>
            <w:webHidden/>
          </w:rPr>
          <w:tab/>
        </w:r>
        <w:r w:rsidR="00EF7418">
          <w:rPr>
            <w:noProof/>
            <w:webHidden/>
          </w:rPr>
          <w:fldChar w:fldCharType="begin"/>
        </w:r>
        <w:r w:rsidR="00EF7418">
          <w:rPr>
            <w:noProof/>
            <w:webHidden/>
          </w:rPr>
          <w:instrText xml:space="preserve"> PAGEREF _Toc73608599 \h </w:instrText>
        </w:r>
        <w:r w:rsidR="00EF7418">
          <w:rPr>
            <w:noProof/>
            <w:webHidden/>
          </w:rPr>
        </w:r>
        <w:r w:rsidR="00EF7418">
          <w:rPr>
            <w:noProof/>
            <w:webHidden/>
          </w:rPr>
          <w:fldChar w:fldCharType="separate"/>
        </w:r>
        <w:r w:rsidR="00EF7418">
          <w:rPr>
            <w:noProof/>
            <w:webHidden/>
          </w:rPr>
          <w:t>11</w:t>
        </w:r>
        <w:r w:rsidR="00EF7418">
          <w:rPr>
            <w:noProof/>
            <w:webHidden/>
          </w:rPr>
          <w:fldChar w:fldCharType="end"/>
        </w:r>
      </w:hyperlink>
    </w:p>
    <w:p w14:paraId="5A273452" w14:textId="77777777" w:rsidR="00EF7418" w:rsidRDefault="009C0B64" w:rsidP="00EF7418">
      <w:pPr>
        <w:pStyle w:val="Obsah3"/>
        <w:tabs>
          <w:tab w:val="left" w:pos="1200"/>
          <w:tab w:val="right" w:leader="dot" w:pos="9062"/>
        </w:tabs>
        <w:rPr>
          <w:rFonts w:asciiTheme="minorHAnsi" w:eastAsiaTheme="minorEastAsia" w:hAnsiTheme="minorHAnsi"/>
          <w:noProof/>
          <w:sz w:val="22"/>
          <w:lang w:eastAsia="cs-CZ"/>
        </w:rPr>
      </w:pPr>
      <w:hyperlink w:anchor="_Toc73608600" w:history="1">
        <w:r w:rsidR="00EF7418" w:rsidRPr="00371286">
          <w:rPr>
            <w:rStyle w:val="Hypertextovodkaz"/>
            <w:noProof/>
          </w:rPr>
          <w:t>1.4</w:t>
        </w:r>
        <w:r w:rsidR="00EF7418">
          <w:rPr>
            <w:rFonts w:asciiTheme="minorHAnsi" w:eastAsiaTheme="minorEastAsia" w:hAnsiTheme="minorHAnsi"/>
            <w:noProof/>
            <w:sz w:val="22"/>
            <w:lang w:eastAsia="cs-CZ"/>
          </w:rPr>
          <w:tab/>
        </w:r>
        <w:r w:rsidR="00EF7418" w:rsidRPr="00371286">
          <w:rPr>
            <w:rStyle w:val="Hypertextovodkaz"/>
            <w:noProof/>
          </w:rPr>
          <w:t>Seznam tabulek, obrázků a grafů</w:t>
        </w:r>
        <w:r w:rsidR="00EF7418">
          <w:rPr>
            <w:noProof/>
            <w:webHidden/>
          </w:rPr>
          <w:tab/>
        </w:r>
        <w:r w:rsidR="00EF7418">
          <w:rPr>
            <w:noProof/>
            <w:webHidden/>
          </w:rPr>
          <w:fldChar w:fldCharType="begin"/>
        </w:r>
        <w:r w:rsidR="00EF7418">
          <w:rPr>
            <w:noProof/>
            <w:webHidden/>
          </w:rPr>
          <w:instrText xml:space="preserve"> PAGEREF _Toc73608600 \h </w:instrText>
        </w:r>
        <w:r w:rsidR="00EF7418">
          <w:rPr>
            <w:noProof/>
            <w:webHidden/>
          </w:rPr>
        </w:r>
        <w:r w:rsidR="00EF7418">
          <w:rPr>
            <w:noProof/>
            <w:webHidden/>
          </w:rPr>
          <w:fldChar w:fldCharType="separate"/>
        </w:r>
        <w:r w:rsidR="00EF7418">
          <w:rPr>
            <w:noProof/>
            <w:webHidden/>
          </w:rPr>
          <w:t>13</w:t>
        </w:r>
        <w:r w:rsidR="00EF7418">
          <w:rPr>
            <w:noProof/>
            <w:webHidden/>
          </w:rPr>
          <w:fldChar w:fldCharType="end"/>
        </w:r>
      </w:hyperlink>
    </w:p>
    <w:p w14:paraId="2D0F1BA3" w14:textId="77777777" w:rsidR="00EF7418" w:rsidRDefault="009C0B64" w:rsidP="00EF7418">
      <w:pPr>
        <w:pStyle w:val="Obsah4"/>
        <w:tabs>
          <w:tab w:val="left" w:pos="1540"/>
          <w:tab w:val="right" w:leader="dot" w:pos="9062"/>
        </w:tabs>
        <w:rPr>
          <w:rFonts w:asciiTheme="minorHAnsi" w:eastAsiaTheme="minorEastAsia" w:hAnsiTheme="minorHAnsi"/>
          <w:noProof/>
          <w:sz w:val="22"/>
          <w:lang w:eastAsia="cs-CZ"/>
        </w:rPr>
      </w:pPr>
      <w:hyperlink w:anchor="_Toc73608601" w:history="1">
        <w:r w:rsidR="00EF7418" w:rsidRPr="00371286">
          <w:rPr>
            <w:rStyle w:val="Hypertextovodkaz"/>
            <w:noProof/>
          </w:rPr>
          <w:t>1.4.1</w:t>
        </w:r>
        <w:r w:rsidR="00EF7418">
          <w:rPr>
            <w:rFonts w:asciiTheme="minorHAnsi" w:eastAsiaTheme="minorEastAsia" w:hAnsiTheme="minorHAnsi"/>
            <w:noProof/>
            <w:sz w:val="22"/>
            <w:lang w:eastAsia="cs-CZ"/>
          </w:rPr>
          <w:tab/>
        </w:r>
        <w:r w:rsidR="00EF7418" w:rsidRPr="00371286">
          <w:rPr>
            <w:rStyle w:val="Hypertextovodkaz"/>
            <w:noProof/>
          </w:rPr>
          <w:t>Tabulky</w:t>
        </w:r>
        <w:r w:rsidR="00EF7418">
          <w:rPr>
            <w:noProof/>
            <w:webHidden/>
          </w:rPr>
          <w:tab/>
        </w:r>
        <w:r w:rsidR="00EF7418">
          <w:rPr>
            <w:noProof/>
            <w:webHidden/>
          </w:rPr>
          <w:fldChar w:fldCharType="begin"/>
        </w:r>
        <w:r w:rsidR="00EF7418">
          <w:rPr>
            <w:noProof/>
            <w:webHidden/>
          </w:rPr>
          <w:instrText xml:space="preserve"> PAGEREF _Toc73608601 \h </w:instrText>
        </w:r>
        <w:r w:rsidR="00EF7418">
          <w:rPr>
            <w:noProof/>
            <w:webHidden/>
          </w:rPr>
        </w:r>
        <w:r w:rsidR="00EF7418">
          <w:rPr>
            <w:noProof/>
            <w:webHidden/>
          </w:rPr>
          <w:fldChar w:fldCharType="separate"/>
        </w:r>
        <w:r w:rsidR="00EF7418">
          <w:rPr>
            <w:noProof/>
            <w:webHidden/>
          </w:rPr>
          <w:t>13</w:t>
        </w:r>
        <w:r w:rsidR="00EF7418">
          <w:rPr>
            <w:noProof/>
            <w:webHidden/>
          </w:rPr>
          <w:fldChar w:fldCharType="end"/>
        </w:r>
      </w:hyperlink>
    </w:p>
    <w:p w14:paraId="37A3FAA2" w14:textId="77777777" w:rsidR="00EF7418" w:rsidRDefault="009C0B64" w:rsidP="00EF7418">
      <w:pPr>
        <w:pStyle w:val="Obsah3"/>
        <w:tabs>
          <w:tab w:val="left" w:pos="1200"/>
          <w:tab w:val="right" w:leader="dot" w:pos="9062"/>
        </w:tabs>
        <w:rPr>
          <w:rFonts w:asciiTheme="minorHAnsi" w:eastAsiaTheme="minorEastAsia" w:hAnsiTheme="minorHAnsi"/>
          <w:noProof/>
          <w:sz w:val="22"/>
          <w:lang w:eastAsia="cs-CZ"/>
        </w:rPr>
      </w:pPr>
      <w:hyperlink w:anchor="_Toc73608602" w:history="1">
        <w:r w:rsidR="00EF7418" w:rsidRPr="00371286">
          <w:rPr>
            <w:rStyle w:val="Hypertextovodkaz"/>
            <w:noProof/>
          </w:rPr>
          <w:t>1.5</w:t>
        </w:r>
        <w:r w:rsidR="00EF7418">
          <w:rPr>
            <w:rFonts w:asciiTheme="minorHAnsi" w:eastAsiaTheme="minorEastAsia" w:hAnsiTheme="minorHAnsi"/>
            <w:noProof/>
            <w:sz w:val="22"/>
            <w:lang w:eastAsia="cs-CZ"/>
          </w:rPr>
          <w:tab/>
        </w:r>
        <w:r w:rsidR="00EF7418" w:rsidRPr="00371286">
          <w:rPr>
            <w:rStyle w:val="Hypertextovodkaz"/>
            <w:noProof/>
          </w:rPr>
          <w:t>Obsah</w:t>
        </w:r>
        <w:r w:rsidR="00EF7418">
          <w:rPr>
            <w:noProof/>
            <w:webHidden/>
          </w:rPr>
          <w:tab/>
        </w:r>
        <w:r w:rsidR="00EF7418">
          <w:rPr>
            <w:noProof/>
            <w:webHidden/>
          </w:rPr>
          <w:fldChar w:fldCharType="begin"/>
        </w:r>
        <w:r w:rsidR="00EF7418">
          <w:rPr>
            <w:noProof/>
            <w:webHidden/>
          </w:rPr>
          <w:instrText xml:space="preserve"> PAGEREF _Toc73608602 \h </w:instrText>
        </w:r>
        <w:r w:rsidR="00EF7418">
          <w:rPr>
            <w:noProof/>
            <w:webHidden/>
          </w:rPr>
        </w:r>
        <w:r w:rsidR="00EF7418">
          <w:rPr>
            <w:noProof/>
            <w:webHidden/>
          </w:rPr>
          <w:fldChar w:fldCharType="separate"/>
        </w:r>
        <w:r w:rsidR="00EF7418">
          <w:rPr>
            <w:noProof/>
            <w:webHidden/>
          </w:rPr>
          <w:t>14</w:t>
        </w:r>
        <w:r w:rsidR="00EF7418">
          <w:rPr>
            <w:noProof/>
            <w:webHidden/>
          </w:rPr>
          <w:fldChar w:fldCharType="end"/>
        </w:r>
      </w:hyperlink>
    </w:p>
    <w:p w14:paraId="1F17E15D" w14:textId="28D2D818" w:rsidR="0051574D" w:rsidRPr="0051574D" w:rsidRDefault="00EF7418" w:rsidP="00EF7418">
      <w:pPr>
        <w:rPr>
          <w:highlight w:val="lightGray"/>
        </w:rPr>
      </w:pPr>
      <w:r>
        <w:rPr>
          <w:rFonts w:eastAsiaTheme="majorEastAsia" w:cstheme="majorBidi"/>
          <w:b/>
          <w:color w:val="000000" w:themeColor="text1"/>
          <w:sz w:val="32"/>
          <w:szCs w:val="24"/>
        </w:rPr>
        <w:fldChar w:fldCharType="end"/>
      </w:r>
    </w:p>
    <w:p w14:paraId="4A2D5211" w14:textId="01F4FBF2" w:rsidR="00A861A9" w:rsidRPr="00F17245" w:rsidRDefault="00E91C8F" w:rsidP="00E91C8F">
      <w:pPr>
        <w:pStyle w:val="Nadpis3"/>
        <w:numPr>
          <w:ilvl w:val="0"/>
          <w:numId w:val="0"/>
        </w:numPr>
        <w:ind w:left="720" w:hanging="720"/>
      </w:pPr>
      <w:bookmarkStart w:id="192" w:name="_Toc72999602"/>
      <w:bookmarkStart w:id="193" w:name="_Toc73613658"/>
      <w:r w:rsidRPr="00F17245">
        <w:t xml:space="preserve">Příloha č. 8: </w:t>
      </w:r>
      <w:r w:rsidR="00A861A9" w:rsidRPr="00F17245">
        <w:t>Nepovolené internetové hry</w:t>
      </w:r>
      <w:bookmarkEnd w:id="192"/>
      <w:bookmarkEnd w:id="193"/>
    </w:p>
    <w:p w14:paraId="6A8BD66B" w14:textId="43694089" w:rsidR="00184681" w:rsidRDefault="00184681" w:rsidP="00184681">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11ADA702" w14:textId="77777777" w:rsidR="00184681" w:rsidRDefault="009C0B64" w:rsidP="00184681">
      <w:pPr>
        <w:pStyle w:val="Obsah3"/>
        <w:tabs>
          <w:tab w:val="left" w:pos="1200"/>
          <w:tab w:val="right" w:leader="dot" w:pos="9062"/>
        </w:tabs>
        <w:rPr>
          <w:rFonts w:asciiTheme="minorHAnsi" w:eastAsiaTheme="minorEastAsia" w:hAnsiTheme="minorHAnsi"/>
          <w:noProof/>
          <w:sz w:val="22"/>
          <w:lang w:eastAsia="cs-CZ"/>
        </w:rPr>
      </w:pPr>
      <w:hyperlink w:anchor="_Toc73607699" w:history="1">
        <w:r w:rsidR="00184681" w:rsidRPr="00D93750">
          <w:rPr>
            <w:rStyle w:val="Hypertextovodkaz"/>
            <w:noProof/>
          </w:rPr>
          <w:t>1.1</w:t>
        </w:r>
        <w:r w:rsidR="00184681">
          <w:rPr>
            <w:rFonts w:asciiTheme="minorHAnsi" w:eastAsiaTheme="minorEastAsia" w:hAnsiTheme="minorHAnsi"/>
            <w:noProof/>
            <w:sz w:val="22"/>
            <w:lang w:eastAsia="cs-CZ"/>
          </w:rPr>
          <w:tab/>
        </w:r>
        <w:r w:rsidR="00184681" w:rsidRPr="00D93750">
          <w:rPr>
            <w:rStyle w:val="Hypertextovodkaz"/>
            <w:noProof/>
          </w:rPr>
          <w:t>Konkrétní popis regulace obsažené v zákoně o loteriích</w:t>
        </w:r>
        <w:r w:rsidR="00184681">
          <w:rPr>
            <w:noProof/>
            <w:webHidden/>
          </w:rPr>
          <w:tab/>
        </w:r>
        <w:r w:rsidR="00184681">
          <w:rPr>
            <w:noProof/>
            <w:webHidden/>
          </w:rPr>
          <w:fldChar w:fldCharType="begin"/>
        </w:r>
        <w:r w:rsidR="00184681">
          <w:rPr>
            <w:noProof/>
            <w:webHidden/>
          </w:rPr>
          <w:instrText xml:space="preserve"> PAGEREF _Toc73607699 \h </w:instrText>
        </w:r>
        <w:r w:rsidR="00184681">
          <w:rPr>
            <w:noProof/>
            <w:webHidden/>
          </w:rPr>
        </w:r>
        <w:r w:rsidR="00184681">
          <w:rPr>
            <w:noProof/>
            <w:webHidden/>
          </w:rPr>
          <w:fldChar w:fldCharType="separate"/>
        </w:r>
        <w:r w:rsidR="00184681">
          <w:rPr>
            <w:noProof/>
            <w:webHidden/>
          </w:rPr>
          <w:t>1</w:t>
        </w:r>
        <w:r w:rsidR="00184681">
          <w:rPr>
            <w:noProof/>
            <w:webHidden/>
          </w:rPr>
          <w:fldChar w:fldCharType="end"/>
        </w:r>
      </w:hyperlink>
    </w:p>
    <w:p w14:paraId="4DECACED" w14:textId="77777777" w:rsidR="00184681" w:rsidRDefault="009C0B64" w:rsidP="00184681">
      <w:pPr>
        <w:pStyle w:val="Obsah3"/>
        <w:tabs>
          <w:tab w:val="left" w:pos="1200"/>
          <w:tab w:val="right" w:leader="dot" w:pos="9062"/>
        </w:tabs>
        <w:rPr>
          <w:rFonts w:asciiTheme="minorHAnsi" w:eastAsiaTheme="minorEastAsia" w:hAnsiTheme="minorHAnsi"/>
          <w:noProof/>
          <w:sz w:val="22"/>
          <w:lang w:eastAsia="cs-CZ"/>
        </w:rPr>
      </w:pPr>
      <w:hyperlink w:anchor="_Toc73607700" w:history="1">
        <w:r w:rsidR="00184681" w:rsidRPr="00D93750">
          <w:rPr>
            <w:rStyle w:val="Hypertextovodkaz"/>
            <w:noProof/>
          </w:rPr>
          <w:t>1.2</w:t>
        </w:r>
        <w:r w:rsidR="00184681">
          <w:rPr>
            <w:rFonts w:asciiTheme="minorHAnsi" w:eastAsiaTheme="minorEastAsia" w:hAnsiTheme="minorHAnsi"/>
            <w:noProof/>
            <w:sz w:val="22"/>
            <w:lang w:eastAsia="cs-CZ"/>
          </w:rPr>
          <w:tab/>
        </w:r>
        <w:r w:rsidR="00184681" w:rsidRPr="00D93750">
          <w:rPr>
            <w:rStyle w:val="Hypertextovodkaz"/>
            <w:noProof/>
          </w:rPr>
          <w:t>Konkrétní popis regulace obsažené v zákoně o hazardních hrách</w:t>
        </w:r>
        <w:r w:rsidR="00184681">
          <w:rPr>
            <w:noProof/>
            <w:webHidden/>
          </w:rPr>
          <w:tab/>
        </w:r>
        <w:r w:rsidR="00184681">
          <w:rPr>
            <w:noProof/>
            <w:webHidden/>
          </w:rPr>
          <w:fldChar w:fldCharType="begin"/>
        </w:r>
        <w:r w:rsidR="00184681">
          <w:rPr>
            <w:noProof/>
            <w:webHidden/>
          </w:rPr>
          <w:instrText xml:space="preserve"> PAGEREF _Toc73607700 \h </w:instrText>
        </w:r>
        <w:r w:rsidR="00184681">
          <w:rPr>
            <w:noProof/>
            <w:webHidden/>
          </w:rPr>
        </w:r>
        <w:r w:rsidR="00184681">
          <w:rPr>
            <w:noProof/>
            <w:webHidden/>
          </w:rPr>
          <w:fldChar w:fldCharType="separate"/>
        </w:r>
        <w:r w:rsidR="00184681">
          <w:rPr>
            <w:noProof/>
            <w:webHidden/>
          </w:rPr>
          <w:t>1</w:t>
        </w:r>
        <w:r w:rsidR="00184681">
          <w:rPr>
            <w:noProof/>
            <w:webHidden/>
          </w:rPr>
          <w:fldChar w:fldCharType="end"/>
        </w:r>
      </w:hyperlink>
    </w:p>
    <w:p w14:paraId="0BB2D897" w14:textId="77777777" w:rsidR="00184681" w:rsidRDefault="009C0B64" w:rsidP="00184681">
      <w:pPr>
        <w:pStyle w:val="Obsah3"/>
        <w:tabs>
          <w:tab w:val="left" w:pos="1200"/>
          <w:tab w:val="right" w:leader="dot" w:pos="9062"/>
        </w:tabs>
        <w:rPr>
          <w:rFonts w:asciiTheme="minorHAnsi" w:eastAsiaTheme="minorEastAsia" w:hAnsiTheme="minorHAnsi"/>
          <w:noProof/>
          <w:sz w:val="22"/>
          <w:lang w:eastAsia="cs-CZ"/>
        </w:rPr>
      </w:pPr>
      <w:hyperlink w:anchor="_Toc73607701" w:history="1">
        <w:r w:rsidR="00184681" w:rsidRPr="00D93750">
          <w:rPr>
            <w:rStyle w:val="Hypertextovodkaz"/>
            <w:noProof/>
          </w:rPr>
          <w:t>1.3</w:t>
        </w:r>
        <w:r w:rsidR="00184681">
          <w:rPr>
            <w:rFonts w:asciiTheme="minorHAnsi" w:eastAsiaTheme="minorEastAsia" w:hAnsiTheme="minorHAnsi"/>
            <w:noProof/>
            <w:sz w:val="22"/>
            <w:lang w:eastAsia="cs-CZ"/>
          </w:rPr>
          <w:tab/>
        </w:r>
        <w:r w:rsidR="00184681" w:rsidRPr="00D93750">
          <w:rPr>
            <w:rStyle w:val="Hypertextovodkaz"/>
            <w:noProof/>
          </w:rPr>
          <w:t>Konkrétní popis nástrojů, včetně oblastí, na které by bylo vhodné se v budoucnu zaměřit, a návrh doporučení či možných variant řešení</w:t>
        </w:r>
        <w:r w:rsidR="00184681">
          <w:rPr>
            <w:noProof/>
            <w:webHidden/>
          </w:rPr>
          <w:tab/>
        </w:r>
        <w:r w:rsidR="00184681">
          <w:rPr>
            <w:noProof/>
            <w:webHidden/>
          </w:rPr>
          <w:fldChar w:fldCharType="begin"/>
        </w:r>
        <w:r w:rsidR="00184681">
          <w:rPr>
            <w:noProof/>
            <w:webHidden/>
          </w:rPr>
          <w:instrText xml:space="preserve"> PAGEREF _Toc73607701 \h </w:instrText>
        </w:r>
        <w:r w:rsidR="00184681">
          <w:rPr>
            <w:noProof/>
            <w:webHidden/>
          </w:rPr>
        </w:r>
        <w:r w:rsidR="00184681">
          <w:rPr>
            <w:noProof/>
            <w:webHidden/>
          </w:rPr>
          <w:fldChar w:fldCharType="separate"/>
        </w:r>
        <w:r w:rsidR="00184681">
          <w:rPr>
            <w:noProof/>
            <w:webHidden/>
          </w:rPr>
          <w:t>5</w:t>
        </w:r>
        <w:r w:rsidR="00184681">
          <w:rPr>
            <w:noProof/>
            <w:webHidden/>
          </w:rPr>
          <w:fldChar w:fldCharType="end"/>
        </w:r>
      </w:hyperlink>
    </w:p>
    <w:p w14:paraId="672BE02F" w14:textId="77777777" w:rsidR="00184681" w:rsidRDefault="009C0B64" w:rsidP="00184681">
      <w:pPr>
        <w:pStyle w:val="Obsah5"/>
        <w:tabs>
          <w:tab w:val="left" w:pos="1540"/>
          <w:tab w:val="right" w:leader="dot" w:pos="9062"/>
        </w:tabs>
        <w:rPr>
          <w:rFonts w:asciiTheme="minorHAnsi" w:eastAsiaTheme="minorEastAsia" w:hAnsiTheme="minorHAnsi"/>
          <w:noProof/>
          <w:sz w:val="22"/>
          <w:lang w:eastAsia="cs-CZ"/>
        </w:rPr>
      </w:pPr>
      <w:hyperlink w:anchor="_Toc73607702" w:history="1">
        <w:r w:rsidR="00184681" w:rsidRPr="00D93750">
          <w:rPr>
            <w:rStyle w:val="Hypertextovodkaz"/>
            <w:noProof/>
          </w:rPr>
          <w:t>A.</w:t>
        </w:r>
        <w:r w:rsidR="00184681">
          <w:rPr>
            <w:rFonts w:asciiTheme="minorHAnsi" w:eastAsiaTheme="minorEastAsia" w:hAnsiTheme="minorHAnsi"/>
            <w:noProof/>
            <w:sz w:val="22"/>
            <w:lang w:eastAsia="cs-CZ"/>
          </w:rPr>
          <w:tab/>
        </w:r>
        <w:r w:rsidR="00184681" w:rsidRPr="00D93750">
          <w:rPr>
            <w:rStyle w:val="Hypertextovodkaz"/>
            <w:noProof/>
          </w:rPr>
          <w:t>Zápis na tzv. black-list</w:t>
        </w:r>
        <w:r w:rsidR="00184681">
          <w:rPr>
            <w:noProof/>
            <w:webHidden/>
          </w:rPr>
          <w:tab/>
        </w:r>
        <w:r w:rsidR="00184681">
          <w:rPr>
            <w:noProof/>
            <w:webHidden/>
          </w:rPr>
          <w:fldChar w:fldCharType="begin"/>
        </w:r>
        <w:r w:rsidR="00184681">
          <w:rPr>
            <w:noProof/>
            <w:webHidden/>
          </w:rPr>
          <w:instrText xml:space="preserve"> PAGEREF _Toc73607702 \h </w:instrText>
        </w:r>
        <w:r w:rsidR="00184681">
          <w:rPr>
            <w:noProof/>
            <w:webHidden/>
          </w:rPr>
        </w:r>
        <w:r w:rsidR="00184681">
          <w:rPr>
            <w:noProof/>
            <w:webHidden/>
          </w:rPr>
          <w:fldChar w:fldCharType="separate"/>
        </w:r>
        <w:r w:rsidR="00184681">
          <w:rPr>
            <w:noProof/>
            <w:webHidden/>
          </w:rPr>
          <w:t>5</w:t>
        </w:r>
        <w:r w:rsidR="00184681">
          <w:rPr>
            <w:noProof/>
            <w:webHidden/>
          </w:rPr>
          <w:fldChar w:fldCharType="end"/>
        </w:r>
      </w:hyperlink>
    </w:p>
    <w:p w14:paraId="19446848"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3" w:history="1">
        <w:r w:rsidR="00184681" w:rsidRPr="00D93750">
          <w:rPr>
            <w:rStyle w:val="Hypertextovodkaz"/>
            <w:noProof/>
          </w:rPr>
          <w:t>i.</w:t>
        </w:r>
        <w:r w:rsidR="00184681">
          <w:rPr>
            <w:rFonts w:asciiTheme="minorHAnsi" w:eastAsiaTheme="minorEastAsia" w:hAnsiTheme="minorHAnsi"/>
            <w:noProof/>
            <w:sz w:val="22"/>
            <w:lang w:eastAsia="cs-CZ"/>
          </w:rPr>
          <w:tab/>
        </w:r>
        <w:r w:rsidR="00184681" w:rsidRPr="00D93750">
          <w:rPr>
            <w:rStyle w:val="Hypertextovodkaz"/>
            <w:noProof/>
          </w:rPr>
          <w:t>Délka řízení o blokaci a dosažení účinků blokace</w:t>
        </w:r>
        <w:r w:rsidR="00184681">
          <w:rPr>
            <w:noProof/>
            <w:webHidden/>
          </w:rPr>
          <w:tab/>
        </w:r>
        <w:r w:rsidR="00184681">
          <w:rPr>
            <w:noProof/>
            <w:webHidden/>
          </w:rPr>
          <w:fldChar w:fldCharType="begin"/>
        </w:r>
        <w:r w:rsidR="00184681">
          <w:rPr>
            <w:noProof/>
            <w:webHidden/>
          </w:rPr>
          <w:instrText xml:space="preserve"> PAGEREF _Toc73607703 \h </w:instrText>
        </w:r>
        <w:r w:rsidR="00184681">
          <w:rPr>
            <w:noProof/>
            <w:webHidden/>
          </w:rPr>
        </w:r>
        <w:r w:rsidR="00184681">
          <w:rPr>
            <w:noProof/>
            <w:webHidden/>
          </w:rPr>
          <w:fldChar w:fldCharType="separate"/>
        </w:r>
        <w:r w:rsidR="00184681">
          <w:rPr>
            <w:noProof/>
            <w:webHidden/>
          </w:rPr>
          <w:t>5</w:t>
        </w:r>
        <w:r w:rsidR="00184681">
          <w:rPr>
            <w:noProof/>
            <w:webHidden/>
          </w:rPr>
          <w:fldChar w:fldCharType="end"/>
        </w:r>
      </w:hyperlink>
    </w:p>
    <w:p w14:paraId="706159A3"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4" w:history="1">
        <w:r w:rsidR="00184681" w:rsidRPr="00D93750">
          <w:rPr>
            <w:rStyle w:val="Hypertextovodkaz"/>
            <w:noProof/>
          </w:rPr>
          <w:t>ii.</w:t>
        </w:r>
        <w:r w:rsidR="00184681">
          <w:rPr>
            <w:rFonts w:asciiTheme="minorHAnsi" w:eastAsiaTheme="minorEastAsia" w:hAnsiTheme="minorHAnsi"/>
            <w:noProof/>
            <w:sz w:val="22"/>
            <w:lang w:eastAsia="cs-CZ"/>
          </w:rPr>
          <w:tab/>
        </w:r>
        <w:r w:rsidR="00184681" w:rsidRPr="00D93750">
          <w:rPr>
            <w:rStyle w:val="Hypertextovodkaz"/>
            <w:noProof/>
          </w:rPr>
          <w:t>Chybějící popis procesu výmazu</w:t>
        </w:r>
        <w:r w:rsidR="00184681">
          <w:rPr>
            <w:noProof/>
            <w:webHidden/>
          </w:rPr>
          <w:tab/>
        </w:r>
        <w:r w:rsidR="00184681">
          <w:rPr>
            <w:noProof/>
            <w:webHidden/>
          </w:rPr>
          <w:fldChar w:fldCharType="begin"/>
        </w:r>
        <w:r w:rsidR="00184681">
          <w:rPr>
            <w:noProof/>
            <w:webHidden/>
          </w:rPr>
          <w:instrText xml:space="preserve"> PAGEREF _Toc73607704 \h </w:instrText>
        </w:r>
        <w:r w:rsidR="00184681">
          <w:rPr>
            <w:noProof/>
            <w:webHidden/>
          </w:rPr>
        </w:r>
        <w:r w:rsidR="00184681">
          <w:rPr>
            <w:noProof/>
            <w:webHidden/>
          </w:rPr>
          <w:fldChar w:fldCharType="separate"/>
        </w:r>
        <w:r w:rsidR="00184681">
          <w:rPr>
            <w:noProof/>
            <w:webHidden/>
          </w:rPr>
          <w:t>9</w:t>
        </w:r>
        <w:r w:rsidR="00184681">
          <w:rPr>
            <w:noProof/>
            <w:webHidden/>
          </w:rPr>
          <w:fldChar w:fldCharType="end"/>
        </w:r>
      </w:hyperlink>
    </w:p>
    <w:p w14:paraId="61B8A6FE" w14:textId="77777777" w:rsidR="00184681" w:rsidRDefault="009C0B64" w:rsidP="00184681">
      <w:pPr>
        <w:pStyle w:val="Obsah5"/>
        <w:tabs>
          <w:tab w:val="left" w:pos="1540"/>
          <w:tab w:val="right" w:leader="dot" w:pos="9062"/>
        </w:tabs>
        <w:rPr>
          <w:rFonts w:asciiTheme="minorHAnsi" w:eastAsiaTheme="minorEastAsia" w:hAnsiTheme="minorHAnsi"/>
          <w:noProof/>
          <w:sz w:val="22"/>
          <w:lang w:eastAsia="cs-CZ"/>
        </w:rPr>
      </w:pPr>
      <w:hyperlink w:anchor="_Toc73607705" w:history="1">
        <w:r w:rsidR="00184681" w:rsidRPr="00D93750">
          <w:rPr>
            <w:rStyle w:val="Hypertextovodkaz"/>
            <w:noProof/>
          </w:rPr>
          <w:t>B.</w:t>
        </w:r>
        <w:r w:rsidR="00184681">
          <w:rPr>
            <w:rFonts w:asciiTheme="minorHAnsi" w:eastAsiaTheme="minorEastAsia" w:hAnsiTheme="minorHAnsi"/>
            <w:noProof/>
            <w:sz w:val="22"/>
            <w:lang w:eastAsia="cs-CZ"/>
          </w:rPr>
          <w:tab/>
        </w:r>
        <w:r w:rsidR="00184681" w:rsidRPr="00D93750">
          <w:rPr>
            <w:rStyle w:val="Hypertextovodkaz"/>
            <w:noProof/>
          </w:rPr>
          <w:t>Blokace internetových stránek</w:t>
        </w:r>
        <w:r w:rsidR="00184681">
          <w:rPr>
            <w:noProof/>
            <w:webHidden/>
          </w:rPr>
          <w:tab/>
        </w:r>
        <w:r w:rsidR="00184681">
          <w:rPr>
            <w:noProof/>
            <w:webHidden/>
          </w:rPr>
          <w:fldChar w:fldCharType="begin"/>
        </w:r>
        <w:r w:rsidR="00184681">
          <w:rPr>
            <w:noProof/>
            <w:webHidden/>
          </w:rPr>
          <w:instrText xml:space="preserve"> PAGEREF _Toc73607705 \h </w:instrText>
        </w:r>
        <w:r w:rsidR="00184681">
          <w:rPr>
            <w:noProof/>
            <w:webHidden/>
          </w:rPr>
        </w:r>
        <w:r w:rsidR="00184681">
          <w:rPr>
            <w:noProof/>
            <w:webHidden/>
          </w:rPr>
          <w:fldChar w:fldCharType="separate"/>
        </w:r>
        <w:r w:rsidR="00184681">
          <w:rPr>
            <w:noProof/>
            <w:webHidden/>
          </w:rPr>
          <w:t>10</w:t>
        </w:r>
        <w:r w:rsidR="00184681">
          <w:rPr>
            <w:noProof/>
            <w:webHidden/>
          </w:rPr>
          <w:fldChar w:fldCharType="end"/>
        </w:r>
      </w:hyperlink>
    </w:p>
    <w:p w14:paraId="03EB43F5"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6" w:history="1">
        <w:r w:rsidR="00184681" w:rsidRPr="00D93750">
          <w:rPr>
            <w:rStyle w:val="Hypertextovodkaz"/>
            <w:noProof/>
          </w:rPr>
          <w:t>i.</w:t>
        </w:r>
        <w:r w:rsidR="00184681">
          <w:rPr>
            <w:rFonts w:asciiTheme="minorHAnsi" w:eastAsiaTheme="minorEastAsia" w:hAnsiTheme="minorHAnsi"/>
            <w:noProof/>
            <w:sz w:val="22"/>
            <w:lang w:eastAsia="cs-CZ"/>
          </w:rPr>
          <w:tab/>
        </w:r>
        <w:r w:rsidR="00184681" w:rsidRPr="00D93750">
          <w:rPr>
            <w:rStyle w:val="Hypertextovodkaz"/>
            <w:noProof/>
          </w:rPr>
          <w:t>Způsob blokace</w:t>
        </w:r>
        <w:r w:rsidR="00184681">
          <w:rPr>
            <w:noProof/>
            <w:webHidden/>
          </w:rPr>
          <w:tab/>
        </w:r>
        <w:r w:rsidR="00184681">
          <w:rPr>
            <w:noProof/>
            <w:webHidden/>
          </w:rPr>
          <w:fldChar w:fldCharType="begin"/>
        </w:r>
        <w:r w:rsidR="00184681">
          <w:rPr>
            <w:noProof/>
            <w:webHidden/>
          </w:rPr>
          <w:instrText xml:space="preserve"> PAGEREF _Toc73607706 \h </w:instrText>
        </w:r>
        <w:r w:rsidR="00184681">
          <w:rPr>
            <w:noProof/>
            <w:webHidden/>
          </w:rPr>
        </w:r>
        <w:r w:rsidR="00184681">
          <w:rPr>
            <w:noProof/>
            <w:webHidden/>
          </w:rPr>
          <w:fldChar w:fldCharType="separate"/>
        </w:r>
        <w:r w:rsidR="00184681">
          <w:rPr>
            <w:noProof/>
            <w:webHidden/>
          </w:rPr>
          <w:t>12</w:t>
        </w:r>
        <w:r w:rsidR="00184681">
          <w:rPr>
            <w:noProof/>
            <w:webHidden/>
          </w:rPr>
          <w:fldChar w:fldCharType="end"/>
        </w:r>
      </w:hyperlink>
    </w:p>
    <w:p w14:paraId="739AADC5"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7" w:history="1">
        <w:r w:rsidR="00184681" w:rsidRPr="00D93750">
          <w:rPr>
            <w:rStyle w:val="Hypertextovodkaz"/>
            <w:noProof/>
          </w:rPr>
          <w:t>ii.</w:t>
        </w:r>
        <w:r w:rsidR="00184681">
          <w:rPr>
            <w:rFonts w:asciiTheme="minorHAnsi" w:eastAsiaTheme="minorEastAsia" w:hAnsiTheme="minorHAnsi"/>
            <w:noProof/>
            <w:sz w:val="22"/>
            <w:lang w:eastAsia="cs-CZ"/>
          </w:rPr>
          <w:tab/>
        </w:r>
        <w:r w:rsidR="00184681" w:rsidRPr="00D93750">
          <w:rPr>
            <w:rStyle w:val="Hypertextovodkaz"/>
            <w:noProof/>
          </w:rPr>
          <w:t>Provozování hazardních her prostřednictvím aplikací</w:t>
        </w:r>
        <w:r w:rsidR="00184681">
          <w:rPr>
            <w:noProof/>
            <w:webHidden/>
          </w:rPr>
          <w:tab/>
        </w:r>
        <w:r w:rsidR="00184681">
          <w:rPr>
            <w:noProof/>
            <w:webHidden/>
          </w:rPr>
          <w:fldChar w:fldCharType="begin"/>
        </w:r>
        <w:r w:rsidR="00184681">
          <w:rPr>
            <w:noProof/>
            <w:webHidden/>
          </w:rPr>
          <w:instrText xml:space="preserve"> PAGEREF _Toc73607707 \h </w:instrText>
        </w:r>
        <w:r w:rsidR="00184681">
          <w:rPr>
            <w:noProof/>
            <w:webHidden/>
          </w:rPr>
        </w:r>
        <w:r w:rsidR="00184681">
          <w:rPr>
            <w:noProof/>
            <w:webHidden/>
          </w:rPr>
          <w:fldChar w:fldCharType="separate"/>
        </w:r>
        <w:r w:rsidR="00184681">
          <w:rPr>
            <w:noProof/>
            <w:webHidden/>
          </w:rPr>
          <w:t>15</w:t>
        </w:r>
        <w:r w:rsidR="00184681">
          <w:rPr>
            <w:noProof/>
            <w:webHidden/>
          </w:rPr>
          <w:fldChar w:fldCharType="end"/>
        </w:r>
      </w:hyperlink>
    </w:p>
    <w:p w14:paraId="10095F5F"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8" w:history="1">
        <w:r w:rsidR="00184681" w:rsidRPr="00D93750">
          <w:rPr>
            <w:rStyle w:val="Hypertextovodkaz"/>
            <w:noProof/>
          </w:rPr>
          <w:t>iii.</w:t>
        </w:r>
        <w:r w:rsidR="00184681">
          <w:rPr>
            <w:rFonts w:asciiTheme="minorHAnsi" w:eastAsiaTheme="minorEastAsia" w:hAnsiTheme="minorHAnsi"/>
            <w:noProof/>
            <w:sz w:val="22"/>
            <w:lang w:eastAsia="cs-CZ"/>
          </w:rPr>
          <w:tab/>
        </w:r>
        <w:r w:rsidR="00184681" w:rsidRPr="00D93750">
          <w:rPr>
            <w:rStyle w:val="Hypertextovodkaz"/>
            <w:noProof/>
          </w:rPr>
          <w:t>Tzv. landing pages (cílové stránky)</w:t>
        </w:r>
        <w:r w:rsidR="00184681">
          <w:rPr>
            <w:noProof/>
            <w:webHidden/>
          </w:rPr>
          <w:tab/>
        </w:r>
        <w:r w:rsidR="00184681">
          <w:rPr>
            <w:noProof/>
            <w:webHidden/>
          </w:rPr>
          <w:fldChar w:fldCharType="begin"/>
        </w:r>
        <w:r w:rsidR="00184681">
          <w:rPr>
            <w:noProof/>
            <w:webHidden/>
          </w:rPr>
          <w:instrText xml:space="preserve"> PAGEREF _Toc73607708 \h </w:instrText>
        </w:r>
        <w:r w:rsidR="00184681">
          <w:rPr>
            <w:noProof/>
            <w:webHidden/>
          </w:rPr>
        </w:r>
        <w:r w:rsidR="00184681">
          <w:rPr>
            <w:noProof/>
            <w:webHidden/>
          </w:rPr>
          <w:fldChar w:fldCharType="separate"/>
        </w:r>
        <w:r w:rsidR="00184681">
          <w:rPr>
            <w:noProof/>
            <w:webHidden/>
          </w:rPr>
          <w:t>18</w:t>
        </w:r>
        <w:r w:rsidR="00184681">
          <w:rPr>
            <w:noProof/>
            <w:webHidden/>
          </w:rPr>
          <w:fldChar w:fldCharType="end"/>
        </w:r>
      </w:hyperlink>
    </w:p>
    <w:p w14:paraId="529C7C47"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09" w:history="1">
        <w:r w:rsidR="00184681" w:rsidRPr="00D93750">
          <w:rPr>
            <w:rStyle w:val="Hypertextovodkaz"/>
            <w:noProof/>
          </w:rPr>
          <w:t>iv.</w:t>
        </w:r>
        <w:r w:rsidR="00184681">
          <w:rPr>
            <w:rFonts w:asciiTheme="minorHAnsi" w:eastAsiaTheme="minorEastAsia" w:hAnsiTheme="minorHAnsi"/>
            <w:noProof/>
            <w:sz w:val="22"/>
            <w:lang w:eastAsia="cs-CZ"/>
          </w:rPr>
          <w:tab/>
        </w:r>
        <w:r w:rsidR="00184681" w:rsidRPr="00D93750">
          <w:rPr>
            <w:rStyle w:val="Hypertextovodkaz"/>
            <w:noProof/>
          </w:rPr>
          <w:t>Forma black-listu</w:t>
        </w:r>
        <w:r w:rsidR="00184681">
          <w:rPr>
            <w:noProof/>
            <w:webHidden/>
          </w:rPr>
          <w:tab/>
        </w:r>
        <w:r w:rsidR="00184681">
          <w:rPr>
            <w:noProof/>
            <w:webHidden/>
          </w:rPr>
          <w:fldChar w:fldCharType="begin"/>
        </w:r>
        <w:r w:rsidR="00184681">
          <w:rPr>
            <w:noProof/>
            <w:webHidden/>
          </w:rPr>
          <w:instrText xml:space="preserve"> PAGEREF _Toc73607709 \h </w:instrText>
        </w:r>
        <w:r w:rsidR="00184681">
          <w:rPr>
            <w:noProof/>
            <w:webHidden/>
          </w:rPr>
        </w:r>
        <w:r w:rsidR="00184681">
          <w:rPr>
            <w:noProof/>
            <w:webHidden/>
          </w:rPr>
          <w:fldChar w:fldCharType="separate"/>
        </w:r>
        <w:r w:rsidR="00184681">
          <w:rPr>
            <w:noProof/>
            <w:webHidden/>
          </w:rPr>
          <w:t>23</w:t>
        </w:r>
        <w:r w:rsidR="00184681">
          <w:rPr>
            <w:noProof/>
            <w:webHidden/>
          </w:rPr>
          <w:fldChar w:fldCharType="end"/>
        </w:r>
      </w:hyperlink>
    </w:p>
    <w:p w14:paraId="5858958B"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10" w:history="1">
        <w:r w:rsidR="00184681" w:rsidRPr="00D93750">
          <w:rPr>
            <w:rStyle w:val="Hypertextovodkaz"/>
            <w:noProof/>
          </w:rPr>
          <w:t>v.</w:t>
        </w:r>
        <w:r w:rsidR="00184681">
          <w:rPr>
            <w:rFonts w:asciiTheme="minorHAnsi" w:eastAsiaTheme="minorEastAsia" w:hAnsiTheme="minorHAnsi"/>
            <w:noProof/>
            <w:sz w:val="22"/>
            <w:lang w:eastAsia="cs-CZ"/>
          </w:rPr>
          <w:tab/>
        </w:r>
        <w:r w:rsidR="00184681" w:rsidRPr="00D93750">
          <w:rPr>
            <w:rStyle w:val="Hypertextovodkaz"/>
            <w:noProof/>
          </w:rPr>
          <w:t>Zrcadlení internetových stránek</w:t>
        </w:r>
        <w:r w:rsidR="00184681">
          <w:rPr>
            <w:noProof/>
            <w:webHidden/>
          </w:rPr>
          <w:tab/>
        </w:r>
        <w:r w:rsidR="00184681">
          <w:rPr>
            <w:noProof/>
            <w:webHidden/>
          </w:rPr>
          <w:fldChar w:fldCharType="begin"/>
        </w:r>
        <w:r w:rsidR="00184681">
          <w:rPr>
            <w:noProof/>
            <w:webHidden/>
          </w:rPr>
          <w:instrText xml:space="preserve"> PAGEREF _Toc73607710 \h </w:instrText>
        </w:r>
        <w:r w:rsidR="00184681">
          <w:rPr>
            <w:noProof/>
            <w:webHidden/>
          </w:rPr>
        </w:r>
        <w:r w:rsidR="00184681">
          <w:rPr>
            <w:noProof/>
            <w:webHidden/>
          </w:rPr>
          <w:fldChar w:fldCharType="separate"/>
        </w:r>
        <w:r w:rsidR="00184681">
          <w:rPr>
            <w:noProof/>
            <w:webHidden/>
          </w:rPr>
          <w:t>25</w:t>
        </w:r>
        <w:r w:rsidR="00184681">
          <w:rPr>
            <w:noProof/>
            <w:webHidden/>
          </w:rPr>
          <w:fldChar w:fldCharType="end"/>
        </w:r>
      </w:hyperlink>
    </w:p>
    <w:p w14:paraId="596DE8F6" w14:textId="77777777" w:rsidR="00184681" w:rsidRDefault="009C0B64" w:rsidP="00184681">
      <w:pPr>
        <w:pStyle w:val="Obsah5"/>
        <w:tabs>
          <w:tab w:val="left" w:pos="1540"/>
          <w:tab w:val="right" w:leader="dot" w:pos="9062"/>
        </w:tabs>
        <w:rPr>
          <w:rFonts w:asciiTheme="minorHAnsi" w:eastAsiaTheme="minorEastAsia" w:hAnsiTheme="minorHAnsi"/>
          <w:noProof/>
          <w:sz w:val="22"/>
          <w:lang w:eastAsia="cs-CZ"/>
        </w:rPr>
      </w:pPr>
      <w:hyperlink w:anchor="_Toc73607711" w:history="1">
        <w:r w:rsidR="00184681" w:rsidRPr="00D93750">
          <w:rPr>
            <w:rStyle w:val="Hypertextovodkaz"/>
            <w:noProof/>
          </w:rPr>
          <w:t>C.</w:t>
        </w:r>
        <w:r w:rsidR="00184681">
          <w:rPr>
            <w:rFonts w:asciiTheme="minorHAnsi" w:eastAsiaTheme="minorEastAsia" w:hAnsiTheme="minorHAnsi"/>
            <w:noProof/>
            <w:sz w:val="22"/>
            <w:lang w:eastAsia="cs-CZ"/>
          </w:rPr>
          <w:tab/>
        </w:r>
        <w:r w:rsidR="00184681" w:rsidRPr="00D93750">
          <w:rPr>
            <w:rStyle w:val="Hypertextovodkaz"/>
            <w:noProof/>
          </w:rPr>
          <w:t>Blokace plateb</w:t>
        </w:r>
        <w:r w:rsidR="00184681">
          <w:rPr>
            <w:noProof/>
            <w:webHidden/>
          </w:rPr>
          <w:tab/>
        </w:r>
        <w:r w:rsidR="00184681">
          <w:rPr>
            <w:noProof/>
            <w:webHidden/>
          </w:rPr>
          <w:fldChar w:fldCharType="begin"/>
        </w:r>
        <w:r w:rsidR="00184681">
          <w:rPr>
            <w:noProof/>
            <w:webHidden/>
          </w:rPr>
          <w:instrText xml:space="preserve"> PAGEREF _Toc73607711 \h </w:instrText>
        </w:r>
        <w:r w:rsidR="00184681">
          <w:rPr>
            <w:noProof/>
            <w:webHidden/>
          </w:rPr>
        </w:r>
        <w:r w:rsidR="00184681">
          <w:rPr>
            <w:noProof/>
            <w:webHidden/>
          </w:rPr>
          <w:fldChar w:fldCharType="separate"/>
        </w:r>
        <w:r w:rsidR="00184681">
          <w:rPr>
            <w:noProof/>
            <w:webHidden/>
          </w:rPr>
          <w:t>26</w:t>
        </w:r>
        <w:r w:rsidR="00184681">
          <w:rPr>
            <w:noProof/>
            <w:webHidden/>
          </w:rPr>
          <w:fldChar w:fldCharType="end"/>
        </w:r>
      </w:hyperlink>
    </w:p>
    <w:p w14:paraId="688EFBAF"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12" w:history="1">
        <w:r w:rsidR="00184681" w:rsidRPr="00D93750">
          <w:rPr>
            <w:rStyle w:val="Hypertextovodkaz"/>
            <w:noProof/>
          </w:rPr>
          <w:t>i.</w:t>
        </w:r>
        <w:r w:rsidR="00184681">
          <w:rPr>
            <w:rFonts w:asciiTheme="minorHAnsi" w:eastAsiaTheme="minorEastAsia" w:hAnsiTheme="minorHAnsi"/>
            <w:noProof/>
            <w:sz w:val="22"/>
            <w:lang w:eastAsia="cs-CZ"/>
          </w:rPr>
          <w:tab/>
        </w:r>
        <w:r w:rsidR="00184681" w:rsidRPr="00D93750">
          <w:rPr>
            <w:rStyle w:val="Hypertextovodkaz"/>
            <w:noProof/>
          </w:rPr>
          <w:t>Rozsah blokace plateb</w:t>
        </w:r>
        <w:r w:rsidR="00184681">
          <w:rPr>
            <w:noProof/>
            <w:webHidden/>
          </w:rPr>
          <w:tab/>
        </w:r>
        <w:r w:rsidR="00184681">
          <w:rPr>
            <w:noProof/>
            <w:webHidden/>
          </w:rPr>
          <w:fldChar w:fldCharType="begin"/>
        </w:r>
        <w:r w:rsidR="00184681">
          <w:rPr>
            <w:noProof/>
            <w:webHidden/>
          </w:rPr>
          <w:instrText xml:space="preserve"> PAGEREF _Toc73607712 \h </w:instrText>
        </w:r>
        <w:r w:rsidR="00184681">
          <w:rPr>
            <w:noProof/>
            <w:webHidden/>
          </w:rPr>
        </w:r>
        <w:r w:rsidR="00184681">
          <w:rPr>
            <w:noProof/>
            <w:webHidden/>
          </w:rPr>
          <w:fldChar w:fldCharType="separate"/>
        </w:r>
        <w:r w:rsidR="00184681">
          <w:rPr>
            <w:noProof/>
            <w:webHidden/>
          </w:rPr>
          <w:t>27</w:t>
        </w:r>
        <w:r w:rsidR="00184681">
          <w:rPr>
            <w:noProof/>
            <w:webHidden/>
          </w:rPr>
          <w:fldChar w:fldCharType="end"/>
        </w:r>
      </w:hyperlink>
    </w:p>
    <w:p w14:paraId="505A4C01"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13" w:history="1">
        <w:r w:rsidR="00184681" w:rsidRPr="00D93750">
          <w:rPr>
            <w:rStyle w:val="Hypertextovodkaz"/>
            <w:noProof/>
          </w:rPr>
          <w:t>ii.</w:t>
        </w:r>
        <w:r w:rsidR="00184681">
          <w:rPr>
            <w:rFonts w:asciiTheme="minorHAnsi" w:eastAsiaTheme="minorEastAsia" w:hAnsiTheme="minorHAnsi"/>
            <w:noProof/>
            <w:sz w:val="22"/>
            <w:lang w:eastAsia="cs-CZ"/>
          </w:rPr>
          <w:tab/>
        </w:r>
        <w:r w:rsidR="00184681" w:rsidRPr="00D93750">
          <w:rPr>
            <w:rStyle w:val="Hypertextovodkaz"/>
            <w:noProof/>
          </w:rPr>
          <w:t>Prolomení bankovního tajemství</w:t>
        </w:r>
        <w:r w:rsidR="00184681">
          <w:rPr>
            <w:noProof/>
            <w:webHidden/>
          </w:rPr>
          <w:tab/>
        </w:r>
        <w:r w:rsidR="00184681">
          <w:rPr>
            <w:noProof/>
            <w:webHidden/>
          </w:rPr>
          <w:fldChar w:fldCharType="begin"/>
        </w:r>
        <w:r w:rsidR="00184681">
          <w:rPr>
            <w:noProof/>
            <w:webHidden/>
          </w:rPr>
          <w:instrText xml:space="preserve"> PAGEREF _Toc73607713 \h </w:instrText>
        </w:r>
        <w:r w:rsidR="00184681">
          <w:rPr>
            <w:noProof/>
            <w:webHidden/>
          </w:rPr>
        </w:r>
        <w:r w:rsidR="00184681">
          <w:rPr>
            <w:noProof/>
            <w:webHidden/>
          </w:rPr>
          <w:fldChar w:fldCharType="separate"/>
        </w:r>
        <w:r w:rsidR="00184681">
          <w:rPr>
            <w:noProof/>
            <w:webHidden/>
          </w:rPr>
          <w:t>29</w:t>
        </w:r>
        <w:r w:rsidR="00184681">
          <w:rPr>
            <w:noProof/>
            <w:webHidden/>
          </w:rPr>
          <w:fldChar w:fldCharType="end"/>
        </w:r>
      </w:hyperlink>
    </w:p>
    <w:p w14:paraId="33229DA1"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14" w:history="1">
        <w:r w:rsidR="00184681" w:rsidRPr="00D93750">
          <w:rPr>
            <w:rStyle w:val="Hypertextovodkaz"/>
            <w:noProof/>
          </w:rPr>
          <w:t>iii.</w:t>
        </w:r>
        <w:r w:rsidR="00184681">
          <w:rPr>
            <w:rFonts w:asciiTheme="minorHAnsi" w:eastAsiaTheme="minorEastAsia" w:hAnsiTheme="minorHAnsi"/>
            <w:noProof/>
            <w:sz w:val="22"/>
            <w:lang w:eastAsia="cs-CZ"/>
          </w:rPr>
          <w:tab/>
        </w:r>
        <w:r w:rsidR="00184681" w:rsidRPr="00D93750">
          <w:rPr>
            <w:rStyle w:val="Hypertextovodkaz"/>
            <w:noProof/>
          </w:rPr>
          <w:t>Alternativní platební metody a platební karty</w:t>
        </w:r>
        <w:r w:rsidR="00184681">
          <w:rPr>
            <w:noProof/>
            <w:webHidden/>
          </w:rPr>
          <w:tab/>
        </w:r>
        <w:r w:rsidR="00184681">
          <w:rPr>
            <w:noProof/>
            <w:webHidden/>
          </w:rPr>
          <w:fldChar w:fldCharType="begin"/>
        </w:r>
        <w:r w:rsidR="00184681">
          <w:rPr>
            <w:noProof/>
            <w:webHidden/>
          </w:rPr>
          <w:instrText xml:space="preserve"> PAGEREF _Toc73607714 \h </w:instrText>
        </w:r>
        <w:r w:rsidR="00184681">
          <w:rPr>
            <w:noProof/>
            <w:webHidden/>
          </w:rPr>
        </w:r>
        <w:r w:rsidR="00184681">
          <w:rPr>
            <w:noProof/>
            <w:webHidden/>
          </w:rPr>
          <w:fldChar w:fldCharType="separate"/>
        </w:r>
        <w:r w:rsidR="00184681">
          <w:rPr>
            <w:noProof/>
            <w:webHidden/>
          </w:rPr>
          <w:t>30</w:t>
        </w:r>
        <w:r w:rsidR="00184681">
          <w:rPr>
            <w:noProof/>
            <w:webHidden/>
          </w:rPr>
          <w:fldChar w:fldCharType="end"/>
        </w:r>
      </w:hyperlink>
    </w:p>
    <w:p w14:paraId="5205E61B" w14:textId="77777777" w:rsidR="00184681" w:rsidRDefault="009C0B64" w:rsidP="00184681">
      <w:pPr>
        <w:pStyle w:val="Obsah6"/>
        <w:tabs>
          <w:tab w:val="left" w:pos="1760"/>
          <w:tab w:val="right" w:leader="dot" w:pos="9062"/>
        </w:tabs>
        <w:rPr>
          <w:rFonts w:asciiTheme="minorHAnsi" w:eastAsiaTheme="minorEastAsia" w:hAnsiTheme="minorHAnsi"/>
          <w:noProof/>
          <w:sz w:val="22"/>
          <w:lang w:eastAsia="cs-CZ"/>
        </w:rPr>
      </w:pPr>
      <w:hyperlink w:anchor="_Toc73607715" w:history="1">
        <w:r w:rsidR="00184681" w:rsidRPr="00D93750">
          <w:rPr>
            <w:rStyle w:val="Hypertextovodkaz"/>
            <w:noProof/>
          </w:rPr>
          <w:t>iv.</w:t>
        </w:r>
        <w:r w:rsidR="00184681">
          <w:rPr>
            <w:rFonts w:asciiTheme="minorHAnsi" w:eastAsiaTheme="minorEastAsia" w:hAnsiTheme="minorHAnsi"/>
            <w:noProof/>
            <w:sz w:val="22"/>
            <w:lang w:eastAsia="cs-CZ"/>
          </w:rPr>
          <w:tab/>
        </w:r>
        <w:r w:rsidR="00184681" w:rsidRPr="00D93750">
          <w:rPr>
            <w:rStyle w:val="Hypertextovodkaz"/>
            <w:noProof/>
          </w:rPr>
          <w:t>Společné platební účty</w:t>
        </w:r>
        <w:r w:rsidR="00184681">
          <w:rPr>
            <w:noProof/>
            <w:webHidden/>
          </w:rPr>
          <w:tab/>
        </w:r>
        <w:r w:rsidR="00184681">
          <w:rPr>
            <w:noProof/>
            <w:webHidden/>
          </w:rPr>
          <w:fldChar w:fldCharType="begin"/>
        </w:r>
        <w:r w:rsidR="00184681">
          <w:rPr>
            <w:noProof/>
            <w:webHidden/>
          </w:rPr>
          <w:instrText xml:space="preserve"> PAGEREF _Toc73607715 \h </w:instrText>
        </w:r>
        <w:r w:rsidR="00184681">
          <w:rPr>
            <w:noProof/>
            <w:webHidden/>
          </w:rPr>
        </w:r>
        <w:r w:rsidR="00184681">
          <w:rPr>
            <w:noProof/>
            <w:webHidden/>
          </w:rPr>
          <w:fldChar w:fldCharType="separate"/>
        </w:r>
        <w:r w:rsidR="00184681">
          <w:rPr>
            <w:noProof/>
            <w:webHidden/>
          </w:rPr>
          <w:t>34</w:t>
        </w:r>
        <w:r w:rsidR="00184681">
          <w:rPr>
            <w:noProof/>
            <w:webHidden/>
          </w:rPr>
          <w:fldChar w:fldCharType="end"/>
        </w:r>
      </w:hyperlink>
    </w:p>
    <w:p w14:paraId="475971A0" w14:textId="77777777" w:rsidR="00184681" w:rsidRDefault="009C0B64" w:rsidP="00184681">
      <w:pPr>
        <w:pStyle w:val="Obsah3"/>
        <w:tabs>
          <w:tab w:val="left" w:pos="1200"/>
          <w:tab w:val="right" w:leader="dot" w:pos="9062"/>
        </w:tabs>
        <w:rPr>
          <w:rFonts w:asciiTheme="minorHAnsi" w:eastAsiaTheme="minorEastAsia" w:hAnsiTheme="minorHAnsi"/>
          <w:noProof/>
          <w:sz w:val="22"/>
          <w:lang w:eastAsia="cs-CZ"/>
        </w:rPr>
      </w:pPr>
      <w:hyperlink w:anchor="_Toc73607716" w:history="1">
        <w:r w:rsidR="00184681" w:rsidRPr="00D93750">
          <w:rPr>
            <w:rStyle w:val="Hypertextovodkaz"/>
            <w:noProof/>
          </w:rPr>
          <w:t>1.4</w:t>
        </w:r>
        <w:r w:rsidR="00184681">
          <w:rPr>
            <w:rFonts w:asciiTheme="minorHAnsi" w:eastAsiaTheme="minorEastAsia" w:hAnsiTheme="minorHAnsi"/>
            <w:noProof/>
            <w:sz w:val="22"/>
            <w:lang w:eastAsia="cs-CZ"/>
          </w:rPr>
          <w:tab/>
        </w:r>
        <w:r w:rsidR="00184681" w:rsidRPr="00D93750">
          <w:rPr>
            <w:rStyle w:val="Hypertextovodkaz"/>
            <w:noProof/>
          </w:rPr>
          <w:t>Seznam tabulek, obrázků a grafů</w:t>
        </w:r>
        <w:r w:rsidR="00184681">
          <w:rPr>
            <w:noProof/>
            <w:webHidden/>
          </w:rPr>
          <w:tab/>
        </w:r>
        <w:r w:rsidR="00184681">
          <w:rPr>
            <w:noProof/>
            <w:webHidden/>
          </w:rPr>
          <w:fldChar w:fldCharType="begin"/>
        </w:r>
        <w:r w:rsidR="00184681">
          <w:rPr>
            <w:noProof/>
            <w:webHidden/>
          </w:rPr>
          <w:instrText xml:space="preserve"> PAGEREF _Toc73607716 \h </w:instrText>
        </w:r>
        <w:r w:rsidR="00184681">
          <w:rPr>
            <w:noProof/>
            <w:webHidden/>
          </w:rPr>
        </w:r>
        <w:r w:rsidR="00184681">
          <w:rPr>
            <w:noProof/>
            <w:webHidden/>
          </w:rPr>
          <w:fldChar w:fldCharType="separate"/>
        </w:r>
        <w:r w:rsidR="00184681">
          <w:rPr>
            <w:noProof/>
            <w:webHidden/>
          </w:rPr>
          <w:t>34</w:t>
        </w:r>
        <w:r w:rsidR="00184681">
          <w:rPr>
            <w:noProof/>
            <w:webHidden/>
          </w:rPr>
          <w:fldChar w:fldCharType="end"/>
        </w:r>
      </w:hyperlink>
    </w:p>
    <w:p w14:paraId="4D68DC78" w14:textId="77777777" w:rsidR="00184681" w:rsidRDefault="009C0B64" w:rsidP="00184681">
      <w:pPr>
        <w:pStyle w:val="Obsah4"/>
        <w:tabs>
          <w:tab w:val="left" w:pos="1540"/>
          <w:tab w:val="right" w:leader="dot" w:pos="9062"/>
        </w:tabs>
        <w:rPr>
          <w:rFonts w:asciiTheme="minorHAnsi" w:eastAsiaTheme="minorEastAsia" w:hAnsiTheme="minorHAnsi"/>
          <w:noProof/>
          <w:sz w:val="22"/>
          <w:lang w:eastAsia="cs-CZ"/>
        </w:rPr>
      </w:pPr>
      <w:hyperlink w:anchor="_Toc73607717" w:history="1">
        <w:r w:rsidR="00184681" w:rsidRPr="00D93750">
          <w:rPr>
            <w:rStyle w:val="Hypertextovodkaz"/>
            <w:noProof/>
          </w:rPr>
          <w:t>1.4.1</w:t>
        </w:r>
        <w:r w:rsidR="00184681">
          <w:rPr>
            <w:rFonts w:asciiTheme="minorHAnsi" w:eastAsiaTheme="minorEastAsia" w:hAnsiTheme="minorHAnsi"/>
            <w:noProof/>
            <w:sz w:val="22"/>
            <w:lang w:eastAsia="cs-CZ"/>
          </w:rPr>
          <w:tab/>
        </w:r>
        <w:r w:rsidR="00184681" w:rsidRPr="00D93750">
          <w:rPr>
            <w:rStyle w:val="Hypertextovodkaz"/>
            <w:noProof/>
          </w:rPr>
          <w:t>Tabulky</w:t>
        </w:r>
        <w:r w:rsidR="00184681">
          <w:rPr>
            <w:noProof/>
            <w:webHidden/>
          </w:rPr>
          <w:tab/>
        </w:r>
        <w:r w:rsidR="00184681">
          <w:rPr>
            <w:noProof/>
            <w:webHidden/>
          </w:rPr>
          <w:fldChar w:fldCharType="begin"/>
        </w:r>
        <w:r w:rsidR="00184681">
          <w:rPr>
            <w:noProof/>
            <w:webHidden/>
          </w:rPr>
          <w:instrText xml:space="preserve"> PAGEREF _Toc73607717 \h </w:instrText>
        </w:r>
        <w:r w:rsidR="00184681">
          <w:rPr>
            <w:noProof/>
            <w:webHidden/>
          </w:rPr>
        </w:r>
        <w:r w:rsidR="00184681">
          <w:rPr>
            <w:noProof/>
            <w:webHidden/>
          </w:rPr>
          <w:fldChar w:fldCharType="separate"/>
        </w:r>
        <w:r w:rsidR="00184681">
          <w:rPr>
            <w:noProof/>
            <w:webHidden/>
          </w:rPr>
          <w:t>34</w:t>
        </w:r>
        <w:r w:rsidR="00184681">
          <w:rPr>
            <w:noProof/>
            <w:webHidden/>
          </w:rPr>
          <w:fldChar w:fldCharType="end"/>
        </w:r>
      </w:hyperlink>
    </w:p>
    <w:p w14:paraId="4ADEBD29" w14:textId="77777777" w:rsidR="00184681" w:rsidRDefault="009C0B64" w:rsidP="00184681">
      <w:pPr>
        <w:pStyle w:val="Obsah4"/>
        <w:tabs>
          <w:tab w:val="left" w:pos="1540"/>
          <w:tab w:val="right" w:leader="dot" w:pos="9062"/>
        </w:tabs>
        <w:rPr>
          <w:rFonts w:asciiTheme="minorHAnsi" w:eastAsiaTheme="minorEastAsia" w:hAnsiTheme="minorHAnsi"/>
          <w:noProof/>
          <w:sz w:val="22"/>
          <w:lang w:eastAsia="cs-CZ"/>
        </w:rPr>
      </w:pPr>
      <w:hyperlink w:anchor="_Toc73607718" w:history="1">
        <w:r w:rsidR="00184681" w:rsidRPr="00D93750">
          <w:rPr>
            <w:rStyle w:val="Hypertextovodkaz"/>
            <w:noProof/>
          </w:rPr>
          <w:t>1.4.2</w:t>
        </w:r>
        <w:r w:rsidR="00184681">
          <w:rPr>
            <w:rFonts w:asciiTheme="minorHAnsi" w:eastAsiaTheme="minorEastAsia" w:hAnsiTheme="minorHAnsi"/>
            <w:noProof/>
            <w:sz w:val="22"/>
            <w:lang w:eastAsia="cs-CZ"/>
          </w:rPr>
          <w:tab/>
        </w:r>
        <w:r w:rsidR="00184681" w:rsidRPr="00D93750">
          <w:rPr>
            <w:rStyle w:val="Hypertextovodkaz"/>
            <w:noProof/>
          </w:rPr>
          <w:t>Obrázky</w:t>
        </w:r>
        <w:r w:rsidR="00184681">
          <w:rPr>
            <w:noProof/>
            <w:webHidden/>
          </w:rPr>
          <w:tab/>
        </w:r>
        <w:r w:rsidR="00184681">
          <w:rPr>
            <w:noProof/>
            <w:webHidden/>
          </w:rPr>
          <w:fldChar w:fldCharType="begin"/>
        </w:r>
        <w:r w:rsidR="00184681">
          <w:rPr>
            <w:noProof/>
            <w:webHidden/>
          </w:rPr>
          <w:instrText xml:space="preserve"> PAGEREF _Toc73607718 \h </w:instrText>
        </w:r>
        <w:r w:rsidR="00184681">
          <w:rPr>
            <w:noProof/>
            <w:webHidden/>
          </w:rPr>
        </w:r>
        <w:r w:rsidR="00184681">
          <w:rPr>
            <w:noProof/>
            <w:webHidden/>
          </w:rPr>
          <w:fldChar w:fldCharType="separate"/>
        </w:r>
        <w:r w:rsidR="00184681">
          <w:rPr>
            <w:noProof/>
            <w:webHidden/>
          </w:rPr>
          <w:t>34</w:t>
        </w:r>
        <w:r w:rsidR="00184681">
          <w:rPr>
            <w:noProof/>
            <w:webHidden/>
          </w:rPr>
          <w:fldChar w:fldCharType="end"/>
        </w:r>
      </w:hyperlink>
    </w:p>
    <w:p w14:paraId="5E0BB85E" w14:textId="77777777" w:rsidR="00184681" w:rsidRDefault="009C0B64" w:rsidP="00184681">
      <w:pPr>
        <w:pStyle w:val="Obsah4"/>
        <w:tabs>
          <w:tab w:val="left" w:pos="1540"/>
          <w:tab w:val="right" w:leader="dot" w:pos="9062"/>
        </w:tabs>
        <w:rPr>
          <w:rFonts w:asciiTheme="minorHAnsi" w:eastAsiaTheme="minorEastAsia" w:hAnsiTheme="minorHAnsi"/>
          <w:noProof/>
          <w:sz w:val="22"/>
          <w:lang w:eastAsia="cs-CZ"/>
        </w:rPr>
      </w:pPr>
      <w:hyperlink w:anchor="_Toc73607719" w:history="1">
        <w:r w:rsidR="00184681" w:rsidRPr="00D93750">
          <w:rPr>
            <w:rStyle w:val="Hypertextovodkaz"/>
            <w:noProof/>
          </w:rPr>
          <w:t>1.4.3</w:t>
        </w:r>
        <w:r w:rsidR="00184681">
          <w:rPr>
            <w:rFonts w:asciiTheme="minorHAnsi" w:eastAsiaTheme="minorEastAsia" w:hAnsiTheme="minorHAnsi"/>
            <w:noProof/>
            <w:sz w:val="22"/>
            <w:lang w:eastAsia="cs-CZ"/>
          </w:rPr>
          <w:tab/>
        </w:r>
        <w:r w:rsidR="00184681" w:rsidRPr="00D93750">
          <w:rPr>
            <w:rStyle w:val="Hypertextovodkaz"/>
            <w:noProof/>
          </w:rPr>
          <w:t>Grafy</w:t>
        </w:r>
        <w:r w:rsidR="00184681">
          <w:rPr>
            <w:noProof/>
            <w:webHidden/>
          </w:rPr>
          <w:tab/>
        </w:r>
        <w:r w:rsidR="00184681">
          <w:rPr>
            <w:noProof/>
            <w:webHidden/>
          </w:rPr>
          <w:fldChar w:fldCharType="begin"/>
        </w:r>
        <w:r w:rsidR="00184681">
          <w:rPr>
            <w:noProof/>
            <w:webHidden/>
          </w:rPr>
          <w:instrText xml:space="preserve"> PAGEREF _Toc73607719 \h </w:instrText>
        </w:r>
        <w:r w:rsidR="00184681">
          <w:rPr>
            <w:noProof/>
            <w:webHidden/>
          </w:rPr>
        </w:r>
        <w:r w:rsidR="00184681">
          <w:rPr>
            <w:noProof/>
            <w:webHidden/>
          </w:rPr>
          <w:fldChar w:fldCharType="separate"/>
        </w:r>
        <w:r w:rsidR="00184681">
          <w:rPr>
            <w:noProof/>
            <w:webHidden/>
          </w:rPr>
          <w:t>35</w:t>
        </w:r>
        <w:r w:rsidR="00184681">
          <w:rPr>
            <w:noProof/>
            <w:webHidden/>
          </w:rPr>
          <w:fldChar w:fldCharType="end"/>
        </w:r>
      </w:hyperlink>
    </w:p>
    <w:p w14:paraId="02ACCC43" w14:textId="77777777" w:rsidR="00184681" w:rsidRDefault="009C0B64" w:rsidP="00184681">
      <w:pPr>
        <w:pStyle w:val="Obsah3"/>
        <w:tabs>
          <w:tab w:val="left" w:pos="1200"/>
          <w:tab w:val="right" w:leader="dot" w:pos="9062"/>
        </w:tabs>
        <w:rPr>
          <w:rFonts w:asciiTheme="minorHAnsi" w:eastAsiaTheme="minorEastAsia" w:hAnsiTheme="minorHAnsi"/>
          <w:noProof/>
          <w:sz w:val="22"/>
          <w:lang w:eastAsia="cs-CZ"/>
        </w:rPr>
      </w:pPr>
      <w:hyperlink w:anchor="_Toc73607720" w:history="1">
        <w:r w:rsidR="00184681" w:rsidRPr="00D93750">
          <w:rPr>
            <w:rStyle w:val="Hypertextovodkaz"/>
            <w:noProof/>
          </w:rPr>
          <w:t>1.5</w:t>
        </w:r>
        <w:r w:rsidR="00184681">
          <w:rPr>
            <w:rFonts w:asciiTheme="minorHAnsi" w:eastAsiaTheme="minorEastAsia" w:hAnsiTheme="minorHAnsi"/>
            <w:noProof/>
            <w:sz w:val="22"/>
            <w:lang w:eastAsia="cs-CZ"/>
          </w:rPr>
          <w:tab/>
        </w:r>
        <w:r w:rsidR="00184681" w:rsidRPr="00D93750">
          <w:rPr>
            <w:rStyle w:val="Hypertextovodkaz"/>
            <w:noProof/>
          </w:rPr>
          <w:t>Obsah</w:t>
        </w:r>
        <w:r w:rsidR="00184681">
          <w:rPr>
            <w:noProof/>
            <w:webHidden/>
          </w:rPr>
          <w:tab/>
        </w:r>
        <w:r w:rsidR="00184681">
          <w:rPr>
            <w:noProof/>
            <w:webHidden/>
          </w:rPr>
          <w:fldChar w:fldCharType="begin"/>
        </w:r>
        <w:r w:rsidR="00184681">
          <w:rPr>
            <w:noProof/>
            <w:webHidden/>
          </w:rPr>
          <w:instrText xml:space="preserve"> PAGEREF _Toc73607720 \h </w:instrText>
        </w:r>
        <w:r w:rsidR="00184681">
          <w:rPr>
            <w:noProof/>
            <w:webHidden/>
          </w:rPr>
        </w:r>
        <w:r w:rsidR="00184681">
          <w:rPr>
            <w:noProof/>
            <w:webHidden/>
          </w:rPr>
          <w:fldChar w:fldCharType="separate"/>
        </w:r>
        <w:r w:rsidR="00184681">
          <w:rPr>
            <w:noProof/>
            <w:webHidden/>
          </w:rPr>
          <w:t>35</w:t>
        </w:r>
        <w:r w:rsidR="00184681">
          <w:rPr>
            <w:noProof/>
            <w:webHidden/>
          </w:rPr>
          <w:fldChar w:fldCharType="end"/>
        </w:r>
      </w:hyperlink>
    </w:p>
    <w:p w14:paraId="2E721D66" w14:textId="3A24DF36" w:rsidR="00184681" w:rsidRPr="00184681" w:rsidRDefault="00184681" w:rsidP="00184681">
      <w:pPr>
        <w:rPr>
          <w:highlight w:val="lightGray"/>
        </w:rPr>
      </w:pPr>
      <w:r>
        <w:fldChar w:fldCharType="end"/>
      </w:r>
    </w:p>
    <w:p w14:paraId="6DB4B30F" w14:textId="26E3E814" w:rsidR="00A861A9" w:rsidRDefault="00E91C8F" w:rsidP="00E91C8F">
      <w:pPr>
        <w:pStyle w:val="Nadpis3"/>
        <w:numPr>
          <w:ilvl w:val="0"/>
          <w:numId w:val="0"/>
        </w:numPr>
        <w:ind w:left="720" w:hanging="720"/>
      </w:pPr>
      <w:bookmarkStart w:id="194" w:name="_Toc72999603"/>
      <w:bookmarkStart w:id="195" w:name="_Toc73613659"/>
      <w:r w:rsidRPr="00F17245">
        <w:t xml:space="preserve">Příloha č. 9: </w:t>
      </w:r>
      <w:r w:rsidR="00A861A9" w:rsidRPr="00F17245">
        <w:t>Povolovací řízení</w:t>
      </w:r>
      <w:bookmarkEnd w:id="194"/>
      <w:bookmarkEnd w:id="195"/>
    </w:p>
    <w:p w14:paraId="253E5F55" w14:textId="0859E271" w:rsidR="00E140AF" w:rsidRDefault="00E140AF" w:rsidP="00E140AF">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64DC0A22" w14:textId="77777777" w:rsidR="00E140AF" w:rsidRDefault="009C0B64" w:rsidP="00E140AF">
      <w:pPr>
        <w:pStyle w:val="Obsah3"/>
        <w:tabs>
          <w:tab w:val="left" w:pos="1200"/>
          <w:tab w:val="right" w:leader="dot" w:pos="9062"/>
        </w:tabs>
        <w:rPr>
          <w:rFonts w:asciiTheme="minorHAnsi" w:eastAsiaTheme="minorEastAsia" w:hAnsiTheme="minorHAnsi"/>
          <w:noProof/>
          <w:sz w:val="22"/>
          <w:lang w:eastAsia="cs-CZ"/>
        </w:rPr>
      </w:pPr>
      <w:hyperlink w:anchor="_Toc73608966" w:history="1">
        <w:r w:rsidR="00E140AF" w:rsidRPr="00E608BF">
          <w:rPr>
            <w:rStyle w:val="Hypertextovodkaz"/>
            <w:noProof/>
          </w:rPr>
          <w:t>1.1</w:t>
        </w:r>
        <w:r w:rsidR="00E140AF">
          <w:rPr>
            <w:rFonts w:asciiTheme="minorHAnsi" w:eastAsiaTheme="minorEastAsia" w:hAnsiTheme="minorHAnsi"/>
            <w:noProof/>
            <w:sz w:val="22"/>
            <w:lang w:eastAsia="cs-CZ"/>
          </w:rPr>
          <w:tab/>
        </w:r>
        <w:r w:rsidR="00E140AF" w:rsidRPr="00E608BF">
          <w:rPr>
            <w:rStyle w:val="Hypertextovodkaz"/>
            <w:noProof/>
          </w:rPr>
          <w:t>Konkrétní popis regulace obsažené v zákoně o loteriích</w:t>
        </w:r>
        <w:r w:rsidR="00E140AF">
          <w:rPr>
            <w:noProof/>
            <w:webHidden/>
          </w:rPr>
          <w:tab/>
        </w:r>
        <w:r w:rsidR="00E140AF">
          <w:rPr>
            <w:noProof/>
            <w:webHidden/>
          </w:rPr>
          <w:fldChar w:fldCharType="begin"/>
        </w:r>
        <w:r w:rsidR="00E140AF">
          <w:rPr>
            <w:noProof/>
            <w:webHidden/>
          </w:rPr>
          <w:instrText xml:space="preserve"> PAGEREF _Toc73608966 \h </w:instrText>
        </w:r>
        <w:r w:rsidR="00E140AF">
          <w:rPr>
            <w:noProof/>
            <w:webHidden/>
          </w:rPr>
        </w:r>
        <w:r w:rsidR="00E140AF">
          <w:rPr>
            <w:noProof/>
            <w:webHidden/>
          </w:rPr>
          <w:fldChar w:fldCharType="separate"/>
        </w:r>
        <w:r w:rsidR="00E140AF">
          <w:rPr>
            <w:noProof/>
            <w:webHidden/>
          </w:rPr>
          <w:t>1</w:t>
        </w:r>
        <w:r w:rsidR="00E140AF">
          <w:rPr>
            <w:noProof/>
            <w:webHidden/>
          </w:rPr>
          <w:fldChar w:fldCharType="end"/>
        </w:r>
      </w:hyperlink>
    </w:p>
    <w:p w14:paraId="687D946A"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67" w:history="1">
        <w:r w:rsidR="00E140AF" w:rsidRPr="00E608BF">
          <w:rPr>
            <w:rStyle w:val="Hypertextovodkaz"/>
            <w:noProof/>
          </w:rPr>
          <w:t>A.</w:t>
        </w:r>
        <w:r w:rsidR="00E140AF">
          <w:rPr>
            <w:rFonts w:asciiTheme="minorHAnsi" w:eastAsiaTheme="minorEastAsia" w:hAnsiTheme="minorHAnsi"/>
            <w:noProof/>
            <w:sz w:val="22"/>
            <w:lang w:eastAsia="cs-CZ"/>
          </w:rPr>
          <w:tab/>
        </w:r>
        <w:r w:rsidR="00E140AF" w:rsidRPr="00E608BF">
          <w:rPr>
            <w:rStyle w:val="Hypertextovodkaz"/>
            <w:noProof/>
          </w:rPr>
          <w:t>Povolení k provozování loterií a jiných podobných her</w:t>
        </w:r>
        <w:r w:rsidR="00E140AF">
          <w:rPr>
            <w:noProof/>
            <w:webHidden/>
          </w:rPr>
          <w:tab/>
        </w:r>
        <w:r w:rsidR="00E140AF">
          <w:rPr>
            <w:noProof/>
            <w:webHidden/>
          </w:rPr>
          <w:fldChar w:fldCharType="begin"/>
        </w:r>
        <w:r w:rsidR="00E140AF">
          <w:rPr>
            <w:noProof/>
            <w:webHidden/>
          </w:rPr>
          <w:instrText xml:space="preserve"> PAGEREF _Toc73608967 \h </w:instrText>
        </w:r>
        <w:r w:rsidR="00E140AF">
          <w:rPr>
            <w:noProof/>
            <w:webHidden/>
          </w:rPr>
        </w:r>
        <w:r w:rsidR="00E140AF">
          <w:rPr>
            <w:noProof/>
            <w:webHidden/>
          </w:rPr>
          <w:fldChar w:fldCharType="separate"/>
        </w:r>
        <w:r w:rsidR="00E140AF">
          <w:rPr>
            <w:noProof/>
            <w:webHidden/>
          </w:rPr>
          <w:t>1</w:t>
        </w:r>
        <w:r w:rsidR="00E140AF">
          <w:rPr>
            <w:noProof/>
            <w:webHidden/>
          </w:rPr>
          <w:fldChar w:fldCharType="end"/>
        </w:r>
      </w:hyperlink>
    </w:p>
    <w:p w14:paraId="34B38D16"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68" w:history="1">
        <w:r w:rsidR="00E140AF" w:rsidRPr="00E608BF">
          <w:rPr>
            <w:rStyle w:val="Hypertextovodkaz"/>
            <w:noProof/>
          </w:rPr>
          <w:t>B.</w:t>
        </w:r>
        <w:r w:rsidR="00E140AF">
          <w:rPr>
            <w:rFonts w:asciiTheme="minorHAnsi" w:eastAsiaTheme="minorEastAsia" w:hAnsiTheme="minorHAnsi"/>
            <w:noProof/>
            <w:sz w:val="22"/>
            <w:lang w:eastAsia="cs-CZ"/>
          </w:rPr>
          <w:tab/>
        </w:r>
        <w:r w:rsidR="00E140AF" w:rsidRPr="00E608BF">
          <w:rPr>
            <w:rStyle w:val="Hypertextovodkaz"/>
            <w:noProof/>
          </w:rPr>
          <w:t>Ohlášení hazardní hry, tombola a turnaj malého rozsahu</w:t>
        </w:r>
        <w:r w:rsidR="00E140AF">
          <w:rPr>
            <w:noProof/>
            <w:webHidden/>
          </w:rPr>
          <w:tab/>
        </w:r>
        <w:r w:rsidR="00E140AF">
          <w:rPr>
            <w:noProof/>
            <w:webHidden/>
          </w:rPr>
          <w:fldChar w:fldCharType="begin"/>
        </w:r>
        <w:r w:rsidR="00E140AF">
          <w:rPr>
            <w:noProof/>
            <w:webHidden/>
          </w:rPr>
          <w:instrText xml:space="preserve"> PAGEREF _Toc73608968 \h </w:instrText>
        </w:r>
        <w:r w:rsidR="00E140AF">
          <w:rPr>
            <w:noProof/>
            <w:webHidden/>
          </w:rPr>
        </w:r>
        <w:r w:rsidR="00E140AF">
          <w:rPr>
            <w:noProof/>
            <w:webHidden/>
          </w:rPr>
          <w:fldChar w:fldCharType="separate"/>
        </w:r>
        <w:r w:rsidR="00E140AF">
          <w:rPr>
            <w:noProof/>
            <w:webHidden/>
          </w:rPr>
          <w:t>2</w:t>
        </w:r>
        <w:r w:rsidR="00E140AF">
          <w:rPr>
            <w:noProof/>
            <w:webHidden/>
          </w:rPr>
          <w:fldChar w:fldCharType="end"/>
        </w:r>
      </w:hyperlink>
    </w:p>
    <w:p w14:paraId="67385204" w14:textId="77777777" w:rsidR="00E140AF" w:rsidRDefault="009C0B64" w:rsidP="00E140AF">
      <w:pPr>
        <w:pStyle w:val="Obsah3"/>
        <w:tabs>
          <w:tab w:val="left" w:pos="1200"/>
          <w:tab w:val="right" w:leader="dot" w:pos="9062"/>
        </w:tabs>
        <w:rPr>
          <w:rFonts w:asciiTheme="minorHAnsi" w:eastAsiaTheme="minorEastAsia" w:hAnsiTheme="minorHAnsi"/>
          <w:noProof/>
          <w:sz w:val="22"/>
          <w:lang w:eastAsia="cs-CZ"/>
        </w:rPr>
      </w:pPr>
      <w:hyperlink w:anchor="_Toc73608969" w:history="1">
        <w:r w:rsidR="00E140AF" w:rsidRPr="00E608BF">
          <w:rPr>
            <w:rStyle w:val="Hypertextovodkaz"/>
            <w:noProof/>
          </w:rPr>
          <w:t>1.2</w:t>
        </w:r>
        <w:r w:rsidR="00E140AF">
          <w:rPr>
            <w:rFonts w:asciiTheme="minorHAnsi" w:eastAsiaTheme="minorEastAsia" w:hAnsiTheme="minorHAnsi"/>
            <w:noProof/>
            <w:sz w:val="22"/>
            <w:lang w:eastAsia="cs-CZ"/>
          </w:rPr>
          <w:tab/>
        </w:r>
        <w:r w:rsidR="00E140AF" w:rsidRPr="00E608BF">
          <w:rPr>
            <w:rStyle w:val="Hypertextovodkaz"/>
            <w:noProof/>
          </w:rPr>
          <w:t>Konkrétní popis regulace obsažené v zákoně o hazardních hrách</w:t>
        </w:r>
        <w:r w:rsidR="00E140AF">
          <w:rPr>
            <w:noProof/>
            <w:webHidden/>
          </w:rPr>
          <w:tab/>
        </w:r>
        <w:r w:rsidR="00E140AF">
          <w:rPr>
            <w:noProof/>
            <w:webHidden/>
          </w:rPr>
          <w:fldChar w:fldCharType="begin"/>
        </w:r>
        <w:r w:rsidR="00E140AF">
          <w:rPr>
            <w:noProof/>
            <w:webHidden/>
          </w:rPr>
          <w:instrText xml:space="preserve"> PAGEREF _Toc73608969 \h </w:instrText>
        </w:r>
        <w:r w:rsidR="00E140AF">
          <w:rPr>
            <w:noProof/>
            <w:webHidden/>
          </w:rPr>
        </w:r>
        <w:r w:rsidR="00E140AF">
          <w:rPr>
            <w:noProof/>
            <w:webHidden/>
          </w:rPr>
          <w:fldChar w:fldCharType="separate"/>
        </w:r>
        <w:r w:rsidR="00E140AF">
          <w:rPr>
            <w:noProof/>
            <w:webHidden/>
          </w:rPr>
          <w:t>2</w:t>
        </w:r>
        <w:r w:rsidR="00E140AF">
          <w:rPr>
            <w:noProof/>
            <w:webHidden/>
          </w:rPr>
          <w:fldChar w:fldCharType="end"/>
        </w:r>
      </w:hyperlink>
    </w:p>
    <w:p w14:paraId="76AF592A"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70" w:history="1">
        <w:r w:rsidR="00E140AF" w:rsidRPr="00E608BF">
          <w:rPr>
            <w:rStyle w:val="Hypertextovodkaz"/>
            <w:noProof/>
          </w:rPr>
          <w:t>A.</w:t>
        </w:r>
        <w:r w:rsidR="00E140AF">
          <w:rPr>
            <w:rFonts w:asciiTheme="minorHAnsi" w:eastAsiaTheme="minorEastAsia" w:hAnsiTheme="minorHAnsi"/>
            <w:noProof/>
            <w:sz w:val="22"/>
            <w:lang w:eastAsia="cs-CZ"/>
          </w:rPr>
          <w:tab/>
        </w:r>
        <w:r w:rsidR="00E140AF" w:rsidRPr="00E608BF">
          <w:rPr>
            <w:rStyle w:val="Hypertextovodkaz"/>
            <w:noProof/>
          </w:rPr>
          <w:t>Základní povolení</w:t>
        </w:r>
        <w:r w:rsidR="00E140AF">
          <w:rPr>
            <w:noProof/>
            <w:webHidden/>
          </w:rPr>
          <w:tab/>
        </w:r>
        <w:r w:rsidR="00E140AF">
          <w:rPr>
            <w:noProof/>
            <w:webHidden/>
          </w:rPr>
          <w:fldChar w:fldCharType="begin"/>
        </w:r>
        <w:r w:rsidR="00E140AF">
          <w:rPr>
            <w:noProof/>
            <w:webHidden/>
          </w:rPr>
          <w:instrText xml:space="preserve"> PAGEREF _Toc73608970 \h </w:instrText>
        </w:r>
        <w:r w:rsidR="00E140AF">
          <w:rPr>
            <w:noProof/>
            <w:webHidden/>
          </w:rPr>
        </w:r>
        <w:r w:rsidR="00E140AF">
          <w:rPr>
            <w:noProof/>
            <w:webHidden/>
          </w:rPr>
          <w:fldChar w:fldCharType="separate"/>
        </w:r>
        <w:r w:rsidR="00E140AF">
          <w:rPr>
            <w:noProof/>
            <w:webHidden/>
          </w:rPr>
          <w:t>2</w:t>
        </w:r>
        <w:r w:rsidR="00E140AF">
          <w:rPr>
            <w:noProof/>
            <w:webHidden/>
          </w:rPr>
          <w:fldChar w:fldCharType="end"/>
        </w:r>
      </w:hyperlink>
    </w:p>
    <w:p w14:paraId="3FFC87CF"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71" w:history="1">
        <w:r w:rsidR="00E140AF" w:rsidRPr="00E608BF">
          <w:rPr>
            <w:rStyle w:val="Hypertextovodkaz"/>
            <w:noProof/>
          </w:rPr>
          <w:t>B.</w:t>
        </w:r>
        <w:r w:rsidR="00E140AF">
          <w:rPr>
            <w:rFonts w:asciiTheme="minorHAnsi" w:eastAsiaTheme="minorEastAsia" w:hAnsiTheme="minorHAnsi"/>
            <w:noProof/>
            <w:sz w:val="22"/>
            <w:lang w:eastAsia="cs-CZ"/>
          </w:rPr>
          <w:tab/>
        </w:r>
        <w:r w:rsidR="00E140AF" w:rsidRPr="00E608BF">
          <w:rPr>
            <w:rStyle w:val="Hypertextovodkaz"/>
            <w:noProof/>
          </w:rPr>
          <w:t>Povolení k umístění herního prostoru</w:t>
        </w:r>
        <w:r w:rsidR="00E140AF">
          <w:rPr>
            <w:noProof/>
            <w:webHidden/>
          </w:rPr>
          <w:tab/>
        </w:r>
        <w:r w:rsidR="00E140AF">
          <w:rPr>
            <w:noProof/>
            <w:webHidden/>
          </w:rPr>
          <w:fldChar w:fldCharType="begin"/>
        </w:r>
        <w:r w:rsidR="00E140AF">
          <w:rPr>
            <w:noProof/>
            <w:webHidden/>
          </w:rPr>
          <w:instrText xml:space="preserve"> PAGEREF _Toc73608971 \h </w:instrText>
        </w:r>
        <w:r w:rsidR="00E140AF">
          <w:rPr>
            <w:noProof/>
            <w:webHidden/>
          </w:rPr>
        </w:r>
        <w:r w:rsidR="00E140AF">
          <w:rPr>
            <w:noProof/>
            <w:webHidden/>
          </w:rPr>
          <w:fldChar w:fldCharType="separate"/>
        </w:r>
        <w:r w:rsidR="00E140AF">
          <w:rPr>
            <w:noProof/>
            <w:webHidden/>
          </w:rPr>
          <w:t>19</w:t>
        </w:r>
        <w:r w:rsidR="00E140AF">
          <w:rPr>
            <w:noProof/>
            <w:webHidden/>
          </w:rPr>
          <w:fldChar w:fldCharType="end"/>
        </w:r>
      </w:hyperlink>
    </w:p>
    <w:p w14:paraId="55F2EB3C"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72" w:history="1">
        <w:r w:rsidR="00E140AF" w:rsidRPr="00E608BF">
          <w:rPr>
            <w:rStyle w:val="Hypertextovodkaz"/>
            <w:noProof/>
          </w:rPr>
          <w:t>C.</w:t>
        </w:r>
        <w:r w:rsidR="00E140AF">
          <w:rPr>
            <w:rFonts w:asciiTheme="minorHAnsi" w:eastAsiaTheme="minorEastAsia" w:hAnsiTheme="minorHAnsi"/>
            <w:noProof/>
            <w:sz w:val="22"/>
            <w:lang w:eastAsia="cs-CZ"/>
          </w:rPr>
          <w:tab/>
        </w:r>
        <w:r w:rsidR="00E140AF" w:rsidRPr="00E608BF">
          <w:rPr>
            <w:rStyle w:val="Hypertextovodkaz"/>
            <w:noProof/>
          </w:rPr>
          <w:t>Ohlášení hazardní hry</w:t>
        </w:r>
        <w:r w:rsidR="00E140AF">
          <w:rPr>
            <w:noProof/>
            <w:webHidden/>
          </w:rPr>
          <w:tab/>
        </w:r>
        <w:r w:rsidR="00E140AF">
          <w:rPr>
            <w:noProof/>
            <w:webHidden/>
          </w:rPr>
          <w:fldChar w:fldCharType="begin"/>
        </w:r>
        <w:r w:rsidR="00E140AF">
          <w:rPr>
            <w:noProof/>
            <w:webHidden/>
          </w:rPr>
          <w:instrText xml:space="preserve"> PAGEREF _Toc73608972 \h </w:instrText>
        </w:r>
        <w:r w:rsidR="00E140AF">
          <w:rPr>
            <w:noProof/>
            <w:webHidden/>
          </w:rPr>
        </w:r>
        <w:r w:rsidR="00E140AF">
          <w:rPr>
            <w:noProof/>
            <w:webHidden/>
          </w:rPr>
          <w:fldChar w:fldCharType="separate"/>
        </w:r>
        <w:r w:rsidR="00E140AF">
          <w:rPr>
            <w:noProof/>
            <w:webHidden/>
          </w:rPr>
          <w:t>22</w:t>
        </w:r>
        <w:r w:rsidR="00E140AF">
          <w:rPr>
            <w:noProof/>
            <w:webHidden/>
          </w:rPr>
          <w:fldChar w:fldCharType="end"/>
        </w:r>
      </w:hyperlink>
    </w:p>
    <w:p w14:paraId="6337513C" w14:textId="77777777" w:rsidR="00E140AF" w:rsidRDefault="009C0B64" w:rsidP="00E140AF">
      <w:pPr>
        <w:pStyle w:val="Obsah3"/>
        <w:tabs>
          <w:tab w:val="left" w:pos="1200"/>
          <w:tab w:val="right" w:leader="dot" w:pos="9062"/>
        </w:tabs>
        <w:rPr>
          <w:rFonts w:asciiTheme="minorHAnsi" w:eastAsiaTheme="minorEastAsia" w:hAnsiTheme="minorHAnsi"/>
          <w:noProof/>
          <w:sz w:val="22"/>
          <w:lang w:eastAsia="cs-CZ"/>
        </w:rPr>
      </w:pPr>
      <w:hyperlink w:anchor="_Toc73608973" w:history="1">
        <w:r w:rsidR="00E140AF" w:rsidRPr="00E608BF">
          <w:rPr>
            <w:rStyle w:val="Hypertextovodkaz"/>
            <w:noProof/>
          </w:rPr>
          <w:t>1.3</w:t>
        </w:r>
        <w:r w:rsidR="00E140AF">
          <w:rPr>
            <w:rFonts w:asciiTheme="minorHAnsi" w:eastAsiaTheme="minorEastAsia" w:hAnsiTheme="minorHAnsi"/>
            <w:noProof/>
            <w:sz w:val="22"/>
            <w:lang w:eastAsia="cs-CZ"/>
          </w:rPr>
          <w:tab/>
        </w:r>
        <w:r w:rsidR="00E140AF" w:rsidRPr="00E608BF">
          <w:rPr>
            <w:rStyle w:val="Hypertextovodkaz"/>
            <w:noProof/>
          </w:rPr>
          <w:t>Konkrétní popis nástrojů, včetně oblastí, na které by bylo vhodné se v budoucnu zaměřit, a návrh doporučení či možných variant řešení</w:t>
        </w:r>
        <w:r w:rsidR="00E140AF">
          <w:rPr>
            <w:noProof/>
            <w:webHidden/>
          </w:rPr>
          <w:tab/>
        </w:r>
        <w:r w:rsidR="00E140AF">
          <w:rPr>
            <w:noProof/>
            <w:webHidden/>
          </w:rPr>
          <w:fldChar w:fldCharType="begin"/>
        </w:r>
        <w:r w:rsidR="00E140AF">
          <w:rPr>
            <w:noProof/>
            <w:webHidden/>
          </w:rPr>
          <w:instrText xml:space="preserve"> PAGEREF _Toc73608973 \h </w:instrText>
        </w:r>
        <w:r w:rsidR="00E140AF">
          <w:rPr>
            <w:noProof/>
            <w:webHidden/>
          </w:rPr>
        </w:r>
        <w:r w:rsidR="00E140AF">
          <w:rPr>
            <w:noProof/>
            <w:webHidden/>
          </w:rPr>
          <w:fldChar w:fldCharType="separate"/>
        </w:r>
        <w:r w:rsidR="00E140AF">
          <w:rPr>
            <w:noProof/>
            <w:webHidden/>
          </w:rPr>
          <w:t>23</w:t>
        </w:r>
        <w:r w:rsidR="00E140AF">
          <w:rPr>
            <w:noProof/>
            <w:webHidden/>
          </w:rPr>
          <w:fldChar w:fldCharType="end"/>
        </w:r>
      </w:hyperlink>
    </w:p>
    <w:p w14:paraId="5C344EF9"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74" w:history="1">
        <w:r w:rsidR="00E140AF" w:rsidRPr="00E608BF">
          <w:rPr>
            <w:rStyle w:val="Hypertextovodkaz"/>
            <w:noProof/>
          </w:rPr>
          <w:t>A.</w:t>
        </w:r>
        <w:r w:rsidR="00E140AF">
          <w:rPr>
            <w:rFonts w:asciiTheme="minorHAnsi" w:eastAsiaTheme="minorEastAsia" w:hAnsiTheme="minorHAnsi"/>
            <w:noProof/>
            <w:sz w:val="22"/>
            <w:lang w:eastAsia="cs-CZ"/>
          </w:rPr>
          <w:tab/>
        </w:r>
        <w:r w:rsidR="00E140AF" w:rsidRPr="00E608BF">
          <w:rPr>
            <w:rStyle w:val="Hypertextovodkaz"/>
            <w:noProof/>
          </w:rPr>
          <w:t>Základní povolení</w:t>
        </w:r>
        <w:r w:rsidR="00E140AF">
          <w:rPr>
            <w:noProof/>
            <w:webHidden/>
          </w:rPr>
          <w:tab/>
        </w:r>
        <w:r w:rsidR="00E140AF">
          <w:rPr>
            <w:noProof/>
            <w:webHidden/>
          </w:rPr>
          <w:fldChar w:fldCharType="begin"/>
        </w:r>
        <w:r w:rsidR="00E140AF">
          <w:rPr>
            <w:noProof/>
            <w:webHidden/>
          </w:rPr>
          <w:instrText xml:space="preserve"> PAGEREF _Toc73608974 \h </w:instrText>
        </w:r>
        <w:r w:rsidR="00E140AF">
          <w:rPr>
            <w:noProof/>
            <w:webHidden/>
          </w:rPr>
        </w:r>
        <w:r w:rsidR="00E140AF">
          <w:rPr>
            <w:noProof/>
            <w:webHidden/>
          </w:rPr>
          <w:fldChar w:fldCharType="separate"/>
        </w:r>
        <w:r w:rsidR="00E140AF">
          <w:rPr>
            <w:noProof/>
            <w:webHidden/>
          </w:rPr>
          <w:t>23</w:t>
        </w:r>
        <w:r w:rsidR="00E140AF">
          <w:rPr>
            <w:noProof/>
            <w:webHidden/>
          </w:rPr>
          <w:fldChar w:fldCharType="end"/>
        </w:r>
      </w:hyperlink>
    </w:p>
    <w:p w14:paraId="5DC6A10A"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75" w:history="1">
        <w:r w:rsidR="00E140AF" w:rsidRPr="00E608BF">
          <w:rPr>
            <w:rStyle w:val="Hypertextovodkaz"/>
            <w:noProof/>
          </w:rPr>
          <w:t>i.</w:t>
        </w:r>
        <w:r w:rsidR="00E140AF">
          <w:rPr>
            <w:rFonts w:asciiTheme="minorHAnsi" w:eastAsiaTheme="minorEastAsia" w:hAnsiTheme="minorHAnsi"/>
            <w:noProof/>
            <w:sz w:val="22"/>
            <w:lang w:eastAsia="cs-CZ"/>
          </w:rPr>
          <w:tab/>
        </w:r>
        <w:r w:rsidR="00E140AF" w:rsidRPr="00E608BF">
          <w:rPr>
            <w:rStyle w:val="Hypertextovodkaz"/>
            <w:noProof/>
          </w:rPr>
          <w:t>Požadavek na zřízení kontrolního orgánu</w:t>
        </w:r>
        <w:r w:rsidR="00E140AF">
          <w:rPr>
            <w:noProof/>
            <w:webHidden/>
          </w:rPr>
          <w:tab/>
        </w:r>
        <w:r w:rsidR="00E140AF">
          <w:rPr>
            <w:noProof/>
            <w:webHidden/>
          </w:rPr>
          <w:fldChar w:fldCharType="begin"/>
        </w:r>
        <w:r w:rsidR="00E140AF">
          <w:rPr>
            <w:noProof/>
            <w:webHidden/>
          </w:rPr>
          <w:instrText xml:space="preserve"> PAGEREF _Toc73608975 \h </w:instrText>
        </w:r>
        <w:r w:rsidR="00E140AF">
          <w:rPr>
            <w:noProof/>
            <w:webHidden/>
          </w:rPr>
        </w:r>
        <w:r w:rsidR="00E140AF">
          <w:rPr>
            <w:noProof/>
            <w:webHidden/>
          </w:rPr>
          <w:fldChar w:fldCharType="separate"/>
        </w:r>
        <w:r w:rsidR="00E140AF">
          <w:rPr>
            <w:noProof/>
            <w:webHidden/>
          </w:rPr>
          <w:t>23</w:t>
        </w:r>
        <w:r w:rsidR="00E140AF">
          <w:rPr>
            <w:noProof/>
            <w:webHidden/>
          </w:rPr>
          <w:fldChar w:fldCharType="end"/>
        </w:r>
      </w:hyperlink>
    </w:p>
    <w:p w14:paraId="281CDCC5"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76" w:history="1">
        <w:r w:rsidR="00E140AF" w:rsidRPr="00E608BF">
          <w:rPr>
            <w:rStyle w:val="Hypertextovodkaz"/>
            <w:noProof/>
          </w:rPr>
          <w:t>ii.</w:t>
        </w:r>
        <w:r w:rsidR="00E140AF">
          <w:rPr>
            <w:rFonts w:asciiTheme="minorHAnsi" w:eastAsiaTheme="minorEastAsia" w:hAnsiTheme="minorHAnsi"/>
            <w:noProof/>
            <w:sz w:val="22"/>
            <w:lang w:eastAsia="cs-CZ"/>
          </w:rPr>
          <w:tab/>
        </w:r>
        <w:r w:rsidR="00E140AF" w:rsidRPr="00E608BF">
          <w:rPr>
            <w:rStyle w:val="Hypertextovodkaz"/>
            <w:noProof/>
          </w:rPr>
          <w:t>Definice bezdlužnosti žadatele, resp. provozovatele</w:t>
        </w:r>
        <w:r w:rsidR="00E140AF">
          <w:rPr>
            <w:noProof/>
            <w:webHidden/>
          </w:rPr>
          <w:tab/>
        </w:r>
        <w:r w:rsidR="00E140AF">
          <w:rPr>
            <w:noProof/>
            <w:webHidden/>
          </w:rPr>
          <w:fldChar w:fldCharType="begin"/>
        </w:r>
        <w:r w:rsidR="00E140AF">
          <w:rPr>
            <w:noProof/>
            <w:webHidden/>
          </w:rPr>
          <w:instrText xml:space="preserve"> PAGEREF _Toc73608976 \h </w:instrText>
        </w:r>
        <w:r w:rsidR="00E140AF">
          <w:rPr>
            <w:noProof/>
            <w:webHidden/>
          </w:rPr>
        </w:r>
        <w:r w:rsidR="00E140AF">
          <w:rPr>
            <w:noProof/>
            <w:webHidden/>
          </w:rPr>
          <w:fldChar w:fldCharType="separate"/>
        </w:r>
        <w:r w:rsidR="00E140AF">
          <w:rPr>
            <w:noProof/>
            <w:webHidden/>
          </w:rPr>
          <w:t>26</w:t>
        </w:r>
        <w:r w:rsidR="00E140AF">
          <w:rPr>
            <w:noProof/>
            <w:webHidden/>
          </w:rPr>
          <w:fldChar w:fldCharType="end"/>
        </w:r>
      </w:hyperlink>
    </w:p>
    <w:p w14:paraId="764E26C3"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77" w:history="1">
        <w:r w:rsidR="00E140AF" w:rsidRPr="00E608BF">
          <w:rPr>
            <w:rStyle w:val="Hypertextovodkaz"/>
            <w:noProof/>
          </w:rPr>
          <w:t>iii.</w:t>
        </w:r>
        <w:r w:rsidR="00E140AF">
          <w:rPr>
            <w:rFonts w:asciiTheme="minorHAnsi" w:eastAsiaTheme="minorEastAsia" w:hAnsiTheme="minorHAnsi"/>
            <w:noProof/>
            <w:sz w:val="22"/>
            <w:lang w:eastAsia="cs-CZ"/>
          </w:rPr>
          <w:tab/>
        </w:r>
        <w:r w:rsidR="00E140AF" w:rsidRPr="00E608BF">
          <w:rPr>
            <w:rStyle w:val="Hypertextovodkaz"/>
            <w:noProof/>
          </w:rPr>
          <w:t>Potvrzení o bezdlužnosti a bezúhonnosti podle § 91 odst. 4 a § 92 odst. 4 zákona o hazardních hrách</w:t>
        </w:r>
        <w:r w:rsidR="00E140AF">
          <w:rPr>
            <w:noProof/>
            <w:webHidden/>
          </w:rPr>
          <w:tab/>
        </w:r>
        <w:r w:rsidR="00E140AF">
          <w:rPr>
            <w:noProof/>
            <w:webHidden/>
          </w:rPr>
          <w:fldChar w:fldCharType="begin"/>
        </w:r>
        <w:r w:rsidR="00E140AF">
          <w:rPr>
            <w:noProof/>
            <w:webHidden/>
          </w:rPr>
          <w:instrText xml:space="preserve"> PAGEREF _Toc73608977 \h </w:instrText>
        </w:r>
        <w:r w:rsidR="00E140AF">
          <w:rPr>
            <w:noProof/>
            <w:webHidden/>
          </w:rPr>
        </w:r>
        <w:r w:rsidR="00E140AF">
          <w:rPr>
            <w:noProof/>
            <w:webHidden/>
          </w:rPr>
          <w:fldChar w:fldCharType="separate"/>
        </w:r>
        <w:r w:rsidR="00E140AF">
          <w:rPr>
            <w:noProof/>
            <w:webHidden/>
          </w:rPr>
          <w:t>28</w:t>
        </w:r>
        <w:r w:rsidR="00E140AF">
          <w:rPr>
            <w:noProof/>
            <w:webHidden/>
          </w:rPr>
          <w:fldChar w:fldCharType="end"/>
        </w:r>
      </w:hyperlink>
    </w:p>
    <w:p w14:paraId="2F3205B2"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78" w:history="1">
        <w:r w:rsidR="00E140AF" w:rsidRPr="00E608BF">
          <w:rPr>
            <w:rStyle w:val="Hypertextovodkaz"/>
            <w:noProof/>
          </w:rPr>
          <w:t>iv.</w:t>
        </w:r>
        <w:r w:rsidR="00E140AF">
          <w:rPr>
            <w:rFonts w:asciiTheme="minorHAnsi" w:eastAsiaTheme="minorEastAsia" w:hAnsiTheme="minorHAnsi"/>
            <w:noProof/>
            <w:sz w:val="22"/>
            <w:lang w:eastAsia="cs-CZ"/>
          </w:rPr>
          <w:tab/>
        </w:r>
        <w:r w:rsidR="00E140AF" w:rsidRPr="00E608BF">
          <w:rPr>
            <w:rStyle w:val="Hypertextovodkaz"/>
            <w:noProof/>
          </w:rPr>
          <w:t>Herní plán a jeho dokládání</w:t>
        </w:r>
        <w:r w:rsidR="00E140AF">
          <w:rPr>
            <w:noProof/>
            <w:webHidden/>
          </w:rPr>
          <w:tab/>
        </w:r>
        <w:r w:rsidR="00E140AF">
          <w:rPr>
            <w:noProof/>
            <w:webHidden/>
          </w:rPr>
          <w:fldChar w:fldCharType="begin"/>
        </w:r>
        <w:r w:rsidR="00E140AF">
          <w:rPr>
            <w:noProof/>
            <w:webHidden/>
          </w:rPr>
          <w:instrText xml:space="preserve"> PAGEREF _Toc73608978 \h </w:instrText>
        </w:r>
        <w:r w:rsidR="00E140AF">
          <w:rPr>
            <w:noProof/>
            <w:webHidden/>
          </w:rPr>
        </w:r>
        <w:r w:rsidR="00E140AF">
          <w:rPr>
            <w:noProof/>
            <w:webHidden/>
          </w:rPr>
          <w:fldChar w:fldCharType="separate"/>
        </w:r>
        <w:r w:rsidR="00E140AF">
          <w:rPr>
            <w:noProof/>
            <w:webHidden/>
          </w:rPr>
          <w:t>29</w:t>
        </w:r>
        <w:r w:rsidR="00E140AF">
          <w:rPr>
            <w:noProof/>
            <w:webHidden/>
          </w:rPr>
          <w:fldChar w:fldCharType="end"/>
        </w:r>
      </w:hyperlink>
    </w:p>
    <w:p w14:paraId="2D114512"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79" w:history="1">
        <w:r w:rsidR="00E140AF" w:rsidRPr="00E608BF">
          <w:rPr>
            <w:rStyle w:val="Hypertextovodkaz"/>
            <w:noProof/>
          </w:rPr>
          <w:t>v.</w:t>
        </w:r>
        <w:r w:rsidR="00E140AF">
          <w:rPr>
            <w:rFonts w:asciiTheme="minorHAnsi" w:eastAsiaTheme="minorEastAsia" w:hAnsiTheme="minorHAnsi"/>
            <w:noProof/>
            <w:sz w:val="22"/>
            <w:lang w:eastAsia="cs-CZ"/>
          </w:rPr>
          <w:tab/>
        </w:r>
        <w:r w:rsidR="00E140AF" w:rsidRPr="00E608BF">
          <w:rPr>
            <w:rStyle w:val="Hypertextovodkaz"/>
            <w:noProof/>
          </w:rPr>
          <w:t>Dokládání herního plánu ve správním řízení z moci úřední</w:t>
        </w:r>
        <w:r w:rsidR="00E140AF">
          <w:rPr>
            <w:noProof/>
            <w:webHidden/>
          </w:rPr>
          <w:tab/>
        </w:r>
        <w:r w:rsidR="00E140AF">
          <w:rPr>
            <w:noProof/>
            <w:webHidden/>
          </w:rPr>
          <w:fldChar w:fldCharType="begin"/>
        </w:r>
        <w:r w:rsidR="00E140AF">
          <w:rPr>
            <w:noProof/>
            <w:webHidden/>
          </w:rPr>
          <w:instrText xml:space="preserve"> PAGEREF _Toc73608979 \h </w:instrText>
        </w:r>
        <w:r w:rsidR="00E140AF">
          <w:rPr>
            <w:noProof/>
            <w:webHidden/>
          </w:rPr>
        </w:r>
        <w:r w:rsidR="00E140AF">
          <w:rPr>
            <w:noProof/>
            <w:webHidden/>
          </w:rPr>
          <w:fldChar w:fldCharType="separate"/>
        </w:r>
        <w:r w:rsidR="00E140AF">
          <w:rPr>
            <w:noProof/>
            <w:webHidden/>
          </w:rPr>
          <w:t>32</w:t>
        </w:r>
        <w:r w:rsidR="00E140AF">
          <w:rPr>
            <w:noProof/>
            <w:webHidden/>
          </w:rPr>
          <w:fldChar w:fldCharType="end"/>
        </w:r>
      </w:hyperlink>
    </w:p>
    <w:p w14:paraId="0A93A15A"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0" w:history="1">
        <w:r w:rsidR="00E140AF" w:rsidRPr="00E608BF">
          <w:rPr>
            <w:rStyle w:val="Hypertextovodkaz"/>
            <w:noProof/>
          </w:rPr>
          <w:t>vi.</w:t>
        </w:r>
        <w:r w:rsidR="00E140AF">
          <w:rPr>
            <w:rFonts w:asciiTheme="minorHAnsi" w:eastAsiaTheme="minorEastAsia" w:hAnsiTheme="minorHAnsi"/>
            <w:noProof/>
            <w:sz w:val="22"/>
            <w:lang w:eastAsia="cs-CZ"/>
          </w:rPr>
          <w:tab/>
        </w:r>
        <w:r w:rsidR="00E140AF" w:rsidRPr="00E608BF">
          <w:rPr>
            <w:rStyle w:val="Hypertextovodkaz"/>
            <w:noProof/>
          </w:rPr>
          <w:t>Doba, na kterou je základní povolení vydáváno</w:t>
        </w:r>
        <w:r w:rsidR="00E140AF">
          <w:rPr>
            <w:noProof/>
            <w:webHidden/>
          </w:rPr>
          <w:tab/>
        </w:r>
        <w:r w:rsidR="00E140AF">
          <w:rPr>
            <w:noProof/>
            <w:webHidden/>
          </w:rPr>
          <w:fldChar w:fldCharType="begin"/>
        </w:r>
        <w:r w:rsidR="00E140AF">
          <w:rPr>
            <w:noProof/>
            <w:webHidden/>
          </w:rPr>
          <w:instrText xml:space="preserve"> PAGEREF _Toc73608980 \h </w:instrText>
        </w:r>
        <w:r w:rsidR="00E140AF">
          <w:rPr>
            <w:noProof/>
            <w:webHidden/>
          </w:rPr>
        </w:r>
        <w:r w:rsidR="00E140AF">
          <w:rPr>
            <w:noProof/>
            <w:webHidden/>
          </w:rPr>
          <w:fldChar w:fldCharType="separate"/>
        </w:r>
        <w:r w:rsidR="00E140AF">
          <w:rPr>
            <w:noProof/>
            <w:webHidden/>
          </w:rPr>
          <w:t>33</w:t>
        </w:r>
        <w:r w:rsidR="00E140AF">
          <w:rPr>
            <w:noProof/>
            <w:webHidden/>
          </w:rPr>
          <w:fldChar w:fldCharType="end"/>
        </w:r>
      </w:hyperlink>
    </w:p>
    <w:p w14:paraId="5CA1BD0E"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1" w:history="1">
        <w:r w:rsidR="00E140AF" w:rsidRPr="00E608BF">
          <w:rPr>
            <w:rStyle w:val="Hypertextovodkaz"/>
            <w:noProof/>
          </w:rPr>
          <w:t>vii.</w:t>
        </w:r>
        <w:r w:rsidR="00E140AF">
          <w:rPr>
            <w:rFonts w:asciiTheme="minorHAnsi" w:eastAsiaTheme="minorEastAsia" w:hAnsiTheme="minorHAnsi"/>
            <w:noProof/>
            <w:sz w:val="22"/>
            <w:lang w:eastAsia="cs-CZ"/>
          </w:rPr>
          <w:tab/>
        </w:r>
        <w:r w:rsidR="00E140AF" w:rsidRPr="00E608BF">
          <w:rPr>
            <w:rStyle w:val="Hypertextovodkaz"/>
            <w:noProof/>
          </w:rPr>
          <w:t>Rozsah oprávnění stanovovat podmínky řádného provozování v základním povolení</w:t>
        </w:r>
        <w:r w:rsidR="00E140AF">
          <w:rPr>
            <w:noProof/>
            <w:webHidden/>
          </w:rPr>
          <w:tab/>
        </w:r>
        <w:r w:rsidR="00E140AF">
          <w:rPr>
            <w:noProof/>
            <w:webHidden/>
          </w:rPr>
          <w:fldChar w:fldCharType="begin"/>
        </w:r>
        <w:r w:rsidR="00E140AF">
          <w:rPr>
            <w:noProof/>
            <w:webHidden/>
          </w:rPr>
          <w:instrText xml:space="preserve"> PAGEREF _Toc73608981 \h </w:instrText>
        </w:r>
        <w:r w:rsidR="00E140AF">
          <w:rPr>
            <w:noProof/>
            <w:webHidden/>
          </w:rPr>
        </w:r>
        <w:r w:rsidR="00E140AF">
          <w:rPr>
            <w:noProof/>
            <w:webHidden/>
          </w:rPr>
          <w:fldChar w:fldCharType="separate"/>
        </w:r>
        <w:r w:rsidR="00E140AF">
          <w:rPr>
            <w:noProof/>
            <w:webHidden/>
          </w:rPr>
          <w:t>34</w:t>
        </w:r>
        <w:r w:rsidR="00E140AF">
          <w:rPr>
            <w:noProof/>
            <w:webHidden/>
          </w:rPr>
          <w:fldChar w:fldCharType="end"/>
        </w:r>
      </w:hyperlink>
    </w:p>
    <w:p w14:paraId="43DEA73D" w14:textId="77777777" w:rsidR="00E140AF" w:rsidRDefault="009C0B64" w:rsidP="00E140AF">
      <w:pPr>
        <w:pStyle w:val="Obsah6"/>
        <w:tabs>
          <w:tab w:val="left" w:pos="1767"/>
          <w:tab w:val="right" w:leader="dot" w:pos="9062"/>
        </w:tabs>
        <w:rPr>
          <w:rFonts w:asciiTheme="minorHAnsi" w:eastAsiaTheme="minorEastAsia" w:hAnsiTheme="minorHAnsi"/>
          <w:noProof/>
          <w:sz w:val="22"/>
          <w:lang w:eastAsia="cs-CZ"/>
        </w:rPr>
      </w:pPr>
      <w:hyperlink w:anchor="_Toc73608982" w:history="1">
        <w:r w:rsidR="00E140AF" w:rsidRPr="00E608BF">
          <w:rPr>
            <w:rStyle w:val="Hypertextovodkaz"/>
            <w:noProof/>
          </w:rPr>
          <w:t>viii.</w:t>
        </w:r>
        <w:r w:rsidR="00E140AF">
          <w:rPr>
            <w:rFonts w:asciiTheme="minorHAnsi" w:eastAsiaTheme="minorEastAsia" w:hAnsiTheme="minorHAnsi"/>
            <w:noProof/>
            <w:sz w:val="22"/>
            <w:lang w:eastAsia="cs-CZ"/>
          </w:rPr>
          <w:tab/>
        </w:r>
        <w:r w:rsidR="00E140AF" w:rsidRPr="00E608BF">
          <w:rPr>
            <w:rStyle w:val="Hypertextovodkaz"/>
            <w:noProof/>
          </w:rPr>
          <w:t>Vydávání navazujícího základního povolení</w:t>
        </w:r>
        <w:r w:rsidR="00E140AF">
          <w:rPr>
            <w:noProof/>
            <w:webHidden/>
          </w:rPr>
          <w:tab/>
        </w:r>
        <w:r w:rsidR="00E140AF">
          <w:rPr>
            <w:noProof/>
            <w:webHidden/>
          </w:rPr>
          <w:fldChar w:fldCharType="begin"/>
        </w:r>
        <w:r w:rsidR="00E140AF">
          <w:rPr>
            <w:noProof/>
            <w:webHidden/>
          </w:rPr>
          <w:instrText xml:space="preserve"> PAGEREF _Toc73608982 \h </w:instrText>
        </w:r>
        <w:r w:rsidR="00E140AF">
          <w:rPr>
            <w:noProof/>
            <w:webHidden/>
          </w:rPr>
        </w:r>
        <w:r w:rsidR="00E140AF">
          <w:rPr>
            <w:noProof/>
            <w:webHidden/>
          </w:rPr>
          <w:fldChar w:fldCharType="separate"/>
        </w:r>
        <w:r w:rsidR="00E140AF">
          <w:rPr>
            <w:noProof/>
            <w:webHidden/>
          </w:rPr>
          <w:t>35</w:t>
        </w:r>
        <w:r w:rsidR="00E140AF">
          <w:rPr>
            <w:noProof/>
            <w:webHidden/>
          </w:rPr>
          <w:fldChar w:fldCharType="end"/>
        </w:r>
      </w:hyperlink>
    </w:p>
    <w:p w14:paraId="4FC2B13E"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3" w:history="1">
        <w:r w:rsidR="00E140AF" w:rsidRPr="00E608BF">
          <w:rPr>
            <w:rStyle w:val="Hypertextovodkaz"/>
            <w:noProof/>
          </w:rPr>
          <w:t>ix.</w:t>
        </w:r>
        <w:r w:rsidR="00E140AF">
          <w:rPr>
            <w:rFonts w:asciiTheme="minorHAnsi" w:eastAsiaTheme="minorEastAsia" w:hAnsiTheme="minorHAnsi"/>
            <w:noProof/>
            <w:sz w:val="22"/>
            <w:lang w:eastAsia="cs-CZ"/>
          </w:rPr>
          <w:tab/>
        </w:r>
        <w:r w:rsidR="00E140AF" w:rsidRPr="00E608BF">
          <w:rPr>
            <w:rStyle w:val="Hypertextovodkaz"/>
            <w:noProof/>
          </w:rPr>
          <w:t>Zrušení nebo zánik základního povolení a podmínky vypořádání provozování hazardní hry</w:t>
        </w:r>
        <w:r w:rsidR="00E140AF">
          <w:rPr>
            <w:noProof/>
            <w:webHidden/>
          </w:rPr>
          <w:tab/>
        </w:r>
        <w:r w:rsidR="00E140AF">
          <w:rPr>
            <w:noProof/>
            <w:webHidden/>
          </w:rPr>
          <w:fldChar w:fldCharType="begin"/>
        </w:r>
        <w:r w:rsidR="00E140AF">
          <w:rPr>
            <w:noProof/>
            <w:webHidden/>
          </w:rPr>
          <w:instrText xml:space="preserve"> PAGEREF _Toc73608983 \h </w:instrText>
        </w:r>
        <w:r w:rsidR="00E140AF">
          <w:rPr>
            <w:noProof/>
            <w:webHidden/>
          </w:rPr>
        </w:r>
        <w:r w:rsidR="00E140AF">
          <w:rPr>
            <w:noProof/>
            <w:webHidden/>
          </w:rPr>
          <w:fldChar w:fldCharType="separate"/>
        </w:r>
        <w:r w:rsidR="00E140AF">
          <w:rPr>
            <w:noProof/>
            <w:webHidden/>
          </w:rPr>
          <w:t>37</w:t>
        </w:r>
        <w:r w:rsidR="00E140AF">
          <w:rPr>
            <w:noProof/>
            <w:webHidden/>
          </w:rPr>
          <w:fldChar w:fldCharType="end"/>
        </w:r>
      </w:hyperlink>
    </w:p>
    <w:p w14:paraId="7B166871"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4" w:history="1">
        <w:r w:rsidR="00E140AF" w:rsidRPr="00E608BF">
          <w:rPr>
            <w:rStyle w:val="Hypertextovodkaz"/>
            <w:noProof/>
          </w:rPr>
          <w:t>x.</w:t>
        </w:r>
        <w:r w:rsidR="00E140AF">
          <w:rPr>
            <w:rFonts w:asciiTheme="minorHAnsi" w:eastAsiaTheme="minorEastAsia" w:hAnsiTheme="minorHAnsi"/>
            <w:noProof/>
            <w:sz w:val="22"/>
            <w:lang w:eastAsia="cs-CZ"/>
          </w:rPr>
          <w:tab/>
        </w:r>
        <w:r w:rsidR="00E140AF" w:rsidRPr="00E608BF">
          <w:rPr>
            <w:rStyle w:val="Hypertextovodkaz"/>
            <w:noProof/>
          </w:rPr>
          <w:t>Přechod základního povolení a podrobnější podmínky postupu</w:t>
        </w:r>
        <w:r w:rsidR="00E140AF">
          <w:rPr>
            <w:noProof/>
            <w:webHidden/>
          </w:rPr>
          <w:tab/>
        </w:r>
        <w:r w:rsidR="00E140AF">
          <w:rPr>
            <w:noProof/>
            <w:webHidden/>
          </w:rPr>
          <w:fldChar w:fldCharType="begin"/>
        </w:r>
        <w:r w:rsidR="00E140AF">
          <w:rPr>
            <w:noProof/>
            <w:webHidden/>
          </w:rPr>
          <w:instrText xml:space="preserve"> PAGEREF _Toc73608984 \h </w:instrText>
        </w:r>
        <w:r w:rsidR="00E140AF">
          <w:rPr>
            <w:noProof/>
            <w:webHidden/>
          </w:rPr>
        </w:r>
        <w:r w:rsidR="00E140AF">
          <w:rPr>
            <w:noProof/>
            <w:webHidden/>
          </w:rPr>
          <w:fldChar w:fldCharType="separate"/>
        </w:r>
        <w:r w:rsidR="00E140AF">
          <w:rPr>
            <w:noProof/>
            <w:webHidden/>
          </w:rPr>
          <w:t>39</w:t>
        </w:r>
        <w:r w:rsidR="00E140AF">
          <w:rPr>
            <w:noProof/>
            <w:webHidden/>
          </w:rPr>
          <w:fldChar w:fldCharType="end"/>
        </w:r>
      </w:hyperlink>
    </w:p>
    <w:p w14:paraId="25B1BDD9"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5" w:history="1">
        <w:r w:rsidR="00E140AF" w:rsidRPr="00E608BF">
          <w:rPr>
            <w:rStyle w:val="Hypertextovodkaz"/>
            <w:noProof/>
          </w:rPr>
          <w:t>xi.</w:t>
        </w:r>
        <w:r w:rsidR="00E140AF">
          <w:rPr>
            <w:rFonts w:asciiTheme="minorHAnsi" w:eastAsiaTheme="minorEastAsia" w:hAnsiTheme="minorHAnsi"/>
            <w:noProof/>
            <w:sz w:val="22"/>
            <w:lang w:eastAsia="cs-CZ"/>
          </w:rPr>
          <w:tab/>
        </w:r>
        <w:r w:rsidR="00E140AF" w:rsidRPr="00E608BF">
          <w:rPr>
            <w:rStyle w:val="Hypertextovodkaz"/>
            <w:noProof/>
          </w:rPr>
          <w:t>Požadavky na vlastní zdroje a průhledný a nezávadný původ zdrojů</w:t>
        </w:r>
        <w:r w:rsidR="00E140AF">
          <w:rPr>
            <w:noProof/>
            <w:webHidden/>
          </w:rPr>
          <w:tab/>
        </w:r>
        <w:r w:rsidR="00E140AF">
          <w:rPr>
            <w:noProof/>
            <w:webHidden/>
          </w:rPr>
          <w:fldChar w:fldCharType="begin"/>
        </w:r>
        <w:r w:rsidR="00E140AF">
          <w:rPr>
            <w:noProof/>
            <w:webHidden/>
          </w:rPr>
          <w:instrText xml:space="preserve"> PAGEREF _Toc73608985 \h </w:instrText>
        </w:r>
        <w:r w:rsidR="00E140AF">
          <w:rPr>
            <w:noProof/>
            <w:webHidden/>
          </w:rPr>
        </w:r>
        <w:r w:rsidR="00E140AF">
          <w:rPr>
            <w:noProof/>
            <w:webHidden/>
          </w:rPr>
          <w:fldChar w:fldCharType="separate"/>
        </w:r>
        <w:r w:rsidR="00E140AF">
          <w:rPr>
            <w:noProof/>
            <w:webHidden/>
          </w:rPr>
          <w:t>40</w:t>
        </w:r>
        <w:r w:rsidR="00E140AF">
          <w:rPr>
            <w:noProof/>
            <w:webHidden/>
          </w:rPr>
          <w:fldChar w:fldCharType="end"/>
        </w:r>
      </w:hyperlink>
    </w:p>
    <w:p w14:paraId="2ECCFEFB"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86" w:history="1">
        <w:r w:rsidR="00E140AF" w:rsidRPr="00E608BF">
          <w:rPr>
            <w:rStyle w:val="Hypertextovodkaz"/>
            <w:noProof/>
          </w:rPr>
          <w:t>B.</w:t>
        </w:r>
        <w:r w:rsidR="00E140AF">
          <w:rPr>
            <w:rFonts w:asciiTheme="minorHAnsi" w:eastAsiaTheme="minorEastAsia" w:hAnsiTheme="minorHAnsi"/>
            <w:noProof/>
            <w:sz w:val="22"/>
            <w:lang w:eastAsia="cs-CZ"/>
          </w:rPr>
          <w:tab/>
        </w:r>
        <w:r w:rsidR="00E140AF" w:rsidRPr="00E608BF">
          <w:rPr>
            <w:rStyle w:val="Hypertextovodkaz"/>
            <w:noProof/>
          </w:rPr>
          <w:t>Povolení k umístění herního prostoru</w:t>
        </w:r>
        <w:r w:rsidR="00E140AF">
          <w:rPr>
            <w:noProof/>
            <w:webHidden/>
          </w:rPr>
          <w:tab/>
        </w:r>
        <w:r w:rsidR="00E140AF">
          <w:rPr>
            <w:noProof/>
            <w:webHidden/>
          </w:rPr>
          <w:fldChar w:fldCharType="begin"/>
        </w:r>
        <w:r w:rsidR="00E140AF">
          <w:rPr>
            <w:noProof/>
            <w:webHidden/>
          </w:rPr>
          <w:instrText xml:space="preserve"> PAGEREF _Toc73608986 \h </w:instrText>
        </w:r>
        <w:r w:rsidR="00E140AF">
          <w:rPr>
            <w:noProof/>
            <w:webHidden/>
          </w:rPr>
        </w:r>
        <w:r w:rsidR="00E140AF">
          <w:rPr>
            <w:noProof/>
            <w:webHidden/>
          </w:rPr>
          <w:fldChar w:fldCharType="separate"/>
        </w:r>
        <w:r w:rsidR="00E140AF">
          <w:rPr>
            <w:noProof/>
            <w:webHidden/>
          </w:rPr>
          <w:t>59</w:t>
        </w:r>
        <w:r w:rsidR="00E140AF">
          <w:rPr>
            <w:noProof/>
            <w:webHidden/>
          </w:rPr>
          <w:fldChar w:fldCharType="end"/>
        </w:r>
      </w:hyperlink>
    </w:p>
    <w:p w14:paraId="095EB229"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7" w:history="1">
        <w:r w:rsidR="00E140AF" w:rsidRPr="00E608BF">
          <w:rPr>
            <w:rStyle w:val="Hypertextovodkaz"/>
            <w:noProof/>
          </w:rPr>
          <w:t>i.</w:t>
        </w:r>
        <w:r w:rsidR="00E140AF">
          <w:rPr>
            <w:rFonts w:asciiTheme="minorHAnsi" w:eastAsiaTheme="minorEastAsia" w:hAnsiTheme="minorHAnsi"/>
            <w:noProof/>
            <w:sz w:val="22"/>
            <w:lang w:eastAsia="cs-CZ"/>
          </w:rPr>
          <w:tab/>
        </w:r>
        <w:r w:rsidR="00E140AF" w:rsidRPr="00E608BF">
          <w:rPr>
            <w:rStyle w:val="Hypertextovodkaz"/>
            <w:noProof/>
          </w:rPr>
          <w:t>Schéma kamerového systému jako příloha k žádosti</w:t>
        </w:r>
        <w:r w:rsidR="00E140AF">
          <w:rPr>
            <w:noProof/>
            <w:webHidden/>
          </w:rPr>
          <w:tab/>
        </w:r>
        <w:r w:rsidR="00E140AF">
          <w:rPr>
            <w:noProof/>
            <w:webHidden/>
          </w:rPr>
          <w:fldChar w:fldCharType="begin"/>
        </w:r>
        <w:r w:rsidR="00E140AF">
          <w:rPr>
            <w:noProof/>
            <w:webHidden/>
          </w:rPr>
          <w:instrText xml:space="preserve"> PAGEREF _Toc73608987 \h </w:instrText>
        </w:r>
        <w:r w:rsidR="00E140AF">
          <w:rPr>
            <w:noProof/>
            <w:webHidden/>
          </w:rPr>
        </w:r>
        <w:r w:rsidR="00E140AF">
          <w:rPr>
            <w:noProof/>
            <w:webHidden/>
          </w:rPr>
          <w:fldChar w:fldCharType="separate"/>
        </w:r>
        <w:r w:rsidR="00E140AF">
          <w:rPr>
            <w:noProof/>
            <w:webHidden/>
          </w:rPr>
          <w:t>60</w:t>
        </w:r>
        <w:r w:rsidR="00E140AF">
          <w:rPr>
            <w:noProof/>
            <w:webHidden/>
          </w:rPr>
          <w:fldChar w:fldCharType="end"/>
        </w:r>
      </w:hyperlink>
    </w:p>
    <w:p w14:paraId="10E5939B" w14:textId="77777777" w:rsidR="00E140AF" w:rsidRDefault="009C0B64" w:rsidP="00E140AF">
      <w:pPr>
        <w:pStyle w:val="Obsah5"/>
        <w:tabs>
          <w:tab w:val="left" w:pos="1540"/>
          <w:tab w:val="right" w:leader="dot" w:pos="9062"/>
        </w:tabs>
        <w:rPr>
          <w:rFonts w:asciiTheme="minorHAnsi" w:eastAsiaTheme="minorEastAsia" w:hAnsiTheme="minorHAnsi"/>
          <w:noProof/>
          <w:sz w:val="22"/>
          <w:lang w:eastAsia="cs-CZ"/>
        </w:rPr>
      </w:pPr>
      <w:hyperlink w:anchor="_Toc73608988" w:history="1">
        <w:r w:rsidR="00E140AF" w:rsidRPr="00E608BF">
          <w:rPr>
            <w:rStyle w:val="Hypertextovodkaz"/>
            <w:noProof/>
          </w:rPr>
          <w:t>C.</w:t>
        </w:r>
        <w:r w:rsidR="00E140AF">
          <w:rPr>
            <w:rFonts w:asciiTheme="minorHAnsi" w:eastAsiaTheme="minorEastAsia" w:hAnsiTheme="minorHAnsi"/>
            <w:noProof/>
            <w:sz w:val="22"/>
            <w:lang w:eastAsia="cs-CZ"/>
          </w:rPr>
          <w:tab/>
        </w:r>
        <w:r w:rsidR="00E140AF" w:rsidRPr="00E608BF">
          <w:rPr>
            <w:rStyle w:val="Hypertextovodkaz"/>
            <w:noProof/>
          </w:rPr>
          <w:t>Ohlášení hazardní hry</w:t>
        </w:r>
        <w:r w:rsidR="00E140AF">
          <w:rPr>
            <w:noProof/>
            <w:webHidden/>
          </w:rPr>
          <w:tab/>
        </w:r>
        <w:r w:rsidR="00E140AF">
          <w:rPr>
            <w:noProof/>
            <w:webHidden/>
          </w:rPr>
          <w:fldChar w:fldCharType="begin"/>
        </w:r>
        <w:r w:rsidR="00E140AF">
          <w:rPr>
            <w:noProof/>
            <w:webHidden/>
          </w:rPr>
          <w:instrText xml:space="preserve"> PAGEREF _Toc73608988 \h </w:instrText>
        </w:r>
        <w:r w:rsidR="00E140AF">
          <w:rPr>
            <w:noProof/>
            <w:webHidden/>
          </w:rPr>
        </w:r>
        <w:r w:rsidR="00E140AF">
          <w:rPr>
            <w:noProof/>
            <w:webHidden/>
          </w:rPr>
          <w:fldChar w:fldCharType="separate"/>
        </w:r>
        <w:r w:rsidR="00E140AF">
          <w:rPr>
            <w:noProof/>
            <w:webHidden/>
          </w:rPr>
          <w:t>61</w:t>
        </w:r>
        <w:r w:rsidR="00E140AF">
          <w:rPr>
            <w:noProof/>
            <w:webHidden/>
          </w:rPr>
          <w:fldChar w:fldCharType="end"/>
        </w:r>
      </w:hyperlink>
    </w:p>
    <w:p w14:paraId="525C6A70"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89" w:history="1">
        <w:r w:rsidR="00E140AF" w:rsidRPr="00E608BF">
          <w:rPr>
            <w:rStyle w:val="Hypertextovodkaz"/>
            <w:noProof/>
          </w:rPr>
          <w:t>i.</w:t>
        </w:r>
        <w:r w:rsidR="00E140AF">
          <w:rPr>
            <w:rFonts w:asciiTheme="minorHAnsi" w:eastAsiaTheme="minorEastAsia" w:hAnsiTheme="minorHAnsi"/>
            <w:noProof/>
            <w:sz w:val="22"/>
            <w:lang w:eastAsia="cs-CZ"/>
          </w:rPr>
          <w:tab/>
        </w:r>
        <w:r w:rsidR="00E140AF" w:rsidRPr="00E608BF">
          <w:rPr>
            <w:rStyle w:val="Hypertextovodkaz"/>
            <w:noProof/>
          </w:rPr>
          <w:t>Vydání rozhodnutí o zákazu je prvním úkonem v řízení</w:t>
        </w:r>
        <w:r w:rsidR="00E140AF">
          <w:rPr>
            <w:noProof/>
            <w:webHidden/>
          </w:rPr>
          <w:tab/>
        </w:r>
        <w:r w:rsidR="00E140AF">
          <w:rPr>
            <w:noProof/>
            <w:webHidden/>
          </w:rPr>
          <w:fldChar w:fldCharType="begin"/>
        </w:r>
        <w:r w:rsidR="00E140AF">
          <w:rPr>
            <w:noProof/>
            <w:webHidden/>
          </w:rPr>
          <w:instrText xml:space="preserve"> PAGEREF _Toc73608989 \h </w:instrText>
        </w:r>
        <w:r w:rsidR="00E140AF">
          <w:rPr>
            <w:noProof/>
            <w:webHidden/>
          </w:rPr>
        </w:r>
        <w:r w:rsidR="00E140AF">
          <w:rPr>
            <w:noProof/>
            <w:webHidden/>
          </w:rPr>
          <w:fldChar w:fldCharType="separate"/>
        </w:r>
        <w:r w:rsidR="00E140AF">
          <w:rPr>
            <w:noProof/>
            <w:webHidden/>
          </w:rPr>
          <w:t>61</w:t>
        </w:r>
        <w:r w:rsidR="00E140AF">
          <w:rPr>
            <w:noProof/>
            <w:webHidden/>
          </w:rPr>
          <w:fldChar w:fldCharType="end"/>
        </w:r>
      </w:hyperlink>
    </w:p>
    <w:p w14:paraId="3E6C2F51"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90" w:history="1">
        <w:r w:rsidR="00E140AF" w:rsidRPr="00E608BF">
          <w:rPr>
            <w:rStyle w:val="Hypertextovodkaz"/>
            <w:noProof/>
          </w:rPr>
          <w:t>ii.</w:t>
        </w:r>
        <w:r w:rsidR="00E140AF">
          <w:rPr>
            <w:rFonts w:asciiTheme="minorHAnsi" w:eastAsiaTheme="minorEastAsia" w:hAnsiTheme="minorHAnsi"/>
            <w:noProof/>
            <w:sz w:val="22"/>
            <w:lang w:eastAsia="cs-CZ"/>
          </w:rPr>
          <w:tab/>
        </w:r>
        <w:r w:rsidR="00E140AF" w:rsidRPr="00E608BF">
          <w:rPr>
            <w:rStyle w:val="Hypertextovodkaz"/>
            <w:noProof/>
          </w:rPr>
          <w:t>Podání odvolání proti rozhodnutí o zákazu provozování ohlašované hazardní hry</w:t>
        </w:r>
        <w:r w:rsidR="00E140AF">
          <w:rPr>
            <w:noProof/>
            <w:webHidden/>
          </w:rPr>
          <w:tab/>
        </w:r>
        <w:r w:rsidR="00E140AF">
          <w:rPr>
            <w:noProof/>
            <w:webHidden/>
          </w:rPr>
          <w:fldChar w:fldCharType="begin"/>
        </w:r>
        <w:r w:rsidR="00E140AF">
          <w:rPr>
            <w:noProof/>
            <w:webHidden/>
          </w:rPr>
          <w:instrText xml:space="preserve"> PAGEREF _Toc73608990 \h </w:instrText>
        </w:r>
        <w:r w:rsidR="00E140AF">
          <w:rPr>
            <w:noProof/>
            <w:webHidden/>
          </w:rPr>
        </w:r>
        <w:r w:rsidR="00E140AF">
          <w:rPr>
            <w:noProof/>
            <w:webHidden/>
          </w:rPr>
          <w:fldChar w:fldCharType="separate"/>
        </w:r>
        <w:r w:rsidR="00E140AF">
          <w:rPr>
            <w:noProof/>
            <w:webHidden/>
          </w:rPr>
          <w:t>62</w:t>
        </w:r>
        <w:r w:rsidR="00E140AF">
          <w:rPr>
            <w:noProof/>
            <w:webHidden/>
          </w:rPr>
          <w:fldChar w:fldCharType="end"/>
        </w:r>
      </w:hyperlink>
    </w:p>
    <w:p w14:paraId="57600E17" w14:textId="77777777" w:rsidR="00E140AF" w:rsidRDefault="009C0B64" w:rsidP="00E140AF">
      <w:pPr>
        <w:pStyle w:val="Obsah6"/>
        <w:tabs>
          <w:tab w:val="left" w:pos="1760"/>
          <w:tab w:val="right" w:leader="dot" w:pos="9062"/>
        </w:tabs>
        <w:rPr>
          <w:rFonts w:asciiTheme="minorHAnsi" w:eastAsiaTheme="minorEastAsia" w:hAnsiTheme="minorHAnsi"/>
          <w:noProof/>
          <w:sz w:val="22"/>
          <w:lang w:eastAsia="cs-CZ"/>
        </w:rPr>
      </w:pPr>
      <w:hyperlink w:anchor="_Toc73608991" w:history="1">
        <w:r w:rsidR="00E140AF" w:rsidRPr="00E608BF">
          <w:rPr>
            <w:rStyle w:val="Hypertextovodkaz"/>
            <w:noProof/>
          </w:rPr>
          <w:t>iii.</w:t>
        </w:r>
        <w:r w:rsidR="00E140AF">
          <w:rPr>
            <w:rFonts w:asciiTheme="minorHAnsi" w:eastAsiaTheme="minorEastAsia" w:hAnsiTheme="minorHAnsi"/>
            <w:noProof/>
            <w:sz w:val="22"/>
            <w:lang w:eastAsia="cs-CZ"/>
          </w:rPr>
          <w:tab/>
        </w:r>
        <w:r w:rsidR="00E140AF" w:rsidRPr="00E608BF">
          <w:rPr>
            <w:rStyle w:val="Hypertextovodkaz"/>
            <w:noProof/>
          </w:rPr>
          <w:t>V ohlášení není stanoven přesný termín konání ohlašované hazardní hry</w:t>
        </w:r>
        <w:r w:rsidR="00E140AF">
          <w:rPr>
            <w:noProof/>
            <w:webHidden/>
          </w:rPr>
          <w:tab/>
        </w:r>
        <w:r w:rsidR="00E140AF">
          <w:rPr>
            <w:noProof/>
            <w:webHidden/>
          </w:rPr>
          <w:fldChar w:fldCharType="begin"/>
        </w:r>
        <w:r w:rsidR="00E140AF">
          <w:rPr>
            <w:noProof/>
            <w:webHidden/>
          </w:rPr>
          <w:instrText xml:space="preserve"> PAGEREF _Toc73608991 \h </w:instrText>
        </w:r>
        <w:r w:rsidR="00E140AF">
          <w:rPr>
            <w:noProof/>
            <w:webHidden/>
          </w:rPr>
        </w:r>
        <w:r w:rsidR="00E140AF">
          <w:rPr>
            <w:noProof/>
            <w:webHidden/>
          </w:rPr>
          <w:fldChar w:fldCharType="separate"/>
        </w:r>
        <w:r w:rsidR="00E140AF">
          <w:rPr>
            <w:noProof/>
            <w:webHidden/>
          </w:rPr>
          <w:t>64</w:t>
        </w:r>
        <w:r w:rsidR="00E140AF">
          <w:rPr>
            <w:noProof/>
            <w:webHidden/>
          </w:rPr>
          <w:fldChar w:fldCharType="end"/>
        </w:r>
      </w:hyperlink>
    </w:p>
    <w:p w14:paraId="1B097621" w14:textId="77777777" w:rsidR="00E140AF" w:rsidRDefault="009C0B64" w:rsidP="00E140AF">
      <w:pPr>
        <w:pStyle w:val="Obsah3"/>
        <w:tabs>
          <w:tab w:val="left" w:pos="1200"/>
          <w:tab w:val="right" w:leader="dot" w:pos="9062"/>
        </w:tabs>
        <w:rPr>
          <w:rFonts w:asciiTheme="minorHAnsi" w:eastAsiaTheme="minorEastAsia" w:hAnsiTheme="minorHAnsi"/>
          <w:noProof/>
          <w:sz w:val="22"/>
          <w:lang w:eastAsia="cs-CZ"/>
        </w:rPr>
      </w:pPr>
      <w:hyperlink w:anchor="_Toc73608992" w:history="1">
        <w:r w:rsidR="00E140AF" w:rsidRPr="00E608BF">
          <w:rPr>
            <w:rStyle w:val="Hypertextovodkaz"/>
            <w:noProof/>
          </w:rPr>
          <w:t>1.4</w:t>
        </w:r>
        <w:r w:rsidR="00E140AF">
          <w:rPr>
            <w:rFonts w:asciiTheme="minorHAnsi" w:eastAsiaTheme="minorEastAsia" w:hAnsiTheme="minorHAnsi"/>
            <w:noProof/>
            <w:sz w:val="22"/>
            <w:lang w:eastAsia="cs-CZ"/>
          </w:rPr>
          <w:tab/>
        </w:r>
        <w:r w:rsidR="00E140AF" w:rsidRPr="00E608BF">
          <w:rPr>
            <w:rStyle w:val="Hypertextovodkaz"/>
            <w:noProof/>
          </w:rPr>
          <w:t>Seznam tabulek, obrázků a grafů</w:t>
        </w:r>
        <w:r w:rsidR="00E140AF">
          <w:rPr>
            <w:noProof/>
            <w:webHidden/>
          </w:rPr>
          <w:tab/>
        </w:r>
        <w:r w:rsidR="00E140AF">
          <w:rPr>
            <w:noProof/>
            <w:webHidden/>
          </w:rPr>
          <w:fldChar w:fldCharType="begin"/>
        </w:r>
        <w:r w:rsidR="00E140AF">
          <w:rPr>
            <w:noProof/>
            <w:webHidden/>
          </w:rPr>
          <w:instrText xml:space="preserve"> PAGEREF _Toc73608992 \h </w:instrText>
        </w:r>
        <w:r w:rsidR="00E140AF">
          <w:rPr>
            <w:noProof/>
            <w:webHidden/>
          </w:rPr>
        </w:r>
        <w:r w:rsidR="00E140AF">
          <w:rPr>
            <w:noProof/>
            <w:webHidden/>
          </w:rPr>
          <w:fldChar w:fldCharType="separate"/>
        </w:r>
        <w:r w:rsidR="00E140AF">
          <w:rPr>
            <w:noProof/>
            <w:webHidden/>
          </w:rPr>
          <w:t>65</w:t>
        </w:r>
        <w:r w:rsidR="00E140AF">
          <w:rPr>
            <w:noProof/>
            <w:webHidden/>
          </w:rPr>
          <w:fldChar w:fldCharType="end"/>
        </w:r>
      </w:hyperlink>
    </w:p>
    <w:p w14:paraId="5505876F" w14:textId="77777777" w:rsidR="00E140AF" w:rsidRDefault="009C0B64" w:rsidP="00E140AF">
      <w:pPr>
        <w:pStyle w:val="Obsah4"/>
        <w:tabs>
          <w:tab w:val="left" w:pos="1540"/>
          <w:tab w:val="right" w:leader="dot" w:pos="9062"/>
        </w:tabs>
        <w:rPr>
          <w:rFonts w:asciiTheme="minorHAnsi" w:eastAsiaTheme="minorEastAsia" w:hAnsiTheme="minorHAnsi"/>
          <w:noProof/>
          <w:sz w:val="22"/>
          <w:lang w:eastAsia="cs-CZ"/>
        </w:rPr>
      </w:pPr>
      <w:hyperlink w:anchor="_Toc73608993" w:history="1">
        <w:r w:rsidR="00E140AF" w:rsidRPr="00E608BF">
          <w:rPr>
            <w:rStyle w:val="Hypertextovodkaz"/>
            <w:noProof/>
          </w:rPr>
          <w:t>1.4.1</w:t>
        </w:r>
        <w:r w:rsidR="00E140AF">
          <w:rPr>
            <w:rFonts w:asciiTheme="minorHAnsi" w:eastAsiaTheme="minorEastAsia" w:hAnsiTheme="minorHAnsi"/>
            <w:noProof/>
            <w:sz w:val="22"/>
            <w:lang w:eastAsia="cs-CZ"/>
          </w:rPr>
          <w:tab/>
        </w:r>
        <w:r w:rsidR="00E140AF" w:rsidRPr="00E608BF">
          <w:rPr>
            <w:rStyle w:val="Hypertextovodkaz"/>
            <w:noProof/>
          </w:rPr>
          <w:t>Tabulky</w:t>
        </w:r>
        <w:r w:rsidR="00E140AF">
          <w:rPr>
            <w:noProof/>
            <w:webHidden/>
          </w:rPr>
          <w:tab/>
        </w:r>
        <w:r w:rsidR="00E140AF">
          <w:rPr>
            <w:noProof/>
            <w:webHidden/>
          </w:rPr>
          <w:fldChar w:fldCharType="begin"/>
        </w:r>
        <w:r w:rsidR="00E140AF">
          <w:rPr>
            <w:noProof/>
            <w:webHidden/>
          </w:rPr>
          <w:instrText xml:space="preserve"> PAGEREF _Toc73608993 \h </w:instrText>
        </w:r>
        <w:r w:rsidR="00E140AF">
          <w:rPr>
            <w:noProof/>
            <w:webHidden/>
          </w:rPr>
        </w:r>
        <w:r w:rsidR="00E140AF">
          <w:rPr>
            <w:noProof/>
            <w:webHidden/>
          </w:rPr>
          <w:fldChar w:fldCharType="separate"/>
        </w:r>
        <w:r w:rsidR="00E140AF">
          <w:rPr>
            <w:noProof/>
            <w:webHidden/>
          </w:rPr>
          <w:t>65</w:t>
        </w:r>
        <w:r w:rsidR="00E140AF">
          <w:rPr>
            <w:noProof/>
            <w:webHidden/>
          </w:rPr>
          <w:fldChar w:fldCharType="end"/>
        </w:r>
      </w:hyperlink>
    </w:p>
    <w:p w14:paraId="5029970C" w14:textId="77777777" w:rsidR="00E140AF" w:rsidRDefault="009C0B64" w:rsidP="00E140AF">
      <w:pPr>
        <w:pStyle w:val="Obsah3"/>
        <w:tabs>
          <w:tab w:val="left" w:pos="1200"/>
          <w:tab w:val="right" w:leader="dot" w:pos="9062"/>
        </w:tabs>
        <w:rPr>
          <w:rFonts w:asciiTheme="minorHAnsi" w:eastAsiaTheme="minorEastAsia" w:hAnsiTheme="minorHAnsi"/>
          <w:noProof/>
          <w:sz w:val="22"/>
          <w:lang w:eastAsia="cs-CZ"/>
        </w:rPr>
      </w:pPr>
      <w:hyperlink w:anchor="_Toc73608994" w:history="1">
        <w:r w:rsidR="00E140AF" w:rsidRPr="00E608BF">
          <w:rPr>
            <w:rStyle w:val="Hypertextovodkaz"/>
            <w:noProof/>
          </w:rPr>
          <w:t>1.5</w:t>
        </w:r>
        <w:r w:rsidR="00E140AF">
          <w:rPr>
            <w:rFonts w:asciiTheme="minorHAnsi" w:eastAsiaTheme="minorEastAsia" w:hAnsiTheme="minorHAnsi"/>
            <w:noProof/>
            <w:sz w:val="22"/>
            <w:lang w:eastAsia="cs-CZ"/>
          </w:rPr>
          <w:tab/>
        </w:r>
        <w:r w:rsidR="00E140AF" w:rsidRPr="00E608BF">
          <w:rPr>
            <w:rStyle w:val="Hypertextovodkaz"/>
            <w:noProof/>
          </w:rPr>
          <w:t>Obsah</w:t>
        </w:r>
        <w:r w:rsidR="00E140AF">
          <w:rPr>
            <w:noProof/>
            <w:webHidden/>
          </w:rPr>
          <w:tab/>
        </w:r>
        <w:r w:rsidR="00E140AF">
          <w:rPr>
            <w:noProof/>
            <w:webHidden/>
          </w:rPr>
          <w:fldChar w:fldCharType="begin"/>
        </w:r>
        <w:r w:rsidR="00E140AF">
          <w:rPr>
            <w:noProof/>
            <w:webHidden/>
          </w:rPr>
          <w:instrText xml:space="preserve"> PAGEREF _Toc73608994 \h </w:instrText>
        </w:r>
        <w:r w:rsidR="00E140AF">
          <w:rPr>
            <w:noProof/>
            <w:webHidden/>
          </w:rPr>
        </w:r>
        <w:r w:rsidR="00E140AF">
          <w:rPr>
            <w:noProof/>
            <w:webHidden/>
          </w:rPr>
          <w:fldChar w:fldCharType="separate"/>
        </w:r>
        <w:r w:rsidR="00E140AF">
          <w:rPr>
            <w:noProof/>
            <w:webHidden/>
          </w:rPr>
          <w:t>65</w:t>
        </w:r>
        <w:r w:rsidR="00E140AF">
          <w:rPr>
            <w:noProof/>
            <w:webHidden/>
          </w:rPr>
          <w:fldChar w:fldCharType="end"/>
        </w:r>
      </w:hyperlink>
    </w:p>
    <w:p w14:paraId="104B120C" w14:textId="66948C83" w:rsidR="00E140AF" w:rsidRPr="00E140AF" w:rsidRDefault="00E140AF" w:rsidP="00E140AF">
      <w:r>
        <w:fldChar w:fldCharType="end"/>
      </w:r>
    </w:p>
    <w:p w14:paraId="3F737EAE" w14:textId="45BEB776" w:rsidR="00A861A9" w:rsidRPr="00F17245" w:rsidRDefault="00E91C8F" w:rsidP="00E91C8F">
      <w:pPr>
        <w:pStyle w:val="Nadpis3"/>
        <w:numPr>
          <w:ilvl w:val="0"/>
          <w:numId w:val="0"/>
        </w:numPr>
        <w:ind w:left="720" w:hanging="720"/>
      </w:pPr>
      <w:bookmarkStart w:id="196" w:name="_Toc72999604"/>
      <w:bookmarkStart w:id="197" w:name="_Toc73613660"/>
      <w:r w:rsidRPr="00F17245">
        <w:t xml:space="preserve">Příloha č. 10: </w:t>
      </w:r>
      <w:r w:rsidR="00A861A9" w:rsidRPr="00F17245">
        <w:t>Kauce</w:t>
      </w:r>
      <w:bookmarkEnd w:id="196"/>
      <w:bookmarkEnd w:id="197"/>
    </w:p>
    <w:p w14:paraId="002A648E" w14:textId="70E65174" w:rsidR="003737F6" w:rsidRDefault="003737F6" w:rsidP="003737F6">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7560447E" w14:textId="77777777" w:rsidR="003737F6" w:rsidRDefault="009C0B64" w:rsidP="003737F6">
      <w:pPr>
        <w:pStyle w:val="Obsah3"/>
        <w:tabs>
          <w:tab w:val="left" w:pos="1200"/>
          <w:tab w:val="right" w:leader="dot" w:pos="9062"/>
        </w:tabs>
        <w:rPr>
          <w:rFonts w:asciiTheme="minorHAnsi" w:eastAsiaTheme="minorEastAsia" w:hAnsiTheme="minorHAnsi"/>
          <w:noProof/>
          <w:sz w:val="22"/>
          <w:lang w:eastAsia="cs-CZ"/>
        </w:rPr>
      </w:pPr>
      <w:hyperlink w:anchor="_Toc73608046" w:history="1">
        <w:r w:rsidR="003737F6" w:rsidRPr="009E62F1">
          <w:rPr>
            <w:rStyle w:val="Hypertextovodkaz"/>
            <w:noProof/>
          </w:rPr>
          <w:t>1.1</w:t>
        </w:r>
        <w:r w:rsidR="003737F6">
          <w:rPr>
            <w:rFonts w:asciiTheme="minorHAnsi" w:eastAsiaTheme="minorEastAsia" w:hAnsiTheme="minorHAnsi"/>
            <w:noProof/>
            <w:sz w:val="22"/>
            <w:lang w:eastAsia="cs-CZ"/>
          </w:rPr>
          <w:tab/>
        </w:r>
        <w:r w:rsidR="003737F6" w:rsidRPr="009E62F1">
          <w:rPr>
            <w:rStyle w:val="Hypertextovodkaz"/>
            <w:noProof/>
          </w:rPr>
          <w:t>Konkrétní popis regulace obsažené v zákoně o loteriích</w:t>
        </w:r>
        <w:r w:rsidR="003737F6">
          <w:rPr>
            <w:noProof/>
            <w:webHidden/>
          </w:rPr>
          <w:tab/>
        </w:r>
        <w:r w:rsidR="003737F6">
          <w:rPr>
            <w:noProof/>
            <w:webHidden/>
          </w:rPr>
          <w:fldChar w:fldCharType="begin"/>
        </w:r>
        <w:r w:rsidR="003737F6">
          <w:rPr>
            <w:noProof/>
            <w:webHidden/>
          </w:rPr>
          <w:instrText xml:space="preserve"> PAGEREF _Toc73608046 \h </w:instrText>
        </w:r>
        <w:r w:rsidR="003737F6">
          <w:rPr>
            <w:noProof/>
            <w:webHidden/>
          </w:rPr>
        </w:r>
        <w:r w:rsidR="003737F6">
          <w:rPr>
            <w:noProof/>
            <w:webHidden/>
          </w:rPr>
          <w:fldChar w:fldCharType="separate"/>
        </w:r>
        <w:r w:rsidR="003737F6">
          <w:rPr>
            <w:noProof/>
            <w:webHidden/>
          </w:rPr>
          <w:t>1</w:t>
        </w:r>
        <w:r w:rsidR="003737F6">
          <w:rPr>
            <w:noProof/>
            <w:webHidden/>
          </w:rPr>
          <w:fldChar w:fldCharType="end"/>
        </w:r>
      </w:hyperlink>
    </w:p>
    <w:p w14:paraId="09309CB9" w14:textId="77777777" w:rsidR="003737F6" w:rsidRDefault="009C0B64" w:rsidP="003737F6">
      <w:pPr>
        <w:pStyle w:val="Obsah3"/>
        <w:tabs>
          <w:tab w:val="left" w:pos="1200"/>
          <w:tab w:val="right" w:leader="dot" w:pos="9062"/>
        </w:tabs>
        <w:rPr>
          <w:rFonts w:asciiTheme="minorHAnsi" w:eastAsiaTheme="minorEastAsia" w:hAnsiTheme="minorHAnsi"/>
          <w:noProof/>
          <w:sz w:val="22"/>
          <w:lang w:eastAsia="cs-CZ"/>
        </w:rPr>
      </w:pPr>
      <w:hyperlink w:anchor="_Toc73608047" w:history="1">
        <w:r w:rsidR="003737F6" w:rsidRPr="009E62F1">
          <w:rPr>
            <w:rStyle w:val="Hypertextovodkaz"/>
            <w:noProof/>
          </w:rPr>
          <w:t>1.2</w:t>
        </w:r>
        <w:r w:rsidR="003737F6">
          <w:rPr>
            <w:rFonts w:asciiTheme="minorHAnsi" w:eastAsiaTheme="minorEastAsia" w:hAnsiTheme="minorHAnsi"/>
            <w:noProof/>
            <w:sz w:val="22"/>
            <w:lang w:eastAsia="cs-CZ"/>
          </w:rPr>
          <w:tab/>
        </w:r>
        <w:r w:rsidR="003737F6" w:rsidRPr="009E62F1">
          <w:rPr>
            <w:rStyle w:val="Hypertextovodkaz"/>
            <w:noProof/>
          </w:rPr>
          <w:t>Konkrétní popis regulace obsažené v zákoně o hazardních hrách</w:t>
        </w:r>
        <w:r w:rsidR="003737F6">
          <w:rPr>
            <w:noProof/>
            <w:webHidden/>
          </w:rPr>
          <w:tab/>
        </w:r>
        <w:r w:rsidR="003737F6">
          <w:rPr>
            <w:noProof/>
            <w:webHidden/>
          </w:rPr>
          <w:fldChar w:fldCharType="begin"/>
        </w:r>
        <w:r w:rsidR="003737F6">
          <w:rPr>
            <w:noProof/>
            <w:webHidden/>
          </w:rPr>
          <w:instrText xml:space="preserve"> PAGEREF _Toc73608047 \h </w:instrText>
        </w:r>
        <w:r w:rsidR="003737F6">
          <w:rPr>
            <w:noProof/>
            <w:webHidden/>
          </w:rPr>
        </w:r>
        <w:r w:rsidR="003737F6">
          <w:rPr>
            <w:noProof/>
            <w:webHidden/>
          </w:rPr>
          <w:fldChar w:fldCharType="separate"/>
        </w:r>
        <w:r w:rsidR="003737F6">
          <w:rPr>
            <w:noProof/>
            <w:webHidden/>
          </w:rPr>
          <w:t>1</w:t>
        </w:r>
        <w:r w:rsidR="003737F6">
          <w:rPr>
            <w:noProof/>
            <w:webHidden/>
          </w:rPr>
          <w:fldChar w:fldCharType="end"/>
        </w:r>
      </w:hyperlink>
    </w:p>
    <w:p w14:paraId="28F92C51" w14:textId="77777777" w:rsidR="003737F6" w:rsidRDefault="009C0B64" w:rsidP="003737F6">
      <w:pPr>
        <w:pStyle w:val="Obsah3"/>
        <w:tabs>
          <w:tab w:val="left" w:pos="1200"/>
          <w:tab w:val="right" w:leader="dot" w:pos="9062"/>
        </w:tabs>
        <w:rPr>
          <w:rFonts w:asciiTheme="minorHAnsi" w:eastAsiaTheme="minorEastAsia" w:hAnsiTheme="minorHAnsi"/>
          <w:noProof/>
          <w:sz w:val="22"/>
          <w:lang w:eastAsia="cs-CZ"/>
        </w:rPr>
      </w:pPr>
      <w:hyperlink w:anchor="_Toc73608048" w:history="1">
        <w:r w:rsidR="003737F6" w:rsidRPr="009E62F1">
          <w:rPr>
            <w:rStyle w:val="Hypertextovodkaz"/>
            <w:noProof/>
          </w:rPr>
          <w:t>1.3</w:t>
        </w:r>
        <w:r w:rsidR="003737F6">
          <w:rPr>
            <w:rFonts w:asciiTheme="minorHAnsi" w:eastAsiaTheme="minorEastAsia" w:hAnsiTheme="minorHAnsi"/>
            <w:noProof/>
            <w:sz w:val="22"/>
            <w:lang w:eastAsia="cs-CZ"/>
          </w:rPr>
          <w:tab/>
        </w:r>
        <w:r w:rsidR="003737F6" w:rsidRPr="009E62F1">
          <w:rPr>
            <w:rStyle w:val="Hypertextovodkaz"/>
            <w:noProof/>
          </w:rPr>
          <w:t>Konkrétní popis nástrojů, včetně oblastí, na které by bylo vhodné se v budoucnu zaměřit, a návrh doporučení či možných variant řešení</w:t>
        </w:r>
        <w:r w:rsidR="003737F6">
          <w:rPr>
            <w:noProof/>
            <w:webHidden/>
          </w:rPr>
          <w:tab/>
        </w:r>
        <w:r w:rsidR="003737F6">
          <w:rPr>
            <w:noProof/>
            <w:webHidden/>
          </w:rPr>
          <w:fldChar w:fldCharType="begin"/>
        </w:r>
        <w:r w:rsidR="003737F6">
          <w:rPr>
            <w:noProof/>
            <w:webHidden/>
          </w:rPr>
          <w:instrText xml:space="preserve"> PAGEREF _Toc73608048 \h </w:instrText>
        </w:r>
        <w:r w:rsidR="003737F6">
          <w:rPr>
            <w:noProof/>
            <w:webHidden/>
          </w:rPr>
        </w:r>
        <w:r w:rsidR="003737F6">
          <w:rPr>
            <w:noProof/>
            <w:webHidden/>
          </w:rPr>
          <w:fldChar w:fldCharType="separate"/>
        </w:r>
        <w:r w:rsidR="003737F6">
          <w:rPr>
            <w:noProof/>
            <w:webHidden/>
          </w:rPr>
          <w:t>6</w:t>
        </w:r>
        <w:r w:rsidR="003737F6">
          <w:rPr>
            <w:noProof/>
            <w:webHidden/>
          </w:rPr>
          <w:fldChar w:fldCharType="end"/>
        </w:r>
      </w:hyperlink>
    </w:p>
    <w:p w14:paraId="7A25E15C" w14:textId="77777777" w:rsidR="003737F6" w:rsidRDefault="009C0B64" w:rsidP="003737F6">
      <w:pPr>
        <w:pStyle w:val="Obsah6"/>
        <w:tabs>
          <w:tab w:val="left" w:pos="1760"/>
          <w:tab w:val="right" w:leader="dot" w:pos="9062"/>
        </w:tabs>
        <w:rPr>
          <w:rFonts w:asciiTheme="minorHAnsi" w:eastAsiaTheme="minorEastAsia" w:hAnsiTheme="minorHAnsi"/>
          <w:noProof/>
          <w:sz w:val="22"/>
          <w:lang w:eastAsia="cs-CZ"/>
        </w:rPr>
      </w:pPr>
      <w:hyperlink w:anchor="_Toc73608049" w:history="1">
        <w:r w:rsidR="003737F6" w:rsidRPr="009E62F1">
          <w:rPr>
            <w:rStyle w:val="Hypertextovodkaz"/>
            <w:noProof/>
          </w:rPr>
          <w:t>i.</w:t>
        </w:r>
        <w:r w:rsidR="003737F6">
          <w:rPr>
            <w:rFonts w:asciiTheme="minorHAnsi" w:eastAsiaTheme="minorEastAsia" w:hAnsiTheme="minorHAnsi"/>
            <w:noProof/>
            <w:sz w:val="22"/>
            <w:lang w:eastAsia="cs-CZ"/>
          </w:rPr>
          <w:tab/>
        </w:r>
        <w:r w:rsidR="003737F6" w:rsidRPr="009E62F1">
          <w:rPr>
            <w:rStyle w:val="Hypertextovodkaz"/>
            <w:noProof/>
          </w:rPr>
          <w:t>Rozsah závazků zajištěných kaucí, případně jiný způsob zajištění</w:t>
        </w:r>
        <w:r w:rsidR="003737F6">
          <w:rPr>
            <w:noProof/>
            <w:webHidden/>
          </w:rPr>
          <w:tab/>
        </w:r>
        <w:r w:rsidR="003737F6">
          <w:rPr>
            <w:noProof/>
            <w:webHidden/>
          </w:rPr>
          <w:fldChar w:fldCharType="begin"/>
        </w:r>
        <w:r w:rsidR="003737F6">
          <w:rPr>
            <w:noProof/>
            <w:webHidden/>
          </w:rPr>
          <w:instrText xml:space="preserve"> PAGEREF _Toc73608049 \h </w:instrText>
        </w:r>
        <w:r w:rsidR="003737F6">
          <w:rPr>
            <w:noProof/>
            <w:webHidden/>
          </w:rPr>
        </w:r>
        <w:r w:rsidR="003737F6">
          <w:rPr>
            <w:noProof/>
            <w:webHidden/>
          </w:rPr>
          <w:fldChar w:fldCharType="separate"/>
        </w:r>
        <w:r w:rsidR="003737F6">
          <w:rPr>
            <w:noProof/>
            <w:webHidden/>
          </w:rPr>
          <w:t>6</w:t>
        </w:r>
        <w:r w:rsidR="003737F6">
          <w:rPr>
            <w:noProof/>
            <w:webHidden/>
          </w:rPr>
          <w:fldChar w:fldCharType="end"/>
        </w:r>
      </w:hyperlink>
    </w:p>
    <w:p w14:paraId="1A4380A2" w14:textId="77777777" w:rsidR="003737F6" w:rsidRDefault="009C0B64" w:rsidP="003737F6">
      <w:pPr>
        <w:pStyle w:val="Obsah6"/>
        <w:tabs>
          <w:tab w:val="left" w:pos="1760"/>
          <w:tab w:val="right" w:leader="dot" w:pos="9062"/>
        </w:tabs>
        <w:rPr>
          <w:rFonts w:asciiTheme="minorHAnsi" w:eastAsiaTheme="minorEastAsia" w:hAnsiTheme="minorHAnsi"/>
          <w:noProof/>
          <w:sz w:val="22"/>
          <w:lang w:eastAsia="cs-CZ"/>
        </w:rPr>
      </w:pPr>
      <w:hyperlink w:anchor="_Toc73608050" w:history="1">
        <w:r w:rsidR="003737F6" w:rsidRPr="009E62F1">
          <w:rPr>
            <w:rStyle w:val="Hypertextovodkaz"/>
            <w:noProof/>
          </w:rPr>
          <w:t>ii.</w:t>
        </w:r>
        <w:r w:rsidR="003737F6">
          <w:rPr>
            <w:rFonts w:asciiTheme="minorHAnsi" w:eastAsiaTheme="minorEastAsia" w:hAnsiTheme="minorHAnsi"/>
            <w:noProof/>
            <w:sz w:val="22"/>
            <w:lang w:eastAsia="cs-CZ"/>
          </w:rPr>
          <w:tab/>
        </w:r>
        <w:r w:rsidR="003737F6" w:rsidRPr="009E62F1">
          <w:rPr>
            <w:rStyle w:val="Hypertextovodkaz"/>
            <w:noProof/>
          </w:rPr>
          <w:t>Výše kauce a její vrácení u herního prostoru</w:t>
        </w:r>
        <w:r w:rsidR="003737F6">
          <w:rPr>
            <w:noProof/>
            <w:webHidden/>
          </w:rPr>
          <w:tab/>
        </w:r>
        <w:r w:rsidR="003737F6">
          <w:rPr>
            <w:noProof/>
            <w:webHidden/>
          </w:rPr>
          <w:fldChar w:fldCharType="begin"/>
        </w:r>
        <w:r w:rsidR="003737F6">
          <w:rPr>
            <w:noProof/>
            <w:webHidden/>
          </w:rPr>
          <w:instrText xml:space="preserve"> PAGEREF _Toc73608050 \h </w:instrText>
        </w:r>
        <w:r w:rsidR="003737F6">
          <w:rPr>
            <w:noProof/>
            <w:webHidden/>
          </w:rPr>
        </w:r>
        <w:r w:rsidR="003737F6">
          <w:rPr>
            <w:noProof/>
            <w:webHidden/>
          </w:rPr>
          <w:fldChar w:fldCharType="separate"/>
        </w:r>
        <w:r w:rsidR="003737F6">
          <w:rPr>
            <w:noProof/>
            <w:webHidden/>
          </w:rPr>
          <w:t>12</w:t>
        </w:r>
        <w:r w:rsidR="003737F6">
          <w:rPr>
            <w:noProof/>
            <w:webHidden/>
          </w:rPr>
          <w:fldChar w:fldCharType="end"/>
        </w:r>
      </w:hyperlink>
    </w:p>
    <w:p w14:paraId="2AAA8438" w14:textId="77777777" w:rsidR="003737F6" w:rsidRDefault="009C0B64" w:rsidP="003737F6">
      <w:pPr>
        <w:pStyle w:val="Obsah3"/>
        <w:tabs>
          <w:tab w:val="left" w:pos="1200"/>
          <w:tab w:val="right" w:leader="dot" w:pos="9062"/>
        </w:tabs>
        <w:rPr>
          <w:rFonts w:asciiTheme="minorHAnsi" w:eastAsiaTheme="minorEastAsia" w:hAnsiTheme="minorHAnsi"/>
          <w:noProof/>
          <w:sz w:val="22"/>
          <w:lang w:eastAsia="cs-CZ"/>
        </w:rPr>
      </w:pPr>
      <w:hyperlink w:anchor="_Toc73608051" w:history="1">
        <w:r w:rsidR="003737F6" w:rsidRPr="009E62F1">
          <w:rPr>
            <w:rStyle w:val="Hypertextovodkaz"/>
            <w:noProof/>
          </w:rPr>
          <w:t>1.4</w:t>
        </w:r>
        <w:r w:rsidR="003737F6">
          <w:rPr>
            <w:rFonts w:asciiTheme="minorHAnsi" w:eastAsiaTheme="minorEastAsia" w:hAnsiTheme="minorHAnsi"/>
            <w:noProof/>
            <w:sz w:val="22"/>
            <w:lang w:eastAsia="cs-CZ"/>
          </w:rPr>
          <w:tab/>
        </w:r>
        <w:r w:rsidR="003737F6" w:rsidRPr="009E62F1">
          <w:rPr>
            <w:rStyle w:val="Hypertextovodkaz"/>
            <w:noProof/>
          </w:rPr>
          <w:t>Seznam tabulek, obrázků a grafů</w:t>
        </w:r>
        <w:r w:rsidR="003737F6">
          <w:rPr>
            <w:noProof/>
            <w:webHidden/>
          </w:rPr>
          <w:tab/>
        </w:r>
        <w:r w:rsidR="003737F6">
          <w:rPr>
            <w:noProof/>
            <w:webHidden/>
          </w:rPr>
          <w:fldChar w:fldCharType="begin"/>
        </w:r>
        <w:r w:rsidR="003737F6">
          <w:rPr>
            <w:noProof/>
            <w:webHidden/>
          </w:rPr>
          <w:instrText xml:space="preserve"> PAGEREF _Toc73608051 \h </w:instrText>
        </w:r>
        <w:r w:rsidR="003737F6">
          <w:rPr>
            <w:noProof/>
            <w:webHidden/>
          </w:rPr>
        </w:r>
        <w:r w:rsidR="003737F6">
          <w:rPr>
            <w:noProof/>
            <w:webHidden/>
          </w:rPr>
          <w:fldChar w:fldCharType="separate"/>
        </w:r>
        <w:r w:rsidR="003737F6">
          <w:rPr>
            <w:noProof/>
            <w:webHidden/>
          </w:rPr>
          <w:t>16</w:t>
        </w:r>
        <w:r w:rsidR="003737F6">
          <w:rPr>
            <w:noProof/>
            <w:webHidden/>
          </w:rPr>
          <w:fldChar w:fldCharType="end"/>
        </w:r>
      </w:hyperlink>
    </w:p>
    <w:p w14:paraId="6A9F291D" w14:textId="3D4090F5" w:rsidR="003737F6" w:rsidRDefault="009C0B64" w:rsidP="003737F6">
      <w:pPr>
        <w:pStyle w:val="Obsah3"/>
        <w:tabs>
          <w:tab w:val="left" w:pos="1200"/>
          <w:tab w:val="right" w:leader="dot" w:pos="9062"/>
        </w:tabs>
        <w:rPr>
          <w:rFonts w:asciiTheme="minorHAnsi" w:eastAsiaTheme="minorEastAsia" w:hAnsiTheme="minorHAnsi"/>
          <w:noProof/>
          <w:sz w:val="22"/>
          <w:lang w:eastAsia="cs-CZ"/>
        </w:rPr>
      </w:pPr>
      <w:hyperlink w:anchor="_Toc73608052" w:history="1">
        <w:r w:rsidR="003737F6" w:rsidRPr="009E62F1">
          <w:rPr>
            <w:rStyle w:val="Hypertextovodkaz"/>
            <w:noProof/>
          </w:rPr>
          <w:t>1.5</w:t>
        </w:r>
        <w:r w:rsidR="003737F6">
          <w:rPr>
            <w:rFonts w:asciiTheme="minorHAnsi" w:eastAsiaTheme="minorEastAsia" w:hAnsiTheme="minorHAnsi"/>
            <w:noProof/>
            <w:sz w:val="22"/>
            <w:lang w:eastAsia="cs-CZ"/>
          </w:rPr>
          <w:tab/>
        </w:r>
        <w:r w:rsidR="003737F6" w:rsidRPr="009E62F1">
          <w:rPr>
            <w:rStyle w:val="Hypertextovodkaz"/>
            <w:noProof/>
          </w:rPr>
          <w:t>Obsah</w:t>
        </w:r>
        <w:r w:rsidR="003737F6">
          <w:rPr>
            <w:noProof/>
            <w:webHidden/>
          </w:rPr>
          <w:tab/>
        </w:r>
        <w:r w:rsidR="00945CB6">
          <w:rPr>
            <w:noProof/>
            <w:webHidden/>
          </w:rPr>
          <w:t>16</w:t>
        </w:r>
      </w:hyperlink>
    </w:p>
    <w:p w14:paraId="4090F29F" w14:textId="76F93664" w:rsidR="003737F6" w:rsidRPr="00F17245" w:rsidRDefault="003737F6" w:rsidP="003737F6">
      <w:r>
        <w:fldChar w:fldCharType="end"/>
      </w:r>
    </w:p>
    <w:p w14:paraId="226BAA7F" w14:textId="1A62743A" w:rsidR="00A861A9" w:rsidRPr="00F17245" w:rsidRDefault="00E91C8F" w:rsidP="00E91C8F">
      <w:pPr>
        <w:pStyle w:val="Nadpis3"/>
        <w:numPr>
          <w:ilvl w:val="0"/>
          <w:numId w:val="0"/>
        </w:numPr>
        <w:ind w:left="720" w:hanging="720"/>
      </w:pPr>
      <w:bookmarkStart w:id="198" w:name="_Toc72999605"/>
      <w:bookmarkStart w:id="199" w:name="_Toc73613661"/>
      <w:r w:rsidRPr="00F17245">
        <w:t xml:space="preserve">Příloha č. 11: </w:t>
      </w:r>
      <w:r w:rsidR="00A861A9" w:rsidRPr="00F17245">
        <w:t>Technick</w:t>
      </w:r>
      <w:r w:rsidRPr="00F17245">
        <w:t xml:space="preserve">é parametry a činnost odborného </w:t>
      </w:r>
      <w:r w:rsidR="00A861A9" w:rsidRPr="00F17245">
        <w:t>posuzování a osvědčování</w:t>
      </w:r>
      <w:bookmarkEnd w:id="198"/>
      <w:bookmarkEnd w:id="199"/>
    </w:p>
    <w:p w14:paraId="39A82EDF" w14:textId="7943F9EC" w:rsidR="00E26A7E" w:rsidRPr="00B62C6C" w:rsidRDefault="00E26A7E" w:rsidP="00CF5ABA">
      <w:pPr>
        <w:pStyle w:val="Nadpis3"/>
        <w:numPr>
          <w:ilvl w:val="0"/>
          <w:numId w:val="0"/>
        </w:numPr>
        <w:spacing w:line="259" w:lineRule="auto"/>
        <w:ind w:left="720"/>
        <w:rPr>
          <w:noProof/>
        </w:rPr>
      </w:pPr>
      <w:r>
        <w:fldChar w:fldCharType="begin"/>
      </w:r>
      <w:r>
        <w:instrText xml:space="preserve"> TOC \o "1-6" \h \z \u </w:instrText>
      </w:r>
      <w:r>
        <w:fldChar w:fldCharType="separate"/>
      </w:r>
      <w:hyperlink w:anchor="_Toc73608096" w:history="1"/>
    </w:p>
    <w:p w14:paraId="041AE8A6" w14:textId="77777777" w:rsidR="00E26A7E" w:rsidRDefault="009C0B64" w:rsidP="00E26A7E">
      <w:pPr>
        <w:pStyle w:val="Obsah3"/>
        <w:tabs>
          <w:tab w:val="left" w:pos="1200"/>
          <w:tab w:val="right" w:leader="dot" w:pos="9062"/>
        </w:tabs>
        <w:rPr>
          <w:rFonts w:asciiTheme="minorHAnsi" w:eastAsiaTheme="minorEastAsia" w:hAnsiTheme="minorHAnsi"/>
          <w:noProof/>
          <w:sz w:val="22"/>
          <w:lang w:eastAsia="cs-CZ"/>
        </w:rPr>
      </w:pPr>
      <w:hyperlink w:anchor="_Toc73608097" w:history="1">
        <w:r w:rsidR="00E26A7E" w:rsidRPr="00994407">
          <w:rPr>
            <w:rStyle w:val="Hypertextovodkaz"/>
            <w:noProof/>
            <w14:scene3d>
              <w14:camera w14:prst="orthographicFront"/>
              <w14:lightRig w14:rig="threePt" w14:dir="t">
                <w14:rot w14:lat="0" w14:lon="0" w14:rev="0"/>
              </w14:lightRig>
            </w14:scene3d>
          </w:rPr>
          <w:t>1.1</w:t>
        </w:r>
        <w:r w:rsidR="00E26A7E">
          <w:rPr>
            <w:rFonts w:asciiTheme="minorHAnsi" w:eastAsiaTheme="minorEastAsia" w:hAnsiTheme="minorHAnsi"/>
            <w:noProof/>
            <w:sz w:val="22"/>
            <w:lang w:eastAsia="cs-CZ"/>
          </w:rPr>
          <w:tab/>
        </w:r>
        <w:r w:rsidR="00E26A7E" w:rsidRPr="00994407">
          <w:rPr>
            <w:rStyle w:val="Hypertextovodkaz"/>
            <w:noProof/>
          </w:rPr>
          <w:t>Konkrétní popis regulace obsažené v zákoně o loteriích</w:t>
        </w:r>
        <w:r w:rsidR="00E26A7E">
          <w:rPr>
            <w:noProof/>
            <w:webHidden/>
          </w:rPr>
          <w:tab/>
        </w:r>
        <w:r w:rsidR="00E26A7E">
          <w:rPr>
            <w:noProof/>
            <w:webHidden/>
          </w:rPr>
          <w:fldChar w:fldCharType="begin"/>
        </w:r>
        <w:r w:rsidR="00E26A7E">
          <w:rPr>
            <w:noProof/>
            <w:webHidden/>
          </w:rPr>
          <w:instrText xml:space="preserve"> PAGEREF _Toc73608097 \h </w:instrText>
        </w:r>
        <w:r w:rsidR="00E26A7E">
          <w:rPr>
            <w:noProof/>
            <w:webHidden/>
          </w:rPr>
        </w:r>
        <w:r w:rsidR="00E26A7E">
          <w:rPr>
            <w:noProof/>
            <w:webHidden/>
          </w:rPr>
          <w:fldChar w:fldCharType="separate"/>
        </w:r>
        <w:r w:rsidR="00E26A7E">
          <w:rPr>
            <w:noProof/>
            <w:webHidden/>
          </w:rPr>
          <w:t>1</w:t>
        </w:r>
        <w:r w:rsidR="00E26A7E">
          <w:rPr>
            <w:noProof/>
            <w:webHidden/>
          </w:rPr>
          <w:fldChar w:fldCharType="end"/>
        </w:r>
      </w:hyperlink>
    </w:p>
    <w:p w14:paraId="175BCE4C" w14:textId="77777777" w:rsidR="00E26A7E" w:rsidRDefault="009C0B64" w:rsidP="00E26A7E">
      <w:pPr>
        <w:pStyle w:val="Obsah3"/>
        <w:tabs>
          <w:tab w:val="left" w:pos="1200"/>
          <w:tab w:val="right" w:leader="dot" w:pos="9062"/>
        </w:tabs>
        <w:rPr>
          <w:rFonts w:asciiTheme="minorHAnsi" w:eastAsiaTheme="minorEastAsia" w:hAnsiTheme="minorHAnsi"/>
          <w:noProof/>
          <w:sz w:val="22"/>
          <w:lang w:eastAsia="cs-CZ"/>
        </w:rPr>
      </w:pPr>
      <w:hyperlink w:anchor="_Toc73608098" w:history="1">
        <w:r w:rsidR="00E26A7E" w:rsidRPr="00994407">
          <w:rPr>
            <w:rStyle w:val="Hypertextovodkaz"/>
            <w:noProof/>
            <w14:scene3d>
              <w14:camera w14:prst="orthographicFront"/>
              <w14:lightRig w14:rig="threePt" w14:dir="t">
                <w14:rot w14:lat="0" w14:lon="0" w14:rev="0"/>
              </w14:lightRig>
            </w14:scene3d>
          </w:rPr>
          <w:t>1.2</w:t>
        </w:r>
        <w:r w:rsidR="00E26A7E">
          <w:rPr>
            <w:rFonts w:asciiTheme="minorHAnsi" w:eastAsiaTheme="minorEastAsia" w:hAnsiTheme="minorHAnsi"/>
            <w:noProof/>
            <w:sz w:val="22"/>
            <w:lang w:eastAsia="cs-CZ"/>
          </w:rPr>
          <w:tab/>
        </w:r>
        <w:r w:rsidR="00E26A7E" w:rsidRPr="00994407">
          <w:rPr>
            <w:rStyle w:val="Hypertextovodkaz"/>
            <w:noProof/>
          </w:rPr>
          <w:t>Konkrétní popis regulace obsažené v zákoně o hazardních hrách</w:t>
        </w:r>
        <w:r w:rsidR="00E26A7E">
          <w:rPr>
            <w:noProof/>
            <w:webHidden/>
          </w:rPr>
          <w:tab/>
        </w:r>
        <w:r w:rsidR="00E26A7E">
          <w:rPr>
            <w:noProof/>
            <w:webHidden/>
          </w:rPr>
          <w:fldChar w:fldCharType="begin"/>
        </w:r>
        <w:r w:rsidR="00E26A7E">
          <w:rPr>
            <w:noProof/>
            <w:webHidden/>
          </w:rPr>
          <w:instrText xml:space="preserve"> PAGEREF _Toc73608098 \h </w:instrText>
        </w:r>
        <w:r w:rsidR="00E26A7E">
          <w:rPr>
            <w:noProof/>
            <w:webHidden/>
          </w:rPr>
        </w:r>
        <w:r w:rsidR="00E26A7E">
          <w:rPr>
            <w:noProof/>
            <w:webHidden/>
          </w:rPr>
          <w:fldChar w:fldCharType="separate"/>
        </w:r>
        <w:r w:rsidR="00E26A7E">
          <w:rPr>
            <w:noProof/>
            <w:webHidden/>
          </w:rPr>
          <w:t>2</w:t>
        </w:r>
        <w:r w:rsidR="00E26A7E">
          <w:rPr>
            <w:noProof/>
            <w:webHidden/>
          </w:rPr>
          <w:fldChar w:fldCharType="end"/>
        </w:r>
      </w:hyperlink>
    </w:p>
    <w:p w14:paraId="3805F09C" w14:textId="77777777" w:rsidR="00E26A7E" w:rsidRDefault="009C0B64" w:rsidP="00E26A7E">
      <w:pPr>
        <w:pStyle w:val="Obsah5"/>
        <w:tabs>
          <w:tab w:val="left" w:pos="1540"/>
          <w:tab w:val="right" w:leader="dot" w:pos="9062"/>
        </w:tabs>
        <w:rPr>
          <w:rFonts w:asciiTheme="minorHAnsi" w:eastAsiaTheme="minorEastAsia" w:hAnsiTheme="minorHAnsi"/>
          <w:noProof/>
          <w:sz w:val="22"/>
          <w:lang w:eastAsia="cs-CZ"/>
        </w:rPr>
      </w:pPr>
      <w:hyperlink w:anchor="_Toc73608099" w:history="1">
        <w:r w:rsidR="00E26A7E" w:rsidRPr="00994407">
          <w:rPr>
            <w:rStyle w:val="Hypertextovodkaz"/>
            <w:noProof/>
            <w14:scene3d>
              <w14:camera w14:prst="orthographicFront"/>
              <w14:lightRig w14:rig="threePt" w14:dir="t">
                <w14:rot w14:lat="0" w14:lon="0" w14:rev="0"/>
              </w14:lightRig>
            </w14:scene3d>
          </w:rPr>
          <w:t>A.</w:t>
        </w:r>
        <w:r w:rsidR="00E26A7E">
          <w:rPr>
            <w:rFonts w:asciiTheme="minorHAnsi" w:eastAsiaTheme="minorEastAsia" w:hAnsiTheme="minorHAnsi"/>
            <w:noProof/>
            <w:sz w:val="22"/>
            <w:lang w:eastAsia="cs-CZ"/>
          </w:rPr>
          <w:tab/>
        </w:r>
        <w:r w:rsidR="00E26A7E" w:rsidRPr="00994407">
          <w:rPr>
            <w:rStyle w:val="Hypertextovodkaz"/>
            <w:noProof/>
          </w:rPr>
          <w:t>Technické parametry</w:t>
        </w:r>
        <w:r w:rsidR="00E26A7E">
          <w:rPr>
            <w:noProof/>
            <w:webHidden/>
          </w:rPr>
          <w:tab/>
        </w:r>
        <w:r w:rsidR="00E26A7E">
          <w:rPr>
            <w:noProof/>
            <w:webHidden/>
          </w:rPr>
          <w:fldChar w:fldCharType="begin"/>
        </w:r>
        <w:r w:rsidR="00E26A7E">
          <w:rPr>
            <w:noProof/>
            <w:webHidden/>
          </w:rPr>
          <w:instrText xml:space="preserve"> PAGEREF _Toc73608099 \h </w:instrText>
        </w:r>
        <w:r w:rsidR="00E26A7E">
          <w:rPr>
            <w:noProof/>
            <w:webHidden/>
          </w:rPr>
        </w:r>
        <w:r w:rsidR="00E26A7E">
          <w:rPr>
            <w:noProof/>
            <w:webHidden/>
          </w:rPr>
          <w:fldChar w:fldCharType="separate"/>
        </w:r>
        <w:r w:rsidR="00E26A7E">
          <w:rPr>
            <w:noProof/>
            <w:webHidden/>
          </w:rPr>
          <w:t>2</w:t>
        </w:r>
        <w:r w:rsidR="00E26A7E">
          <w:rPr>
            <w:noProof/>
            <w:webHidden/>
          </w:rPr>
          <w:fldChar w:fldCharType="end"/>
        </w:r>
      </w:hyperlink>
    </w:p>
    <w:p w14:paraId="56EC5096" w14:textId="77777777" w:rsidR="00E26A7E" w:rsidRDefault="009C0B64" w:rsidP="00E26A7E">
      <w:pPr>
        <w:pStyle w:val="Obsah5"/>
        <w:tabs>
          <w:tab w:val="left" w:pos="1540"/>
          <w:tab w:val="right" w:leader="dot" w:pos="9062"/>
        </w:tabs>
        <w:rPr>
          <w:rFonts w:asciiTheme="minorHAnsi" w:eastAsiaTheme="minorEastAsia" w:hAnsiTheme="minorHAnsi"/>
          <w:noProof/>
          <w:sz w:val="22"/>
          <w:lang w:eastAsia="cs-CZ"/>
        </w:rPr>
      </w:pPr>
      <w:hyperlink w:anchor="_Toc73608100" w:history="1">
        <w:r w:rsidR="00E26A7E" w:rsidRPr="00994407">
          <w:rPr>
            <w:rStyle w:val="Hypertextovodkaz"/>
            <w:noProof/>
            <w14:scene3d>
              <w14:camera w14:prst="orthographicFront"/>
              <w14:lightRig w14:rig="threePt" w14:dir="t">
                <w14:rot w14:lat="0" w14:lon="0" w14:rev="0"/>
              </w14:lightRig>
            </w14:scene3d>
          </w:rPr>
          <w:t>B.</w:t>
        </w:r>
        <w:r w:rsidR="00E26A7E">
          <w:rPr>
            <w:rFonts w:asciiTheme="minorHAnsi" w:eastAsiaTheme="minorEastAsia" w:hAnsiTheme="minorHAnsi"/>
            <w:noProof/>
            <w:sz w:val="22"/>
            <w:lang w:eastAsia="cs-CZ"/>
          </w:rPr>
          <w:tab/>
        </w:r>
        <w:r w:rsidR="00E26A7E" w:rsidRPr="00994407">
          <w:rPr>
            <w:rStyle w:val="Hypertextovodkaz"/>
            <w:noProof/>
          </w:rPr>
          <w:t>Pověření k odbornému posuzování a osvědčování</w:t>
        </w:r>
        <w:r w:rsidR="00E26A7E">
          <w:rPr>
            <w:noProof/>
            <w:webHidden/>
          </w:rPr>
          <w:tab/>
        </w:r>
        <w:r w:rsidR="00E26A7E">
          <w:rPr>
            <w:noProof/>
            <w:webHidden/>
          </w:rPr>
          <w:fldChar w:fldCharType="begin"/>
        </w:r>
        <w:r w:rsidR="00E26A7E">
          <w:rPr>
            <w:noProof/>
            <w:webHidden/>
          </w:rPr>
          <w:instrText xml:space="preserve"> PAGEREF _Toc73608100 \h </w:instrText>
        </w:r>
        <w:r w:rsidR="00E26A7E">
          <w:rPr>
            <w:noProof/>
            <w:webHidden/>
          </w:rPr>
        </w:r>
        <w:r w:rsidR="00E26A7E">
          <w:rPr>
            <w:noProof/>
            <w:webHidden/>
          </w:rPr>
          <w:fldChar w:fldCharType="separate"/>
        </w:r>
        <w:r w:rsidR="00E26A7E">
          <w:rPr>
            <w:noProof/>
            <w:webHidden/>
          </w:rPr>
          <w:t>3</w:t>
        </w:r>
        <w:r w:rsidR="00E26A7E">
          <w:rPr>
            <w:noProof/>
            <w:webHidden/>
          </w:rPr>
          <w:fldChar w:fldCharType="end"/>
        </w:r>
      </w:hyperlink>
    </w:p>
    <w:p w14:paraId="42DC6202" w14:textId="77777777" w:rsidR="00E26A7E" w:rsidRDefault="009C0B64" w:rsidP="00E26A7E">
      <w:pPr>
        <w:pStyle w:val="Obsah5"/>
        <w:tabs>
          <w:tab w:val="left" w:pos="1540"/>
          <w:tab w:val="right" w:leader="dot" w:pos="9062"/>
        </w:tabs>
        <w:rPr>
          <w:rFonts w:asciiTheme="minorHAnsi" w:eastAsiaTheme="minorEastAsia" w:hAnsiTheme="minorHAnsi"/>
          <w:noProof/>
          <w:sz w:val="22"/>
          <w:lang w:eastAsia="cs-CZ"/>
        </w:rPr>
      </w:pPr>
      <w:hyperlink w:anchor="_Toc73608101" w:history="1">
        <w:r w:rsidR="00E26A7E" w:rsidRPr="00994407">
          <w:rPr>
            <w:rStyle w:val="Hypertextovodkaz"/>
            <w:noProof/>
            <w14:scene3d>
              <w14:camera w14:prst="orthographicFront"/>
              <w14:lightRig w14:rig="threePt" w14:dir="t">
                <w14:rot w14:lat="0" w14:lon="0" w14:rev="0"/>
              </w14:lightRig>
            </w14:scene3d>
          </w:rPr>
          <w:t>C.</w:t>
        </w:r>
        <w:r w:rsidR="00E26A7E">
          <w:rPr>
            <w:rFonts w:asciiTheme="minorHAnsi" w:eastAsiaTheme="minorEastAsia" w:hAnsiTheme="minorHAnsi"/>
            <w:noProof/>
            <w:sz w:val="22"/>
            <w:lang w:eastAsia="cs-CZ"/>
          </w:rPr>
          <w:tab/>
        </w:r>
        <w:r w:rsidR="00E26A7E" w:rsidRPr="00994407">
          <w:rPr>
            <w:rStyle w:val="Hypertextovodkaz"/>
            <w:noProof/>
          </w:rPr>
          <w:t>Výstupní dokumenty</w:t>
        </w:r>
        <w:r w:rsidR="00E26A7E">
          <w:rPr>
            <w:noProof/>
            <w:webHidden/>
          </w:rPr>
          <w:tab/>
        </w:r>
        <w:r w:rsidR="00E26A7E">
          <w:rPr>
            <w:noProof/>
            <w:webHidden/>
          </w:rPr>
          <w:fldChar w:fldCharType="begin"/>
        </w:r>
        <w:r w:rsidR="00E26A7E">
          <w:rPr>
            <w:noProof/>
            <w:webHidden/>
          </w:rPr>
          <w:instrText xml:space="preserve"> PAGEREF _Toc73608101 \h </w:instrText>
        </w:r>
        <w:r w:rsidR="00E26A7E">
          <w:rPr>
            <w:noProof/>
            <w:webHidden/>
          </w:rPr>
        </w:r>
        <w:r w:rsidR="00E26A7E">
          <w:rPr>
            <w:noProof/>
            <w:webHidden/>
          </w:rPr>
          <w:fldChar w:fldCharType="separate"/>
        </w:r>
        <w:r w:rsidR="00E26A7E">
          <w:rPr>
            <w:noProof/>
            <w:webHidden/>
          </w:rPr>
          <w:t>6</w:t>
        </w:r>
        <w:r w:rsidR="00E26A7E">
          <w:rPr>
            <w:noProof/>
            <w:webHidden/>
          </w:rPr>
          <w:fldChar w:fldCharType="end"/>
        </w:r>
      </w:hyperlink>
    </w:p>
    <w:p w14:paraId="1BA8C690" w14:textId="77777777" w:rsidR="00E26A7E" w:rsidRDefault="009C0B64" w:rsidP="00E26A7E">
      <w:pPr>
        <w:pStyle w:val="Obsah3"/>
        <w:tabs>
          <w:tab w:val="left" w:pos="1200"/>
          <w:tab w:val="right" w:leader="dot" w:pos="9062"/>
        </w:tabs>
        <w:rPr>
          <w:rFonts w:asciiTheme="minorHAnsi" w:eastAsiaTheme="minorEastAsia" w:hAnsiTheme="minorHAnsi"/>
          <w:noProof/>
          <w:sz w:val="22"/>
          <w:lang w:eastAsia="cs-CZ"/>
        </w:rPr>
      </w:pPr>
      <w:hyperlink w:anchor="_Toc73608102" w:history="1">
        <w:r w:rsidR="00E26A7E" w:rsidRPr="00994407">
          <w:rPr>
            <w:rStyle w:val="Hypertextovodkaz"/>
            <w:noProof/>
            <w14:scene3d>
              <w14:camera w14:prst="orthographicFront"/>
              <w14:lightRig w14:rig="threePt" w14:dir="t">
                <w14:rot w14:lat="0" w14:lon="0" w14:rev="0"/>
              </w14:lightRig>
            </w14:scene3d>
          </w:rPr>
          <w:t>1.3</w:t>
        </w:r>
        <w:r w:rsidR="00E26A7E">
          <w:rPr>
            <w:rFonts w:asciiTheme="minorHAnsi" w:eastAsiaTheme="minorEastAsia" w:hAnsiTheme="minorHAnsi"/>
            <w:noProof/>
            <w:sz w:val="22"/>
            <w:lang w:eastAsia="cs-CZ"/>
          </w:rPr>
          <w:tab/>
        </w:r>
        <w:r w:rsidR="00E26A7E" w:rsidRPr="00994407">
          <w:rPr>
            <w:rStyle w:val="Hypertextovodkaz"/>
            <w:noProof/>
          </w:rPr>
          <w:t>Konkrétní popis nástrojů, včetně oblastí, na které by bylo vhodné se v budoucnu zaměřit, a návrh doporučení či možných variant řešení</w:t>
        </w:r>
        <w:r w:rsidR="00E26A7E">
          <w:rPr>
            <w:noProof/>
            <w:webHidden/>
          </w:rPr>
          <w:tab/>
        </w:r>
        <w:r w:rsidR="00E26A7E">
          <w:rPr>
            <w:noProof/>
            <w:webHidden/>
          </w:rPr>
          <w:fldChar w:fldCharType="begin"/>
        </w:r>
        <w:r w:rsidR="00E26A7E">
          <w:rPr>
            <w:noProof/>
            <w:webHidden/>
          </w:rPr>
          <w:instrText xml:space="preserve"> PAGEREF _Toc73608102 \h </w:instrText>
        </w:r>
        <w:r w:rsidR="00E26A7E">
          <w:rPr>
            <w:noProof/>
            <w:webHidden/>
          </w:rPr>
        </w:r>
        <w:r w:rsidR="00E26A7E">
          <w:rPr>
            <w:noProof/>
            <w:webHidden/>
          </w:rPr>
          <w:fldChar w:fldCharType="separate"/>
        </w:r>
        <w:r w:rsidR="00E26A7E">
          <w:rPr>
            <w:noProof/>
            <w:webHidden/>
          </w:rPr>
          <w:t>8</w:t>
        </w:r>
        <w:r w:rsidR="00E26A7E">
          <w:rPr>
            <w:noProof/>
            <w:webHidden/>
          </w:rPr>
          <w:fldChar w:fldCharType="end"/>
        </w:r>
      </w:hyperlink>
    </w:p>
    <w:p w14:paraId="34D64201" w14:textId="77777777" w:rsidR="00E26A7E" w:rsidRDefault="009C0B64" w:rsidP="00E26A7E">
      <w:pPr>
        <w:pStyle w:val="Obsah5"/>
        <w:tabs>
          <w:tab w:val="left" w:pos="1540"/>
          <w:tab w:val="right" w:leader="dot" w:pos="9062"/>
        </w:tabs>
        <w:rPr>
          <w:rFonts w:asciiTheme="minorHAnsi" w:eastAsiaTheme="minorEastAsia" w:hAnsiTheme="minorHAnsi"/>
          <w:noProof/>
          <w:sz w:val="22"/>
          <w:lang w:eastAsia="cs-CZ"/>
        </w:rPr>
      </w:pPr>
      <w:hyperlink w:anchor="_Toc73608103" w:history="1">
        <w:r w:rsidR="00E26A7E" w:rsidRPr="00994407">
          <w:rPr>
            <w:rStyle w:val="Hypertextovodkaz"/>
            <w:noProof/>
            <w14:scene3d>
              <w14:camera w14:prst="orthographicFront"/>
              <w14:lightRig w14:rig="threePt" w14:dir="t">
                <w14:rot w14:lat="0" w14:lon="0" w14:rev="0"/>
              </w14:lightRig>
            </w14:scene3d>
          </w:rPr>
          <w:t>A.</w:t>
        </w:r>
        <w:r w:rsidR="00E26A7E">
          <w:rPr>
            <w:rFonts w:asciiTheme="minorHAnsi" w:eastAsiaTheme="minorEastAsia" w:hAnsiTheme="minorHAnsi"/>
            <w:noProof/>
            <w:sz w:val="22"/>
            <w:lang w:eastAsia="cs-CZ"/>
          </w:rPr>
          <w:tab/>
        </w:r>
        <w:r w:rsidR="00E26A7E" w:rsidRPr="00994407">
          <w:rPr>
            <w:rStyle w:val="Hypertextovodkaz"/>
            <w:noProof/>
          </w:rPr>
          <w:t>Pověření k odbornému posuzování a osvědčování</w:t>
        </w:r>
        <w:r w:rsidR="00E26A7E">
          <w:rPr>
            <w:noProof/>
            <w:webHidden/>
          </w:rPr>
          <w:tab/>
        </w:r>
        <w:r w:rsidR="00E26A7E">
          <w:rPr>
            <w:noProof/>
            <w:webHidden/>
          </w:rPr>
          <w:fldChar w:fldCharType="begin"/>
        </w:r>
        <w:r w:rsidR="00E26A7E">
          <w:rPr>
            <w:noProof/>
            <w:webHidden/>
          </w:rPr>
          <w:instrText xml:space="preserve"> PAGEREF _Toc73608103 \h </w:instrText>
        </w:r>
        <w:r w:rsidR="00E26A7E">
          <w:rPr>
            <w:noProof/>
            <w:webHidden/>
          </w:rPr>
        </w:r>
        <w:r w:rsidR="00E26A7E">
          <w:rPr>
            <w:noProof/>
            <w:webHidden/>
          </w:rPr>
          <w:fldChar w:fldCharType="separate"/>
        </w:r>
        <w:r w:rsidR="00E26A7E">
          <w:rPr>
            <w:noProof/>
            <w:webHidden/>
          </w:rPr>
          <w:t>9</w:t>
        </w:r>
        <w:r w:rsidR="00E26A7E">
          <w:rPr>
            <w:noProof/>
            <w:webHidden/>
          </w:rPr>
          <w:fldChar w:fldCharType="end"/>
        </w:r>
      </w:hyperlink>
    </w:p>
    <w:p w14:paraId="1AAEE2FA"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04" w:history="1">
        <w:r w:rsidR="00E26A7E" w:rsidRPr="00994407">
          <w:rPr>
            <w:rStyle w:val="Hypertextovodkaz"/>
            <w:noProof/>
          </w:rPr>
          <w:t>i.</w:t>
        </w:r>
        <w:r w:rsidR="00E26A7E">
          <w:rPr>
            <w:rFonts w:asciiTheme="minorHAnsi" w:eastAsiaTheme="minorEastAsia" w:hAnsiTheme="minorHAnsi"/>
            <w:noProof/>
            <w:sz w:val="22"/>
            <w:lang w:eastAsia="cs-CZ"/>
          </w:rPr>
          <w:tab/>
        </w:r>
        <w:r w:rsidR="00E26A7E" w:rsidRPr="00994407">
          <w:rPr>
            <w:rStyle w:val="Hypertextovodkaz"/>
            <w:noProof/>
          </w:rPr>
          <w:t>Prověření podmínek uvedených v pověření k odbornému posuzování a osvědčování</w:t>
        </w:r>
        <w:r w:rsidR="00E26A7E">
          <w:rPr>
            <w:noProof/>
            <w:webHidden/>
          </w:rPr>
          <w:tab/>
        </w:r>
        <w:r w:rsidR="00E26A7E">
          <w:rPr>
            <w:noProof/>
            <w:webHidden/>
          </w:rPr>
          <w:fldChar w:fldCharType="begin"/>
        </w:r>
        <w:r w:rsidR="00E26A7E">
          <w:rPr>
            <w:noProof/>
            <w:webHidden/>
          </w:rPr>
          <w:instrText xml:space="preserve"> PAGEREF _Toc73608104 \h </w:instrText>
        </w:r>
        <w:r w:rsidR="00E26A7E">
          <w:rPr>
            <w:noProof/>
            <w:webHidden/>
          </w:rPr>
        </w:r>
        <w:r w:rsidR="00E26A7E">
          <w:rPr>
            <w:noProof/>
            <w:webHidden/>
          </w:rPr>
          <w:fldChar w:fldCharType="separate"/>
        </w:r>
        <w:r w:rsidR="00E26A7E">
          <w:rPr>
            <w:noProof/>
            <w:webHidden/>
          </w:rPr>
          <w:t>9</w:t>
        </w:r>
        <w:r w:rsidR="00E26A7E">
          <w:rPr>
            <w:noProof/>
            <w:webHidden/>
          </w:rPr>
          <w:fldChar w:fldCharType="end"/>
        </w:r>
      </w:hyperlink>
    </w:p>
    <w:p w14:paraId="424656A7"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05" w:history="1">
        <w:r w:rsidR="00E26A7E" w:rsidRPr="00994407">
          <w:rPr>
            <w:rStyle w:val="Hypertextovodkaz"/>
            <w:noProof/>
          </w:rPr>
          <w:t>ii.</w:t>
        </w:r>
        <w:r w:rsidR="00E26A7E">
          <w:rPr>
            <w:rFonts w:asciiTheme="minorHAnsi" w:eastAsiaTheme="minorEastAsia" w:hAnsiTheme="minorHAnsi"/>
            <w:noProof/>
            <w:sz w:val="22"/>
            <w:lang w:eastAsia="cs-CZ"/>
          </w:rPr>
          <w:tab/>
        </w:r>
        <w:r w:rsidR="00E26A7E" w:rsidRPr="00994407">
          <w:rPr>
            <w:rStyle w:val="Hypertextovodkaz"/>
            <w:noProof/>
          </w:rPr>
          <w:t>Akreditace pověřené osoby</w:t>
        </w:r>
        <w:r w:rsidR="00E26A7E">
          <w:rPr>
            <w:noProof/>
            <w:webHidden/>
          </w:rPr>
          <w:tab/>
        </w:r>
        <w:r w:rsidR="00E26A7E">
          <w:rPr>
            <w:noProof/>
            <w:webHidden/>
          </w:rPr>
          <w:fldChar w:fldCharType="begin"/>
        </w:r>
        <w:r w:rsidR="00E26A7E">
          <w:rPr>
            <w:noProof/>
            <w:webHidden/>
          </w:rPr>
          <w:instrText xml:space="preserve"> PAGEREF _Toc73608105 \h </w:instrText>
        </w:r>
        <w:r w:rsidR="00E26A7E">
          <w:rPr>
            <w:noProof/>
            <w:webHidden/>
          </w:rPr>
        </w:r>
        <w:r w:rsidR="00E26A7E">
          <w:rPr>
            <w:noProof/>
            <w:webHidden/>
          </w:rPr>
          <w:fldChar w:fldCharType="separate"/>
        </w:r>
        <w:r w:rsidR="00E26A7E">
          <w:rPr>
            <w:noProof/>
            <w:webHidden/>
          </w:rPr>
          <w:t>10</w:t>
        </w:r>
        <w:r w:rsidR="00E26A7E">
          <w:rPr>
            <w:noProof/>
            <w:webHidden/>
          </w:rPr>
          <w:fldChar w:fldCharType="end"/>
        </w:r>
      </w:hyperlink>
    </w:p>
    <w:p w14:paraId="1F772999" w14:textId="77777777" w:rsidR="00E26A7E" w:rsidRDefault="009C0B64" w:rsidP="00E26A7E">
      <w:pPr>
        <w:pStyle w:val="Obsah5"/>
        <w:tabs>
          <w:tab w:val="left" w:pos="1540"/>
          <w:tab w:val="right" w:leader="dot" w:pos="9062"/>
        </w:tabs>
        <w:rPr>
          <w:rFonts w:asciiTheme="minorHAnsi" w:eastAsiaTheme="minorEastAsia" w:hAnsiTheme="minorHAnsi"/>
          <w:noProof/>
          <w:sz w:val="22"/>
          <w:lang w:eastAsia="cs-CZ"/>
        </w:rPr>
      </w:pPr>
      <w:hyperlink w:anchor="_Toc73608106" w:history="1">
        <w:r w:rsidR="00E26A7E" w:rsidRPr="00994407">
          <w:rPr>
            <w:rStyle w:val="Hypertextovodkaz"/>
            <w:noProof/>
            <w14:scene3d>
              <w14:camera w14:prst="orthographicFront"/>
              <w14:lightRig w14:rig="threePt" w14:dir="t">
                <w14:rot w14:lat="0" w14:lon="0" w14:rev="0"/>
              </w14:lightRig>
            </w14:scene3d>
          </w:rPr>
          <w:t>B.</w:t>
        </w:r>
        <w:r w:rsidR="00E26A7E">
          <w:rPr>
            <w:rFonts w:asciiTheme="minorHAnsi" w:eastAsiaTheme="minorEastAsia" w:hAnsiTheme="minorHAnsi"/>
            <w:noProof/>
            <w:sz w:val="22"/>
            <w:lang w:eastAsia="cs-CZ"/>
          </w:rPr>
          <w:tab/>
        </w:r>
        <w:r w:rsidR="00E26A7E" w:rsidRPr="00994407">
          <w:rPr>
            <w:rStyle w:val="Hypertextovodkaz"/>
            <w:noProof/>
          </w:rPr>
          <w:t>Výstupní dokumenty</w:t>
        </w:r>
        <w:r w:rsidR="00E26A7E">
          <w:rPr>
            <w:noProof/>
            <w:webHidden/>
          </w:rPr>
          <w:tab/>
        </w:r>
        <w:r w:rsidR="00E26A7E">
          <w:rPr>
            <w:noProof/>
            <w:webHidden/>
          </w:rPr>
          <w:fldChar w:fldCharType="begin"/>
        </w:r>
        <w:r w:rsidR="00E26A7E">
          <w:rPr>
            <w:noProof/>
            <w:webHidden/>
          </w:rPr>
          <w:instrText xml:space="preserve"> PAGEREF _Toc73608106 \h </w:instrText>
        </w:r>
        <w:r w:rsidR="00E26A7E">
          <w:rPr>
            <w:noProof/>
            <w:webHidden/>
          </w:rPr>
        </w:r>
        <w:r w:rsidR="00E26A7E">
          <w:rPr>
            <w:noProof/>
            <w:webHidden/>
          </w:rPr>
          <w:fldChar w:fldCharType="separate"/>
        </w:r>
        <w:r w:rsidR="00E26A7E">
          <w:rPr>
            <w:noProof/>
            <w:webHidden/>
          </w:rPr>
          <w:t>12</w:t>
        </w:r>
        <w:r w:rsidR="00E26A7E">
          <w:rPr>
            <w:noProof/>
            <w:webHidden/>
          </w:rPr>
          <w:fldChar w:fldCharType="end"/>
        </w:r>
      </w:hyperlink>
    </w:p>
    <w:p w14:paraId="39839FC2" w14:textId="4574C7AD"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07" w:history="1">
        <w:r w:rsidR="00E26A7E" w:rsidRPr="00994407">
          <w:rPr>
            <w:rStyle w:val="Hypertextovodkaz"/>
            <w:noProof/>
          </w:rPr>
          <w:t>i.</w:t>
        </w:r>
        <w:r w:rsidR="00E26A7E">
          <w:rPr>
            <w:rFonts w:asciiTheme="minorHAnsi" w:eastAsiaTheme="minorEastAsia" w:hAnsiTheme="minorHAnsi"/>
            <w:noProof/>
            <w:sz w:val="22"/>
            <w:lang w:eastAsia="cs-CZ"/>
          </w:rPr>
          <w:tab/>
        </w:r>
        <w:r w:rsidR="00E26A7E" w:rsidRPr="00994407">
          <w:rPr>
            <w:rStyle w:val="Hypertextovodkaz"/>
            <w:noProof/>
          </w:rPr>
          <w:t xml:space="preserve">Jedinečný identifikátor </w:t>
        </w:r>
        <w:r w:rsidR="00A353EC">
          <w:rPr>
            <w:rStyle w:val="Hypertextovodkaz"/>
            <w:noProof/>
          </w:rPr>
          <w:t>dokumentu odborného posouzení a </w:t>
        </w:r>
        <w:r w:rsidR="00E26A7E" w:rsidRPr="00994407">
          <w:rPr>
            <w:rStyle w:val="Hypertextovodkaz"/>
            <w:noProof/>
          </w:rPr>
          <w:t>osvědčení o provozuschopnosti</w:t>
        </w:r>
        <w:r w:rsidR="00E26A7E">
          <w:rPr>
            <w:noProof/>
            <w:webHidden/>
          </w:rPr>
          <w:tab/>
        </w:r>
        <w:r w:rsidR="00E26A7E">
          <w:rPr>
            <w:noProof/>
            <w:webHidden/>
          </w:rPr>
          <w:fldChar w:fldCharType="begin"/>
        </w:r>
        <w:r w:rsidR="00E26A7E">
          <w:rPr>
            <w:noProof/>
            <w:webHidden/>
          </w:rPr>
          <w:instrText xml:space="preserve"> PAGEREF _Toc73608107 \h </w:instrText>
        </w:r>
        <w:r w:rsidR="00E26A7E">
          <w:rPr>
            <w:noProof/>
            <w:webHidden/>
          </w:rPr>
        </w:r>
        <w:r w:rsidR="00E26A7E">
          <w:rPr>
            <w:noProof/>
            <w:webHidden/>
          </w:rPr>
          <w:fldChar w:fldCharType="separate"/>
        </w:r>
        <w:r w:rsidR="00E26A7E">
          <w:rPr>
            <w:noProof/>
            <w:webHidden/>
          </w:rPr>
          <w:t>12</w:t>
        </w:r>
        <w:r w:rsidR="00E26A7E">
          <w:rPr>
            <w:noProof/>
            <w:webHidden/>
          </w:rPr>
          <w:fldChar w:fldCharType="end"/>
        </w:r>
      </w:hyperlink>
    </w:p>
    <w:p w14:paraId="0994B2C4"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08" w:history="1">
        <w:r w:rsidR="00E26A7E" w:rsidRPr="00994407">
          <w:rPr>
            <w:rStyle w:val="Hypertextovodkaz"/>
            <w:noProof/>
          </w:rPr>
          <w:t>ii.</w:t>
        </w:r>
        <w:r w:rsidR="00E26A7E">
          <w:rPr>
            <w:rFonts w:asciiTheme="minorHAnsi" w:eastAsiaTheme="minorEastAsia" w:hAnsiTheme="minorHAnsi"/>
            <w:noProof/>
            <w:sz w:val="22"/>
            <w:lang w:eastAsia="cs-CZ"/>
          </w:rPr>
          <w:tab/>
        </w:r>
        <w:r w:rsidR="00E26A7E" w:rsidRPr="00994407">
          <w:rPr>
            <w:rStyle w:val="Hypertextovodkaz"/>
            <w:noProof/>
          </w:rPr>
          <w:t>Doplnění odborného posouzení a osvědčení o provozuschopnosti v případech, kde dojde k zásahu do technických parametrů hazardní hry nebo zařízení, prostřednictvím kterého je hazardní hra provozována</w:t>
        </w:r>
        <w:r w:rsidR="00E26A7E">
          <w:rPr>
            <w:noProof/>
            <w:webHidden/>
          </w:rPr>
          <w:tab/>
        </w:r>
        <w:r w:rsidR="00E26A7E">
          <w:rPr>
            <w:noProof/>
            <w:webHidden/>
          </w:rPr>
          <w:fldChar w:fldCharType="begin"/>
        </w:r>
        <w:r w:rsidR="00E26A7E">
          <w:rPr>
            <w:noProof/>
            <w:webHidden/>
          </w:rPr>
          <w:instrText xml:space="preserve"> PAGEREF _Toc73608108 \h </w:instrText>
        </w:r>
        <w:r w:rsidR="00E26A7E">
          <w:rPr>
            <w:noProof/>
            <w:webHidden/>
          </w:rPr>
        </w:r>
        <w:r w:rsidR="00E26A7E">
          <w:rPr>
            <w:noProof/>
            <w:webHidden/>
          </w:rPr>
          <w:fldChar w:fldCharType="separate"/>
        </w:r>
        <w:r w:rsidR="00E26A7E">
          <w:rPr>
            <w:noProof/>
            <w:webHidden/>
          </w:rPr>
          <w:t>13</w:t>
        </w:r>
        <w:r w:rsidR="00E26A7E">
          <w:rPr>
            <w:noProof/>
            <w:webHidden/>
          </w:rPr>
          <w:fldChar w:fldCharType="end"/>
        </w:r>
      </w:hyperlink>
    </w:p>
    <w:p w14:paraId="289AC226"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09" w:history="1">
        <w:r w:rsidR="00E26A7E" w:rsidRPr="00994407">
          <w:rPr>
            <w:rStyle w:val="Hypertextovodkaz"/>
            <w:noProof/>
          </w:rPr>
          <w:t>iii.</w:t>
        </w:r>
        <w:r w:rsidR="00E26A7E">
          <w:rPr>
            <w:rFonts w:asciiTheme="minorHAnsi" w:eastAsiaTheme="minorEastAsia" w:hAnsiTheme="minorHAnsi"/>
            <w:noProof/>
            <w:sz w:val="22"/>
            <w:lang w:eastAsia="cs-CZ"/>
          </w:rPr>
          <w:tab/>
        </w:r>
        <w:r w:rsidR="00E26A7E" w:rsidRPr="00994407">
          <w:rPr>
            <w:rStyle w:val="Hypertextovodkaz"/>
            <w:noProof/>
          </w:rPr>
          <w:t>Platnost základního odborného posouzení</w:t>
        </w:r>
        <w:r w:rsidR="00E26A7E">
          <w:rPr>
            <w:noProof/>
            <w:webHidden/>
          </w:rPr>
          <w:tab/>
        </w:r>
        <w:r w:rsidR="00E26A7E">
          <w:rPr>
            <w:noProof/>
            <w:webHidden/>
          </w:rPr>
          <w:fldChar w:fldCharType="begin"/>
        </w:r>
        <w:r w:rsidR="00E26A7E">
          <w:rPr>
            <w:noProof/>
            <w:webHidden/>
          </w:rPr>
          <w:instrText xml:space="preserve"> PAGEREF _Toc73608109 \h </w:instrText>
        </w:r>
        <w:r w:rsidR="00E26A7E">
          <w:rPr>
            <w:noProof/>
            <w:webHidden/>
          </w:rPr>
        </w:r>
        <w:r w:rsidR="00E26A7E">
          <w:rPr>
            <w:noProof/>
            <w:webHidden/>
          </w:rPr>
          <w:fldChar w:fldCharType="separate"/>
        </w:r>
        <w:r w:rsidR="00E26A7E">
          <w:rPr>
            <w:noProof/>
            <w:webHidden/>
          </w:rPr>
          <w:t>15</w:t>
        </w:r>
        <w:r w:rsidR="00E26A7E">
          <w:rPr>
            <w:noProof/>
            <w:webHidden/>
          </w:rPr>
          <w:fldChar w:fldCharType="end"/>
        </w:r>
      </w:hyperlink>
    </w:p>
    <w:p w14:paraId="54170771"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0" w:history="1">
        <w:r w:rsidR="00E26A7E" w:rsidRPr="00994407">
          <w:rPr>
            <w:rStyle w:val="Hypertextovodkaz"/>
            <w:noProof/>
          </w:rPr>
          <w:t>iv.</w:t>
        </w:r>
        <w:r w:rsidR="00E26A7E">
          <w:rPr>
            <w:rFonts w:asciiTheme="minorHAnsi" w:eastAsiaTheme="minorEastAsia" w:hAnsiTheme="minorHAnsi"/>
            <w:noProof/>
            <w:sz w:val="22"/>
            <w:lang w:eastAsia="cs-CZ"/>
          </w:rPr>
          <w:tab/>
        </w:r>
        <w:r w:rsidR="00E26A7E" w:rsidRPr="00994407">
          <w:rPr>
            <w:rStyle w:val="Hypertextovodkaz"/>
            <w:noProof/>
          </w:rPr>
          <w:t>Zpráva o provedení změn</w:t>
        </w:r>
        <w:r w:rsidR="00E26A7E">
          <w:rPr>
            <w:noProof/>
            <w:webHidden/>
          </w:rPr>
          <w:tab/>
        </w:r>
        <w:r w:rsidR="00E26A7E">
          <w:rPr>
            <w:noProof/>
            <w:webHidden/>
          </w:rPr>
          <w:fldChar w:fldCharType="begin"/>
        </w:r>
        <w:r w:rsidR="00E26A7E">
          <w:rPr>
            <w:noProof/>
            <w:webHidden/>
          </w:rPr>
          <w:instrText xml:space="preserve"> PAGEREF _Toc73608110 \h </w:instrText>
        </w:r>
        <w:r w:rsidR="00E26A7E">
          <w:rPr>
            <w:noProof/>
            <w:webHidden/>
          </w:rPr>
        </w:r>
        <w:r w:rsidR="00E26A7E">
          <w:rPr>
            <w:noProof/>
            <w:webHidden/>
          </w:rPr>
          <w:fldChar w:fldCharType="separate"/>
        </w:r>
        <w:r w:rsidR="00E26A7E">
          <w:rPr>
            <w:noProof/>
            <w:webHidden/>
          </w:rPr>
          <w:t>16</w:t>
        </w:r>
        <w:r w:rsidR="00E26A7E">
          <w:rPr>
            <w:noProof/>
            <w:webHidden/>
          </w:rPr>
          <w:fldChar w:fldCharType="end"/>
        </w:r>
      </w:hyperlink>
    </w:p>
    <w:p w14:paraId="12855983"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1" w:history="1">
        <w:r w:rsidR="00E26A7E" w:rsidRPr="00994407">
          <w:rPr>
            <w:rStyle w:val="Hypertextovodkaz"/>
            <w:noProof/>
          </w:rPr>
          <w:t>v.</w:t>
        </w:r>
        <w:r w:rsidR="00E26A7E">
          <w:rPr>
            <w:rFonts w:asciiTheme="minorHAnsi" w:eastAsiaTheme="minorEastAsia" w:hAnsiTheme="minorHAnsi"/>
            <w:noProof/>
            <w:sz w:val="22"/>
            <w:lang w:eastAsia="cs-CZ"/>
          </w:rPr>
          <w:tab/>
        </w:r>
        <w:r w:rsidR="00E26A7E" w:rsidRPr="00994407">
          <w:rPr>
            <w:rStyle w:val="Hypertextovodkaz"/>
            <w:noProof/>
          </w:rPr>
          <w:t>Možnost odkazovat v rámci tzv. zastřešujícího odborného posouzení na dílčí odborná posouzení</w:t>
        </w:r>
        <w:r w:rsidR="00E26A7E">
          <w:rPr>
            <w:noProof/>
            <w:webHidden/>
          </w:rPr>
          <w:tab/>
        </w:r>
        <w:r w:rsidR="00E26A7E">
          <w:rPr>
            <w:noProof/>
            <w:webHidden/>
          </w:rPr>
          <w:fldChar w:fldCharType="begin"/>
        </w:r>
        <w:r w:rsidR="00E26A7E">
          <w:rPr>
            <w:noProof/>
            <w:webHidden/>
          </w:rPr>
          <w:instrText xml:space="preserve"> PAGEREF _Toc73608111 \h </w:instrText>
        </w:r>
        <w:r w:rsidR="00E26A7E">
          <w:rPr>
            <w:noProof/>
            <w:webHidden/>
          </w:rPr>
        </w:r>
        <w:r w:rsidR="00E26A7E">
          <w:rPr>
            <w:noProof/>
            <w:webHidden/>
          </w:rPr>
          <w:fldChar w:fldCharType="separate"/>
        </w:r>
        <w:r w:rsidR="00E26A7E">
          <w:rPr>
            <w:noProof/>
            <w:webHidden/>
          </w:rPr>
          <w:t>18</w:t>
        </w:r>
        <w:r w:rsidR="00E26A7E">
          <w:rPr>
            <w:noProof/>
            <w:webHidden/>
          </w:rPr>
          <w:fldChar w:fldCharType="end"/>
        </w:r>
      </w:hyperlink>
    </w:p>
    <w:p w14:paraId="20C7B9CE"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2" w:history="1">
        <w:r w:rsidR="00E26A7E" w:rsidRPr="00994407">
          <w:rPr>
            <w:rStyle w:val="Hypertextovodkaz"/>
            <w:noProof/>
          </w:rPr>
          <w:t>vi.</w:t>
        </w:r>
        <w:r w:rsidR="00E26A7E">
          <w:rPr>
            <w:rFonts w:asciiTheme="minorHAnsi" w:eastAsiaTheme="minorEastAsia" w:hAnsiTheme="minorHAnsi"/>
            <w:noProof/>
            <w:sz w:val="22"/>
            <w:lang w:eastAsia="cs-CZ"/>
          </w:rPr>
          <w:tab/>
        </w:r>
        <w:r w:rsidR="00E26A7E" w:rsidRPr="00994407">
          <w:rPr>
            <w:rStyle w:val="Hypertextovodkaz"/>
            <w:noProof/>
          </w:rPr>
          <w:t>Odborné posouzení v případě živé hry</w:t>
        </w:r>
        <w:r w:rsidR="00E26A7E">
          <w:rPr>
            <w:noProof/>
            <w:webHidden/>
          </w:rPr>
          <w:tab/>
        </w:r>
        <w:r w:rsidR="00E26A7E">
          <w:rPr>
            <w:noProof/>
            <w:webHidden/>
          </w:rPr>
          <w:fldChar w:fldCharType="begin"/>
        </w:r>
        <w:r w:rsidR="00E26A7E">
          <w:rPr>
            <w:noProof/>
            <w:webHidden/>
          </w:rPr>
          <w:instrText xml:space="preserve"> PAGEREF _Toc73608112 \h </w:instrText>
        </w:r>
        <w:r w:rsidR="00E26A7E">
          <w:rPr>
            <w:noProof/>
            <w:webHidden/>
          </w:rPr>
        </w:r>
        <w:r w:rsidR="00E26A7E">
          <w:rPr>
            <w:noProof/>
            <w:webHidden/>
          </w:rPr>
          <w:fldChar w:fldCharType="separate"/>
        </w:r>
        <w:r w:rsidR="00E26A7E">
          <w:rPr>
            <w:noProof/>
            <w:webHidden/>
          </w:rPr>
          <w:t>20</w:t>
        </w:r>
        <w:r w:rsidR="00E26A7E">
          <w:rPr>
            <w:noProof/>
            <w:webHidden/>
          </w:rPr>
          <w:fldChar w:fldCharType="end"/>
        </w:r>
      </w:hyperlink>
    </w:p>
    <w:p w14:paraId="292FC4B1"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3" w:history="1">
        <w:r w:rsidR="00E26A7E" w:rsidRPr="00994407">
          <w:rPr>
            <w:rStyle w:val="Hypertextovodkaz"/>
            <w:noProof/>
          </w:rPr>
          <w:t>vii.</w:t>
        </w:r>
        <w:r w:rsidR="00E26A7E">
          <w:rPr>
            <w:rFonts w:asciiTheme="minorHAnsi" w:eastAsiaTheme="minorEastAsia" w:hAnsiTheme="minorHAnsi"/>
            <w:noProof/>
            <w:sz w:val="22"/>
            <w:lang w:eastAsia="cs-CZ"/>
          </w:rPr>
          <w:tab/>
        </w:r>
        <w:r w:rsidR="00E26A7E" w:rsidRPr="00994407">
          <w:rPr>
            <w:rStyle w:val="Hypertextovodkaz"/>
            <w:noProof/>
          </w:rPr>
          <w:t>Registrační známka</w:t>
        </w:r>
        <w:r w:rsidR="00E26A7E">
          <w:rPr>
            <w:noProof/>
            <w:webHidden/>
          </w:rPr>
          <w:tab/>
        </w:r>
        <w:r w:rsidR="00E26A7E">
          <w:rPr>
            <w:noProof/>
            <w:webHidden/>
          </w:rPr>
          <w:fldChar w:fldCharType="begin"/>
        </w:r>
        <w:r w:rsidR="00E26A7E">
          <w:rPr>
            <w:noProof/>
            <w:webHidden/>
          </w:rPr>
          <w:instrText xml:space="preserve"> PAGEREF _Toc73608113 \h </w:instrText>
        </w:r>
        <w:r w:rsidR="00E26A7E">
          <w:rPr>
            <w:noProof/>
            <w:webHidden/>
          </w:rPr>
        </w:r>
        <w:r w:rsidR="00E26A7E">
          <w:rPr>
            <w:noProof/>
            <w:webHidden/>
          </w:rPr>
          <w:fldChar w:fldCharType="separate"/>
        </w:r>
        <w:r w:rsidR="00E26A7E">
          <w:rPr>
            <w:noProof/>
            <w:webHidden/>
          </w:rPr>
          <w:t>21</w:t>
        </w:r>
        <w:r w:rsidR="00E26A7E">
          <w:rPr>
            <w:noProof/>
            <w:webHidden/>
          </w:rPr>
          <w:fldChar w:fldCharType="end"/>
        </w:r>
      </w:hyperlink>
    </w:p>
    <w:p w14:paraId="28997E43" w14:textId="77777777" w:rsidR="00E26A7E" w:rsidRDefault="009C0B64" w:rsidP="00E26A7E">
      <w:pPr>
        <w:pStyle w:val="Obsah6"/>
        <w:tabs>
          <w:tab w:val="left" w:pos="1767"/>
          <w:tab w:val="right" w:leader="dot" w:pos="9062"/>
        </w:tabs>
        <w:rPr>
          <w:rFonts w:asciiTheme="minorHAnsi" w:eastAsiaTheme="minorEastAsia" w:hAnsiTheme="minorHAnsi"/>
          <w:noProof/>
          <w:sz w:val="22"/>
          <w:lang w:eastAsia="cs-CZ"/>
        </w:rPr>
      </w:pPr>
      <w:hyperlink w:anchor="_Toc73608114" w:history="1">
        <w:r w:rsidR="00E26A7E" w:rsidRPr="00994407">
          <w:rPr>
            <w:rStyle w:val="Hypertextovodkaz"/>
            <w:noProof/>
          </w:rPr>
          <w:t>viii.</w:t>
        </w:r>
        <w:r w:rsidR="00E26A7E">
          <w:rPr>
            <w:rFonts w:asciiTheme="minorHAnsi" w:eastAsiaTheme="minorEastAsia" w:hAnsiTheme="minorHAnsi"/>
            <w:noProof/>
            <w:sz w:val="22"/>
            <w:lang w:eastAsia="cs-CZ"/>
          </w:rPr>
          <w:tab/>
        </w:r>
        <w:r w:rsidR="00E26A7E" w:rsidRPr="00994407">
          <w:rPr>
            <w:rStyle w:val="Hypertextovodkaz"/>
            <w:noProof/>
          </w:rPr>
          <w:t>Úložiště</w:t>
        </w:r>
        <w:r w:rsidR="00E26A7E">
          <w:rPr>
            <w:noProof/>
            <w:webHidden/>
          </w:rPr>
          <w:tab/>
        </w:r>
        <w:r w:rsidR="00E26A7E">
          <w:rPr>
            <w:noProof/>
            <w:webHidden/>
          </w:rPr>
          <w:fldChar w:fldCharType="begin"/>
        </w:r>
        <w:r w:rsidR="00E26A7E">
          <w:rPr>
            <w:noProof/>
            <w:webHidden/>
          </w:rPr>
          <w:instrText xml:space="preserve"> PAGEREF _Toc73608114 \h </w:instrText>
        </w:r>
        <w:r w:rsidR="00E26A7E">
          <w:rPr>
            <w:noProof/>
            <w:webHidden/>
          </w:rPr>
        </w:r>
        <w:r w:rsidR="00E26A7E">
          <w:rPr>
            <w:noProof/>
            <w:webHidden/>
          </w:rPr>
          <w:fldChar w:fldCharType="separate"/>
        </w:r>
        <w:r w:rsidR="00E26A7E">
          <w:rPr>
            <w:noProof/>
            <w:webHidden/>
          </w:rPr>
          <w:t>23</w:t>
        </w:r>
        <w:r w:rsidR="00E26A7E">
          <w:rPr>
            <w:noProof/>
            <w:webHidden/>
          </w:rPr>
          <w:fldChar w:fldCharType="end"/>
        </w:r>
      </w:hyperlink>
    </w:p>
    <w:p w14:paraId="238DA084"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5" w:history="1">
        <w:r w:rsidR="00E26A7E" w:rsidRPr="00994407">
          <w:rPr>
            <w:rStyle w:val="Hypertextovodkaz"/>
            <w:noProof/>
          </w:rPr>
          <w:t>a)</w:t>
        </w:r>
        <w:r w:rsidR="00E26A7E">
          <w:rPr>
            <w:rFonts w:asciiTheme="minorHAnsi" w:eastAsiaTheme="minorEastAsia" w:hAnsiTheme="minorHAnsi"/>
            <w:noProof/>
            <w:sz w:val="22"/>
            <w:lang w:eastAsia="cs-CZ"/>
          </w:rPr>
          <w:tab/>
        </w:r>
        <w:r w:rsidR="00E26A7E" w:rsidRPr="00994407">
          <w:rPr>
            <w:rStyle w:val="Hypertextovodkaz"/>
            <w:noProof/>
          </w:rPr>
          <w:t>Přístup do úložiště</w:t>
        </w:r>
        <w:r w:rsidR="00E26A7E">
          <w:rPr>
            <w:noProof/>
            <w:webHidden/>
          </w:rPr>
          <w:tab/>
        </w:r>
        <w:r w:rsidR="00E26A7E">
          <w:rPr>
            <w:noProof/>
            <w:webHidden/>
          </w:rPr>
          <w:fldChar w:fldCharType="begin"/>
        </w:r>
        <w:r w:rsidR="00E26A7E">
          <w:rPr>
            <w:noProof/>
            <w:webHidden/>
          </w:rPr>
          <w:instrText xml:space="preserve"> PAGEREF _Toc73608115 \h </w:instrText>
        </w:r>
        <w:r w:rsidR="00E26A7E">
          <w:rPr>
            <w:noProof/>
            <w:webHidden/>
          </w:rPr>
        </w:r>
        <w:r w:rsidR="00E26A7E">
          <w:rPr>
            <w:noProof/>
            <w:webHidden/>
          </w:rPr>
          <w:fldChar w:fldCharType="separate"/>
        </w:r>
        <w:r w:rsidR="00E26A7E">
          <w:rPr>
            <w:noProof/>
            <w:webHidden/>
          </w:rPr>
          <w:t>23</w:t>
        </w:r>
        <w:r w:rsidR="00E26A7E">
          <w:rPr>
            <w:noProof/>
            <w:webHidden/>
          </w:rPr>
          <w:fldChar w:fldCharType="end"/>
        </w:r>
      </w:hyperlink>
    </w:p>
    <w:p w14:paraId="0B53A912"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6" w:history="1">
        <w:r w:rsidR="00E26A7E" w:rsidRPr="00994407">
          <w:rPr>
            <w:rStyle w:val="Hypertextovodkaz"/>
            <w:noProof/>
          </w:rPr>
          <w:t>b)</w:t>
        </w:r>
        <w:r w:rsidR="00E26A7E">
          <w:rPr>
            <w:rFonts w:asciiTheme="minorHAnsi" w:eastAsiaTheme="minorEastAsia" w:hAnsiTheme="minorHAnsi"/>
            <w:noProof/>
            <w:sz w:val="22"/>
            <w:lang w:eastAsia="cs-CZ"/>
          </w:rPr>
          <w:tab/>
        </w:r>
        <w:r w:rsidR="00E26A7E" w:rsidRPr="00994407">
          <w:rPr>
            <w:rStyle w:val="Hypertextovodkaz"/>
            <w:noProof/>
          </w:rPr>
          <w:t>Forma dokumentů v úložišti</w:t>
        </w:r>
        <w:r w:rsidR="00E26A7E">
          <w:rPr>
            <w:noProof/>
            <w:webHidden/>
          </w:rPr>
          <w:tab/>
        </w:r>
        <w:r w:rsidR="00E26A7E">
          <w:rPr>
            <w:noProof/>
            <w:webHidden/>
          </w:rPr>
          <w:fldChar w:fldCharType="begin"/>
        </w:r>
        <w:r w:rsidR="00E26A7E">
          <w:rPr>
            <w:noProof/>
            <w:webHidden/>
          </w:rPr>
          <w:instrText xml:space="preserve"> PAGEREF _Toc73608116 \h </w:instrText>
        </w:r>
        <w:r w:rsidR="00E26A7E">
          <w:rPr>
            <w:noProof/>
            <w:webHidden/>
          </w:rPr>
        </w:r>
        <w:r w:rsidR="00E26A7E">
          <w:rPr>
            <w:noProof/>
            <w:webHidden/>
          </w:rPr>
          <w:fldChar w:fldCharType="separate"/>
        </w:r>
        <w:r w:rsidR="00E26A7E">
          <w:rPr>
            <w:noProof/>
            <w:webHidden/>
          </w:rPr>
          <w:t>25</w:t>
        </w:r>
        <w:r w:rsidR="00E26A7E">
          <w:rPr>
            <w:noProof/>
            <w:webHidden/>
          </w:rPr>
          <w:fldChar w:fldCharType="end"/>
        </w:r>
      </w:hyperlink>
    </w:p>
    <w:p w14:paraId="2389C519" w14:textId="77777777" w:rsidR="00E26A7E" w:rsidRDefault="009C0B64" w:rsidP="00E26A7E">
      <w:pPr>
        <w:pStyle w:val="Obsah6"/>
        <w:tabs>
          <w:tab w:val="left" w:pos="1760"/>
          <w:tab w:val="right" w:leader="dot" w:pos="9062"/>
        </w:tabs>
        <w:rPr>
          <w:rFonts w:asciiTheme="minorHAnsi" w:eastAsiaTheme="minorEastAsia" w:hAnsiTheme="minorHAnsi"/>
          <w:noProof/>
          <w:sz w:val="22"/>
          <w:lang w:eastAsia="cs-CZ"/>
        </w:rPr>
      </w:pPr>
      <w:hyperlink w:anchor="_Toc73608117" w:history="1">
        <w:r w:rsidR="00E26A7E" w:rsidRPr="00994407">
          <w:rPr>
            <w:rStyle w:val="Hypertextovodkaz"/>
            <w:noProof/>
          </w:rPr>
          <w:t>ix.</w:t>
        </w:r>
        <w:r w:rsidR="00E26A7E">
          <w:rPr>
            <w:rFonts w:asciiTheme="minorHAnsi" w:eastAsiaTheme="minorEastAsia" w:hAnsiTheme="minorHAnsi"/>
            <w:noProof/>
            <w:sz w:val="22"/>
            <w:lang w:eastAsia="cs-CZ"/>
          </w:rPr>
          <w:tab/>
        </w:r>
        <w:r w:rsidR="00E26A7E" w:rsidRPr="00994407">
          <w:rPr>
            <w:rStyle w:val="Hypertextovodkaz"/>
            <w:noProof/>
          </w:rPr>
          <w:t>Technická vyhláška</w:t>
        </w:r>
        <w:r w:rsidR="00E26A7E">
          <w:rPr>
            <w:noProof/>
            <w:webHidden/>
          </w:rPr>
          <w:tab/>
        </w:r>
        <w:r w:rsidR="00E26A7E">
          <w:rPr>
            <w:noProof/>
            <w:webHidden/>
          </w:rPr>
          <w:fldChar w:fldCharType="begin"/>
        </w:r>
        <w:r w:rsidR="00E26A7E">
          <w:rPr>
            <w:noProof/>
            <w:webHidden/>
          </w:rPr>
          <w:instrText xml:space="preserve"> PAGEREF _Toc73608117 \h </w:instrText>
        </w:r>
        <w:r w:rsidR="00E26A7E">
          <w:rPr>
            <w:noProof/>
            <w:webHidden/>
          </w:rPr>
        </w:r>
        <w:r w:rsidR="00E26A7E">
          <w:rPr>
            <w:noProof/>
            <w:webHidden/>
          </w:rPr>
          <w:fldChar w:fldCharType="separate"/>
        </w:r>
        <w:r w:rsidR="00E26A7E">
          <w:rPr>
            <w:noProof/>
            <w:webHidden/>
          </w:rPr>
          <w:t>25</w:t>
        </w:r>
        <w:r w:rsidR="00E26A7E">
          <w:rPr>
            <w:noProof/>
            <w:webHidden/>
          </w:rPr>
          <w:fldChar w:fldCharType="end"/>
        </w:r>
      </w:hyperlink>
    </w:p>
    <w:p w14:paraId="775B1457" w14:textId="77777777" w:rsidR="00E26A7E" w:rsidRDefault="009C0B64" w:rsidP="00E26A7E">
      <w:pPr>
        <w:pStyle w:val="Obsah3"/>
        <w:tabs>
          <w:tab w:val="left" w:pos="1200"/>
          <w:tab w:val="right" w:leader="dot" w:pos="9062"/>
        </w:tabs>
        <w:rPr>
          <w:rFonts w:asciiTheme="minorHAnsi" w:eastAsiaTheme="minorEastAsia" w:hAnsiTheme="minorHAnsi"/>
          <w:noProof/>
          <w:sz w:val="22"/>
          <w:lang w:eastAsia="cs-CZ"/>
        </w:rPr>
      </w:pPr>
      <w:hyperlink w:anchor="_Toc73608118" w:history="1">
        <w:r w:rsidR="00E26A7E" w:rsidRPr="00994407">
          <w:rPr>
            <w:rStyle w:val="Hypertextovodkaz"/>
            <w:noProof/>
            <w14:scene3d>
              <w14:camera w14:prst="orthographicFront"/>
              <w14:lightRig w14:rig="threePt" w14:dir="t">
                <w14:rot w14:lat="0" w14:lon="0" w14:rev="0"/>
              </w14:lightRig>
            </w14:scene3d>
          </w:rPr>
          <w:t>1.4</w:t>
        </w:r>
        <w:r w:rsidR="00E26A7E">
          <w:rPr>
            <w:rFonts w:asciiTheme="minorHAnsi" w:eastAsiaTheme="minorEastAsia" w:hAnsiTheme="minorHAnsi"/>
            <w:noProof/>
            <w:sz w:val="22"/>
            <w:lang w:eastAsia="cs-CZ"/>
          </w:rPr>
          <w:tab/>
        </w:r>
        <w:r w:rsidR="00E26A7E" w:rsidRPr="00994407">
          <w:rPr>
            <w:rStyle w:val="Hypertextovodkaz"/>
            <w:noProof/>
          </w:rPr>
          <w:t>Seznam tabulek, obrázků a grafů</w:t>
        </w:r>
        <w:r w:rsidR="00E26A7E">
          <w:rPr>
            <w:noProof/>
            <w:webHidden/>
          </w:rPr>
          <w:tab/>
        </w:r>
        <w:r w:rsidR="00E26A7E">
          <w:rPr>
            <w:noProof/>
            <w:webHidden/>
          </w:rPr>
          <w:fldChar w:fldCharType="begin"/>
        </w:r>
        <w:r w:rsidR="00E26A7E">
          <w:rPr>
            <w:noProof/>
            <w:webHidden/>
          </w:rPr>
          <w:instrText xml:space="preserve"> PAGEREF _Toc73608118 \h </w:instrText>
        </w:r>
        <w:r w:rsidR="00E26A7E">
          <w:rPr>
            <w:noProof/>
            <w:webHidden/>
          </w:rPr>
        </w:r>
        <w:r w:rsidR="00E26A7E">
          <w:rPr>
            <w:noProof/>
            <w:webHidden/>
          </w:rPr>
          <w:fldChar w:fldCharType="separate"/>
        </w:r>
        <w:r w:rsidR="00E26A7E">
          <w:rPr>
            <w:noProof/>
            <w:webHidden/>
          </w:rPr>
          <w:t>26</w:t>
        </w:r>
        <w:r w:rsidR="00E26A7E">
          <w:rPr>
            <w:noProof/>
            <w:webHidden/>
          </w:rPr>
          <w:fldChar w:fldCharType="end"/>
        </w:r>
      </w:hyperlink>
    </w:p>
    <w:p w14:paraId="7C2839A6" w14:textId="77777777" w:rsidR="00E26A7E" w:rsidRDefault="009C0B64" w:rsidP="00E26A7E">
      <w:pPr>
        <w:pStyle w:val="Obsah4"/>
        <w:tabs>
          <w:tab w:val="left" w:pos="1540"/>
          <w:tab w:val="right" w:leader="dot" w:pos="9062"/>
        </w:tabs>
        <w:rPr>
          <w:rFonts w:asciiTheme="minorHAnsi" w:eastAsiaTheme="minorEastAsia" w:hAnsiTheme="minorHAnsi"/>
          <w:noProof/>
          <w:sz w:val="22"/>
          <w:lang w:eastAsia="cs-CZ"/>
        </w:rPr>
      </w:pPr>
      <w:hyperlink w:anchor="_Toc73608119" w:history="1">
        <w:r w:rsidR="00E26A7E" w:rsidRPr="00994407">
          <w:rPr>
            <w:rStyle w:val="Hypertextovodkaz"/>
            <w:noProof/>
          </w:rPr>
          <w:t>1.4.1</w:t>
        </w:r>
        <w:r w:rsidR="00E26A7E">
          <w:rPr>
            <w:rFonts w:asciiTheme="minorHAnsi" w:eastAsiaTheme="minorEastAsia" w:hAnsiTheme="minorHAnsi"/>
            <w:noProof/>
            <w:sz w:val="22"/>
            <w:lang w:eastAsia="cs-CZ"/>
          </w:rPr>
          <w:tab/>
        </w:r>
        <w:r w:rsidR="00E26A7E" w:rsidRPr="00994407">
          <w:rPr>
            <w:rStyle w:val="Hypertextovodkaz"/>
            <w:noProof/>
          </w:rPr>
          <w:t>Tabulky</w:t>
        </w:r>
        <w:r w:rsidR="00E26A7E">
          <w:rPr>
            <w:noProof/>
            <w:webHidden/>
          </w:rPr>
          <w:tab/>
        </w:r>
        <w:r w:rsidR="00E26A7E">
          <w:rPr>
            <w:noProof/>
            <w:webHidden/>
          </w:rPr>
          <w:fldChar w:fldCharType="begin"/>
        </w:r>
        <w:r w:rsidR="00E26A7E">
          <w:rPr>
            <w:noProof/>
            <w:webHidden/>
          </w:rPr>
          <w:instrText xml:space="preserve"> PAGEREF _Toc73608119 \h </w:instrText>
        </w:r>
        <w:r w:rsidR="00E26A7E">
          <w:rPr>
            <w:noProof/>
            <w:webHidden/>
          </w:rPr>
        </w:r>
        <w:r w:rsidR="00E26A7E">
          <w:rPr>
            <w:noProof/>
            <w:webHidden/>
          </w:rPr>
          <w:fldChar w:fldCharType="separate"/>
        </w:r>
        <w:r w:rsidR="00E26A7E">
          <w:rPr>
            <w:noProof/>
            <w:webHidden/>
          </w:rPr>
          <w:t>26</w:t>
        </w:r>
        <w:r w:rsidR="00E26A7E">
          <w:rPr>
            <w:noProof/>
            <w:webHidden/>
          </w:rPr>
          <w:fldChar w:fldCharType="end"/>
        </w:r>
      </w:hyperlink>
    </w:p>
    <w:p w14:paraId="2E3892D0" w14:textId="2986D5EA" w:rsidR="00E26A7E" w:rsidRDefault="009C0B64" w:rsidP="00E26A7E">
      <w:pPr>
        <w:pStyle w:val="Obsah3"/>
        <w:tabs>
          <w:tab w:val="left" w:pos="1200"/>
          <w:tab w:val="right" w:leader="dot" w:pos="9062"/>
        </w:tabs>
        <w:rPr>
          <w:rFonts w:asciiTheme="minorHAnsi" w:eastAsiaTheme="minorEastAsia" w:hAnsiTheme="minorHAnsi"/>
          <w:noProof/>
          <w:sz w:val="22"/>
          <w:lang w:eastAsia="cs-CZ"/>
        </w:rPr>
      </w:pPr>
      <w:hyperlink w:anchor="_Toc73608120" w:history="1">
        <w:r w:rsidR="00E26A7E" w:rsidRPr="00994407">
          <w:rPr>
            <w:rStyle w:val="Hypertextovodkaz"/>
            <w:noProof/>
            <w14:scene3d>
              <w14:camera w14:prst="orthographicFront"/>
              <w14:lightRig w14:rig="threePt" w14:dir="t">
                <w14:rot w14:lat="0" w14:lon="0" w14:rev="0"/>
              </w14:lightRig>
            </w14:scene3d>
          </w:rPr>
          <w:t>1.5</w:t>
        </w:r>
        <w:r w:rsidR="00E26A7E">
          <w:rPr>
            <w:rFonts w:asciiTheme="minorHAnsi" w:eastAsiaTheme="minorEastAsia" w:hAnsiTheme="minorHAnsi"/>
            <w:noProof/>
            <w:sz w:val="22"/>
            <w:lang w:eastAsia="cs-CZ"/>
          </w:rPr>
          <w:tab/>
        </w:r>
        <w:r w:rsidR="00E26A7E" w:rsidRPr="00994407">
          <w:rPr>
            <w:rStyle w:val="Hypertextovodkaz"/>
            <w:noProof/>
          </w:rPr>
          <w:t>Obsah</w:t>
        </w:r>
        <w:r w:rsidR="00E26A7E">
          <w:rPr>
            <w:noProof/>
            <w:webHidden/>
          </w:rPr>
          <w:tab/>
        </w:r>
        <w:r w:rsidR="002B29D5">
          <w:rPr>
            <w:noProof/>
            <w:webHidden/>
          </w:rPr>
          <w:t>26</w:t>
        </w:r>
      </w:hyperlink>
    </w:p>
    <w:p w14:paraId="4E11919D" w14:textId="4B64F2A1" w:rsidR="00E26A7E" w:rsidRPr="00E26A7E" w:rsidRDefault="00E26A7E" w:rsidP="00E26A7E">
      <w:pPr>
        <w:rPr>
          <w:highlight w:val="lightGray"/>
        </w:rPr>
      </w:pPr>
      <w:r>
        <w:fldChar w:fldCharType="end"/>
      </w:r>
    </w:p>
    <w:p w14:paraId="39651989" w14:textId="759A9A05" w:rsidR="00A861A9" w:rsidRPr="00F17245" w:rsidRDefault="00E91C8F" w:rsidP="00E91C8F">
      <w:pPr>
        <w:pStyle w:val="Nadpis3"/>
        <w:numPr>
          <w:ilvl w:val="0"/>
          <w:numId w:val="0"/>
        </w:numPr>
        <w:ind w:left="720" w:hanging="720"/>
      </w:pPr>
      <w:bookmarkStart w:id="200" w:name="_Toc72999606"/>
      <w:bookmarkStart w:id="201" w:name="_Toc73613662"/>
      <w:r w:rsidRPr="00F17245">
        <w:t xml:space="preserve">Příloha č. 12: </w:t>
      </w:r>
      <w:r w:rsidR="00A861A9" w:rsidRPr="00F17245">
        <w:t>Dozor</w:t>
      </w:r>
      <w:bookmarkEnd w:id="200"/>
      <w:bookmarkEnd w:id="201"/>
    </w:p>
    <w:p w14:paraId="43A3C420" w14:textId="6D58661A" w:rsidR="00FB79BC" w:rsidRPr="009727AF" w:rsidRDefault="00FB79BC" w:rsidP="00FB79BC">
      <w:pPr>
        <w:pStyle w:val="Nadpis3"/>
        <w:numPr>
          <w:ilvl w:val="0"/>
          <w:numId w:val="0"/>
        </w:numPr>
        <w:spacing w:line="259" w:lineRule="auto"/>
        <w:ind w:left="720" w:hanging="720"/>
        <w:rPr>
          <w:noProof/>
        </w:rPr>
      </w:pPr>
      <w:r>
        <w:fldChar w:fldCharType="begin"/>
      </w:r>
      <w:r>
        <w:instrText xml:space="preserve"> TOC \o "1-6" \h \z \u </w:instrText>
      </w:r>
      <w:r>
        <w:fldChar w:fldCharType="separate"/>
      </w:r>
      <w:hyperlink w:anchor="_Toc73608160" w:history="1"/>
    </w:p>
    <w:p w14:paraId="7CA7D364" w14:textId="77777777" w:rsidR="00FB79BC" w:rsidRDefault="009C0B64" w:rsidP="00FB79BC">
      <w:pPr>
        <w:pStyle w:val="Obsah3"/>
        <w:tabs>
          <w:tab w:val="left" w:pos="1100"/>
          <w:tab w:val="right" w:leader="dot" w:pos="9062"/>
        </w:tabs>
        <w:rPr>
          <w:rFonts w:asciiTheme="minorHAnsi" w:eastAsiaTheme="minorEastAsia" w:hAnsiTheme="minorHAnsi"/>
          <w:noProof/>
          <w:sz w:val="22"/>
          <w:lang w:eastAsia="cs-CZ"/>
        </w:rPr>
      </w:pPr>
      <w:hyperlink w:anchor="_Toc73608161" w:history="1">
        <w:r w:rsidR="00FB79BC" w:rsidRPr="00BE360B">
          <w:rPr>
            <w:rStyle w:val="Hypertextovodkaz"/>
            <w:noProof/>
          </w:rPr>
          <w:t>1.1</w:t>
        </w:r>
        <w:r w:rsidR="00FB79BC">
          <w:rPr>
            <w:rFonts w:asciiTheme="minorHAnsi" w:eastAsiaTheme="minorEastAsia" w:hAnsiTheme="minorHAnsi"/>
            <w:noProof/>
            <w:sz w:val="22"/>
            <w:lang w:eastAsia="cs-CZ"/>
          </w:rPr>
          <w:tab/>
        </w:r>
        <w:r w:rsidR="00FB79BC" w:rsidRPr="00BE360B">
          <w:rPr>
            <w:rStyle w:val="Hypertextovodkaz"/>
            <w:noProof/>
          </w:rPr>
          <w:t>Konkrétní popis regulace obsažené v zákoně o loteriích</w:t>
        </w:r>
        <w:r w:rsidR="00FB79BC">
          <w:rPr>
            <w:noProof/>
            <w:webHidden/>
          </w:rPr>
          <w:tab/>
        </w:r>
        <w:r w:rsidR="00FB79BC">
          <w:rPr>
            <w:noProof/>
            <w:webHidden/>
          </w:rPr>
          <w:fldChar w:fldCharType="begin"/>
        </w:r>
        <w:r w:rsidR="00FB79BC">
          <w:rPr>
            <w:noProof/>
            <w:webHidden/>
          </w:rPr>
          <w:instrText xml:space="preserve"> PAGEREF _Toc73608161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4D65A661" w14:textId="77777777" w:rsidR="00FB79BC" w:rsidRDefault="009C0B64" w:rsidP="00FB79BC">
      <w:pPr>
        <w:pStyle w:val="Obsah3"/>
        <w:tabs>
          <w:tab w:val="left" w:pos="1100"/>
          <w:tab w:val="right" w:leader="dot" w:pos="9062"/>
        </w:tabs>
        <w:rPr>
          <w:rFonts w:asciiTheme="minorHAnsi" w:eastAsiaTheme="minorEastAsia" w:hAnsiTheme="minorHAnsi"/>
          <w:noProof/>
          <w:sz w:val="22"/>
          <w:lang w:eastAsia="cs-CZ"/>
        </w:rPr>
      </w:pPr>
      <w:hyperlink w:anchor="_Toc73608162" w:history="1">
        <w:r w:rsidR="00FB79BC" w:rsidRPr="00BE360B">
          <w:rPr>
            <w:rStyle w:val="Hypertextovodkaz"/>
            <w:noProof/>
          </w:rPr>
          <w:t>1.2</w:t>
        </w:r>
        <w:r w:rsidR="00FB79BC">
          <w:rPr>
            <w:rFonts w:asciiTheme="minorHAnsi" w:eastAsiaTheme="minorEastAsia" w:hAnsiTheme="minorHAnsi"/>
            <w:noProof/>
            <w:sz w:val="22"/>
            <w:lang w:eastAsia="cs-CZ"/>
          </w:rPr>
          <w:tab/>
        </w:r>
        <w:r w:rsidR="00FB79BC" w:rsidRPr="00BE360B">
          <w:rPr>
            <w:rStyle w:val="Hypertextovodkaz"/>
            <w:noProof/>
          </w:rPr>
          <w:t>Konkrétní popis regulace obsažené v zákoně o hazardních hrách</w:t>
        </w:r>
        <w:r w:rsidR="00FB79BC">
          <w:rPr>
            <w:noProof/>
            <w:webHidden/>
          </w:rPr>
          <w:tab/>
        </w:r>
        <w:r w:rsidR="00FB79BC">
          <w:rPr>
            <w:noProof/>
            <w:webHidden/>
          </w:rPr>
          <w:fldChar w:fldCharType="begin"/>
        </w:r>
        <w:r w:rsidR="00FB79BC">
          <w:rPr>
            <w:noProof/>
            <w:webHidden/>
          </w:rPr>
          <w:instrText xml:space="preserve"> PAGEREF _Toc73608162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4FACA53D" w14:textId="77777777" w:rsidR="00FB79BC" w:rsidRDefault="009C0B64" w:rsidP="00FB79BC">
      <w:pPr>
        <w:pStyle w:val="Obsah3"/>
        <w:tabs>
          <w:tab w:val="left" w:pos="1100"/>
          <w:tab w:val="right" w:leader="dot" w:pos="9062"/>
        </w:tabs>
        <w:rPr>
          <w:rFonts w:asciiTheme="minorHAnsi" w:eastAsiaTheme="minorEastAsia" w:hAnsiTheme="minorHAnsi"/>
          <w:noProof/>
          <w:sz w:val="22"/>
          <w:lang w:eastAsia="cs-CZ"/>
        </w:rPr>
      </w:pPr>
      <w:hyperlink w:anchor="_Toc73608163" w:history="1">
        <w:r w:rsidR="00FB79BC" w:rsidRPr="00BE360B">
          <w:rPr>
            <w:rStyle w:val="Hypertextovodkaz"/>
            <w:noProof/>
          </w:rPr>
          <w:t>1.3</w:t>
        </w:r>
        <w:r w:rsidR="00FB79BC">
          <w:rPr>
            <w:rFonts w:asciiTheme="minorHAnsi" w:eastAsiaTheme="minorEastAsia" w:hAnsiTheme="minorHAnsi"/>
            <w:noProof/>
            <w:sz w:val="22"/>
            <w:lang w:eastAsia="cs-CZ"/>
          </w:rPr>
          <w:tab/>
        </w:r>
        <w:r w:rsidR="00FB79BC" w:rsidRPr="00BE360B">
          <w:rPr>
            <w:rStyle w:val="Hypertextovodkaz"/>
            <w:noProof/>
          </w:rPr>
          <w:t>Implementace dozorové činnosti v hodnoceném období</w:t>
        </w:r>
        <w:r w:rsidR="00FB79BC">
          <w:rPr>
            <w:noProof/>
            <w:webHidden/>
          </w:rPr>
          <w:tab/>
        </w:r>
        <w:r w:rsidR="00FB79BC">
          <w:rPr>
            <w:noProof/>
            <w:webHidden/>
          </w:rPr>
          <w:fldChar w:fldCharType="begin"/>
        </w:r>
        <w:r w:rsidR="00FB79BC">
          <w:rPr>
            <w:noProof/>
            <w:webHidden/>
          </w:rPr>
          <w:instrText xml:space="preserve"> PAGEREF _Toc73608163 \h </w:instrText>
        </w:r>
        <w:r w:rsidR="00FB79BC">
          <w:rPr>
            <w:noProof/>
            <w:webHidden/>
          </w:rPr>
        </w:r>
        <w:r w:rsidR="00FB79BC">
          <w:rPr>
            <w:noProof/>
            <w:webHidden/>
          </w:rPr>
          <w:fldChar w:fldCharType="separate"/>
        </w:r>
        <w:r w:rsidR="00FB79BC">
          <w:rPr>
            <w:noProof/>
            <w:webHidden/>
          </w:rPr>
          <w:t>6</w:t>
        </w:r>
        <w:r w:rsidR="00FB79BC">
          <w:rPr>
            <w:noProof/>
            <w:webHidden/>
          </w:rPr>
          <w:fldChar w:fldCharType="end"/>
        </w:r>
      </w:hyperlink>
    </w:p>
    <w:p w14:paraId="2D4BF25F" w14:textId="77777777" w:rsidR="00FB79BC" w:rsidRDefault="009C0B64" w:rsidP="00FB79BC">
      <w:pPr>
        <w:pStyle w:val="Obsah3"/>
        <w:tabs>
          <w:tab w:val="left" w:pos="1100"/>
          <w:tab w:val="right" w:leader="dot" w:pos="9062"/>
        </w:tabs>
        <w:rPr>
          <w:rFonts w:asciiTheme="minorHAnsi" w:eastAsiaTheme="minorEastAsia" w:hAnsiTheme="minorHAnsi"/>
          <w:noProof/>
          <w:sz w:val="22"/>
          <w:lang w:eastAsia="cs-CZ"/>
        </w:rPr>
      </w:pPr>
      <w:hyperlink w:anchor="_Toc73608164" w:history="1">
        <w:r w:rsidR="00FB79BC" w:rsidRPr="00BE360B">
          <w:rPr>
            <w:rStyle w:val="Hypertextovodkaz"/>
            <w:noProof/>
          </w:rPr>
          <w:t>1.4</w:t>
        </w:r>
        <w:r w:rsidR="00FB79BC">
          <w:rPr>
            <w:rFonts w:asciiTheme="minorHAnsi" w:eastAsiaTheme="minorEastAsia" w:hAnsiTheme="minorHAnsi"/>
            <w:noProof/>
            <w:sz w:val="22"/>
            <w:lang w:eastAsia="cs-CZ"/>
          </w:rPr>
          <w:tab/>
        </w:r>
        <w:r w:rsidR="00FB79BC" w:rsidRPr="00BE360B">
          <w:rPr>
            <w:rStyle w:val="Hypertextovodkaz"/>
            <w:noProof/>
          </w:rPr>
          <w:t>Seznam tabulek, obrázků a grafů</w:t>
        </w:r>
        <w:r w:rsidR="00FB79BC">
          <w:rPr>
            <w:noProof/>
            <w:webHidden/>
          </w:rPr>
          <w:tab/>
        </w:r>
        <w:r w:rsidR="00FB79BC">
          <w:rPr>
            <w:noProof/>
            <w:webHidden/>
          </w:rPr>
          <w:fldChar w:fldCharType="begin"/>
        </w:r>
        <w:r w:rsidR="00FB79BC">
          <w:rPr>
            <w:noProof/>
            <w:webHidden/>
          </w:rPr>
          <w:instrText xml:space="preserve"> PAGEREF _Toc73608164 \h </w:instrText>
        </w:r>
        <w:r w:rsidR="00FB79BC">
          <w:rPr>
            <w:noProof/>
            <w:webHidden/>
          </w:rPr>
        </w:r>
        <w:r w:rsidR="00FB79BC">
          <w:rPr>
            <w:noProof/>
            <w:webHidden/>
          </w:rPr>
          <w:fldChar w:fldCharType="separate"/>
        </w:r>
        <w:r w:rsidR="00FB79BC">
          <w:rPr>
            <w:noProof/>
            <w:webHidden/>
          </w:rPr>
          <w:t>31</w:t>
        </w:r>
        <w:r w:rsidR="00FB79BC">
          <w:rPr>
            <w:noProof/>
            <w:webHidden/>
          </w:rPr>
          <w:fldChar w:fldCharType="end"/>
        </w:r>
      </w:hyperlink>
    </w:p>
    <w:p w14:paraId="559DFEDA"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165" w:history="1">
        <w:r w:rsidR="00FB79BC" w:rsidRPr="00BE360B">
          <w:rPr>
            <w:rStyle w:val="Hypertextovodkaz"/>
            <w:noProof/>
          </w:rPr>
          <w:t>1.4.1</w:t>
        </w:r>
        <w:r w:rsidR="00FB79BC">
          <w:rPr>
            <w:rFonts w:asciiTheme="minorHAnsi" w:eastAsiaTheme="minorEastAsia" w:hAnsiTheme="minorHAnsi"/>
            <w:noProof/>
            <w:sz w:val="22"/>
            <w:lang w:eastAsia="cs-CZ"/>
          </w:rPr>
          <w:tab/>
        </w:r>
        <w:r w:rsidR="00FB79BC" w:rsidRPr="00BE360B">
          <w:rPr>
            <w:rStyle w:val="Hypertextovodkaz"/>
            <w:noProof/>
          </w:rPr>
          <w:t>Tabulky</w:t>
        </w:r>
        <w:r w:rsidR="00FB79BC">
          <w:rPr>
            <w:noProof/>
            <w:webHidden/>
          </w:rPr>
          <w:tab/>
        </w:r>
        <w:r w:rsidR="00FB79BC">
          <w:rPr>
            <w:noProof/>
            <w:webHidden/>
          </w:rPr>
          <w:fldChar w:fldCharType="begin"/>
        </w:r>
        <w:r w:rsidR="00FB79BC">
          <w:rPr>
            <w:noProof/>
            <w:webHidden/>
          </w:rPr>
          <w:instrText xml:space="preserve"> PAGEREF _Toc73608165 \h </w:instrText>
        </w:r>
        <w:r w:rsidR="00FB79BC">
          <w:rPr>
            <w:noProof/>
            <w:webHidden/>
          </w:rPr>
        </w:r>
        <w:r w:rsidR="00FB79BC">
          <w:rPr>
            <w:noProof/>
            <w:webHidden/>
          </w:rPr>
          <w:fldChar w:fldCharType="separate"/>
        </w:r>
        <w:r w:rsidR="00FB79BC">
          <w:rPr>
            <w:noProof/>
            <w:webHidden/>
          </w:rPr>
          <w:t>31</w:t>
        </w:r>
        <w:r w:rsidR="00FB79BC">
          <w:rPr>
            <w:noProof/>
            <w:webHidden/>
          </w:rPr>
          <w:fldChar w:fldCharType="end"/>
        </w:r>
      </w:hyperlink>
    </w:p>
    <w:p w14:paraId="2946D0F5"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166" w:history="1">
        <w:r w:rsidR="00FB79BC" w:rsidRPr="00BE360B">
          <w:rPr>
            <w:rStyle w:val="Hypertextovodkaz"/>
            <w:noProof/>
          </w:rPr>
          <w:t>1.4.2</w:t>
        </w:r>
        <w:r w:rsidR="00FB79BC">
          <w:rPr>
            <w:rFonts w:asciiTheme="minorHAnsi" w:eastAsiaTheme="minorEastAsia" w:hAnsiTheme="minorHAnsi"/>
            <w:noProof/>
            <w:sz w:val="22"/>
            <w:lang w:eastAsia="cs-CZ"/>
          </w:rPr>
          <w:tab/>
        </w:r>
        <w:r w:rsidR="00FB79BC" w:rsidRPr="00BE360B">
          <w:rPr>
            <w:rStyle w:val="Hypertextovodkaz"/>
            <w:noProof/>
          </w:rPr>
          <w:t>Obrázky</w:t>
        </w:r>
        <w:r w:rsidR="00FB79BC">
          <w:rPr>
            <w:noProof/>
            <w:webHidden/>
          </w:rPr>
          <w:tab/>
        </w:r>
        <w:r w:rsidR="00FB79BC">
          <w:rPr>
            <w:noProof/>
            <w:webHidden/>
          </w:rPr>
          <w:fldChar w:fldCharType="begin"/>
        </w:r>
        <w:r w:rsidR="00FB79BC">
          <w:rPr>
            <w:noProof/>
            <w:webHidden/>
          </w:rPr>
          <w:instrText xml:space="preserve"> PAGEREF _Toc73608166 \h </w:instrText>
        </w:r>
        <w:r w:rsidR="00FB79BC">
          <w:rPr>
            <w:noProof/>
            <w:webHidden/>
          </w:rPr>
        </w:r>
        <w:r w:rsidR="00FB79BC">
          <w:rPr>
            <w:noProof/>
            <w:webHidden/>
          </w:rPr>
          <w:fldChar w:fldCharType="separate"/>
        </w:r>
        <w:r w:rsidR="00FB79BC">
          <w:rPr>
            <w:noProof/>
            <w:webHidden/>
          </w:rPr>
          <w:t>31</w:t>
        </w:r>
        <w:r w:rsidR="00FB79BC">
          <w:rPr>
            <w:noProof/>
            <w:webHidden/>
          </w:rPr>
          <w:fldChar w:fldCharType="end"/>
        </w:r>
      </w:hyperlink>
    </w:p>
    <w:p w14:paraId="1CCAFFBA"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167" w:history="1">
        <w:r w:rsidR="00FB79BC" w:rsidRPr="00BE360B">
          <w:rPr>
            <w:rStyle w:val="Hypertextovodkaz"/>
            <w:noProof/>
          </w:rPr>
          <w:t>1.4.3</w:t>
        </w:r>
        <w:r w:rsidR="00FB79BC">
          <w:rPr>
            <w:rFonts w:asciiTheme="minorHAnsi" w:eastAsiaTheme="minorEastAsia" w:hAnsiTheme="minorHAnsi"/>
            <w:noProof/>
            <w:sz w:val="22"/>
            <w:lang w:eastAsia="cs-CZ"/>
          </w:rPr>
          <w:tab/>
        </w:r>
        <w:r w:rsidR="00FB79BC" w:rsidRPr="00BE360B">
          <w:rPr>
            <w:rStyle w:val="Hypertextovodkaz"/>
            <w:noProof/>
          </w:rPr>
          <w:t>Grafy</w:t>
        </w:r>
        <w:r w:rsidR="00FB79BC">
          <w:rPr>
            <w:noProof/>
            <w:webHidden/>
          </w:rPr>
          <w:tab/>
        </w:r>
        <w:r w:rsidR="00FB79BC">
          <w:rPr>
            <w:noProof/>
            <w:webHidden/>
          </w:rPr>
          <w:fldChar w:fldCharType="begin"/>
        </w:r>
        <w:r w:rsidR="00FB79BC">
          <w:rPr>
            <w:noProof/>
            <w:webHidden/>
          </w:rPr>
          <w:instrText xml:space="preserve"> PAGEREF _Toc73608167 \h </w:instrText>
        </w:r>
        <w:r w:rsidR="00FB79BC">
          <w:rPr>
            <w:noProof/>
            <w:webHidden/>
          </w:rPr>
        </w:r>
        <w:r w:rsidR="00FB79BC">
          <w:rPr>
            <w:noProof/>
            <w:webHidden/>
          </w:rPr>
          <w:fldChar w:fldCharType="separate"/>
        </w:r>
        <w:r w:rsidR="00FB79BC">
          <w:rPr>
            <w:noProof/>
            <w:webHidden/>
          </w:rPr>
          <w:t>31</w:t>
        </w:r>
        <w:r w:rsidR="00FB79BC">
          <w:rPr>
            <w:noProof/>
            <w:webHidden/>
          </w:rPr>
          <w:fldChar w:fldCharType="end"/>
        </w:r>
      </w:hyperlink>
    </w:p>
    <w:p w14:paraId="32C1494E" w14:textId="77777777" w:rsidR="00FB79BC" w:rsidRDefault="009C0B64" w:rsidP="00FB79BC">
      <w:pPr>
        <w:pStyle w:val="Obsah3"/>
        <w:tabs>
          <w:tab w:val="left" w:pos="1100"/>
          <w:tab w:val="right" w:leader="dot" w:pos="9062"/>
        </w:tabs>
        <w:rPr>
          <w:rFonts w:asciiTheme="minorHAnsi" w:eastAsiaTheme="minorEastAsia" w:hAnsiTheme="minorHAnsi"/>
          <w:noProof/>
          <w:sz w:val="22"/>
          <w:lang w:eastAsia="cs-CZ"/>
        </w:rPr>
      </w:pPr>
      <w:hyperlink w:anchor="_Toc73608168" w:history="1">
        <w:r w:rsidR="00FB79BC" w:rsidRPr="00BE360B">
          <w:rPr>
            <w:rStyle w:val="Hypertextovodkaz"/>
            <w:noProof/>
          </w:rPr>
          <w:t>1.5</w:t>
        </w:r>
        <w:r w:rsidR="00FB79BC">
          <w:rPr>
            <w:rFonts w:asciiTheme="minorHAnsi" w:eastAsiaTheme="minorEastAsia" w:hAnsiTheme="minorHAnsi"/>
            <w:noProof/>
            <w:sz w:val="22"/>
            <w:lang w:eastAsia="cs-CZ"/>
          </w:rPr>
          <w:tab/>
        </w:r>
        <w:r w:rsidR="00FB79BC" w:rsidRPr="00BE360B">
          <w:rPr>
            <w:rStyle w:val="Hypertextovodkaz"/>
            <w:noProof/>
          </w:rPr>
          <w:t>Obsah</w:t>
        </w:r>
        <w:r w:rsidR="00FB79BC">
          <w:rPr>
            <w:noProof/>
            <w:webHidden/>
          </w:rPr>
          <w:tab/>
        </w:r>
        <w:r w:rsidR="00FB79BC">
          <w:rPr>
            <w:noProof/>
            <w:webHidden/>
          </w:rPr>
          <w:fldChar w:fldCharType="begin"/>
        </w:r>
        <w:r w:rsidR="00FB79BC">
          <w:rPr>
            <w:noProof/>
            <w:webHidden/>
          </w:rPr>
          <w:instrText xml:space="preserve"> PAGEREF _Toc73608168 \h </w:instrText>
        </w:r>
        <w:r w:rsidR="00FB79BC">
          <w:rPr>
            <w:noProof/>
            <w:webHidden/>
          </w:rPr>
        </w:r>
        <w:r w:rsidR="00FB79BC">
          <w:rPr>
            <w:noProof/>
            <w:webHidden/>
          </w:rPr>
          <w:fldChar w:fldCharType="separate"/>
        </w:r>
        <w:r w:rsidR="00FB79BC">
          <w:rPr>
            <w:noProof/>
            <w:webHidden/>
          </w:rPr>
          <w:t>33</w:t>
        </w:r>
        <w:r w:rsidR="00FB79BC">
          <w:rPr>
            <w:noProof/>
            <w:webHidden/>
          </w:rPr>
          <w:fldChar w:fldCharType="end"/>
        </w:r>
      </w:hyperlink>
    </w:p>
    <w:p w14:paraId="4713B05F" w14:textId="3C25FACC" w:rsidR="00E26A7E" w:rsidRPr="00E26A7E" w:rsidRDefault="00FB79BC" w:rsidP="00FB79BC">
      <w:pPr>
        <w:rPr>
          <w:highlight w:val="lightGray"/>
        </w:rPr>
      </w:pPr>
      <w:r>
        <w:fldChar w:fldCharType="end"/>
      </w:r>
    </w:p>
    <w:p w14:paraId="13CD33B1" w14:textId="68FFC546" w:rsidR="00A861A9" w:rsidRPr="00F17245" w:rsidRDefault="00E91C8F" w:rsidP="00E91C8F">
      <w:pPr>
        <w:pStyle w:val="Nadpis3"/>
        <w:numPr>
          <w:ilvl w:val="0"/>
          <w:numId w:val="0"/>
        </w:numPr>
        <w:ind w:left="720" w:hanging="720"/>
      </w:pPr>
      <w:bookmarkStart w:id="202" w:name="_Toc72999607"/>
      <w:bookmarkStart w:id="203" w:name="_Toc73613663"/>
      <w:r w:rsidRPr="00F17245">
        <w:t xml:space="preserve">Příloha č. 13: </w:t>
      </w:r>
      <w:r w:rsidR="00A861A9" w:rsidRPr="00F17245">
        <w:t>Přestupky</w:t>
      </w:r>
      <w:bookmarkEnd w:id="202"/>
      <w:bookmarkEnd w:id="203"/>
    </w:p>
    <w:p w14:paraId="02FE18AB" w14:textId="5C37A914" w:rsidR="00FB79BC" w:rsidRPr="00CA72CA" w:rsidRDefault="00FB79BC" w:rsidP="00FB79BC">
      <w:pPr>
        <w:pStyle w:val="Nadpis3"/>
        <w:numPr>
          <w:ilvl w:val="0"/>
          <w:numId w:val="0"/>
        </w:numPr>
        <w:spacing w:line="259" w:lineRule="auto"/>
        <w:ind w:left="720" w:hanging="720"/>
        <w:rPr>
          <w:noProof/>
        </w:rPr>
      </w:pPr>
      <w:r>
        <w:fldChar w:fldCharType="begin"/>
      </w:r>
      <w:r>
        <w:instrText xml:space="preserve"> TOC \o "1-6" \h \z \u </w:instrText>
      </w:r>
      <w:r>
        <w:fldChar w:fldCharType="separate"/>
      </w:r>
      <w:hyperlink w:anchor="_Toc73608229" w:history="1"/>
    </w:p>
    <w:p w14:paraId="69050C58"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30" w:history="1">
        <w:r w:rsidR="00FB79BC" w:rsidRPr="00FE5448">
          <w:rPr>
            <w:rStyle w:val="Hypertextovodkaz"/>
            <w:noProof/>
          </w:rPr>
          <w:t>1.1</w:t>
        </w:r>
        <w:r w:rsidR="00FB79BC">
          <w:rPr>
            <w:rFonts w:asciiTheme="minorHAnsi" w:eastAsiaTheme="minorEastAsia" w:hAnsiTheme="minorHAnsi"/>
            <w:noProof/>
            <w:sz w:val="22"/>
            <w:lang w:eastAsia="cs-CZ"/>
          </w:rPr>
          <w:tab/>
        </w:r>
        <w:r w:rsidR="00FB79BC" w:rsidRPr="00FE5448">
          <w:rPr>
            <w:rStyle w:val="Hypertextovodkaz"/>
            <w:noProof/>
          </w:rPr>
          <w:t>Konkrétní popis regulace obsažené v zákoně o loteriích</w:t>
        </w:r>
        <w:r w:rsidR="00FB79BC">
          <w:rPr>
            <w:noProof/>
            <w:webHidden/>
          </w:rPr>
          <w:tab/>
        </w:r>
        <w:r w:rsidR="00FB79BC">
          <w:rPr>
            <w:noProof/>
            <w:webHidden/>
          </w:rPr>
          <w:fldChar w:fldCharType="begin"/>
        </w:r>
        <w:r w:rsidR="00FB79BC">
          <w:rPr>
            <w:noProof/>
            <w:webHidden/>
          </w:rPr>
          <w:instrText xml:space="preserve"> PAGEREF _Toc73608230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01B77CF8"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31" w:history="1">
        <w:r w:rsidR="00FB79BC" w:rsidRPr="00FE5448">
          <w:rPr>
            <w:rStyle w:val="Hypertextovodkaz"/>
            <w:noProof/>
          </w:rPr>
          <w:t>1.2</w:t>
        </w:r>
        <w:r w:rsidR="00FB79BC">
          <w:rPr>
            <w:rFonts w:asciiTheme="minorHAnsi" w:eastAsiaTheme="minorEastAsia" w:hAnsiTheme="minorHAnsi"/>
            <w:noProof/>
            <w:sz w:val="22"/>
            <w:lang w:eastAsia="cs-CZ"/>
          </w:rPr>
          <w:tab/>
        </w:r>
        <w:r w:rsidR="00FB79BC" w:rsidRPr="00FE5448">
          <w:rPr>
            <w:rStyle w:val="Hypertextovodkaz"/>
            <w:noProof/>
          </w:rPr>
          <w:t>Konkrétní popis regulace obsažené v zákoně o hazardních hrách</w:t>
        </w:r>
        <w:r w:rsidR="00FB79BC">
          <w:rPr>
            <w:noProof/>
            <w:webHidden/>
          </w:rPr>
          <w:tab/>
        </w:r>
        <w:r w:rsidR="00FB79BC">
          <w:rPr>
            <w:noProof/>
            <w:webHidden/>
          </w:rPr>
          <w:fldChar w:fldCharType="begin"/>
        </w:r>
        <w:r w:rsidR="00FB79BC">
          <w:rPr>
            <w:noProof/>
            <w:webHidden/>
          </w:rPr>
          <w:instrText xml:space="preserve"> PAGEREF _Toc73608231 \h </w:instrText>
        </w:r>
        <w:r w:rsidR="00FB79BC">
          <w:rPr>
            <w:noProof/>
            <w:webHidden/>
          </w:rPr>
        </w:r>
        <w:r w:rsidR="00FB79BC">
          <w:rPr>
            <w:noProof/>
            <w:webHidden/>
          </w:rPr>
          <w:fldChar w:fldCharType="separate"/>
        </w:r>
        <w:r w:rsidR="00FB79BC">
          <w:rPr>
            <w:noProof/>
            <w:webHidden/>
          </w:rPr>
          <w:t>2</w:t>
        </w:r>
        <w:r w:rsidR="00FB79BC">
          <w:rPr>
            <w:noProof/>
            <w:webHidden/>
          </w:rPr>
          <w:fldChar w:fldCharType="end"/>
        </w:r>
      </w:hyperlink>
    </w:p>
    <w:p w14:paraId="7741D6E9"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32" w:history="1">
        <w:r w:rsidR="00FB79BC" w:rsidRPr="00FE5448">
          <w:rPr>
            <w:rStyle w:val="Hypertextovodkaz"/>
            <w:noProof/>
          </w:rPr>
          <w:t>1.3</w:t>
        </w:r>
        <w:r w:rsidR="00FB79BC">
          <w:rPr>
            <w:rFonts w:asciiTheme="minorHAnsi" w:eastAsiaTheme="minorEastAsia" w:hAnsiTheme="minorHAnsi"/>
            <w:noProof/>
            <w:sz w:val="22"/>
            <w:lang w:eastAsia="cs-CZ"/>
          </w:rPr>
          <w:tab/>
        </w:r>
        <w:r w:rsidR="00FB79BC" w:rsidRPr="00FE5448">
          <w:rPr>
            <w:rStyle w:val="Hypertextovodkaz"/>
            <w:noProof/>
          </w:rPr>
          <w:t>Konkrétní popis nástrojů, včetně oblastí, na které by bylo vhodné se v budoucnu zaměřit, a návrh doporučení či možných variant řešení</w:t>
        </w:r>
        <w:r w:rsidR="00FB79BC">
          <w:rPr>
            <w:noProof/>
            <w:webHidden/>
          </w:rPr>
          <w:tab/>
        </w:r>
        <w:r w:rsidR="00FB79BC">
          <w:rPr>
            <w:noProof/>
            <w:webHidden/>
          </w:rPr>
          <w:fldChar w:fldCharType="begin"/>
        </w:r>
        <w:r w:rsidR="00FB79BC">
          <w:rPr>
            <w:noProof/>
            <w:webHidden/>
          </w:rPr>
          <w:instrText xml:space="preserve"> PAGEREF _Toc73608232 \h </w:instrText>
        </w:r>
        <w:r w:rsidR="00FB79BC">
          <w:rPr>
            <w:noProof/>
            <w:webHidden/>
          </w:rPr>
        </w:r>
        <w:r w:rsidR="00FB79BC">
          <w:rPr>
            <w:noProof/>
            <w:webHidden/>
          </w:rPr>
          <w:fldChar w:fldCharType="separate"/>
        </w:r>
        <w:r w:rsidR="00FB79BC">
          <w:rPr>
            <w:noProof/>
            <w:webHidden/>
          </w:rPr>
          <w:t>6</w:t>
        </w:r>
        <w:r w:rsidR="00FB79BC">
          <w:rPr>
            <w:noProof/>
            <w:webHidden/>
          </w:rPr>
          <w:fldChar w:fldCharType="end"/>
        </w:r>
      </w:hyperlink>
    </w:p>
    <w:p w14:paraId="33DE97EB"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3" w:history="1">
        <w:r w:rsidR="00FB79BC" w:rsidRPr="00FE5448">
          <w:rPr>
            <w:rStyle w:val="Hypertextovodkaz"/>
            <w:noProof/>
          </w:rPr>
          <w:t>i.</w:t>
        </w:r>
        <w:r w:rsidR="00FB79BC">
          <w:rPr>
            <w:rFonts w:asciiTheme="minorHAnsi" w:eastAsiaTheme="minorEastAsia" w:hAnsiTheme="minorHAnsi"/>
            <w:noProof/>
            <w:sz w:val="22"/>
            <w:lang w:eastAsia="cs-CZ"/>
          </w:rPr>
          <w:tab/>
        </w:r>
        <w:r w:rsidR="00FB79BC" w:rsidRPr="00FE5448">
          <w:rPr>
            <w:rStyle w:val="Hypertextovodkaz"/>
            <w:noProof/>
          </w:rPr>
          <w:t>Kolize správního trestání a trestního řízení u nelegálního provozování hazardních her</w:t>
        </w:r>
        <w:r w:rsidR="00FB79BC">
          <w:rPr>
            <w:noProof/>
            <w:webHidden/>
          </w:rPr>
          <w:tab/>
        </w:r>
        <w:r w:rsidR="00FB79BC">
          <w:rPr>
            <w:noProof/>
            <w:webHidden/>
          </w:rPr>
          <w:fldChar w:fldCharType="begin"/>
        </w:r>
        <w:r w:rsidR="00FB79BC">
          <w:rPr>
            <w:noProof/>
            <w:webHidden/>
          </w:rPr>
          <w:instrText xml:space="preserve"> PAGEREF _Toc73608233 \h </w:instrText>
        </w:r>
        <w:r w:rsidR="00FB79BC">
          <w:rPr>
            <w:noProof/>
            <w:webHidden/>
          </w:rPr>
        </w:r>
        <w:r w:rsidR="00FB79BC">
          <w:rPr>
            <w:noProof/>
            <w:webHidden/>
          </w:rPr>
          <w:fldChar w:fldCharType="separate"/>
        </w:r>
        <w:r w:rsidR="00FB79BC">
          <w:rPr>
            <w:noProof/>
            <w:webHidden/>
          </w:rPr>
          <w:t>7</w:t>
        </w:r>
        <w:r w:rsidR="00FB79BC">
          <w:rPr>
            <w:noProof/>
            <w:webHidden/>
          </w:rPr>
          <w:fldChar w:fldCharType="end"/>
        </w:r>
      </w:hyperlink>
    </w:p>
    <w:p w14:paraId="7D76D2BB"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4" w:history="1">
        <w:r w:rsidR="00FB79BC" w:rsidRPr="00FE5448">
          <w:rPr>
            <w:rStyle w:val="Hypertextovodkaz"/>
            <w:noProof/>
          </w:rPr>
          <w:t>ii.</w:t>
        </w:r>
        <w:r w:rsidR="00FB79BC">
          <w:rPr>
            <w:rFonts w:asciiTheme="minorHAnsi" w:eastAsiaTheme="minorEastAsia" w:hAnsiTheme="minorHAnsi"/>
            <w:noProof/>
            <w:sz w:val="22"/>
            <w:lang w:eastAsia="cs-CZ"/>
          </w:rPr>
          <w:tab/>
        </w:r>
        <w:r w:rsidR="00FB79BC" w:rsidRPr="00FE5448">
          <w:rPr>
            <w:rStyle w:val="Hypertextovodkaz"/>
            <w:noProof/>
          </w:rPr>
          <w:t>Zavedení trestu zveřejnění rozhodnutí o přestupku</w:t>
        </w:r>
        <w:r w:rsidR="00FB79BC">
          <w:rPr>
            <w:noProof/>
            <w:webHidden/>
          </w:rPr>
          <w:tab/>
        </w:r>
        <w:r w:rsidR="00FB79BC">
          <w:rPr>
            <w:noProof/>
            <w:webHidden/>
          </w:rPr>
          <w:fldChar w:fldCharType="begin"/>
        </w:r>
        <w:r w:rsidR="00FB79BC">
          <w:rPr>
            <w:noProof/>
            <w:webHidden/>
          </w:rPr>
          <w:instrText xml:space="preserve"> PAGEREF _Toc73608234 \h </w:instrText>
        </w:r>
        <w:r w:rsidR="00FB79BC">
          <w:rPr>
            <w:noProof/>
            <w:webHidden/>
          </w:rPr>
        </w:r>
        <w:r w:rsidR="00FB79BC">
          <w:rPr>
            <w:noProof/>
            <w:webHidden/>
          </w:rPr>
          <w:fldChar w:fldCharType="separate"/>
        </w:r>
        <w:r w:rsidR="00FB79BC">
          <w:rPr>
            <w:noProof/>
            <w:webHidden/>
          </w:rPr>
          <w:t>9</w:t>
        </w:r>
        <w:r w:rsidR="00FB79BC">
          <w:rPr>
            <w:noProof/>
            <w:webHidden/>
          </w:rPr>
          <w:fldChar w:fldCharType="end"/>
        </w:r>
      </w:hyperlink>
    </w:p>
    <w:p w14:paraId="527F5142"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5" w:history="1">
        <w:r w:rsidR="00FB79BC" w:rsidRPr="00FE5448">
          <w:rPr>
            <w:rStyle w:val="Hypertextovodkaz"/>
            <w:noProof/>
          </w:rPr>
          <w:t>iii.</w:t>
        </w:r>
        <w:r w:rsidR="00FB79BC">
          <w:rPr>
            <w:rFonts w:asciiTheme="minorHAnsi" w:eastAsiaTheme="minorEastAsia" w:hAnsiTheme="minorHAnsi"/>
            <w:noProof/>
            <w:sz w:val="22"/>
            <w:lang w:eastAsia="cs-CZ"/>
          </w:rPr>
          <w:tab/>
        </w:r>
        <w:r w:rsidR="00FB79BC" w:rsidRPr="00FE5448">
          <w:rPr>
            <w:rStyle w:val="Hypertextovodkaz"/>
            <w:noProof/>
          </w:rPr>
          <w:t>Problematické aspekty sankcionování podle přestupku porušení základního povolení a zvláštního přestupku upravujícího tytéž činy. Rozdíly ve výši sankcí podle základního povolení, herního plánu a zákona o hazardních hrách.</w:t>
        </w:r>
        <w:r w:rsidR="00FB79BC">
          <w:rPr>
            <w:noProof/>
            <w:webHidden/>
          </w:rPr>
          <w:tab/>
        </w:r>
        <w:r w:rsidR="00FB79BC">
          <w:rPr>
            <w:noProof/>
            <w:webHidden/>
          </w:rPr>
          <w:fldChar w:fldCharType="begin"/>
        </w:r>
        <w:r w:rsidR="00FB79BC">
          <w:rPr>
            <w:noProof/>
            <w:webHidden/>
          </w:rPr>
          <w:instrText xml:space="preserve"> PAGEREF _Toc73608235 \h </w:instrText>
        </w:r>
        <w:r w:rsidR="00FB79BC">
          <w:rPr>
            <w:noProof/>
            <w:webHidden/>
          </w:rPr>
        </w:r>
        <w:r w:rsidR="00FB79BC">
          <w:rPr>
            <w:noProof/>
            <w:webHidden/>
          </w:rPr>
          <w:fldChar w:fldCharType="separate"/>
        </w:r>
        <w:r w:rsidR="00FB79BC">
          <w:rPr>
            <w:noProof/>
            <w:webHidden/>
          </w:rPr>
          <w:t>10</w:t>
        </w:r>
        <w:r w:rsidR="00FB79BC">
          <w:rPr>
            <w:noProof/>
            <w:webHidden/>
          </w:rPr>
          <w:fldChar w:fldCharType="end"/>
        </w:r>
      </w:hyperlink>
    </w:p>
    <w:p w14:paraId="795D3E98"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6" w:history="1">
        <w:r w:rsidR="00FB79BC" w:rsidRPr="00FE5448">
          <w:rPr>
            <w:rStyle w:val="Hypertextovodkaz"/>
            <w:noProof/>
          </w:rPr>
          <w:t>iv.</w:t>
        </w:r>
        <w:r w:rsidR="00FB79BC">
          <w:rPr>
            <w:rFonts w:asciiTheme="minorHAnsi" w:eastAsiaTheme="minorEastAsia" w:hAnsiTheme="minorHAnsi"/>
            <w:noProof/>
            <w:sz w:val="22"/>
            <w:lang w:eastAsia="cs-CZ"/>
          </w:rPr>
          <w:tab/>
        </w:r>
        <w:r w:rsidR="00FB79BC" w:rsidRPr="00FE5448">
          <w:rPr>
            <w:rStyle w:val="Hypertextovodkaz"/>
            <w:noProof/>
          </w:rPr>
          <w:t>Odpovědnost fyzických osob</w:t>
        </w:r>
        <w:r w:rsidR="00FB79BC">
          <w:rPr>
            <w:noProof/>
            <w:webHidden/>
          </w:rPr>
          <w:tab/>
        </w:r>
        <w:r w:rsidR="00FB79BC">
          <w:rPr>
            <w:noProof/>
            <w:webHidden/>
          </w:rPr>
          <w:fldChar w:fldCharType="begin"/>
        </w:r>
        <w:r w:rsidR="00FB79BC">
          <w:rPr>
            <w:noProof/>
            <w:webHidden/>
          </w:rPr>
          <w:instrText xml:space="preserve"> PAGEREF _Toc73608236 \h </w:instrText>
        </w:r>
        <w:r w:rsidR="00FB79BC">
          <w:rPr>
            <w:noProof/>
            <w:webHidden/>
          </w:rPr>
        </w:r>
        <w:r w:rsidR="00FB79BC">
          <w:rPr>
            <w:noProof/>
            <w:webHidden/>
          </w:rPr>
          <w:fldChar w:fldCharType="separate"/>
        </w:r>
        <w:r w:rsidR="00FB79BC">
          <w:rPr>
            <w:noProof/>
            <w:webHidden/>
          </w:rPr>
          <w:t>10</w:t>
        </w:r>
        <w:r w:rsidR="00FB79BC">
          <w:rPr>
            <w:noProof/>
            <w:webHidden/>
          </w:rPr>
          <w:fldChar w:fldCharType="end"/>
        </w:r>
      </w:hyperlink>
    </w:p>
    <w:p w14:paraId="09374376"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7" w:history="1">
        <w:r w:rsidR="00FB79BC" w:rsidRPr="00FE5448">
          <w:rPr>
            <w:rStyle w:val="Hypertextovodkaz"/>
            <w:noProof/>
          </w:rPr>
          <w:t>v.</w:t>
        </w:r>
        <w:r w:rsidR="00FB79BC">
          <w:rPr>
            <w:rFonts w:asciiTheme="minorHAnsi" w:eastAsiaTheme="minorEastAsia" w:hAnsiTheme="minorHAnsi"/>
            <w:noProof/>
            <w:sz w:val="22"/>
            <w:lang w:eastAsia="cs-CZ"/>
          </w:rPr>
          <w:tab/>
        </w:r>
        <w:r w:rsidR="00FB79BC" w:rsidRPr="00FE5448">
          <w:rPr>
            <w:rStyle w:val="Hypertextovodkaz"/>
            <w:noProof/>
          </w:rPr>
          <w:t>Zavedení sankcí u stávajících povinností a nově navrhovaných povinností</w:t>
        </w:r>
        <w:r w:rsidR="00FB79BC">
          <w:rPr>
            <w:noProof/>
            <w:webHidden/>
          </w:rPr>
          <w:tab/>
        </w:r>
        <w:r w:rsidR="00FB79BC">
          <w:rPr>
            <w:noProof/>
            <w:webHidden/>
          </w:rPr>
          <w:fldChar w:fldCharType="begin"/>
        </w:r>
        <w:r w:rsidR="00FB79BC">
          <w:rPr>
            <w:noProof/>
            <w:webHidden/>
          </w:rPr>
          <w:instrText xml:space="preserve"> PAGEREF _Toc73608237 \h </w:instrText>
        </w:r>
        <w:r w:rsidR="00FB79BC">
          <w:rPr>
            <w:noProof/>
            <w:webHidden/>
          </w:rPr>
        </w:r>
        <w:r w:rsidR="00FB79BC">
          <w:rPr>
            <w:noProof/>
            <w:webHidden/>
          </w:rPr>
          <w:fldChar w:fldCharType="separate"/>
        </w:r>
        <w:r w:rsidR="00FB79BC">
          <w:rPr>
            <w:noProof/>
            <w:webHidden/>
          </w:rPr>
          <w:t>12</w:t>
        </w:r>
        <w:r w:rsidR="00FB79BC">
          <w:rPr>
            <w:noProof/>
            <w:webHidden/>
          </w:rPr>
          <w:fldChar w:fldCharType="end"/>
        </w:r>
      </w:hyperlink>
    </w:p>
    <w:p w14:paraId="2823AB42"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38" w:history="1">
        <w:r w:rsidR="00FB79BC" w:rsidRPr="00FE5448">
          <w:rPr>
            <w:rStyle w:val="Hypertextovodkaz"/>
            <w:noProof/>
          </w:rPr>
          <w:t>vi.</w:t>
        </w:r>
        <w:r w:rsidR="00FB79BC">
          <w:rPr>
            <w:rFonts w:asciiTheme="minorHAnsi" w:eastAsiaTheme="minorEastAsia" w:hAnsiTheme="minorHAnsi"/>
            <w:noProof/>
            <w:sz w:val="22"/>
            <w:lang w:eastAsia="cs-CZ"/>
          </w:rPr>
          <w:tab/>
        </w:r>
        <w:r w:rsidR="00FB79BC" w:rsidRPr="00FE5448">
          <w:rPr>
            <w:rStyle w:val="Hypertextovodkaz"/>
            <w:noProof/>
          </w:rPr>
          <w:t>Chybějící úprava opatření k nápravě</w:t>
        </w:r>
        <w:r w:rsidR="00FB79BC">
          <w:rPr>
            <w:noProof/>
            <w:webHidden/>
          </w:rPr>
          <w:tab/>
        </w:r>
        <w:r w:rsidR="00FB79BC">
          <w:rPr>
            <w:noProof/>
            <w:webHidden/>
          </w:rPr>
          <w:fldChar w:fldCharType="begin"/>
        </w:r>
        <w:r w:rsidR="00FB79BC">
          <w:rPr>
            <w:noProof/>
            <w:webHidden/>
          </w:rPr>
          <w:instrText xml:space="preserve"> PAGEREF _Toc73608238 \h </w:instrText>
        </w:r>
        <w:r w:rsidR="00FB79BC">
          <w:rPr>
            <w:noProof/>
            <w:webHidden/>
          </w:rPr>
        </w:r>
        <w:r w:rsidR="00FB79BC">
          <w:rPr>
            <w:noProof/>
            <w:webHidden/>
          </w:rPr>
          <w:fldChar w:fldCharType="separate"/>
        </w:r>
        <w:r w:rsidR="00FB79BC">
          <w:rPr>
            <w:noProof/>
            <w:webHidden/>
          </w:rPr>
          <w:t>13</w:t>
        </w:r>
        <w:r w:rsidR="00FB79BC">
          <w:rPr>
            <w:noProof/>
            <w:webHidden/>
          </w:rPr>
          <w:fldChar w:fldCharType="end"/>
        </w:r>
      </w:hyperlink>
    </w:p>
    <w:p w14:paraId="7B6DCEF3"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39" w:history="1">
        <w:r w:rsidR="00FB79BC" w:rsidRPr="00FE5448">
          <w:rPr>
            <w:rStyle w:val="Hypertextovodkaz"/>
            <w:noProof/>
          </w:rPr>
          <w:t>1.4</w:t>
        </w:r>
        <w:r w:rsidR="00FB79BC">
          <w:rPr>
            <w:rFonts w:asciiTheme="minorHAnsi" w:eastAsiaTheme="minorEastAsia" w:hAnsiTheme="minorHAnsi"/>
            <w:noProof/>
            <w:sz w:val="22"/>
            <w:lang w:eastAsia="cs-CZ"/>
          </w:rPr>
          <w:tab/>
        </w:r>
        <w:r w:rsidR="00FB79BC" w:rsidRPr="00FE5448">
          <w:rPr>
            <w:rStyle w:val="Hypertextovodkaz"/>
            <w:noProof/>
          </w:rPr>
          <w:t>Seznam tabulek, obrázků a grafů</w:t>
        </w:r>
        <w:r w:rsidR="00FB79BC">
          <w:rPr>
            <w:noProof/>
            <w:webHidden/>
          </w:rPr>
          <w:tab/>
        </w:r>
        <w:r w:rsidR="00FB79BC">
          <w:rPr>
            <w:noProof/>
            <w:webHidden/>
          </w:rPr>
          <w:fldChar w:fldCharType="begin"/>
        </w:r>
        <w:r w:rsidR="00FB79BC">
          <w:rPr>
            <w:noProof/>
            <w:webHidden/>
          </w:rPr>
          <w:instrText xml:space="preserve"> PAGEREF _Toc73608239 \h </w:instrText>
        </w:r>
        <w:r w:rsidR="00FB79BC">
          <w:rPr>
            <w:noProof/>
            <w:webHidden/>
          </w:rPr>
        </w:r>
        <w:r w:rsidR="00FB79BC">
          <w:rPr>
            <w:noProof/>
            <w:webHidden/>
          </w:rPr>
          <w:fldChar w:fldCharType="separate"/>
        </w:r>
        <w:r w:rsidR="00FB79BC">
          <w:rPr>
            <w:noProof/>
            <w:webHidden/>
          </w:rPr>
          <w:t>14</w:t>
        </w:r>
        <w:r w:rsidR="00FB79BC">
          <w:rPr>
            <w:noProof/>
            <w:webHidden/>
          </w:rPr>
          <w:fldChar w:fldCharType="end"/>
        </w:r>
      </w:hyperlink>
    </w:p>
    <w:p w14:paraId="3EA94786"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240" w:history="1">
        <w:r w:rsidR="00FB79BC" w:rsidRPr="00FE5448">
          <w:rPr>
            <w:rStyle w:val="Hypertextovodkaz"/>
            <w:noProof/>
          </w:rPr>
          <w:t>1.4.1</w:t>
        </w:r>
        <w:r w:rsidR="00FB79BC">
          <w:rPr>
            <w:rFonts w:asciiTheme="minorHAnsi" w:eastAsiaTheme="minorEastAsia" w:hAnsiTheme="minorHAnsi"/>
            <w:noProof/>
            <w:sz w:val="22"/>
            <w:lang w:eastAsia="cs-CZ"/>
          </w:rPr>
          <w:tab/>
        </w:r>
        <w:r w:rsidR="00FB79BC" w:rsidRPr="00FE5448">
          <w:rPr>
            <w:rStyle w:val="Hypertextovodkaz"/>
            <w:noProof/>
          </w:rPr>
          <w:t>Grafy</w:t>
        </w:r>
        <w:r w:rsidR="00FB79BC">
          <w:rPr>
            <w:noProof/>
            <w:webHidden/>
          </w:rPr>
          <w:tab/>
        </w:r>
        <w:r w:rsidR="00FB79BC">
          <w:rPr>
            <w:noProof/>
            <w:webHidden/>
          </w:rPr>
          <w:fldChar w:fldCharType="begin"/>
        </w:r>
        <w:r w:rsidR="00FB79BC">
          <w:rPr>
            <w:noProof/>
            <w:webHidden/>
          </w:rPr>
          <w:instrText xml:space="preserve"> PAGEREF _Toc73608240 \h </w:instrText>
        </w:r>
        <w:r w:rsidR="00FB79BC">
          <w:rPr>
            <w:noProof/>
            <w:webHidden/>
          </w:rPr>
        </w:r>
        <w:r w:rsidR="00FB79BC">
          <w:rPr>
            <w:noProof/>
            <w:webHidden/>
          </w:rPr>
          <w:fldChar w:fldCharType="separate"/>
        </w:r>
        <w:r w:rsidR="00FB79BC">
          <w:rPr>
            <w:noProof/>
            <w:webHidden/>
          </w:rPr>
          <w:t>14</w:t>
        </w:r>
        <w:r w:rsidR="00FB79BC">
          <w:rPr>
            <w:noProof/>
            <w:webHidden/>
          </w:rPr>
          <w:fldChar w:fldCharType="end"/>
        </w:r>
      </w:hyperlink>
    </w:p>
    <w:p w14:paraId="7F29B445"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41" w:history="1">
        <w:r w:rsidR="00FB79BC" w:rsidRPr="00FE5448">
          <w:rPr>
            <w:rStyle w:val="Hypertextovodkaz"/>
            <w:noProof/>
          </w:rPr>
          <w:t>1.5</w:t>
        </w:r>
        <w:r w:rsidR="00FB79BC">
          <w:rPr>
            <w:rFonts w:asciiTheme="minorHAnsi" w:eastAsiaTheme="minorEastAsia" w:hAnsiTheme="minorHAnsi"/>
            <w:noProof/>
            <w:sz w:val="22"/>
            <w:lang w:eastAsia="cs-CZ"/>
          </w:rPr>
          <w:tab/>
        </w:r>
        <w:r w:rsidR="00FB79BC" w:rsidRPr="00FE5448">
          <w:rPr>
            <w:rStyle w:val="Hypertextovodkaz"/>
            <w:noProof/>
          </w:rPr>
          <w:t>Obsah</w:t>
        </w:r>
        <w:r w:rsidR="00FB79BC">
          <w:rPr>
            <w:noProof/>
            <w:webHidden/>
          </w:rPr>
          <w:tab/>
        </w:r>
        <w:r w:rsidR="00FB79BC">
          <w:rPr>
            <w:noProof/>
            <w:webHidden/>
          </w:rPr>
          <w:fldChar w:fldCharType="begin"/>
        </w:r>
        <w:r w:rsidR="00FB79BC">
          <w:rPr>
            <w:noProof/>
            <w:webHidden/>
          </w:rPr>
          <w:instrText xml:space="preserve"> PAGEREF _Toc73608241 \h </w:instrText>
        </w:r>
        <w:r w:rsidR="00FB79BC">
          <w:rPr>
            <w:noProof/>
            <w:webHidden/>
          </w:rPr>
        </w:r>
        <w:r w:rsidR="00FB79BC">
          <w:rPr>
            <w:noProof/>
            <w:webHidden/>
          </w:rPr>
          <w:fldChar w:fldCharType="separate"/>
        </w:r>
        <w:r w:rsidR="00FB79BC">
          <w:rPr>
            <w:noProof/>
            <w:webHidden/>
          </w:rPr>
          <w:t>14</w:t>
        </w:r>
        <w:r w:rsidR="00FB79BC">
          <w:rPr>
            <w:noProof/>
            <w:webHidden/>
          </w:rPr>
          <w:fldChar w:fldCharType="end"/>
        </w:r>
      </w:hyperlink>
    </w:p>
    <w:p w14:paraId="37400C03" w14:textId="7DF5BE0A" w:rsidR="00FB79BC" w:rsidRPr="00FB79BC" w:rsidRDefault="00FB79BC" w:rsidP="00FB79BC">
      <w:pPr>
        <w:rPr>
          <w:highlight w:val="lightGray"/>
        </w:rPr>
      </w:pPr>
      <w:r>
        <w:fldChar w:fldCharType="end"/>
      </w:r>
    </w:p>
    <w:p w14:paraId="4DB58519" w14:textId="4F41F302" w:rsidR="009A22BE" w:rsidRPr="00F17245" w:rsidRDefault="00E91C8F" w:rsidP="00E91C8F">
      <w:pPr>
        <w:pStyle w:val="Nadpis3"/>
        <w:numPr>
          <w:ilvl w:val="0"/>
          <w:numId w:val="0"/>
        </w:numPr>
        <w:ind w:left="720" w:hanging="720"/>
      </w:pPr>
      <w:bookmarkStart w:id="204" w:name="_Toc72999608"/>
      <w:bookmarkStart w:id="205" w:name="_Toc73613664"/>
      <w:r w:rsidRPr="00F17245">
        <w:t xml:space="preserve">Příloha č. 14: </w:t>
      </w:r>
      <w:r w:rsidR="00A861A9" w:rsidRPr="00F17245">
        <w:t>Daň z hazardních her</w:t>
      </w:r>
      <w:bookmarkEnd w:id="204"/>
      <w:bookmarkEnd w:id="205"/>
    </w:p>
    <w:p w14:paraId="4ED69736" w14:textId="217B46C6" w:rsidR="00FB79BC" w:rsidRDefault="00FB79BC" w:rsidP="00FB79BC">
      <w:pPr>
        <w:pStyle w:val="Nadpis3"/>
        <w:numPr>
          <w:ilvl w:val="0"/>
          <w:numId w:val="0"/>
        </w:numPr>
        <w:spacing w:line="259" w:lineRule="auto"/>
        <w:ind w:left="720" w:hanging="720"/>
        <w:rPr>
          <w:noProof/>
        </w:rPr>
      </w:pPr>
      <w:r>
        <w:fldChar w:fldCharType="begin"/>
      </w:r>
      <w:r>
        <w:instrText xml:space="preserve"> TOC \o "1-6" \h \z \u </w:instrText>
      </w:r>
      <w:r>
        <w:fldChar w:fldCharType="separate"/>
      </w:r>
    </w:p>
    <w:p w14:paraId="1973CB8F"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86" w:history="1">
        <w:r w:rsidR="00FB79BC" w:rsidRPr="00346FB4">
          <w:rPr>
            <w:rStyle w:val="Hypertextovodkaz"/>
            <w:noProof/>
          </w:rPr>
          <w:t>1.1</w:t>
        </w:r>
        <w:r w:rsidR="00FB79BC">
          <w:rPr>
            <w:rFonts w:asciiTheme="minorHAnsi" w:eastAsiaTheme="minorEastAsia" w:hAnsiTheme="minorHAnsi"/>
            <w:noProof/>
            <w:sz w:val="22"/>
            <w:lang w:eastAsia="cs-CZ"/>
          </w:rPr>
          <w:tab/>
        </w:r>
        <w:r w:rsidR="00FB79BC" w:rsidRPr="00346FB4">
          <w:rPr>
            <w:rStyle w:val="Hypertextovodkaz"/>
            <w:noProof/>
          </w:rPr>
          <w:t>Konkrétní popis regulace obsažené v zákoně o loteriích</w:t>
        </w:r>
        <w:r w:rsidR="00FB79BC">
          <w:rPr>
            <w:noProof/>
            <w:webHidden/>
          </w:rPr>
          <w:tab/>
        </w:r>
        <w:r w:rsidR="00FB79BC">
          <w:rPr>
            <w:noProof/>
            <w:webHidden/>
          </w:rPr>
          <w:fldChar w:fldCharType="begin"/>
        </w:r>
        <w:r w:rsidR="00FB79BC">
          <w:rPr>
            <w:noProof/>
            <w:webHidden/>
          </w:rPr>
          <w:instrText xml:space="preserve"> PAGEREF _Toc73608286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0A54F7BB"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87" w:history="1">
        <w:r w:rsidR="00FB79BC" w:rsidRPr="00346FB4">
          <w:rPr>
            <w:rStyle w:val="Hypertextovodkaz"/>
            <w:noProof/>
          </w:rPr>
          <w:t>1.2</w:t>
        </w:r>
        <w:r w:rsidR="00FB79BC">
          <w:rPr>
            <w:rFonts w:asciiTheme="minorHAnsi" w:eastAsiaTheme="minorEastAsia" w:hAnsiTheme="minorHAnsi"/>
            <w:noProof/>
            <w:sz w:val="22"/>
            <w:lang w:eastAsia="cs-CZ"/>
          </w:rPr>
          <w:tab/>
        </w:r>
        <w:r w:rsidR="00FB79BC" w:rsidRPr="00346FB4">
          <w:rPr>
            <w:rStyle w:val="Hypertextovodkaz"/>
            <w:noProof/>
          </w:rPr>
          <w:t>Konkrétní popis regulace obsažené v zákoně o dani z hazardních her</w:t>
        </w:r>
        <w:r w:rsidR="00FB79BC">
          <w:rPr>
            <w:noProof/>
            <w:webHidden/>
          </w:rPr>
          <w:tab/>
        </w:r>
        <w:r w:rsidR="00FB79BC">
          <w:rPr>
            <w:noProof/>
            <w:webHidden/>
          </w:rPr>
          <w:fldChar w:fldCharType="begin"/>
        </w:r>
        <w:r w:rsidR="00FB79BC">
          <w:rPr>
            <w:noProof/>
            <w:webHidden/>
          </w:rPr>
          <w:instrText xml:space="preserve"> PAGEREF _Toc73608287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78B07F0C"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88" w:history="1">
        <w:r w:rsidR="00FB79BC" w:rsidRPr="00346FB4">
          <w:rPr>
            <w:rStyle w:val="Hypertextovodkaz"/>
            <w:noProof/>
            <w14:scene3d>
              <w14:camera w14:prst="orthographicFront"/>
              <w14:lightRig w14:rig="threePt" w14:dir="t">
                <w14:rot w14:lat="0" w14:lon="0" w14:rev="0"/>
              </w14:lightRig>
            </w14:scene3d>
          </w:rPr>
          <w:t>A.</w:t>
        </w:r>
        <w:r w:rsidR="00FB79BC">
          <w:rPr>
            <w:rFonts w:asciiTheme="minorHAnsi" w:eastAsiaTheme="minorEastAsia" w:hAnsiTheme="minorHAnsi"/>
            <w:noProof/>
            <w:sz w:val="22"/>
            <w:lang w:eastAsia="cs-CZ"/>
          </w:rPr>
          <w:tab/>
        </w:r>
        <w:r w:rsidR="00FB79BC" w:rsidRPr="00346FB4">
          <w:rPr>
            <w:rStyle w:val="Hypertextovodkaz"/>
            <w:noProof/>
          </w:rPr>
          <w:t>Daň z hazardních her obecně</w:t>
        </w:r>
        <w:r w:rsidR="00FB79BC">
          <w:rPr>
            <w:noProof/>
            <w:webHidden/>
          </w:rPr>
          <w:tab/>
        </w:r>
        <w:r w:rsidR="00FB79BC">
          <w:rPr>
            <w:noProof/>
            <w:webHidden/>
          </w:rPr>
          <w:fldChar w:fldCharType="begin"/>
        </w:r>
        <w:r w:rsidR="00FB79BC">
          <w:rPr>
            <w:noProof/>
            <w:webHidden/>
          </w:rPr>
          <w:instrText xml:space="preserve"> PAGEREF _Toc73608288 \h </w:instrText>
        </w:r>
        <w:r w:rsidR="00FB79BC">
          <w:rPr>
            <w:noProof/>
            <w:webHidden/>
          </w:rPr>
        </w:r>
        <w:r w:rsidR="00FB79BC">
          <w:rPr>
            <w:noProof/>
            <w:webHidden/>
          </w:rPr>
          <w:fldChar w:fldCharType="separate"/>
        </w:r>
        <w:r w:rsidR="00FB79BC">
          <w:rPr>
            <w:noProof/>
            <w:webHidden/>
          </w:rPr>
          <w:t>1</w:t>
        </w:r>
        <w:r w:rsidR="00FB79BC">
          <w:rPr>
            <w:noProof/>
            <w:webHidden/>
          </w:rPr>
          <w:fldChar w:fldCharType="end"/>
        </w:r>
      </w:hyperlink>
    </w:p>
    <w:p w14:paraId="2606DF74"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89" w:history="1">
        <w:r w:rsidR="00FB79BC" w:rsidRPr="00346FB4">
          <w:rPr>
            <w:rStyle w:val="Hypertextovodkaz"/>
            <w:noProof/>
            <w14:scene3d>
              <w14:camera w14:prst="orthographicFront"/>
              <w14:lightRig w14:rig="threePt" w14:dir="t">
                <w14:rot w14:lat="0" w14:lon="0" w14:rev="0"/>
              </w14:lightRig>
            </w14:scene3d>
          </w:rPr>
          <w:t>B.</w:t>
        </w:r>
        <w:r w:rsidR="00FB79BC">
          <w:rPr>
            <w:rFonts w:asciiTheme="minorHAnsi" w:eastAsiaTheme="minorEastAsia" w:hAnsiTheme="minorHAnsi"/>
            <w:noProof/>
            <w:sz w:val="22"/>
            <w:lang w:eastAsia="cs-CZ"/>
          </w:rPr>
          <w:tab/>
        </w:r>
        <w:r w:rsidR="00FB79BC" w:rsidRPr="00346FB4">
          <w:rPr>
            <w:rStyle w:val="Hypertextovodkaz"/>
            <w:noProof/>
          </w:rPr>
          <w:t>Rozpočtové určení daně z hazardních her</w:t>
        </w:r>
        <w:r w:rsidR="00FB79BC">
          <w:rPr>
            <w:noProof/>
            <w:webHidden/>
          </w:rPr>
          <w:tab/>
        </w:r>
        <w:r w:rsidR="00FB79BC">
          <w:rPr>
            <w:noProof/>
            <w:webHidden/>
          </w:rPr>
          <w:fldChar w:fldCharType="begin"/>
        </w:r>
        <w:r w:rsidR="00FB79BC">
          <w:rPr>
            <w:noProof/>
            <w:webHidden/>
          </w:rPr>
          <w:instrText xml:space="preserve"> PAGEREF _Toc73608289 \h </w:instrText>
        </w:r>
        <w:r w:rsidR="00FB79BC">
          <w:rPr>
            <w:noProof/>
            <w:webHidden/>
          </w:rPr>
        </w:r>
        <w:r w:rsidR="00FB79BC">
          <w:rPr>
            <w:noProof/>
            <w:webHidden/>
          </w:rPr>
          <w:fldChar w:fldCharType="separate"/>
        </w:r>
        <w:r w:rsidR="00FB79BC">
          <w:rPr>
            <w:noProof/>
            <w:webHidden/>
          </w:rPr>
          <w:t>6</w:t>
        </w:r>
        <w:r w:rsidR="00FB79BC">
          <w:rPr>
            <w:noProof/>
            <w:webHidden/>
          </w:rPr>
          <w:fldChar w:fldCharType="end"/>
        </w:r>
      </w:hyperlink>
    </w:p>
    <w:p w14:paraId="70B734C9"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90" w:history="1">
        <w:r w:rsidR="00FB79BC" w:rsidRPr="00346FB4">
          <w:rPr>
            <w:rStyle w:val="Hypertextovodkaz"/>
            <w:noProof/>
            <w14:scene3d>
              <w14:camera w14:prst="orthographicFront"/>
              <w14:lightRig w14:rig="threePt" w14:dir="t">
                <w14:rot w14:lat="0" w14:lon="0" w14:rev="0"/>
              </w14:lightRig>
            </w14:scene3d>
          </w:rPr>
          <w:t>C.</w:t>
        </w:r>
        <w:r w:rsidR="00FB79BC">
          <w:rPr>
            <w:rFonts w:asciiTheme="minorHAnsi" w:eastAsiaTheme="minorEastAsia" w:hAnsiTheme="minorHAnsi"/>
            <w:noProof/>
            <w:sz w:val="22"/>
            <w:lang w:eastAsia="cs-CZ"/>
          </w:rPr>
          <w:tab/>
        </w:r>
        <w:r w:rsidR="00FB79BC" w:rsidRPr="00346FB4">
          <w:rPr>
            <w:rStyle w:val="Hypertextovodkaz"/>
            <w:noProof/>
          </w:rPr>
          <w:t>Výše zdanění</w:t>
        </w:r>
        <w:r w:rsidR="00FB79BC">
          <w:rPr>
            <w:noProof/>
            <w:webHidden/>
          </w:rPr>
          <w:tab/>
        </w:r>
        <w:r w:rsidR="00FB79BC">
          <w:rPr>
            <w:noProof/>
            <w:webHidden/>
          </w:rPr>
          <w:fldChar w:fldCharType="begin"/>
        </w:r>
        <w:r w:rsidR="00FB79BC">
          <w:rPr>
            <w:noProof/>
            <w:webHidden/>
          </w:rPr>
          <w:instrText xml:space="preserve"> PAGEREF _Toc73608290 \h </w:instrText>
        </w:r>
        <w:r w:rsidR="00FB79BC">
          <w:rPr>
            <w:noProof/>
            <w:webHidden/>
          </w:rPr>
        </w:r>
        <w:r w:rsidR="00FB79BC">
          <w:rPr>
            <w:noProof/>
            <w:webHidden/>
          </w:rPr>
          <w:fldChar w:fldCharType="separate"/>
        </w:r>
        <w:r w:rsidR="00FB79BC">
          <w:rPr>
            <w:noProof/>
            <w:webHidden/>
          </w:rPr>
          <w:t>7</w:t>
        </w:r>
        <w:r w:rsidR="00FB79BC">
          <w:rPr>
            <w:noProof/>
            <w:webHidden/>
          </w:rPr>
          <w:fldChar w:fldCharType="end"/>
        </w:r>
      </w:hyperlink>
    </w:p>
    <w:p w14:paraId="3F710672"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91" w:history="1">
        <w:r w:rsidR="00FB79BC" w:rsidRPr="00346FB4">
          <w:rPr>
            <w:rStyle w:val="Hypertextovodkaz"/>
            <w:noProof/>
            <w14:scene3d>
              <w14:camera w14:prst="orthographicFront"/>
              <w14:lightRig w14:rig="threePt" w14:dir="t">
                <w14:rot w14:lat="0" w14:lon="0" w14:rev="0"/>
              </w14:lightRig>
            </w14:scene3d>
          </w:rPr>
          <w:t>D.</w:t>
        </w:r>
        <w:r w:rsidR="00FB79BC">
          <w:rPr>
            <w:rFonts w:asciiTheme="minorHAnsi" w:eastAsiaTheme="minorEastAsia" w:hAnsiTheme="minorHAnsi"/>
            <w:noProof/>
            <w:sz w:val="22"/>
            <w:lang w:eastAsia="cs-CZ"/>
          </w:rPr>
          <w:tab/>
        </w:r>
        <w:r w:rsidR="00FB79BC" w:rsidRPr="00346FB4">
          <w:rPr>
            <w:rStyle w:val="Hypertextovodkaz"/>
            <w:noProof/>
          </w:rPr>
          <w:t>Danění nelegálních provozovatelů hazardních her</w:t>
        </w:r>
        <w:r w:rsidR="00FB79BC">
          <w:rPr>
            <w:noProof/>
            <w:webHidden/>
          </w:rPr>
          <w:tab/>
        </w:r>
        <w:r w:rsidR="00FB79BC">
          <w:rPr>
            <w:noProof/>
            <w:webHidden/>
          </w:rPr>
          <w:fldChar w:fldCharType="begin"/>
        </w:r>
        <w:r w:rsidR="00FB79BC">
          <w:rPr>
            <w:noProof/>
            <w:webHidden/>
          </w:rPr>
          <w:instrText xml:space="preserve"> PAGEREF _Toc73608291 \h </w:instrText>
        </w:r>
        <w:r w:rsidR="00FB79BC">
          <w:rPr>
            <w:noProof/>
            <w:webHidden/>
          </w:rPr>
        </w:r>
        <w:r w:rsidR="00FB79BC">
          <w:rPr>
            <w:noProof/>
            <w:webHidden/>
          </w:rPr>
          <w:fldChar w:fldCharType="separate"/>
        </w:r>
        <w:r w:rsidR="00FB79BC">
          <w:rPr>
            <w:noProof/>
            <w:webHidden/>
          </w:rPr>
          <w:t>14</w:t>
        </w:r>
        <w:r w:rsidR="00FB79BC">
          <w:rPr>
            <w:noProof/>
            <w:webHidden/>
          </w:rPr>
          <w:fldChar w:fldCharType="end"/>
        </w:r>
      </w:hyperlink>
    </w:p>
    <w:p w14:paraId="6E110DF7"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292" w:history="1">
        <w:r w:rsidR="00FB79BC" w:rsidRPr="00346FB4">
          <w:rPr>
            <w:rStyle w:val="Hypertextovodkaz"/>
            <w:noProof/>
          </w:rPr>
          <w:t>1.3</w:t>
        </w:r>
        <w:r w:rsidR="00FB79BC">
          <w:rPr>
            <w:rFonts w:asciiTheme="minorHAnsi" w:eastAsiaTheme="minorEastAsia" w:hAnsiTheme="minorHAnsi"/>
            <w:noProof/>
            <w:sz w:val="22"/>
            <w:lang w:eastAsia="cs-CZ"/>
          </w:rPr>
          <w:tab/>
        </w:r>
        <w:r w:rsidR="00FB79BC" w:rsidRPr="00346FB4">
          <w:rPr>
            <w:rStyle w:val="Hypertextovodkaz"/>
            <w:noProof/>
          </w:rPr>
          <w:t>Konkrétní popis nástrojů, včetně oblastí, na které by bylo vhodné se v budoucnu zaměřit, a návrh doporučení či možných variant řešení</w:t>
        </w:r>
        <w:r w:rsidR="00FB79BC">
          <w:rPr>
            <w:noProof/>
            <w:webHidden/>
          </w:rPr>
          <w:tab/>
        </w:r>
        <w:r w:rsidR="00FB79BC">
          <w:rPr>
            <w:noProof/>
            <w:webHidden/>
          </w:rPr>
          <w:fldChar w:fldCharType="begin"/>
        </w:r>
        <w:r w:rsidR="00FB79BC">
          <w:rPr>
            <w:noProof/>
            <w:webHidden/>
          </w:rPr>
          <w:instrText xml:space="preserve"> PAGEREF _Toc73608292 \h </w:instrText>
        </w:r>
        <w:r w:rsidR="00FB79BC">
          <w:rPr>
            <w:noProof/>
            <w:webHidden/>
          </w:rPr>
        </w:r>
        <w:r w:rsidR="00FB79BC">
          <w:rPr>
            <w:noProof/>
            <w:webHidden/>
          </w:rPr>
          <w:fldChar w:fldCharType="separate"/>
        </w:r>
        <w:r w:rsidR="00FB79BC">
          <w:rPr>
            <w:noProof/>
            <w:webHidden/>
          </w:rPr>
          <w:t>15</w:t>
        </w:r>
        <w:r w:rsidR="00FB79BC">
          <w:rPr>
            <w:noProof/>
            <w:webHidden/>
          </w:rPr>
          <w:fldChar w:fldCharType="end"/>
        </w:r>
      </w:hyperlink>
    </w:p>
    <w:p w14:paraId="1F51B2AC"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93" w:history="1">
        <w:r w:rsidR="00FB79BC" w:rsidRPr="00346FB4">
          <w:rPr>
            <w:rStyle w:val="Hypertextovodkaz"/>
            <w:noProof/>
            <w14:scene3d>
              <w14:camera w14:prst="orthographicFront"/>
              <w14:lightRig w14:rig="threePt" w14:dir="t">
                <w14:rot w14:lat="0" w14:lon="0" w14:rev="0"/>
              </w14:lightRig>
            </w14:scene3d>
          </w:rPr>
          <w:t>A.</w:t>
        </w:r>
        <w:r w:rsidR="00FB79BC">
          <w:rPr>
            <w:rFonts w:asciiTheme="minorHAnsi" w:eastAsiaTheme="minorEastAsia" w:hAnsiTheme="minorHAnsi"/>
            <w:noProof/>
            <w:sz w:val="22"/>
            <w:lang w:eastAsia="cs-CZ"/>
          </w:rPr>
          <w:tab/>
        </w:r>
        <w:r w:rsidR="00FB79BC" w:rsidRPr="00346FB4">
          <w:rPr>
            <w:rStyle w:val="Hypertextovodkaz"/>
            <w:noProof/>
          </w:rPr>
          <w:t>Daň z hazardních her obecně</w:t>
        </w:r>
        <w:r w:rsidR="00FB79BC">
          <w:rPr>
            <w:noProof/>
            <w:webHidden/>
          </w:rPr>
          <w:tab/>
        </w:r>
        <w:r w:rsidR="00FB79BC">
          <w:rPr>
            <w:noProof/>
            <w:webHidden/>
          </w:rPr>
          <w:fldChar w:fldCharType="begin"/>
        </w:r>
        <w:r w:rsidR="00FB79BC">
          <w:rPr>
            <w:noProof/>
            <w:webHidden/>
          </w:rPr>
          <w:instrText xml:space="preserve"> PAGEREF _Toc73608293 \h </w:instrText>
        </w:r>
        <w:r w:rsidR="00FB79BC">
          <w:rPr>
            <w:noProof/>
            <w:webHidden/>
          </w:rPr>
        </w:r>
        <w:r w:rsidR="00FB79BC">
          <w:rPr>
            <w:noProof/>
            <w:webHidden/>
          </w:rPr>
          <w:fldChar w:fldCharType="separate"/>
        </w:r>
        <w:r w:rsidR="00FB79BC">
          <w:rPr>
            <w:noProof/>
            <w:webHidden/>
          </w:rPr>
          <w:t>15</w:t>
        </w:r>
        <w:r w:rsidR="00FB79BC">
          <w:rPr>
            <w:noProof/>
            <w:webHidden/>
          </w:rPr>
          <w:fldChar w:fldCharType="end"/>
        </w:r>
      </w:hyperlink>
    </w:p>
    <w:p w14:paraId="1C40205E"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94" w:history="1">
        <w:r w:rsidR="00FB79BC" w:rsidRPr="00346FB4">
          <w:rPr>
            <w:rStyle w:val="Hypertextovodkaz"/>
            <w:noProof/>
          </w:rPr>
          <w:t>i.</w:t>
        </w:r>
        <w:r w:rsidR="00FB79BC">
          <w:rPr>
            <w:rFonts w:asciiTheme="minorHAnsi" w:eastAsiaTheme="minorEastAsia" w:hAnsiTheme="minorHAnsi"/>
            <w:noProof/>
            <w:sz w:val="22"/>
            <w:lang w:eastAsia="cs-CZ"/>
          </w:rPr>
          <w:tab/>
        </w:r>
        <w:r w:rsidR="00FB79BC" w:rsidRPr="00346FB4">
          <w:rPr>
            <w:rStyle w:val="Hypertextovodkaz"/>
            <w:noProof/>
          </w:rPr>
          <w:t>Zhodnocení institutu minimální dílčí daně z technických her</w:t>
        </w:r>
        <w:r w:rsidR="00FB79BC">
          <w:rPr>
            <w:noProof/>
            <w:webHidden/>
          </w:rPr>
          <w:tab/>
        </w:r>
        <w:r w:rsidR="00FB79BC">
          <w:rPr>
            <w:noProof/>
            <w:webHidden/>
          </w:rPr>
          <w:fldChar w:fldCharType="begin"/>
        </w:r>
        <w:r w:rsidR="00FB79BC">
          <w:rPr>
            <w:noProof/>
            <w:webHidden/>
          </w:rPr>
          <w:instrText xml:space="preserve"> PAGEREF _Toc73608294 \h </w:instrText>
        </w:r>
        <w:r w:rsidR="00FB79BC">
          <w:rPr>
            <w:noProof/>
            <w:webHidden/>
          </w:rPr>
        </w:r>
        <w:r w:rsidR="00FB79BC">
          <w:rPr>
            <w:noProof/>
            <w:webHidden/>
          </w:rPr>
          <w:fldChar w:fldCharType="separate"/>
        </w:r>
        <w:r w:rsidR="00FB79BC">
          <w:rPr>
            <w:noProof/>
            <w:webHidden/>
          </w:rPr>
          <w:t>15</w:t>
        </w:r>
        <w:r w:rsidR="00FB79BC">
          <w:rPr>
            <w:noProof/>
            <w:webHidden/>
          </w:rPr>
          <w:fldChar w:fldCharType="end"/>
        </w:r>
      </w:hyperlink>
    </w:p>
    <w:p w14:paraId="63266C3F"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95" w:history="1">
        <w:r w:rsidR="00FB79BC" w:rsidRPr="00346FB4">
          <w:rPr>
            <w:rStyle w:val="Hypertextovodkaz"/>
            <w:noProof/>
          </w:rPr>
          <w:t>ii.</w:t>
        </w:r>
        <w:r w:rsidR="00FB79BC">
          <w:rPr>
            <w:rFonts w:asciiTheme="minorHAnsi" w:eastAsiaTheme="minorEastAsia" w:hAnsiTheme="minorHAnsi"/>
            <w:noProof/>
            <w:sz w:val="22"/>
            <w:lang w:eastAsia="cs-CZ"/>
          </w:rPr>
          <w:tab/>
        </w:r>
        <w:r w:rsidR="00FB79BC" w:rsidRPr="00346FB4">
          <w:rPr>
            <w:rStyle w:val="Hypertextovodkaz"/>
            <w:noProof/>
          </w:rPr>
          <w:t>Rozdílné zdanění hazardních her dle způsobu provozování</w:t>
        </w:r>
        <w:r w:rsidR="00FB79BC">
          <w:rPr>
            <w:noProof/>
            <w:webHidden/>
          </w:rPr>
          <w:tab/>
        </w:r>
        <w:r w:rsidR="00FB79BC">
          <w:rPr>
            <w:noProof/>
            <w:webHidden/>
          </w:rPr>
          <w:fldChar w:fldCharType="begin"/>
        </w:r>
        <w:r w:rsidR="00FB79BC">
          <w:rPr>
            <w:noProof/>
            <w:webHidden/>
          </w:rPr>
          <w:instrText xml:space="preserve"> PAGEREF _Toc73608295 \h </w:instrText>
        </w:r>
        <w:r w:rsidR="00FB79BC">
          <w:rPr>
            <w:noProof/>
            <w:webHidden/>
          </w:rPr>
        </w:r>
        <w:r w:rsidR="00FB79BC">
          <w:rPr>
            <w:noProof/>
            <w:webHidden/>
          </w:rPr>
          <w:fldChar w:fldCharType="separate"/>
        </w:r>
        <w:r w:rsidR="00FB79BC">
          <w:rPr>
            <w:noProof/>
            <w:webHidden/>
          </w:rPr>
          <w:t>19</w:t>
        </w:r>
        <w:r w:rsidR="00FB79BC">
          <w:rPr>
            <w:noProof/>
            <w:webHidden/>
          </w:rPr>
          <w:fldChar w:fldCharType="end"/>
        </w:r>
      </w:hyperlink>
    </w:p>
    <w:p w14:paraId="54138C45"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96" w:history="1">
        <w:r w:rsidR="00FB79BC" w:rsidRPr="00346FB4">
          <w:rPr>
            <w:rStyle w:val="Hypertextovodkaz"/>
            <w:noProof/>
          </w:rPr>
          <w:t>iii.</w:t>
        </w:r>
        <w:r w:rsidR="00FB79BC">
          <w:rPr>
            <w:rFonts w:asciiTheme="minorHAnsi" w:eastAsiaTheme="minorEastAsia" w:hAnsiTheme="minorHAnsi"/>
            <w:noProof/>
            <w:sz w:val="22"/>
            <w:lang w:eastAsia="cs-CZ"/>
          </w:rPr>
          <w:tab/>
        </w:r>
        <w:r w:rsidR="00FB79BC" w:rsidRPr="00346FB4">
          <w:rPr>
            <w:rStyle w:val="Hypertextovodkaz"/>
            <w:noProof/>
          </w:rPr>
          <w:t>Daňové přiznání k dani z hazardních her</w:t>
        </w:r>
        <w:r w:rsidR="00FB79BC">
          <w:rPr>
            <w:noProof/>
            <w:webHidden/>
          </w:rPr>
          <w:tab/>
        </w:r>
        <w:r w:rsidR="00FB79BC">
          <w:rPr>
            <w:noProof/>
            <w:webHidden/>
          </w:rPr>
          <w:fldChar w:fldCharType="begin"/>
        </w:r>
        <w:r w:rsidR="00FB79BC">
          <w:rPr>
            <w:noProof/>
            <w:webHidden/>
          </w:rPr>
          <w:instrText xml:space="preserve"> PAGEREF _Toc73608296 \h </w:instrText>
        </w:r>
        <w:r w:rsidR="00FB79BC">
          <w:rPr>
            <w:noProof/>
            <w:webHidden/>
          </w:rPr>
        </w:r>
        <w:r w:rsidR="00FB79BC">
          <w:rPr>
            <w:noProof/>
            <w:webHidden/>
          </w:rPr>
          <w:fldChar w:fldCharType="separate"/>
        </w:r>
        <w:r w:rsidR="00FB79BC">
          <w:rPr>
            <w:noProof/>
            <w:webHidden/>
          </w:rPr>
          <w:t>22</w:t>
        </w:r>
        <w:r w:rsidR="00FB79BC">
          <w:rPr>
            <w:noProof/>
            <w:webHidden/>
          </w:rPr>
          <w:fldChar w:fldCharType="end"/>
        </w:r>
      </w:hyperlink>
    </w:p>
    <w:p w14:paraId="0CF915AD"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97" w:history="1">
        <w:r w:rsidR="00FB79BC" w:rsidRPr="00346FB4">
          <w:rPr>
            <w:rStyle w:val="Hypertextovodkaz"/>
            <w:noProof/>
          </w:rPr>
          <w:t>iv.</w:t>
        </w:r>
        <w:r w:rsidR="00FB79BC">
          <w:rPr>
            <w:rFonts w:asciiTheme="minorHAnsi" w:eastAsiaTheme="minorEastAsia" w:hAnsiTheme="minorHAnsi"/>
            <w:noProof/>
            <w:sz w:val="22"/>
            <w:lang w:eastAsia="cs-CZ"/>
          </w:rPr>
          <w:tab/>
        </w:r>
        <w:r w:rsidR="00FB79BC" w:rsidRPr="00346FB4">
          <w:rPr>
            <w:rStyle w:val="Hypertextovodkaz"/>
            <w:noProof/>
          </w:rPr>
          <w:t>Výše zdanění u „karetních“/“pokerových“ her</w:t>
        </w:r>
        <w:r w:rsidR="00FB79BC">
          <w:rPr>
            <w:noProof/>
            <w:webHidden/>
          </w:rPr>
          <w:tab/>
        </w:r>
        <w:r w:rsidR="00FB79BC">
          <w:rPr>
            <w:noProof/>
            <w:webHidden/>
          </w:rPr>
          <w:fldChar w:fldCharType="begin"/>
        </w:r>
        <w:r w:rsidR="00FB79BC">
          <w:rPr>
            <w:noProof/>
            <w:webHidden/>
          </w:rPr>
          <w:instrText xml:space="preserve"> PAGEREF _Toc73608297 \h </w:instrText>
        </w:r>
        <w:r w:rsidR="00FB79BC">
          <w:rPr>
            <w:noProof/>
            <w:webHidden/>
          </w:rPr>
        </w:r>
        <w:r w:rsidR="00FB79BC">
          <w:rPr>
            <w:noProof/>
            <w:webHidden/>
          </w:rPr>
          <w:fldChar w:fldCharType="separate"/>
        </w:r>
        <w:r w:rsidR="00FB79BC">
          <w:rPr>
            <w:noProof/>
            <w:webHidden/>
          </w:rPr>
          <w:t>23</w:t>
        </w:r>
        <w:r w:rsidR="00FB79BC">
          <w:rPr>
            <w:noProof/>
            <w:webHidden/>
          </w:rPr>
          <w:fldChar w:fldCharType="end"/>
        </w:r>
      </w:hyperlink>
    </w:p>
    <w:p w14:paraId="4AC142D2" w14:textId="77777777" w:rsidR="00FB79BC" w:rsidRDefault="009C0B64" w:rsidP="00FB79BC">
      <w:pPr>
        <w:pStyle w:val="Obsah5"/>
        <w:tabs>
          <w:tab w:val="left" w:pos="1540"/>
          <w:tab w:val="right" w:leader="dot" w:pos="9062"/>
        </w:tabs>
        <w:rPr>
          <w:rFonts w:asciiTheme="minorHAnsi" w:eastAsiaTheme="minorEastAsia" w:hAnsiTheme="minorHAnsi"/>
          <w:noProof/>
          <w:sz w:val="22"/>
          <w:lang w:eastAsia="cs-CZ"/>
        </w:rPr>
      </w:pPr>
      <w:hyperlink w:anchor="_Toc73608298" w:history="1">
        <w:r w:rsidR="00FB79BC" w:rsidRPr="00346FB4">
          <w:rPr>
            <w:rStyle w:val="Hypertextovodkaz"/>
            <w:noProof/>
            <w14:scene3d>
              <w14:camera w14:prst="orthographicFront"/>
              <w14:lightRig w14:rig="threePt" w14:dir="t">
                <w14:rot w14:lat="0" w14:lon="0" w14:rev="0"/>
              </w14:lightRig>
            </w14:scene3d>
          </w:rPr>
          <w:t>B.</w:t>
        </w:r>
        <w:r w:rsidR="00FB79BC">
          <w:rPr>
            <w:rFonts w:asciiTheme="minorHAnsi" w:eastAsiaTheme="minorEastAsia" w:hAnsiTheme="minorHAnsi"/>
            <w:noProof/>
            <w:sz w:val="22"/>
            <w:lang w:eastAsia="cs-CZ"/>
          </w:rPr>
          <w:tab/>
        </w:r>
        <w:r w:rsidR="00FB79BC" w:rsidRPr="00346FB4">
          <w:rPr>
            <w:rStyle w:val="Hypertextovodkaz"/>
            <w:noProof/>
          </w:rPr>
          <w:t>Rozpočtové určení daně</w:t>
        </w:r>
        <w:r w:rsidR="00FB79BC">
          <w:rPr>
            <w:noProof/>
            <w:webHidden/>
          </w:rPr>
          <w:tab/>
        </w:r>
        <w:r w:rsidR="00FB79BC">
          <w:rPr>
            <w:noProof/>
            <w:webHidden/>
          </w:rPr>
          <w:fldChar w:fldCharType="begin"/>
        </w:r>
        <w:r w:rsidR="00FB79BC">
          <w:rPr>
            <w:noProof/>
            <w:webHidden/>
          </w:rPr>
          <w:instrText xml:space="preserve"> PAGEREF _Toc73608298 \h </w:instrText>
        </w:r>
        <w:r w:rsidR="00FB79BC">
          <w:rPr>
            <w:noProof/>
            <w:webHidden/>
          </w:rPr>
        </w:r>
        <w:r w:rsidR="00FB79BC">
          <w:rPr>
            <w:noProof/>
            <w:webHidden/>
          </w:rPr>
          <w:fldChar w:fldCharType="separate"/>
        </w:r>
        <w:r w:rsidR="00FB79BC">
          <w:rPr>
            <w:noProof/>
            <w:webHidden/>
          </w:rPr>
          <w:t>25</w:t>
        </w:r>
        <w:r w:rsidR="00FB79BC">
          <w:rPr>
            <w:noProof/>
            <w:webHidden/>
          </w:rPr>
          <w:fldChar w:fldCharType="end"/>
        </w:r>
      </w:hyperlink>
    </w:p>
    <w:p w14:paraId="732D5C3C" w14:textId="77777777" w:rsidR="00FB79BC" w:rsidRDefault="009C0B64" w:rsidP="00FB79BC">
      <w:pPr>
        <w:pStyle w:val="Obsah6"/>
        <w:tabs>
          <w:tab w:val="left" w:pos="1760"/>
          <w:tab w:val="right" w:leader="dot" w:pos="9062"/>
        </w:tabs>
        <w:rPr>
          <w:rFonts w:asciiTheme="minorHAnsi" w:eastAsiaTheme="minorEastAsia" w:hAnsiTheme="minorHAnsi"/>
          <w:noProof/>
          <w:sz w:val="22"/>
          <w:lang w:eastAsia="cs-CZ"/>
        </w:rPr>
      </w:pPr>
      <w:hyperlink w:anchor="_Toc73608299" w:history="1">
        <w:r w:rsidR="00FB79BC" w:rsidRPr="00346FB4">
          <w:rPr>
            <w:rStyle w:val="Hypertextovodkaz"/>
            <w:noProof/>
          </w:rPr>
          <w:t>i.</w:t>
        </w:r>
        <w:r w:rsidR="00FB79BC">
          <w:rPr>
            <w:rFonts w:asciiTheme="minorHAnsi" w:eastAsiaTheme="minorEastAsia" w:hAnsiTheme="minorHAnsi"/>
            <w:noProof/>
            <w:sz w:val="22"/>
            <w:lang w:eastAsia="cs-CZ"/>
          </w:rPr>
          <w:tab/>
        </w:r>
        <w:r w:rsidR="00FB79BC" w:rsidRPr="00346FB4">
          <w:rPr>
            <w:rStyle w:val="Hypertextovodkaz"/>
            <w:noProof/>
          </w:rPr>
          <w:t>Rozpočtové určení daně v případě technických her</w:t>
        </w:r>
        <w:r w:rsidR="00FB79BC">
          <w:rPr>
            <w:noProof/>
            <w:webHidden/>
          </w:rPr>
          <w:tab/>
        </w:r>
        <w:r w:rsidR="00FB79BC">
          <w:rPr>
            <w:noProof/>
            <w:webHidden/>
          </w:rPr>
          <w:fldChar w:fldCharType="begin"/>
        </w:r>
        <w:r w:rsidR="00FB79BC">
          <w:rPr>
            <w:noProof/>
            <w:webHidden/>
          </w:rPr>
          <w:instrText xml:space="preserve"> PAGEREF _Toc73608299 \h </w:instrText>
        </w:r>
        <w:r w:rsidR="00FB79BC">
          <w:rPr>
            <w:noProof/>
            <w:webHidden/>
          </w:rPr>
        </w:r>
        <w:r w:rsidR="00FB79BC">
          <w:rPr>
            <w:noProof/>
            <w:webHidden/>
          </w:rPr>
          <w:fldChar w:fldCharType="separate"/>
        </w:r>
        <w:r w:rsidR="00FB79BC">
          <w:rPr>
            <w:noProof/>
            <w:webHidden/>
          </w:rPr>
          <w:t>25</w:t>
        </w:r>
        <w:r w:rsidR="00FB79BC">
          <w:rPr>
            <w:noProof/>
            <w:webHidden/>
          </w:rPr>
          <w:fldChar w:fldCharType="end"/>
        </w:r>
      </w:hyperlink>
    </w:p>
    <w:p w14:paraId="2E3863DB"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300" w:history="1">
        <w:r w:rsidR="00FB79BC" w:rsidRPr="00346FB4">
          <w:rPr>
            <w:rStyle w:val="Hypertextovodkaz"/>
            <w:noProof/>
          </w:rPr>
          <w:t>1.4</w:t>
        </w:r>
        <w:r w:rsidR="00FB79BC">
          <w:rPr>
            <w:rFonts w:asciiTheme="minorHAnsi" w:eastAsiaTheme="minorEastAsia" w:hAnsiTheme="minorHAnsi"/>
            <w:noProof/>
            <w:sz w:val="22"/>
            <w:lang w:eastAsia="cs-CZ"/>
          </w:rPr>
          <w:tab/>
        </w:r>
        <w:r w:rsidR="00FB79BC" w:rsidRPr="00346FB4">
          <w:rPr>
            <w:rStyle w:val="Hypertextovodkaz"/>
            <w:noProof/>
          </w:rPr>
          <w:t>Seznam tabulek, obrázků a grafů</w:t>
        </w:r>
        <w:r w:rsidR="00FB79BC">
          <w:rPr>
            <w:noProof/>
            <w:webHidden/>
          </w:rPr>
          <w:tab/>
        </w:r>
        <w:r w:rsidR="00FB79BC">
          <w:rPr>
            <w:noProof/>
            <w:webHidden/>
          </w:rPr>
          <w:fldChar w:fldCharType="begin"/>
        </w:r>
        <w:r w:rsidR="00FB79BC">
          <w:rPr>
            <w:noProof/>
            <w:webHidden/>
          </w:rPr>
          <w:instrText xml:space="preserve"> PAGEREF _Toc73608300 \h </w:instrText>
        </w:r>
        <w:r w:rsidR="00FB79BC">
          <w:rPr>
            <w:noProof/>
            <w:webHidden/>
          </w:rPr>
        </w:r>
        <w:r w:rsidR="00FB79BC">
          <w:rPr>
            <w:noProof/>
            <w:webHidden/>
          </w:rPr>
          <w:fldChar w:fldCharType="separate"/>
        </w:r>
        <w:r w:rsidR="00FB79BC">
          <w:rPr>
            <w:noProof/>
            <w:webHidden/>
          </w:rPr>
          <w:t>28</w:t>
        </w:r>
        <w:r w:rsidR="00FB79BC">
          <w:rPr>
            <w:noProof/>
            <w:webHidden/>
          </w:rPr>
          <w:fldChar w:fldCharType="end"/>
        </w:r>
      </w:hyperlink>
    </w:p>
    <w:p w14:paraId="445B9E5A"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301" w:history="1">
        <w:r w:rsidR="00FB79BC" w:rsidRPr="00346FB4">
          <w:rPr>
            <w:rStyle w:val="Hypertextovodkaz"/>
            <w:noProof/>
          </w:rPr>
          <w:t>1.4.1</w:t>
        </w:r>
        <w:r w:rsidR="00FB79BC">
          <w:rPr>
            <w:rFonts w:asciiTheme="minorHAnsi" w:eastAsiaTheme="minorEastAsia" w:hAnsiTheme="minorHAnsi"/>
            <w:noProof/>
            <w:sz w:val="22"/>
            <w:lang w:eastAsia="cs-CZ"/>
          </w:rPr>
          <w:tab/>
        </w:r>
        <w:r w:rsidR="00FB79BC" w:rsidRPr="00346FB4">
          <w:rPr>
            <w:rStyle w:val="Hypertextovodkaz"/>
            <w:noProof/>
          </w:rPr>
          <w:t>Tabulky</w:t>
        </w:r>
        <w:r w:rsidR="00FB79BC">
          <w:rPr>
            <w:noProof/>
            <w:webHidden/>
          </w:rPr>
          <w:tab/>
        </w:r>
        <w:r w:rsidR="00FB79BC">
          <w:rPr>
            <w:noProof/>
            <w:webHidden/>
          </w:rPr>
          <w:fldChar w:fldCharType="begin"/>
        </w:r>
        <w:r w:rsidR="00FB79BC">
          <w:rPr>
            <w:noProof/>
            <w:webHidden/>
          </w:rPr>
          <w:instrText xml:space="preserve"> PAGEREF _Toc73608301 \h </w:instrText>
        </w:r>
        <w:r w:rsidR="00FB79BC">
          <w:rPr>
            <w:noProof/>
            <w:webHidden/>
          </w:rPr>
        </w:r>
        <w:r w:rsidR="00FB79BC">
          <w:rPr>
            <w:noProof/>
            <w:webHidden/>
          </w:rPr>
          <w:fldChar w:fldCharType="separate"/>
        </w:r>
        <w:r w:rsidR="00FB79BC">
          <w:rPr>
            <w:noProof/>
            <w:webHidden/>
          </w:rPr>
          <w:t>28</w:t>
        </w:r>
        <w:r w:rsidR="00FB79BC">
          <w:rPr>
            <w:noProof/>
            <w:webHidden/>
          </w:rPr>
          <w:fldChar w:fldCharType="end"/>
        </w:r>
      </w:hyperlink>
    </w:p>
    <w:p w14:paraId="09D6BBB7" w14:textId="77777777" w:rsidR="00FB79BC" w:rsidRDefault="009C0B64" w:rsidP="00FB79BC">
      <w:pPr>
        <w:pStyle w:val="Obsah4"/>
        <w:tabs>
          <w:tab w:val="left" w:pos="1540"/>
          <w:tab w:val="right" w:leader="dot" w:pos="9062"/>
        </w:tabs>
        <w:rPr>
          <w:rFonts w:asciiTheme="minorHAnsi" w:eastAsiaTheme="minorEastAsia" w:hAnsiTheme="minorHAnsi"/>
          <w:noProof/>
          <w:sz w:val="22"/>
          <w:lang w:eastAsia="cs-CZ"/>
        </w:rPr>
      </w:pPr>
      <w:hyperlink w:anchor="_Toc73608302" w:history="1">
        <w:r w:rsidR="00FB79BC" w:rsidRPr="00346FB4">
          <w:rPr>
            <w:rStyle w:val="Hypertextovodkaz"/>
            <w:noProof/>
          </w:rPr>
          <w:t>1.4.2</w:t>
        </w:r>
        <w:r w:rsidR="00FB79BC">
          <w:rPr>
            <w:rFonts w:asciiTheme="minorHAnsi" w:eastAsiaTheme="minorEastAsia" w:hAnsiTheme="minorHAnsi"/>
            <w:noProof/>
            <w:sz w:val="22"/>
            <w:lang w:eastAsia="cs-CZ"/>
          </w:rPr>
          <w:tab/>
        </w:r>
        <w:r w:rsidR="00FB79BC" w:rsidRPr="00346FB4">
          <w:rPr>
            <w:rStyle w:val="Hypertextovodkaz"/>
            <w:noProof/>
          </w:rPr>
          <w:t>Grafy</w:t>
        </w:r>
        <w:r w:rsidR="00FB79BC">
          <w:rPr>
            <w:noProof/>
            <w:webHidden/>
          </w:rPr>
          <w:tab/>
        </w:r>
        <w:r w:rsidR="00FB79BC">
          <w:rPr>
            <w:noProof/>
            <w:webHidden/>
          </w:rPr>
          <w:fldChar w:fldCharType="begin"/>
        </w:r>
        <w:r w:rsidR="00FB79BC">
          <w:rPr>
            <w:noProof/>
            <w:webHidden/>
          </w:rPr>
          <w:instrText xml:space="preserve"> PAGEREF _Toc73608302 \h </w:instrText>
        </w:r>
        <w:r w:rsidR="00FB79BC">
          <w:rPr>
            <w:noProof/>
            <w:webHidden/>
          </w:rPr>
        </w:r>
        <w:r w:rsidR="00FB79BC">
          <w:rPr>
            <w:noProof/>
            <w:webHidden/>
          </w:rPr>
          <w:fldChar w:fldCharType="separate"/>
        </w:r>
        <w:r w:rsidR="00FB79BC">
          <w:rPr>
            <w:noProof/>
            <w:webHidden/>
          </w:rPr>
          <w:t>29</w:t>
        </w:r>
        <w:r w:rsidR="00FB79BC">
          <w:rPr>
            <w:noProof/>
            <w:webHidden/>
          </w:rPr>
          <w:fldChar w:fldCharType="end"/>
        </w:r>
      </w:hyperlink>
    </w:p>
    <w:p w14:paraId="0DEC06DE" w14:textId="77777777" w:rsidR="00FB79BC" w:rsidRDefault="009C0B64" w:rsidP="00FB79BC">
      <w:pPr>
        <w:pStyle w:val="Obsah3"/>
        <w:tabs>
          <w:tab w:val="left" w:pos="1200"/>
          <w:tab w:val="right" w:leader="dot" w:pos="9062"/>
        </w:tabs>
        <w:rPr>
          <w:rFonts w:asciiTheme="minorHAnsi" w:eastAsiaTheme="minorEastAsia" w:hAnsiTheme="minorHAnsi"/>
          <w:noProof/>
          <w:sz w:val="22"/>
          <w:lang w:eastAsia="cs-CZ"/>
        </w:rPr>
      </w:pPr>
      <w:hyperlink w:anchor="_Toc73608303" w:history="1">
        <w:r w:rsidR="00FB79BC" w:rsidRPr="00346FB4">
          <w:rPr>
            <w:rStyle w:val="Hypertextovodkaz"/>
            <w:noProof/>
          </w:rPr>
          <w:t>1.5</w:t>
        </w:r>
        <w:r w:rsidR="00FB79BC">
          <w:rPr>
            <w:rFonts w:asciiTheme="minorHAnsi" w:eastAsiaTheme="minorEastAsia" w:hAnsiTheme="minorHAnsi"/>
            <w:noProof/>
            <w:sz w:val="22"/>
            <w:lang w:eastAsia="cs-CZ"/>
          </w:rPr>
          <w:tab/>
        </w:r>
        <w:r w:rsidR="00FB79BC" w:rsidRPr="00346FB4">
          <w:rPr>
            <w:rStyle w:val="Hypertextovodkaz"/>
            <w:noProof/>
          </w:rPr>
          <w:t>Obsah</w:t>
        </w:r>
        <w:r w:rsidR="00FB79BC">
          <w:rPr>
            <w:noProof/>
            <w:webHidden/>
          </w:rPr>
          <w:tab/>
        </w:r>
        <w:r w:rsidR="00FB79BC">
          <w:rPr>
            <w:noProof/>
            <w:webHidden/>
          </w:rPr>
          <w:fldChar w:fldCharType="begin"/>
        </w:r>
        <w:r w:rsidR="00FB79BC">
          <w:rPr>
            <w:noProof/>
            <w:webHidden/>
          </w:rPr>
          <w:instrText xml:space="preserve"> PAGEREF _Toc73608303 \h </w:instrText>
        </w:r>
        <w:r w:rsidR="00FB79BC">
          <w:rPr>
            <w:noProof/>
            <w:webHidden/>
          </w:rPr>
        </w:r>
        <w:r w:rsidR="00FB79BC">
          <w:rPr>
            <w:noProof/>
            <w:webHidden/>
          </w:rPr>
          <w:fldChar w:fldCharType="separate"/>
        </w:r>
        <w:r w:rsidR="00FB79BC">
          <w:rPr>
            <w:noProof/>
            <w:webHidden/>
          </w:rPr>
          <w:t>29</w:t>
        </w:r>
        <w:r w:rsidR="00FB79BC">
          <w:rPr>
            <w:noProof/>
            <w:webHidden/>
          </w:rPr>
          <w:fldChar w:fldCharType="end"/>
        </w:r>
      </w:hyperlink>
    </w:p>
    <w:p w14:paraId="30146793" w14:textId="32D02CA5" w:rsidR="00FB79BC" w:rsidRPr="00FB79BC" w:rsidRDefault="00FB79BC" w:rsidP="00FB79BC">
      <w:pPr>
        <w:rPr>
          <w:highlight w:val="lightGray"/>
        </w:rPr>
      </w:pPr>
      <w:r>
        <w:fldChar w:fldCharType="end"/>
      </w:r>
    </w:p>
    <w:sectPr w:rsidR="00FB79BC" w:rsidRPr="00FB79BC" w:rsidSect="00A52FBD">
      <w:footerReference w:type="default" r:id="rId12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6288B" w14:textId="77777777" w:rsidR="00F17245" w:rsidRDefault="00F17245" w:rsidP="000B15C0">
      <w:pPr>
        <w:spacing w:after="0"/>
      </w:pPr>
      <w:r>
        <w:separator/>
      </w:r>
    </w:p>
  </w:endnote>
  <w:endnote w:type="continuationSeparator" w:id="0">
    <w:p w14:paraId="23FBFCFB" w14:textId="77777777" w:rsidR="00F17245" w:rsidRDefault="00F17245" w:rsidP="000B15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old">
    <w:altName w:val="Copperplate Gothic Bold"/>
    <w:charset w:val="00"/>
    <w:family w:val="auto"/>
    <w:pitch w:val="default"/>
  </w:font>
  <w:font w:name="TimesNewRomanPSMT">
    <w:altName w:val="MS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624917"/>
      <w:docPartObj>
        <w:docPartGallery w:val="Page Numbers (Bottom of Page)"/>
        <w:docPartUnique/>
      </w:docPartObj>
    </w:sdtPr>
    <w:sdtEndPr/>
    <w:sdtContent>
      <w:p w14:paraId="2FC70D84" w14:textId="64F61286" w:rsidR="00F17245" w:rsidRDefault="00F17245">
        <w:pPr>
          <w:pStyle w:val="Zpat"/>
          <w:jc w:val="right"/>
        </w:pPr>
        <w:r>
          <w:fldChar w:fldCharType="begin"/>
        </w:r>
        <w:r>
          <w:instrText>PAGE   \* MERGEFORMAT</w:instrText>
        </w:r>
        <w:r>
          <w:fldChar w:fldCharType="separate"/>
        </w:r>
        <w:r w:rsidR="009C0B64">
          <w:rPr>
            <w:noProof/>
          </w:rPr>
          <w:t>2</w:t>
        </w:r>
        <w:r>
          <w:fldChar w:fldCharType="end"/>
        </w:r>
      </w:p>
    </w:sdtContent>
  </w:sdt>
  <w:p w14:paraId="4169847C" w14:textId="77777777" w:rsidR="00F17245" w:rsidRDefault="00F1724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4E16A" w14:textId="77777777" w:rsidR="00F17245" w:rsidRDefault="00F17245" w:rsidP="000B15C0">
      <w:pPr>
        <w:spacing w:after="0"/>
      </w:pPr>
      <w:r>
        <w:separator/>
      </w:r>
    </w:p>
  </w:footnote>
  <w:footnote w:type="continuationSeparator" w:id="0">
    <w:p w14:paraId="19F0C722" w14:textId="77777777" w:rsidR="00F17245" w:rsidRDefault="00F17245" w:rsidP="000B15C0">
      <w:pPr>
        <w:spacing w:after="0"/>
      </w:pPr>
      <w:r>
        <w:continuationSeparator/>
      </w:r>
    </w:p>
  </w:footnote>
  <w:footnote w:id="1">
    <w:p w14:paraId="0BBAB80C" w14:textId="695197C0" w:rsidR="00F17245" w:rsidRPr="009E7C9E" w:rsidRDefault="00F17245" w:rsidP="009E7C9E">
      <w:pPr>
        <w:pStyle w:val="Textpoznpodarou"/>
        <w:jc w:val="both"/>
        <w:rPr>
          <w:rFonts w:ascii="Arial" w:hAnsi="Arial" w:cs="Arial"/>
          <w:sz w:val="24"/>
          <w:szCs w:val="24"/>
        </w:rPr>
      </w:pPr>
      <w:r w:rsidRPr="009E7C9E">
        <w:rPr>
          <w:rStyle w:val="Znakapoznpodarou"/>
          <w:rFonts w:ascii="Arial" w:hAnsi="Arial" w:cs="Arial"/>
          <w:szCs w:val="24"/>
        </w:rPr>
        <w:footnoteRef/>
      </w:r>
      <w:r w:rsidRPr="009E7C9E">
        <w:rPr>
          <w:rFonts w:ascii="Arial" w:hAnsi="Arial" w:cs="Arial"/>
          <w:szCs w:val="24"/>
        </w:rPr>
        <w:t xml:space="preserve"> Vyjma některých ustanovení, která nabyla své účinnosti dříve, či později.</w:t>
      </w:r>
    </w:p>
  </w:footnote>
  <w:footnote w:id="2">
    <w:p w14:paraId="5D0FC9B6" w14:textId="2951B921" w:rsidR="00F17245" w:rsidRPr="00022940" w:rsidRDefault="00F17245" w:rsidP="00022940">
      <w:pPr>
        <w:pStyle w:val="Textpoznpodarou"/>
        <w:jc w:val="both"/>
        <w:rPr>
          <w:rFonts w:ascii="Arial" w:hAnsi="Arial" w:cs="Arial"/>
        </w:rPr>
      </w:pPr>
      <w:r w:rsidRPr="00022940">
        <w:rPr>
          <w:rStyle w:val="Znakapoznpodarou"/>
          <w:rFonts w:ascii="Arial" w:hAnsi="Arial" w:cs="Arial"/>
        </w:rPr>
        <w:footnoteRef/>
      </w:r>
      <w:r w:rsidRPr="00022940">
        <w:rPr>
          <w:rFonts w:ascii="Arial" w:hAnsi="Arial" w:cs="Arial"/>
        </w:rPr>
        <w:t xml:space="preserve"> Pro tuto konstrukci totiž nejsou dostatečná a v odpovídajícím rozlišení ani např. data, která jsou sbírána v rámci reportingu či dostupná správci daně z daňových přiznání. Absentuje zde zejména bližší vymezení nákladové strany provozování hazardních her a i celkové odlišení od ostatních aktivit provozovatelů. Ochota poskytnout ze strany provozovatelů interní kalkulace apod. je minimální. U dat získaných od provozovatelů je nutné zohledňovat i riziko kvality a důvěryhodnosti takto získaných dat.</w:t>
      </w:r>
    </w:p>
  </w:footnote>
  <w:footnote w:id="3">
    <w:p w14:paraId="03F149F0" w14:textId="77777777" w:rsidR="00F17245" w:rsidRPr="007337CD" w:rsidRDefault="00F17245" w:rsidP="000B15C0">
      <w:pPr>
        <w:pStyle w:val="Textpoznpodarou"/>
        <w:jc w:val="both"/>
        <w:rPr>
          <w:rFonts w:ascii="Arial" w:hAnsi="Arial" w:cs="Arial"/>
        </w:rPr>
      </w:pPr>
      <w:r w:rsidRPr="007337CD">
        <w:rPr>
          <w:rStyle w:val="Znakapoznpodarou"/>
          <w:rFonts w:ascii="Arial" w:hAnsi="Arial" w:cs="Arial"/>
        </w:rPr>
        <w:footnoteRef/>
      </w:r>
      <w:r w:rsidRPr="007337CD">
        <w:rPr>
          <w:rFonts w:ascii="Arial" w:hAnsi="Arial" w:cs="Arial"/>
        </w:rPr>
        <w:t xml:space="preserve"> Viz např. rozsudek Nejvyššího správního soudu č. j. 5 Afs 26/2011-81, neboť soud extenzivním způsobem chápe místo se zvláštním provozním režimem jako místo, v němž se provozují hazardní hry s tím, že do tohoto místa je zamezeno vstupu osobám mladším 18 let, a to i tak, aby se mladiství nemohli hazardních her účastnit ani pouze vizuálně.</w:t>
      </w:r>
    </w:p>
  </w:footnote>
  <w:footnote w:id="4">
    <w:p w14:paraId="0DF3DBDC" w14:textId="517E621F" w:rsidR="00F17245" w:rsidRPr="005065F0" w:rsidRDefault="00F17245" w:rsidP="00845F94">
      <w:pPr>
        <w:pStyle w:val="Textpoznpodarou"/>
        <w:jc w:val="both"/>
        <w:rPr>
          <w:rFonts w:ascii="Arial" w:hAnsi="Arial" w:cs="Arial"/>
        </w:rPr>
      </w:pPr>
      <w:r w:rsidRPr="005065F0">
        <w:rPr>
          <w:rStyle w:val="Znakapoznpodarou"/>
          <w:rFonts w:ascii="Arial" w:hAnsi="Arial" w:cs="Arial"/>
        </w:rPr>
        <w:footnoteRef/>
      </w:r>
      <w:r w:rsidRPr="005065F0">
        <w:rPr>
          <w:rFonts w:ascii="Arial" w:hAnsi="Arial" w:cs="Arial"/>
        </w:rPr>
        <w:t xml:space="preserve">  WINKLER, P., </w:t>
      </w:r>
      <w:r w:rsidR="005065F0" w:rsidRPr="005065F0">
        <w:rPr>
          <w:rFonts w:ascii="Arial" w:hAnsi="Arial" w:cs="Arial"/>
        </w:rPr>
        <w:t xml:space="preserve">a kol., </w:t>
      </w:r>
      <w:r w:rsidRPr="005065F0">
        <w:rPr>
          <w:rFonts w:ascii="Arial" w:hAnsi="Arial" w:cs="Arial"/>
          <w:i/>
          <w:iCs/>
        </w:rPr>
        <w:t>Problémové hráčství</w:t>
      </w:r>
      <w:r w:rsidRPr="005065F0">
        <w:rPr>
          <w:rFonts w:ascii="Arial" w:hAnsi="Arial" w:cs="Arial"/>
        </w:rPr>
        <w:t xml:space="preserve">. 1. </w:t>
      </w:r>
      <w:r w:rsidR="005065F0" w:rsidRPr="005065F0">
        <w:rPr>
          <w:rFonts w:ascii="Arial" w:hAnsi="Arial" w:cs="Arial"/>
        </w:rPr>
        <w:t>2015.</w:t>
      </w:r>
    </w:p>
  </w:footnote>
  <w:footnote w:id="5">
    <w:p w14:paraId="215B285A" w14:textId="048BFC53" w:rsidR="00F17245" w:rsidRDefault="00F17245">
      <w:pPr>
        <w:pStyle w:val="Textpoznpodarou"/>
      </w:pPr>
      <w:r>
        <w:rPr>
          <w:rStyle w:val="Znakapoznpodarou"/>
        </w:rPr>
        <w:footnoteRef/>
      </w:r>
      <w:r>
        <w:t xml:space="preserve"> </w:t>
      </w:r>
      <w:r w:rsidRPr="006B6318">
        <w:rPr>
          <w:rFonts w:ascii="Arial" w:hAnsi="Arial" w:cs="Arial"/>
        </w:rPr>
        <w:t>Podrobnosti k danému nástroje a metodám hodnocení na http://asterig.org/.</w:t>
      </w:r>
    </w:p>
  </w:footnote>
  <w:footnote w:id="6">
    <w:p w14:paraId="4C02C26A" w14:textId="46F4209C" w:rsidR="00F17245" w:rsidRPr="00D638C2" w:rsidRDefault="00F17245" w:rsidP="00C85A38">
      <w:pPr>
        <w:pStyle w:val="Textpoznpodarou"/>
        <w:jc w:val="both"/>
        <w:rPr>
          <w:rFonts w:ascii="Arial" w:hAnsi="Arial" w:cs="Arial"/>
          <w:sz w:val="18"/>
          <w:szCs w:val="18"/>
        </w:rPr>
      </w:pPr>
      <w:r w:rsidRPr="00B9149C">
        <w:rPr>
          <w:rStyle w:val="Znakapoznpodarou"/>
          <w:rFonts w:ascii="Arial" w:hAnsi="Arial" w:cs="Arial"/>
        </w:rPr>
        <w:footnoteRef/>
      </w:r>
      <w:r w:rsidRPr="00B9149C">
        <w:rPr>
          <w:rFonts w:ascii="Arial" w:hAnsi="Arial" w:cs="Arial"/>
        </w:rPr>
        <w:t xml:space="preserve"> Test ASTERIG nelze použít na obecné hodnocení rizikovosti druhu hazardní hry, jde pouze zobecnit a interpretovat zjištění z konkrétní hazardní hry.</w:t>
      </w:r>
    </w:p>
  </w:footnote>
  <w:footnote w:id="7">
    <w:p w14:paraId="20E94CFA" w14:textId="71D95CC5" w:rsidR="00F17245" w:rsidRPr="00D925AB" w:rsidRDefault="00F17245" w:rsidP="009D57AA">
      <w:pPr>
        <w:pStyle w:val="Textpoznpodarou"/>
        <w:jc w:val="both"/>
        <w:rPr>
          <w:rFonts w:ascii="Arial" w:hAnsi="Arial" w:cs="Arial"/>
          <w:sz w:val="18"/>
          <w:szCs w:val="18"/>
        </w:rPr>
      </w:pPr>
      <w:r w:rsidRPr="00D925AB">
        <w:rPr>
          <w:rStyle w:val="Znakapoznpodarou"/>
          <w:rFonts w:ascii="Arial" w:hAnsi="Arial" w:cs="Arial"/>
          <w:szCs w:val="18"/>
        </w:rPr>
        <w:footnoteRef/>
      </w:r>
      <w:r w:rsidRPr="00D925AB">
        <w:rPr>
          <w:rFonts w:ascii="Arial" w:hAnsi="Arial" w:cs="Arial"/>
          <w:szCs w:val="18"/>
        </w:rPr>
        <w:t xml:space="preserve"> </w:t>
      </w:r>
      <w:r w:rsidRPr="004504C4">
        <w:rPr>
          <w:rFonts w:ascii="Arial" w:hAnsi="Arial" w:cs="Arial"/>
          <w:szCs w:val="18"/>
          <w:shd w:val="clear" w:color="auto" w:fill="FFFFFF"/>
        </w:rPr>
        <w:t>Roste podíl on-line her na trhu, do těch byla účastníky hazardní hry vložena třetina celkové částky vložené do hazardních her v roce 2017 - MRAVČÍK, V., a kol. Výroční zpráva o stavu ve věcech drog v České republice v roce 2017.</w:t>
      </w:r>
    </w:p>
  </w:footnote>
  <w:footnote w:id="8">
    <w:p w14:paraId="61CF6A6E" w14:textId="77777777" w:rsidR="00F17245" w:rsidRPr="004504C4" w:rsidRDefault="00F17245" w:rsidP="004504C4">
      <w:pPr>
        <w:pStyle w:val="Textpoznpodarou"/>
        <w:jc w:val="both"/>
        <w:rPr>
          <w:rFonts w:ascii="Arial" w:hAnsi="Arial" w:cs="Arial"/>
          <w:szCs w:val="18"/>
        </w:rPr>
      </w:pPr>
      <w:r w:rsidRPr="00D925AB">
        <w:rPr>
          <w:rStyle w:val="Znakapoznpodarou"/>
          <w:rFonts w:ascii="Arial" w:hAnsi="Arial" w:cs="Arial"/>
          <w:szCs w:val="18"/>
        </w:rPr>
        <w:footnoteRef/>
      </w:r>
      <w:r w:rsidRPr="00D925AB">
        <w:rPr>
          <w:rFonts w:ascii="Arial" w:hAnsi="Arial" w:cs="Arial"/>
          <w:szCs w:val="18"/>
        </w:rPr>
        <w:t xml:space="preserve"> </w:t>
      </w:r>
      <w:r w:rsidRPr="004504C4">
        <w:rPr>
          <w:rFonts w:ascii="Arial" w:hAnsi="Arial" w:cs="Arial"/>
          <w:szCs w:val="18"/>
        </w:rPr>
        <w:t>Podle Griffithse jsou hazardní hry úzce svázány s moderními technologiemi, které jim propůjčují zajímavou formu, čímž mohou být pro mnoho lidí mnohem lákavější, než principiálně stejné, avšak všední a okoukané formy her. S nástupem internetu se navíc zcela mění prostředí, v němž se člověk nachází a kde se zpravidla častěji setkává s možností věnovat se hazardní hře. Mění se také povaha hazardních her, především tím že z nich v mnohých případech mizí sociální aspekt. Účastníci hazardní hry se nesetkávají tváří v tvář, ale sedí u obrazovek svých počítačů. -</w:t>
      </w:r>
      <w:r w:rsidRPr="004504C4">
        <w:rPr>
          <w:rFonts w:ascii="Arial" w:hAnsi="Arial" w:cs="Arial"/>
          <w:szCs w:val="18"/>
        </w:rPr>
        <w:tab/>
        <w:t>GRIFFITHS, Mark a Richard WOOD. The psychology of lottery gambling. International Gambling Studie, s. 266.</w:t>
      </w:r>
    </w:p>
    <w:p w14:paraId="3A87D8BC" w14:textId="6D32F671" w:rsidR="00F17245" w:rsidRPr="00CC321B" w:rsidRDefault="00F17245" w:rsidP="004504C4">
      <w:pPr>
        <w:pStyle w:val="Textpoznpodarou"/>
        <w:jc w:val="both"/>
        <w:rPr>
          <w:rFonts w:ascii="Arial" w:hAnsi="Arial" w:cs="Arial"/>
        </w:rPr>
      </w:pPr>
      <w:r w:rsidRPr="004504C4">
        <w:rPr>
          <w:rFonts w:ascii="Arial" w:hAnsi="Arial" w:cs="Arial"/>
          <w:szCs w:val="18"/>
        </w:rPr>
        <w:t>Markoff poukazuje na fakt, že technologie dávají člověku nové možnosti, např. v pracovním životě. Práce z domova není v dnešní době nic neobvyklého. Ke komunikaci se zaměstnavatelem stačí připojení k internetu. Interakce s dalšími lidmi tak probíhá ve formě neosobní komunikace. Využívání internetu a s ním spojených technologií, jako prostředku k interakci s dalšími lidmi, může být pro některé jedince zajímavější než běžný rozhovor tváří v tvář. MARKOFF, John. Internet Breeds Social Isolation Those Online Spend Less Time With Others [online]. 2000 [cit. 2021-10-02]. Dostupné z: http://search.proquest.com/docview/391369237?accountid=14623</w:t>
      </w:r>
    </w:p>
  </w:footnote>
  <w:footnote w:id="9">
    <w:p w14:paraId="1AA2DFB9" w14:textId="623C487F" w:rsidR="00F17245" w:rsidRPr="00BD44C2" w:rsidRDefault="00F17245" w:rsidP="00BD44C2">
      <w:pPr>
        <w:pStyle w:val="Textpoznpodarou"/>
        <w:jc w:val="both"/>
        <w:rPr>
          <w:rFonts w:ascii="Arial" w:hAnsi="Arial" w:cs="Arial"/>
        </w:rPr>
      </w:pPr>
      <w:r w:rsidRPr="00BD44C2">
        <w:rPr>
          <w:rStyle w:val="Znakapoznpodarou"/>
          <w:rFonts w:ascii="Arial" w:hAnsi="Arial" w:cs="Arial"/>
        </w:rPr>
        <w:footnoteRef/>
      </w:r>
      <w:r w:rsidRPr="00BD44C2">
        <w:rPr>
          <w:rFonts w:ascii="Arial" w:hAnsi="Arial" w:cs="Arial"/>
        </w:rPr>
        <w:t xml:space="preserve"> </w:t>
      </w:r>
      <w:r w:rsidRPr="00D835A0">
        <w:rPr>
          <w:rFonts w:ascii="Arial" w:hAnsi="Arial" w:cs="Arial"/>
        </w:rPr>
        <w:t>Metodický pokyn a formulář k vyplnění žádosti o vydání základního povolení. Ministerstvo financí [online]. [cit. 2021-6-2]. Dostupné z: https://www.mfcr.cz/cs/legislativa/metodiky/2016/metodicky-pokyn-a-formular-k-vyplneni-za-26062</w:t>
      </w:r>
      <w:r w:rsidRPr="00BD44C2">
        <w:rPr>
          <w:rStyle w:val="Hypertextovodkaz"/>
          <w:rFonts w:ascii="Arial" w:hAnsi="Arial" w:cs="Arial"/>
        </w:rPr>
        <w:t>.</w:t>
      </w:r>
    </w:p>
  </w:footnote>
  <w:footnote w:id="10">
    <w:p w14:paraId="756D6EEE" w14:textId="0411BD1C" w:rsidR="00F17245" w:rsidRDefault="00F17245" w:rsidP="00BD44C2">
      <w:pPr>
        <w:pStyle w:val="Textpoznpodarou"/>
        <w:jc w:val="both"/>
      </w:pPr>
      <w:r w:rsidRPr="00BD44C2">
        <w:rPr>
          <w:rStyle w:val="Znakapoznpodarou"/>
          <w:rFonts w:ascii="Arial" w:hAnsi="Arial" w:cs="Arial"/>
        </w:rPr>
        <w:footnoteRef/>
      </w:r>
      <w:r w:rsidRPr="00BD44C2">
        <w:rPr>
          <w:rFonts w:ascii="Arial" w:hAnsi="Arial" w:cs="Arial"/>
        </w:rPr>
        <w:t xml:space="preserve"> </w:t>
      </w:r>
      <w:r w:rsidRPr="00BD44C2">
        <w:rPr>
          <w:rFonts w:ascii="Arial" w:hAnsi="Arial" w:cs="Arial"/>
          <w:szCs w:val="24"/>
        </w:rPr>
        <w:t xml:space="preserve">Jedná se </w:t>
      </w:r>
      <w:r>
        <w:rPr>
          <w:rFonts w:ascii="Arial" w:hAnsi="Arial" w:cs="Arial"/>
          <w:szCs w:val="24"/>
        </w:rPr>
        <w:t xml:space="preserve">o </w:t>
      </w:r>
      <w:r w:rsidRPr="00BD44C2">
        <w:rPr>
          <w:rFonts w:ascii="Arial" w:hAnsi="Arial" w:cs="Arial"/>
          <w:szCs w:val="24"/>
        </w:rPr>
        <w:t>stovky</w:t>
      </w:r>
      <w:r>
        <w:rPr>
          <w:rFonts w:ascii="Arial" w:hAnsi="Arial" w:cs="Arial"/>
          <w:szCs w:val="24"/>
        </w:rPr>
        <w:t xml:space="preserve"> až tisíce</w:t>
      </w:r>
      <w:r w:rsidRPr="00BD44C2">
        <w:rPr>
          <w:rFonts w:ascii="Arial" w:hAnsi="Arial" w:cs="Arial"/>
          <w:szCs w:val="24"/>
        </w:rPr>
        <w:t xml:space="preserve"> stran v závislosti na druhu hazardní hry a portfoliu konkrétního provozovatele.</w:t>
      </w:r>
    </w:p>
  </w:footnote>
  <w:footnote w:id="11">
    <w:p w14:paraId="6BBD4B2C" w14:textId="493F466C" w:rsidR="00F17245" w:rsidRPr="00BA3634" w:rsidRDefault="00F17245" w:rsidP="00620052">
      <w:pPr>
        <w:pStyle w:val="Textpoznpodarou"/>
        <w:jc w:val="both"/>
        <w:rPr>
          <w:rFonts w:ascii="Arial" w:hAnsi="Arial" w:cs="Arial"/>
        </w:rPr>
      </w:pPr>
      <w:r w:rsidRPr="00BA3634">
        <w:rPr>
          <w:rStyle w:val="Znakapoznpodarou"/>
          <w:rFonts w:ascii="Arial" w:hAnsi="Arial" w:cs="Arial"/>
        </w:rPr>
        <w:footnoteRef/>
      </w:r>
      <w:r w:rsidRPr="00BA3634">
        <w:rPr>
          <w:rFonts w:ascii="Arial" w:hAnsi="Arial" w:cs="Arial"/>
        </w:rPr>
        <w:t xml:space="preserve"> </w:t>
      </w:r>
      <w:r w:rsidRPr="00D835A0">
        <w:rPr>
          <w:rFonts w:ascii="Arial" w:hAnsi="Arial" w:cs="Arial"/>
        </w:rPr>
        <w:t>Metodický pokyn a formulář k vyplnění žádosti o vydání povolení k umístění herního prostoru. Ministerstvo financí [online]. [cit. 2021-6-2]. Dostupné z: https://www.mfcr.cz/cs/legislativa/metodiky/2016/metodicky-pokyn-a-formular-k-vyplneni-za-26913</w:t>
      </w:r>
    </w:p>
  </w:footnote>
  <w:footnote w:id="12">
    <w:p w14:paraId="57F9D9CF" w14:textId="12D5DE8D" w:rsidR="00F17245" w:rsidRPr="00BA3634" w:rsidRDefault="00F17245" w:rsidP="00620052">
      <w:pPr>
        <w:pStyle w:val="Textpoznpodarou"/>
        <w:jc w:val="both"/>
        <w:rPr>
          <w:rFonts w:ascii="Arial" w:hAnsi="Arial" w:cs="Arial"/>
        </w:rPr>
      </w:pPr>
      <w:r w:rsidRPr="00BA3634">
        <w:rPr>
          <w:rStyle w:val="Znakapoznpodarou"/>
          <w:rFonts w:ascii="Arial" w:hAnsi="Arial" w:cs="Arial"/>
        </w:rPr>
        <w:footnoteRef/>
      </w:r>
      <w:r w:rsidRPr="00BA3634">
        <w:rPr>
          <w:rFonts w:ascii="Arial" w:hAnsi="Arial" w:cs="Arial"/>
        </w:rPr>
        <w:t xml:space="preserve"> </w:t>
      </w:r>
      <w:r w:rsidRPr="00D835A0">
        <w:rPr>
          <w:rFonts w:ascii="Arial" w:hAnsi="Arial" w:cs="Arial"/>
        </w:rPr>
        <w:t>Metodické doporučení k činnosti územních samosprávných celků. Ministerstvo financí [online]. [cit. 2021-6-2]. Dostupné z: https://www.mfcr.cz/cs/soukromy-sektor/hazardni-hry/verejna-sprava/stanoviska/2017/metodicke-doporuceni-k-cinnosti-uzemnich-29208</w:t>
      </w:r>
    </w:p>
    <w:p w14:paraId="2725B9BC" w14:textId="77777777" w:rsidR="00F17245" w:rsidRDefault="00F17245" w:rsidP="00620052">
      <w:pPr>
        <w:pStyle w:val="Textpoznpodarou"/>
      </w:pPr>
    </w:p>
  </w:footnote>
  <w:footnote w:id="13">
    <w:p w14:paraId="445D1E07"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Směrnice Evropského parlamentu a Rady 2006/123/ES ze dne 12. prosince 2006 o službách na vnitřním trhu.</w:t>
      </w:r>
    </w:p>
  </w:footnote>
  <w:footnote w:id="14">
    <w:p w14:paraId="4355BE5F"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Čl. 2 odst. 1 písm. a) příslušné směrnice.</w:t>
      </w:r>
    </w:p>
  </w:footnote>
  <w:footnote w:id="15">
    <w:p w14:paraId="4B751575"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Směrnice Evropského parlamentu a Rady 2011/83/EU ze dne 25. října 2011 o právech spotřebitelů, kterou se mění směrnice Rady 93/13/EHS a směrnice Evropského parlamentu a Rady 1999/44/ES a zrušuje směrnice Rady 85/577/EHS a směrnice Evropského parlamentu a Rady 97/7/ES.</w:t>
      </w:r>
    </w:p>
  </w:footnote>
  <w:footnote w:id="16">
    <w:p w14:paraId="65C50643"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Směrnice Evropského parlamentu a Rady (EU) 2018/843 ze dne 30. května 2018, kterou se mění směrnice (EU) 2015/849 o předcházení využívání finančního systému k praní peněz nebo financování terorismu a směrnice 2009/138/ES a 2013/36/EU.</w:t>
      </w:r>
    </w:p>
  </w:footnote>
  <w:footnote w:id="17">
    <w:p w14:paraId="528E3399"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Rozsudek Soudního dvora ze dne 24. března 1994 ve věci C-275/92.</w:t>
      </w:r>
    </w:p>
  </w:footnote>
  <w:footnote w:id="18">
    <w:p w14:paraId="345E46B4" w14:textId="77777777" w:rsidR="00F17245" w:rsidRDefault="00F17245" w:rsidP="00A77567">
      <w:pPr>
        <w:pStyle w:val="Textpoznpodarou"/>
        <w:jc w:val="both"/>
      </w:pPr>
      <w:r w:rsidRPr="00A77567">
        <w:rPr>
          <w:rStyle w:val="Znakapoznpodarou"/>
          <w:rFonts w:ascii="Arial" w:hAnsi="Arial" w:cs="Arial"/>
        </w:rPr>
        <w:footnoteRef/>
      </w:r>
      <w:r w:rsidRPr="00A77567">
        <w:rPr>
          <w:rFonts w:ascii="Arial" w:hAnsi="Arial" w:cs="Arial"/>
        </w:rPr>
        <w:t xml:space="preserve"> Rozsudek Soudního dvora ze dne 6. listopadu 2003 ve věci C-243/01.</w:t>
      </w:r>
    </w:p>
  </w:footnote>
  <w:footnote w:id="19">
    <w:p w14:paraId="1FCB443B" w14:textId="77777777" w:rsidR="00F17245" w:rsidRPr="00A77567" w:rsidRDefault="00F17245" w:rsidP="00A77567">
      <w:pPr>
        <w:pStyle w:val="Textpoznpodarou"/>
        <w:jc w:val="both"/>
        <w:rPr>
          <w:rFonts w:ascii="Arial" w:hAnsi="Arial" w:cs="Arial"/>
        </w:rPr>
      </w:pPr>
      <w:r w:rsidRPr="00A77567">
        <w:rPr>
          <w:rStyle w:val="Znakapoznpodarou"/>
          <w:rFonts w:ascii="Arial" w:hAnsi="Arial" w:cs="Arial"/>
        </w:rPr>
        <w:footnoteRef/>
      </w:r>
      <w:r w:rsidRPr="00A77567">
        <w:rPr>
          <w:rFonts w:ascii="Arial" w:hAnsi="Arial" w:cs="Arial"/>
        </w:rPr>
        <w:t xml:space="preserve"> Rozsudek Soudního dvora ze dne 8. září 2010 ve spojených věcech C-316/07, C-358/07, C-359/07, C-360/07, C-409/07, C-410/07.</w:t>
      </w:r>
    </w:p>
  </w:footnote>
  <w:footnote w:id="20">
    <w:p w14:paraId="540540EE" w14:textId="77777777" w:rsidR="00F17245" w:rsidRDefault="00F17245" w:rsidP="00A77567">
      <w:pPr>
        <w:pStyle w:val="Textpoznpodarou"/>
        <w:jc w:val="both"/>
      </w:pPr>
      <w:r w:rsidRPr="00A77567">
        <w:rPr>
          <w:rStyle w:val="Znakapoznpodarou"/>
          <w:rFonts w:ascii="Arial" w:hAnsi="Arial" w:cs="Arial"/>
        </w:rPr>
        <w:footnoteRef/>
      </w:r>
      <w:r w:rsidRPr="00A77567">
        <w:rPr>
          <w:rFonts w:ascii="Arial" w:hAnsi="Arial" w:cs="Arial"/>
        </w:rPr>
        <w:t xml:space="preserve"> Čl. VI odst. 29 písm. b) doporučení Komise ve srovnání s § 14 odst. 3 zákona o hazardních hrách.</w:t>
      </w:r>
    </w:p>
  </w:footnote>
  <w:footnote w:id="21">
    <w:p w14:paraId="64E40CC6" w14:textId="77777777" w:rsidR="00F17245" w:rsidRPr="003B0BE0" w:rsidRDefault="00F17245" w:rsidP="003B0BE0">
      <w:pPr>
        <w:pStyle w:val="Textpoznpodarou"/>
        <w:jc w:val="both"/>
        <w:rPr>
          <w:rFonts w:ascii="Arial" w:hAnsi="Arial" w:cs="Arial"/>
        </w:rPr>
      </w:pPr>
      <w:r w:rsidRPr="003B0BE0">
        <w:rPr>
          <w:rStyle w:val="Znakapoznpodarou"/>
          <w:rFonts w:ascii="Arial" w:hAnsi="Arial" w:cs="Arial"/>
        </w:rPr>
        <w:footnoteRef/>
      </w:r>
      <w:r w:rsidRPr="003B0BE0">
        <w:rPr>
          <w:rFonts w:ascii="Arial" w:hAnsi="Arial" w:cs="Arial"/>
        </w:rPr>
        <w:t xml:space="preserve"> Základní informace byly uvedeny v podkladech od Celní správy a vzhledem k jejich roztříštěnosti bylo nezbytné dílčí informace ověřit, a to prostřednictvím nahlédnutí do obsahu protokolů o kontrole uložených v IS SDSL.</w:t>
      </w:r>
    </w:p>
  </w:footnote>
  <w:footnote w:id="22">
    <w:p w14:paraId="60FA0668" w14:textId="77777777" w:rsidR="00F17245" w:rsidRPr="0054392E" w:rsidRDefault="00F17245" w:rsidP="0054392E">
      <w:pPr>
        <w:pStyle w:val="Textpoznpodarou"/>
        <w:jc w:val="both"/>
        <w:rPr>
          <w:rFonts w:ascii="Arial" w:hAnsi="Arial" w:cs="Arial"/>
        </w:rPr>
      </w:pPr>
      <w:r w:rsidRPr="0054392E">
        <w:rPr>
          <w:rStyle w:val="Znakapoznpodarou"/>
          <w:rFonts w:ascii="Arial" w:hAnsi="Arial" w:cs="Arial"/>
        </w:rPr>
        <w:footnoteRef/>
      </w:r>
      <w:r w:rsidRPr="0054392E">
        <w:rPr>
          <w:rFonts w:ascii="Arial" w:hAnsi="Arial" w:cs="Arial"/>
        </w:rPr>
        <w:t xml:space="preserve"> Většina pokut byla uložena Ministerstvem financí, od 1. 1. 2021 ukládá pokuty v této oblasti Celní úřad pro Plzeňský kraj.</w:t>
      </w:r>
    </w:p>
  </w:footnote>
  <w:footnote w:id="23">
    <w:p w14:paraId="13C0FBF0" w14:textId="48FD5895" w:rsidR="00F17245" w:rsidRPr="00B94C24" w:rsidRDefault="00F17245" w:rsidP="00842920">
      <w:pPr>
        <w:pStyle w:val="Textpoznpodarou"/>
        <w:jc w:val="both"/>
        <w:rPr>
          <w:rFonts w:ascii="Arial" w:hAnsi="Arial" w:cs="Arial"/>
        </w:rPr>
      </w:pPr>
      <w:r w:rsidRPr="00B94C24">
        <w:rPr>
          <w:rStyle w:val="Znakapoznpodarou"/>
          <w:rFonts w:ascii="Arial" w:hAnsi="Arial" w:cs="Arial"/>
        </w:rPr>
        <w:footnoteRef/>
      </w:r>
      <w:r w:rsidRPr="00B94C24">
        <w:rPr>
          <w:rFonts w:ascii="Arial" w:hAnsi="Arial" w:cs="Arial"/>
        </w:rPr>
        <w:t xml:space="preserve"> Veškeré informace jsou uveřejněny zde: </w:t>
      </w:r>
      <w:hyperlink r:id="rId1" w:history="1">
        <w:r w:rsidRPr="00B94C24">
          <w:rPr>
            <w:rStyle w:val="Hypertextovodkaz"/>
            <w:rFonts w:ascii="Arial" w:hAnsi="Arial" w:cs="Arial"/>
          </w:rPr>
          <w:t>https://www.mfcr.cz/cs/soukromy-sektor/hazardni-hry/reportingova-vyhlaska</w:t>
        </w:r>
      </w:hyperlink>
      <w:r w:rsidRPr="00B94C24">
        <w:rPr>
          <w:rFonts w:ascii="Arial" w:hAnsi="Arial" w:cs="Arial"/>
        </w:rPr>
        <w:t>.</w:t>
      </w:r>
    </w:p>
  </w:footnote>
  <w:footnote w:id="24">
    <w:p w14:paraId="6D8DE01B" w14:textId="69BEA0DF" w:rsidR="00F17245" w:rsidRPr="00651FFD" w:rsidRDefault="00F17245" w:rsidP="00B152A9">
      <w:pPr>
        <w:pStyle w:val="Textpoznpodarou"/>
        <w:jc w:val="both"/>
        <w:rPr>
          <w:rFonts w:ascii="Arial" w:hAnsi="Arial" w:cs="Arial"/>
        </w:rPr>
      </w:pPr>
      <w:r w:rsidRPr="00651FFD">
        <w:rPr>
          <w:rStyle w:val="Znakapoznpodarou"/>
          <w:rFonts w:ascii="Arial" w:hAnsi="Arial" w:cs="Arial"/>
        </w:rPr>
        <w:footnoteRef/>
      </w:r>
      <w:r w:rsidRPr="00651FFD">
        <w:rPr>
          <w:rFonts w:ascii="Arial" w:hAnsi="Arial" w:cs="Arial"/>
        </w:rPr>
        <w:t xml:space="preserve"> Informace k Rejstříku vyloučených osob jsou dostupné zde: </w:t>
      </w:r>
      <w:hyperlink r:id="rId2" w:history="1">
        <w:r w:rsidRPr="00651FFD">
          <w:rPr>
            <w:rStyle w:val="Hypertextovodkaz"/>
            <w:rFonts w:ascii="Arial" w:hAnsi="Arial" w:cs="Arial"/>
          </w:rPr>
          <w:t>https://www.mfcr.cz/cs/soukromy-sektor/hazardni-hry/rejstrik-vyloucenych-osob-rvo</w:t>
        </w:r>
      </w:hyperlink>
      <w:r w:rsidRPr="00651FFD">
        <w:rPr>
          <w:rFonts w:ascii="Arial" w:hAnsi="Arial" w:cs="Arial"/>
        </w:rPr>
        <w:t xml:space="preserve">. </w:t>
      </w:r>
    </w:p>
  </w:footnote>
  <w:footnote w:id="25">
    <w:p w14:paraId="215C3518" w14:textId="1D6AAA6C" w:rsidR="00F17245" w:rsidRPr="00B11A9D" w:rsidRDefault="00F17245" w:rsidP="00B11A9D">
      <w:pPr>
        <w:pStyle w:val="Textpoznpodarou"/>
        <w:jc w:val="both"/>
        <w:rPr>
          <w:rFonts w:ascii="Arial" w:hAnsi="Arial" w:cs="Arial"/>
        </w:rPr>
      </w:pPr>
      <w:r w:rsidRPr="00B11A9D">
        <w:rPr>
          <w:rStyle w:val="Znakapoznpodarou"/>
          <w:rFonts w:ascii="Arial" w:hAnsi="Arial" w:cs="Arial"/>
        </w:rPr>
        <w:footnoteRef/>
      </w:r>
      <w:r w:rsidRPr="00B11A9D">
        <w:rPr>
          <w:rFonts w:ascii="Arial" w:hAnsi="Arial" w:cs="Arial"/>
        </w:rPr>
        <w:t xml:space="preserve"> NORDSTRÖM, David, Amanda STEFANSDOTTER, Karl LUNDVALL, Henrik Bal</w:t>
      </w:r>
      <w:r>
        <w:rPr>
          <w:rFonts w:ascii="Arial" w:hAnsi="Arial" w:cs="Arial"/>
        </w:rPr>
        <w:t>lebye OKHOLM a </w:t>
      </w:r>
      <w:r w:rsidRPr="00B11A9D">
        <w:rPr>
          <w:rFonts w:ascii="Arial" w:hAnsi="Arial" w:cs="Arial"/>
        </w:rPr>
        <w:t>Petter SVÄRD. Licensing system for online gambling: Which tax-rate yields both high channelization and high tax revenues. [online] Translated ver. Stockholm: Copenhagen Economics, 2016 [cit. 2020-03-30]. Dostupné z: https://www.copenhageneconomics.com/publications/publication/licensing-system-for-online-gambling</w:t>
      </w:r>
      <w:r>
        <w:rPr>
          <w:rFonts w:ascii="Arial" w:hAnsi="Arial" w:cs="Arial"/>
        </w:rPr>
        <w:t>.</w:t>
      </w:r>
    </w:p>
  </w:footnote>
  <w:footnote w:id="26">
    <w:p w14:paraId="696DB01C" w14:textId="03E5F3FC" w:rsidR="00F17245" w:rsidRPr="00573400" w:rsidRDefault="00F17245" w:rsidP="00573400">
      <w:pPr>
        <w:pStyle w:val="Textpoznpodarou"/>
        <w:jc w:val="both"/>
        <w:rPr>
          <w:rFonts w:ascii="Arial" w:hAnsi="Arial" w:cs="Arial"/>
        </w:rPr>
      </w:pPr>
      <w:r w:rsidRPr="00573400">
        <w:rPr>
          <w:rStyle w:val="Znakapoznpodarou"/>
          <w:rFonts w:ascii="Arial" w:hAnsi="Arial" w:cs="Arial"/>
        </w:rPr>
        <w:footnoteRef/>
      </w:r>
      <w:r w:rsidRPr="00573400">
        <w:rPr>
          <w:rFonts w:ascii="Arial" w:hAnsi="Arial" w:cs="Arial"/>
        </w:rPr>
        <w:t xml:space="preserve"> </w:t>
      </w:r>
      <w:r w:rsidRPr="00575B28">
        <w:rPr>
          <w:rFonts w:ascii="Arial" w:hAnsi="Arial" w:cs="Arial"/>
        </w:rPr>
        <w:t>GRIFFITHS, Mark a Richard WOOD. The psychology of lottery gambling. Intern</w:t>
      </w:r>
      <w:r>
        <w:rPr>
          <w:rFonts w:ascii="Arial" w:hAnsi="Arial" w:cs="Arial"/>
        </w:rPr>
        <w:t>ational Gambling Studie, s.</w:t>
      </w:r>
      <w:r w:rsidRPr="00573400">
        <w:rPr>
          <w:rFonts w:ascii="Arial" w:hAnsi="Arial" w:cs="Arial"/>
        </w:rPr>
        <w:t xml:space="preserve"> 34</w:t>
      </w:r>
      <w:r>
        <w:rPr>
          <w:rFonts w:ascii="Arial" w:hAnsi="Arial" w:cs="Arial"/>
        </w:rPr>
        <w:t>.</w:t>
      </w:r>
    </w:p>
  </w:footnote>
  <w:footnote w:id="27">
    <w:p w14:paraId="300A0C92" w14:textId="77777777" w:rsidR="00F17245" w:rsidRPr="00573400" w:rsidRDefault="00F17245" w:rsidP="00573400">
      <w:pPr>
        <w:pStyle w:val="Textpoznpodarou"/>
        <w:jc w:val="both"/>
        <w:rPr>
          <w:rFonts w:ascii="Arial" w:hAnsi="Arial" w:cs="Arial"/>
        </w:rPr>
      </w:pPr>
      <w:r w:rsidRPr="00573400">
        <w:rPr>
          <w:rStyle w:val="Znakapoznpodarou"/>
          <w:rFonts w:ascii="Arial" w:hAnsi="Arial" w:cs="Arial"/>
        </w:rPr>
        <w:footnoteRef/>
      </w:r>
      <w:r w:rsidRPr="00573400">
        <w:rPr>
          <w:rFonts w:ascii="Arial" w:hAnsi="Arial" w:cs="Arial"/>
        </w:rPr>
        <w:t xml:space="preserve"> Označení „ostatní hra“ není použito z toho důvodu, že by hry v této skupině byly ve stejném postavení, ale jde o vymezení se vůči technické hře, na kterou se regulace provozování hazardních her zaměřuje zejména.</w:t>
      </w:r>
    </w:p>
  </w:footnote>
  <w:footnote w:id="28">
    <w:p w14:paraId="0C91142F" w14:textId="2D24D78C" w:rsidR="00F17245" w:rsidRPr="00172239" w:rsidRDefault="00F17245" w:rsidP="00573400">
      <w:pPr>
        <w:pStyle w:val="Textpoznpodarou"/>
        <w:jc w:val="both"/>
      </w:pPr>
      <w:r w:rsidRPr="00573400">
        <w:rPr>
          <w:rStyle w:val="Znakapoznpodarou"/>
          <w:rFonts w:ascii="Arial" w:hAnsi="Arial" w:cs="Arial"/>
        </w:rPr>
        <w:footnoteRef/>
      </w:r>
      <w:r w:rsidRPr="00573400">
        <w:rPr>
          <w:rFonts w:ascii="Arial" w:hAnsi="Arial" w:cs="Arial"/>
        </w:rPr>
        <w:t xml:space="preserve"> Důvodová zpráva k zákonu o hazardních hrách, obecná část, kapitola 1.2.1. In: Sněmovní tisk 578/0, Poslanecká sněmovna, 7. volební období, str. 55 (</w:t>
      </w:r>
      <w:r>
        <w:rPr>
          <w:rFonts w:ascii="Arial" w:hAnsi="Arial" w:cs="Arial"/>
        </w:rPr>
        <w:t>P</w:t>
      </w:r>
      <w:r w:rsidRPr="00573400">
        <w:rPr>
          <w:rFonts w:ascii="Arial" w:hAnsi="Arial" w:cs="Arial"/>
        </w:rPr>
        <w:t>říloha č. 2</w:t>
      </w:r>
      <w:r>
        <w:rPr>
          <w:rFonts w:ascii="Arial" w:hAnsi="Arial" w:cs="Arial"/>
        </w:rPr>
        <w:t xml:space="preserve"> Obecná ustanovení</w:t>
      </w:r>
      <w:r w:rsidRPr="00573400">
        <w:rPr>
          <w:rFonts w:ascii="Arial" w:hAnsi="Arial" w:cs="Arial"/>
        </w:rPr>
        <w:t>)</w:t>
      </w:r>
      <w:r>
        <w:rPr>
          <w:rFonts w:ascii="Arial" w:hAnsi="Arial"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B39"/>
    <w:multiLevelType w:val="hybridMultilevel"/>
    <w:tmpl w:val="3C8426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3B6307"/>
    <w:multiLevelType w:val="hybridMultilevel"/>
    <w:tmpl w:val="9F003C40"/>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773337"/>
    <w:multiLevelType w:val="multilevel"/>
    <w:tmpl w:val="879C007C"/>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5DE2BE3"/>
    <w:multiLevelType w:val="hybridMultilevel"/>
    <w:tmpl w:val="A60E03A8"/>
    <w:lvl w:ilvl="0" w:tplc="FFAE3A26">
      <w:start w:val="1"/>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3B5FB1"/>
    <w:multiLevelType w:val="hybridMultilevel"/>
    <w:tmpl w:val="80ACABEC"/>
    <w:lvl w:ilvl="0" w:tplc="2D9C066E">
      <w:start w:val="1"/>
      <w:numFmt w:val="lowerRoman"/>
      <w:pStyle w:val="Nadpis6"/>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3B01C2F"/>
    <w:multiLevelType w:val="hybridMultilevel"/>
    <w:tmpl w:val="D206CAA8"/>
    <w:lvl w:ilvl="0" w:tplc="837481D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3D81AA4"/>
    <w:multiLevelType w:val="hybridMultilevel"/>
    <w:tmpl w:val="332C77D2"/>
    <w:lvl w:ilvl="0" w:tplc="42AAD64E">
      <w:start w:val="1"/>
      <w:numFmt w:val="decimal"/>
      <w:pStyle w:val="slovanodstavec"/>
      <w:suff w:val="space"/>
      <w:lvlText w:val="[%1]"/>
      <w:lvlJc w:val="left"/>
      <w:pPr>
        <w:ind w:left="284" w:firstLine="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5C25BD2"/>
    <w:multiLevelType w:val="hybridMultilevel"/>
    <w:tmpl w:val="9AB22FFA"/>
    <w:lvl w:ilvl="0" w:tplc="B9C08566">
      <w:numFmt w:val="bullet"/>
      <w:lvlText w:val="-"/>
      <w:lvlJc w:val="left"/>
      <w:pPr>
        <w:ind w:left="720" w:hanging="360"/>
      </w:pPr>
      <w:rPr>
        <w:rFonts w:ascii="Arial" w:eastAsia="Calibri" w:hAnsi="Arial" w:cs="Aria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B37378D"/>
    <w:multiLevelType w:val="hybridMultilevel"/>
    <w:tmpl w:val="6374B19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D5D3487"/>
    <w:multiLevelType w:val="hybridMultilevel"/>
    <w:tmpl w:val="AF0873F4"/>
    <w:lvl w:ilvl="0" w:tplc="02FE04F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EDF0398"/>
    <w:multiLevelType w:val="hybridMultilevel"/>
    <w:tmpl w:val="000AD730"/>
    <w:lvl w:ilvl="0" w:tplc="04050017">
      <w:start w:val="1"/>
      <w:numFmt w:val="lowerLetter"/>
      <w:lvlText w:val="%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5A5735A"/>
    <w:multiLevelType w:val="hybridMultilevel"/>
    <w:tmpl w:val="9DE870C2"/>
    <w:lvl w:ilvl="0" w:tplc="837481D0">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8737E6B"/>
    <w:multiLevelType w:val="hybridMultilevel"/>
    <w:tmpl w:val="62A834B2"/>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D137D79"/>
    <w:multiLevelType w:val="hybridMultilevel"/>
    <w:tmpl w:val="CE18FE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3A0050"/>
    <w:multiLevelType w:val="multilevel"/>
    <w:tmpl w:val="49DE232A"/>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6" w15:restartNumberingAfterBreak="0">
    <w:nsid w:val="5FB31189"/>
    <w:multiLevelType w:val="hybridMultilevel"/>
    <w:tmpl w:val="E3305550"/>
    <w:lvl w:ilvl="0" w:tplc="2FD0CF84">
      <w:start w:val="1"/>
      <w:numFmt w:val="bullet"/>
      <w:lvlText w:val=""/>
      <w:lvlJc w:val="left"/>
      <w:pPr>
        <w:tabs>
          <w:tab w:val="num" w:pos="720"/>
        </w:tabs>
        <w:ind w:left="720" w:hanging="360"/>
      </w:pPr>
      <w:rPr>
        <w:rFonts w:ascii="Wingdings" w:hAnsi="Wingdings" w:hint="default"/>
      </w:rPr>
    </w:lvl>
    <w:lvl w:ilvl="1" w:tplc="929AC2D0">
      <w:start w:val="1185"/>
      <w:numFmt w:val="bullet"/>
      <w:lvlText w:val=""/>
      <w:lvlJc w:val="left"/>
      <w:pPr>
        <w:tabs>
          <w:tab w:val="num" w:pos="1440"/>
        </w:tabs>
        <w:ind w:left="1440" w:hanging="360"/>
      </w:pPr>
      <w:rPr>
        <w:rFonts w:ascii="Wingdings" w:hAnsi="Wingdings" w:hint="default"/>
      </w:rPr>
    </w:lvl>
    <w:lvl w:ilvl="2" w:tplc="2F8ED8B8" w:tentative="1">
      <w:start w:val="1"/>
      <w:numFmt w:val="bullet"/>
      <w:lvlText w:val=""/>
      <w:lvlJc w:val="left"/>
      <w:pPr>
        <w:tabs>
          <w:tab w:val="num" w:pos="2160"/>
        </w:tabs>
        <w:ind w:left="2160" w:hanging="360"/>
      </w:pPr>
      <w:rPr>
        <w:rFonts w:ascii="Wingdings" w:hAnsi="Wingdings" w:hint="default"/>
      </w:rPr>
    </w:lvl>
    <w:lvl w:ilvl="3" w:tplc="C78E17EE" w:tentative="1">
      <w:start w:val="1"/>
      <w:numFmt w:val="bullet"/>
      <w:lvlText w:val=""/>
      <w:lvlJc w:val="left"/>
      <w:pPr>
        <w:tabs>
          <w:tab w:val="num" w:pos="2880"/>
        </w:tabs>
        <w:ind w:left="2880" w:hanging="360"/>
      </w:pPr>
      <w:rPr>
        <w:rFonts w:ascii="Wingdings" w:hAnsi="Wingdings" w:hint="default"/>
      </w:rPr>
    </w:lvl>
    <w:lvl w:ilvl="4" w:tplc="4976CC22" w:tentative="1">
      <w:start w:val="1"/>
      <w:numFmt w:val="bullet"/>
      <w:lvlText w:val=""/>
      <w:lvlJc w:val="left"/>
      <w:pPr>
        <w:tabs>
          <w:tab w:val="num" w:pos="3600"/>
        </w:tabs>
        <w:ind w:left="3600" w:hanging="360"/>
      </w:pPr>
      <w:rPr>
        <w:rFonts w:ascii="Wingdings" w:hAnsi="Wingdings" w:hint="default"/>
      </w:rPr>
    </w:lvl>
    <w:lvl w:ilvl="5" w:tplc="C91CAEA8" w:tentative="1">
      <w:start w:val="1"/>
      <w:numFmt w:val="bullet"/>
      <w:lvlText w:val=""/>
      <w:lvlJc w:val="left"/>
      <w:pPr>
        <w:tabs>
          <w:tab w:val="num" w:pos="4320"/>
        </w:tabs>
        <w:ind w:left="4320" w:hanging="360"/>
      </w:pPr>
      <w:rPr>
        <w:rFonts w:ascii="Wingdings" w:hAnsi="Wingdings" w:hint="default"/>
      </w:rPr>
    </w:lvl>
    <w:lvl w:ilvl="6" w:tplc="EE1C3262" w:tentative="1">
      <w:start w:val="1"/>
      <w:numFmt w:val="bullet"/>
      <w:lvlText w:val=""/>
      <w:lvlJc w:val="left"/>
      <w:pPr>
        <w:tabs>
          <w:tab w:val="num" w:pos="5040"/>
        </w:tabs>
        <w:ind w:left="5040" w:hanging="360"/>
      </w:pPr>
      <w:rPr>
        <w:rFonts w:ascii="Wingdings" w:hAnsi="Wingdings" w:hint="default"/>
      </w:rPr>
    </w:lvl>
    <w:lvl w:ilvl="7" w:tplc="582C0C76" w:tentative="1">
      <w:start w:val="1"/>
      <w:numFmt w:val="bullet"/>
      <w:lvlText w:val=""/>
      <w:lvlJc w:val="left"/>
      <w:pPr>
        <w:tabs>
          <w:tab w:val="num" w:pos="5760"/>
        </w:tabs>
        <w:ind w:left="5760" w:hanging="360"/>
      </w:pPr>
      <w:rPr>
        <w:rFonts w:ascii="Wingdings" w:hAnsi="Wingdings" w:hint="default"/>
      </w:rPr>
    </w:lvl>
    <w:lvl w:ilvl="8" w:tplc="50180F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64487B67"/>
    <w:multiLevelType w:val="hybridMultilevel"/>
    <w:tmpl w:val="23CE00A6"/>
    <w:lvl w:ilvl="0" w:tplc="EE561E98">
      <w:start w:val="2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7B85B7E"/>
    <w:multiLevelType w:val="hybridMultilevel"/>
    <w:tmpl w:val="84E2315A"/>
    <w:lvl w:ilvl="0" w:tplc="02FE04F6">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BF26585"/>
    <w:multiLevelType w:val="hybridMultilevel"/>
    <w:tmpl w:val="21FAF0FA"/>
    <w:lvl w:ilvl="0" w:tplc="061E03B6">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5EE6D69"/>
    <w:multiLevelType w:val="multilevel"/>
    <w:tmpl w:val="6CC64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43314B"/>
    <w:multiLevelType w:val="hybridMultilevel"/>
    <w:tmpl w:val="34A4D480"/>
    <w:lvl w:ilvl="0" w:tplc="B9C08566">
      <w:numFmt w:val="bullet"/>
      <w:lvlText w:val="-"/>
      <w:lvlJc w:val="left"/>
      <w:pPr>
        <w:ind w:left="360" w:hanging="360"/>
      </w:pPr>
      <w:rPr>
        <w:rFonts w:ascii="Arial" w:eastAsia="Calibri" w:hAnsi="Arial" w:cs="Arial" w:hint="default"/>
        <w:sz w:val="24"/>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3" w15:restartNumberingAfterBreak="0">
    <w:nsid w:val="7E1841AB"/>
    <w:multiLevelType w:val="hybridMultilevel"/>
    <w:tmpl w:val="14566C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20"/>
  </w:num>
  <w:num w:numId="3">
    <w:abstractNumId w:val="4"/>
  </w:num>
  <w:num w:numId="4">
    <w:abstractNumId w:val="4"/>
    <w:lvlOverride w:ilvl="0">
      <w:startOverride w:val="1"/>
    </w:lvlOverride>
  </w:num>
  <w:num w:numId="5">
    <w:abstractNumId w:val="22"/>
  </w:num>
  <w:num w:numId="6">
    <w:abstractNumId w:val="13"/>
  </w:num>
  <w:num w:numId="7">
    <w:abstractNumId w:val="20"/>
    <w:lvlOverride w:ilvl="0">
      <w:lvl w:ilvl="0" w:tplc="061E03B6">
        <w:start w:val="1"/>
        <w:numFmt w:val="decimal"/>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tplc="04050019">
        <w:start w:val="1"/>
        <w:numFmt w:val="lowerLetter"/>
        <w:lvlText w:val="%2."/>
        <w:lvlJc w:val="left"/>
        <w:pPr>
          <w:ind w:left="1440" w:hanging="360"/>
        </w:pPr>
        <w:rPr>
          <w:rFonts w:hint="default"/>
        </w:rPr>
      </w:lvl>
    </w:lvlOverride>
    <w:lvlOverride w:ilvl="2">
      <w:lvl w:ilvl="2" w:tplc="0405001B">
        <w:start w:val="1"/>
        <w:numFmt w:val="lowerRoman"/>
        <w:lvlText w:val="%3."/>
        <w:lvlJc w:val="right"/>
        <w:pPr>
          <w:ind w:left="2160" w:hanging="180"/>
        </w:pPr>
        <w:rPr>
          <w:rFonts w:hint="default"/>
        </w:rPr>
      </w:lvl>
    </w:lvlOverride>
    <w:lvlOverride w:ilvl="3">
      <w:lvl w:ilvl="3" w:tplc="0405000F">
        <w:start w:val="1"/>
        <w:numFmt w:val="decimal"/>
        <w:lvlText w:val="%4."/>
        <w:lvlJc w:val="left"/>
        <w:pPr>
          <w:ind w:left="2880" w:hanging="360"/>
        </w:pPr>
        <w:rPr>
          <w:rFonts w:hint="default"/>
        </w:rPr>
      </w:lvl>
    </w:lvlOverride>
    <w:lvlOverride w:ilvl="4">
      <w:lvl w:ilvl="4" w:tplc="04050019">
        <w:start w:val="1"/>
        <w:numFmt w:val="decimal"/>
        <w:lvlText w:val="%5."/>
        <w:lvlJc w:val="left"/>
        <w:pPr>
          <w:ind w:left="3600" w:hanging="360"/>
        </w:pPr>
        <w:rPr>
          <w:rFonts w:hint="default"/>
        </w:rPr>
      </w:lvl>
    </w:lvlOverride>
    <w:lvlOverride w:ilvl="5">
      <w:lvl w:ilvl="5" w:tplc="0405001B">
        <w:start w:val="1"/>
        <w:numFmt w:val="lowerRoman"/>
        <w:lvlText w:val="%6."/>
        <w:lvlJc w:val="right"/>
        <w:pPr>
          <w:ind w:left="4320" w:hanging="180"/>
        </w:pPr>
        <w:rPr>
          <w:rFonts w:hint="default"/>
        </w:rPr>
      </w:lvl>
    </w:lvlOverride>
    <w:lvlOverride w:ilvl="6">
      <w:lvl w:ilvl="6" w:tplc="0405000F">
        <w:start w:val="1"/>
        <w:numFmt w:val="decimal"/>
        <w:lvlText w:val="%7."/>
        <w:lvlJc w:val="left"/>
        <w:pPr>
          <w:ind w:left="5040" w:hanging="360"/>
        </w:pPr>
        <w:rPr>
          <w:rFonts w:hint="default"/>
        </w:rPr>
      </w:lvl>
    </w:lvlOverride>
    <w:lvlOverride w:ilvl="7">
      <w:lvl w:ilvl="7" w:tplc="04050019">
        <w:start w:val="1"/>
        <w:numFmt w:val="lowerLetter"/>
        <w:lvlText w:val="%8."/>
        <w:lvlJc w:val="left"/>
        <w:pPr>
          <w:ind w:left="5760" w:hanging="360"/>
        </w:pPr>
        <w:rPr>
          <w:rFonts w:hint="default"/>
        </w:rPr>
      </w:lvl>
    </w:lvlOverride>
    <w:lvlOverride w:ilvl="8">
      <w:lvl w:ilvl="8" w:tplc="0405001B">
        <w:start w:val="1"/>
        <w:numFmt w:val="lowerRoman"/>
        <w:lvlText w:val="%9."/>
        <w:lvlJc w:val="right"/>
        <w:pPr>
          <w:ind w:left="6480" w:hanging="180"/>
        </w:pPr>
        <w:rPr>
          <w:rFonts w:hint="default"/>
        </w:rPr>
      </w:lvl>
    </w:lvlOverride>
  </w:num>
  <w:num w:numId="8">
    <w:abstractNumId w:val="2"/>
  </w:num>
  <w:num w:numId="9">
    <w:abstractNumId w:val="2"/>
    <w:lvlOverride w:ilvl="0">
      <w:lvl w:ilvl="0">
        <w:start w:val="1"/>
        <w:numFmt w:val="decimal"/>
        <w:pStyle w:val="Nadpis5"/>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decimal"/>
        <w:isLgl/>
        <w:lvlText w:val="%5.9.1.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abstractNumId w:val="12"/>
  </w:num>
  <w:num w:numId="11">
    <w:abstractNumId w:val="5"/>
  </w:num>
  <w:num w:numId="12">
    <w:abstractNumId w:val="3"/>
  </w:num>
  <w:num w:numId="13">
    <w:abstractNumId w:val="21"/>
  </w:num>
  <w:num w:numId="14">
    <w:abstractNumId w:val="4"/>
    <w:lvlOverride w:ilvl="0">
      <w:startOverride w:val="1"/>
    </w:lvlOverride>
  </w:num>
  <w:num w:numId="15">
    <w:abstractNumId w:val="0"/>
  </w:num>
  <w:num w:numId="16">
    <w:abstractNumId w:val="6"/>
  </w:num>
  <w:num w:numId="17">
    <w:abstractNumId w:val="18"/>
  </w:num>
  <w:num w:numId="18">
    <w:abstractNumId w:val="15"/>
  </w:num>
  <w:num w:numId="19">
    <w:abstractNumId w:val="4"/>
    <w:lvlOverride w:ilvl="0">
      <w:startOverride w:val="1"/>
    </w:lvlOverride>
  </w:num>
  <w:num w:numId="20">
    <w:abstractNumId w:val="1"/>
  </w:num>
  <w:num w:numId="21">
    <w:abstractNumId w:val="4"/>
    <w:lvlOverride w:ilvl="0">
      <w:startOverride w:val="1"/>
    </w:lvlOverride>
  </w:num>
  <w:num w:numId="22">
    <w:abstractNumId w:val="7"/>
  </w:num>
  <w:num w:numId="23">
    <w:abstractNumId w:val="17"/>
  </w:num>
  <w:num w:numId="24">
    <w:abstractNumId w:val="16"/>
  </w:num>
  <w:num w:numId="25">
    <w:abstractNumId w:val="9"/>
  </w:num>
  <w:num w:numId="26">
    <w:abstractNumId w:val="23"/>
  </w:num>
  <w:num w:numId="27">
    <w:abstractNumId w:val="10"/>
  </w:num>
  <w:num w:numId="28">
    <w:abstractNumId w:val="19"/>
  </w:num>
  <w:num w:numId="29">
    <w:abstractNumId w:val="14"/>
  </w:num>
  <w:num w:numId="30">
    <w:abstractNumId w:val="15"/>
  </w:num>
  <w:num w:numId="31">
    <w:abstractNumId w:val="17"/>
  </w:num>
  <w:num w:numId="32">
    <w:abstractNumId w:val="1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20"/>
    <w:lvlOverride w:ilvl="0">
      <w:startOverride w:val="1"/>
    </w:lvlOverride>
  </w:num>
  <w:num w:numId="36">
    <w:abstractNumId w:val="8"/>
  </w:num>
  <w:num w:numId="37">
    <w:abstractNumId w:val="20"/>
    <w:lvlOverride w:ilvl="0">
      <w:startOverride w:val="1"/>
    </w:lvlOverride>
  </w:num>
  <w:num w:numId="38">
    <w:abstractNumId w:val="20"/>
    <w:lvlOverride w:ilvl="0">
      <w:startOverride w:val="1"/>
    </w:lvlOverride>
  </w:num>
  <w:num w:numId="39">
    <w:abstractNumId w:val="20"/>
    <w:lvlOverride w:ilvl="0">
      <w:startOverride w:val="1"/>
    </w:lvlOverride>
  </w:num>
  <w:num w:numId="40">
    <w:abstractNumId w:val="20"/>
    <w:lvlOverride w:ilvl="0">
      <w:startOverride w:val="1"/>
    </w:lvlOverride>
  </w:num>
  <w:num w:numId="41">
    <w:abstractNumId w:val="20"/>
    <w:lvlOverride w:ilvl="0">
      <w:startOverride w:val="3"/>
    </w:lvlOverride>
  </w:num>
  <w:num w:numId="42">
    <w:abstractNumId w:val="20"/>
    <w:lvlOverride w:ilvl="0">
      <w:startOverride w:val="1"/>
    </w:lvlOverride>
  </w:num>
  <w:num w:numId="43">
    <w:abstractNumId w:val="20"/>
    <w:lvlOverride w:ilvl="0">
      <w:startOverride w:val="1"/>
    </w:lvlOverride>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257"/>
    <w:rsid w:val="00004CAA"/>
    <w:rsid w:val="00005302"/>
    <w:rsid w:val="00007B49"/>
    <w:rsid w:val="000105E5"/>
    <w:rsid w:val="00013073"/>
    <w:rsid w:val="0001435E"/>
    <w:rsid w:val="00014CAE"/>
    <w:rsid w:val="00017100"/>
    <w:rsid w:val="000221D3"/>
    <w:rsid w:val="00022940"/>
    <w:rsid w:val="00025F44"/>
    <w:rsid w:val="00026175"/>
    <w:rsid w:val="00027647"/>
    <w:rsid w:val="00035960"/>
    <w:rsid w:val="00053691"/>
    <w:rsid w:val="0005459B"/>
    <w:rsid w:val="00060A83"/>
    <w:rsid w:val="00061DE9"/>
    <w:rsid w:val="00066D81"/>
    <w:rsid w:val="0007706F"/>
    <w:rsid w:val="00077666"/>
    <w:rsid w:val="00080B69"/>
    <w:rsid w:val="00080D2A"/>
    <w:rsid w:val="0008162A"/>
    <w:rsid w:val="00093CD6"/>
    <w:rsid w:val="00097F70"/>
    <w:rsid w:val="000A13CF"/>
    <w:rsid w:val="000A1F59"/>
    <w:rsid w:val="000A28D2"/>
    <w:rsid w:val="000B01A0"/>
    <w:rsid w:val="000B15C0"/>
    <w:rsid w:val="000B16B5"/>
    <w:rsid w:val="000B58A2"/>
    <w:rsid w:val="000C0A07"/>
    <w:rsid w:val="000C198C"/>
    <w:rsid w:val="000C27B8"/>
    <w:rsid w:val="000C38C0"/>
    <w:rsid w:val="000C5BEF"/>
    <w:rsid w:val="000C6602"/>
    <w:rsid w:val="000D01F0"/>
    <w:rsid w:val="000D04BD"/>
    <w:rsid w:val="000D38B7"/>
    <w:rsid w:val="000E4FD5"/>
    <w:rsid w:val="000E5B21"/>
    <w:rsid w:val="000E6348"/>
    <w:rsid w:val="000F26C0"/>
    <w:rsid w:val="000F3028"/>
    <w:rsid w:val="000F45C1"/>
    <w:rsid w:val="000F54D1"/>
    <w:rsid w:val="0010145E"/>
    <w:rsid w:val="001018D4"/>
    <w:rsid w:val="00102FAA"/>
    <w:rsid w:val="00104E85"/>
    <w:rsid w:val="0010715A"/>
    <w:rsid w:val="001134E1"/>
    <w:rsid w:val="00115126"/>
    <w:rsid w:val="00120816"/>
    <w:rsid w:val="00124290"/>
    <w:rsid w:val="0012719C"/>
    <w:rsid w:val="00133920"/>
    <w:rsid w:val="00142CC9"/>
    <w:rsid w:val="00144213"/>
    <w:rsid w:val="00146097"/>
    <w:rsid w:val="00151439"/>
    <w:rsid w:val="00156380"/>
    <w:rsid w:val="00156AD0"/>
    <w:rsid w:val="001627C6"/>
    <w:rsid w:val="00162AE4"/>
    <w:rsid w:val="001705F0"/>
    <w:rsid w:val="00171292"/>
    <w:rsid w:val="001756F9"/>
    <w:rsid w:val="00176A3A"/>
    <w:rsid w:val="00180773"/>
    <w:rsid w:val="00184681"/>
    <w:rsid w:val="00185EB7"/>
    <w:rsid w:val="0018733A"/>
    <w:rsid w:val="001875E6"/>
    <w:rsid w:val="00187F36"/>
    <w:rsid w:val="001909AD"/>
    <w:rsid w:val="00191662"/>
    <w:rsid w:val="001A0765"/>
    <w:rsid w:val="001A3165"/>
    <w:rsid w:val="001A5849"/>
    <w:rsid w:val="001A58FF"/>
    <w:rsid w:val="001A6F29"/>
    <w:rsid w:val="001B4234"/>
    <w:rsid w:val="001B5AA0"/>
    <w:rsid w:val="001B7DE5"/>
    <w:rsid w:val="001C327C"/>
    <w:rsid w:val="001C5AA1"/>
    <w:rsid w:val="001C6495"/>
    <w:rsid w:val="001C6DA4"/>
    <w:rsid w:val="001C7F8C"/>
    <w:rsid w:val="001D51B3"/>
    <w:rsid w:val="001D531D"/>
    <w:rsid w:val="001E31A6"/>
    <w:rsid w:val="001E34A7"/>
    <w:rsid w:val="001E66F0"/>
    <w:rsid w:val="001E6B79"/>
    <w:rsid w:val="001E76E3"/>
    <w:rsid w:val="001F0F94"/>
    <w:rsid w:val="001F3D5C"/>
    <w:rsid w:val="001F505B"/>
    <w:rsid w:val="00212609"/>
    <w:rsid w:val="00212908"/>
    <w:rsid w:val="00212DD1"/>
    <w:rsid w:val="0021563D"/>
    <w:rsid w:val="00217926"/>
    <w:rsid w:val="00222B62"/>
    <w:rsid w:val="00235869"/>
    <w:rsid w:val="00243706"/>
    <w:rsid w:val="00243F09"/>
    <w:rsid w:val="00244A60"/>
    <w:rsid w:val="00245A29"/>
    <w:rsid w:val="00246653"/>
    <w:rsid w:val="00262235"/>
    <w:rsid w:val="00266D88"/>
    <w:rsid w:val="00272425"/>
    <w:rsid w:val="00280B85"/>
    <w:rsid w:val="0028393C"/>
    <w:rsid w:val="0029437B"/>
    <w:rsid w:val="00294ED8"/>
    <w:rsid w:val="00295E01"/>
    <w:rsid w:val="002A127E"/>
    <w:rsid w:val="002A3EE5"/>
    <w:rsid w:val="002A436B"/>
    <w:rsid w:val="002A4A9A"/>
    <w:rsid w:val="002A6FEA"/>
    <w:rsid w:val="002A71F0"/>
    <w:rsid w:val="002B06F6"/>
    <w:rsid w:val="002B29D5"/>
    <w:rsid w:val="002B4CC9"/>
    <w:rsid w:val="002B5FE7"/>
    <w:rsid w:val="002C29D4"/>
    <w:rsid w:val="002C479A"/>
    <w:rsid w:val="002C73AB"/>
    <w:rsid w:val="002D389C"/>
    <w:rsid w:val="002D502D"/>
    <w:rsid w:val="002E0B98"/>
    <w:rsid w:val="002E0DEB"/>
    <w:rsid w:val="002E129A"/>
    <w:rsid w:val="002E13BB"/>
    <w:rsid w:val="002E2403"/>
    <w:rsid w:val="002E6EC3"/>
    <w:rsid w:val="002F042E"/>
    <w:rsid w:val="002F0AB2"/>
    <w:rsid w:val="002F6E38"/>
    <w:rsid w:val="002F7CCB"/>
    <w:rsid w:val="00300B5A"/>
    <w:rsid w:val="00310081"/>
    <w:rsid w:val="00312257"/>
    <w:rsid w:val="00314835"/>
    <w:rsid w:val="00321CD1"/>
    <w:rsid w:val="00322D25"/>
    <w:rsid w:val="00326066"/>
    <w:rsid w:val="003325C1"/>
    <w:rsid w:val="00332623"/>
    <w:rsid w:val="00342850"/>
    <w:rsid w:val="00346482"/>
    <w:rsid w:val="003519E5"/>
    <w:rsid w:val="00355872"/>
    <w:rsid w:val="00355CF5"/>
    <w:rsid w:val="00356E50"/>
    <w:rsid w:val="0035740C"/>
    <w:rsid w:val="00365ED5"/>
    <w:rsid w:val="00367E3E"/>
    <w:rsid w:val="00371C23"/>
    <w:rsid w:val="00372887"/>
    <w:rsid w:val="003737F6"/>
    <w:rsid w:val="00374764"/>
    <w:rsid w:val="003750F8"/>
    <w:rsid w:val="00380BDE"/>
    <w:rsid w:val="003926A1"/>
    <w:rsid w:val="003937EC"/>
    <w:rsid w:val="00396B57"/>
    <w:rsid w:val="00397A5F"/>
    <w:rsid w:val="003A43E4"/>
    <w:rsid w:val="003B0BE0"/>
    <w:rsid w:val="003B36E7"/>
    <w:rsid w:val="003B6C8F"/>
    <w:rsid w:val="003C350B"/>
    <w:rsid w:val="003C3B30"/>
    <w:rsid w:val="003C5122"/>
    <w:rsid w:val="003C60E7"/>
    <w:rsid w:val="003D18CD"/>
    <w:rsid w:val="003D24FE"/>
    <w:rsid w:val="003D667B"/>
    <w:rsid w:val="003E096A"/>
    <w:rsid w:val="003F10B6"/>
    <w:rsid w:val="003F16F7"/>
    <w:rsid w:val="003F387B"/>
    <w:rsid w:val="003F61EC"/>
    <w:rsid w:val="00401956"/>
    <w:rsid w:val="00404C50"/>
    <w:rsid w:val="004057FE"/>
    <w:rsid w:val="00407746"/>
    <w:rsid w:val="0041134D"/>
    <w:rsid w:val="004325D3"/>
    <w:rsid w:val="00434B9E"/>
    <w:rsid w:val="004411E4"/>
    <w:rsid w:val="00441501"/>
    <w:rsid w:val="00442045"/>
    <w:rsid w:val="00443791"/>
    <w:rsid w:val="004504C4"/>
    <w:rsid w:val="00453044"/>
    <w:rsid w:val="00462D07"/>
    <w:rsid w:val="00463942"/>
    <w:rsid w:val="004655AF"/>
    <w:rsid w:val="00472EA1"/>
    <w:rsid w:val="00474584"/>
    <w:rsid w:val="0047503E"/>
    <w:rsid w:val="004760BC"/>
    <w:rsid w:val="004850EA"/>
    <w:rsid w:val="00485DC7"/>
    <w:rsid w:val="00487953"/>
    <w:rsid w:val="00490B1D"/>
    <w:rsid w:val="004926A8"/>
    <w:rsid w:val="00492738"/>
    <w:rsid w:val="004958BE"/>
    <w:rsid w:val="004A016E"/>
    <w:rsid w:val="004A26E6"/>
    <w:rsid w:val="004A3E29"/>
    <w:rsid w:val="004A3E36"/>
    <w:rsid w:val="004A65D7"/>
    <w:rsid w:val="004A7E28"/>
    <w:rsid w:val="004A7FDE"/>
    <w:rsid w:val="004B09B3"/>
    <w:rsid w:val="004B30A2"/>
    <w:rsid w:val="004B315F"/>
    <w:rsid w:val="004B565C"/>
    <w:rsid w:val="004B56B8"/>
    <w:rsid w:val="004B58F0"/>
    <w:rsid w:val="004B5A5C"/>
    <w:rsid w:val="004B5B1C"/>
    <w:rsid w:val="004C2514"/>
    <w:rsid w:val="004C29BC"/>
    <w:rsid w:val="004C3D53"/>
    <w:rsid w:val="004C4C28"/>
    <w:rsid w:val="004C5B90"/>
    <w:rsid w:val="004C633C"/>
    <w:rsid w:val="004C73E1"/>
    <w:rsid w:val="004D16B0"/>
    <w:rsid w:val="004D51B3"/>
    <w:rsid w:val="004D6B92"/>
    <w:rsid w:val="004D71A1"/>
    <w:rsid w:val="004E2D3E"/>
    <w:rsid w:val="004E4FE7"/>
    <w:rsid w:val="004E5980"/>
    <w:rsid w:val="004E5E6E"/>
    <w:rsid w:val="004E74C4"/>
    <w:rsid w:val="00501768"/>
    <w:rsid w:val="005065F0"/>
    <w:rsid w:val="0050724E"/>
    <w:rsid w:val="005104A7"/>
    <w:rsid w:val="0051574D"/>
    <w:rsid w:val="005158F9"/>
    <w:rsid w:val="005168C0"/>
    <w:rsid w:val="0052153E"/>
    <w:rsid w:val="0052359B"/>
    <w:rsid w:val="00524E90"/>
    <w:rsid w:val="0053147B"/>
    <w:rsid w:val="00532324"/>
    <w:rsid w:val="00535F5B"/>
    <w:rsid w:val="00536221"/>
    <w:rsid w:val="005400B5"/>
    <w:rsid w:val="005434CB"/>
    <w:rsid w:val="0054392E"/>
    <w:rsid w:val="005479DF"/>
    <w:rsid w:val="005512EB"/>
    <w:rsid w:val="00551308"/>
    <w:rsid w:val="00554064"/>
    <w:rsid w:val="00557CBF"/>
    <w:rsid w:val="00560FF2"/>
    <w:rsid w:val="0056765F"/>
    <w:rsid w:val="005715B9"/>
    <w:rsid w:val="0057279E"/>
    <w:rsid w:val="00573400"/>
    <w:rsid w:val="0057379B"/>
    <w:rsid w:val="005746B2"/>
    <w:rsid w:val="00575B28"/>
    <w:rsid w:val="00585E81"/>
    <w:rsid w:val="00586306"/>
    <w:rsid w:val="00590069"/>
    <w:rsid w:val="0059012E"/>
    <w:rsid w:val="00594ACC"/>
    <w:rsid w:val="005A2D9E"/>
    <w:rsid w:val="005A3711"/>
    <w:rsid w:val="005A3887"/>
    <w:rsid w:val="005A6B38"/>
    <w:rsid w:val="005B14F0"/>
    <w:rsid w:val="005B7872"/>
    <w:rsid w:val="005C12EC"/>
    <w:rsid w:val="005C17BC"/>
    <w:rsid w:val="005C5CB0"/>
    <w:rsid w:val="005D1ED1"/>
    <w:rsid w:val="005D6666"/>
    <w:rsid w:val="005E0822"/>
    <w:rsid w:val="005E1892"/>
    <w:rsid w:val="005E7782"/>
    <w:rsid w:val="005E7CF9"/>
    <w:rsid w:val="005F0913"/>
    <w:rsid w:val="005F2BF7"/>
    <w:rsid w:val="005F600D"/>
    <w:rsid w:val="00605D57"/>
    <w:rsid w:val="0060728E"/>
    <w:rsid w:val="00607CAF"/>
    <w:rsid w:val="00610772"/>
    <w:rsid w:val="00611336"/>
    <w:rsid w:val="00614A99"/>
    <w:rsid w:val="00620052"/>
    <w:rsid w:val="0062249A"/>
    <w:rsid w:val="00623A62"/>
    <w:rsid w:val="00624C9A"/>
    <w:rsid w:val="00624E21"/>
    <w:rsid w:val="00631134"/>
    <w:rsid w:val="00632027"/>
    <w:rsid w:val="00633850"/>
    <w:rsid w:val="006404CF"/>
    <w:rsid w:val="006466CE"/>
    <w:rsid w:val="00651FFD"/>
    <w:rsid w:val="006538E0"/>
    <w:rsid w:val="006617A4"/>
    <w:rsid w:val="00661F7B"/>
    <w:rsid w:val="006623FB"/>
    <w:rsid w:val="00662DDC"/>
    <w:rsid w:val="006646BC"/>
    <w:rsid w:val="00664DD7"/>
    <w:rsid w:val="006748EB"/>
    <w:rsid w:val="00675437"/>
    <w:rsid w:val="0068002C"/>
    <w:rsid w:val="00682014"/>
    <w:rsid w:val="0068376E"/>
    <w:rsid w:val="0068398A"/>
    <w:rsid w:val="00685F2F"/>
    <w:rsid w:val="0068742F"/>
    <w:rsid w:val="0069074E"/>
    <w:rsid w:val="00697559"/>
    <w:rsid w:val="006A0057"/>
    <w:rsid w:val="006A347D"/>
    <w:rsid w:val="006A664E"/>
    <w:rsid w:val="006A6EB5"/>
    <w:rsid w:val="006A7F20"/>
    <w:rsid w:val="006B0917"/>
    <w:rsid w:val="006B3CA4"/>
    <w:rsid w:val="006B4A8D"/>
    <w:rsid w:val="006B5535"/>
    <w:rsid w:val="006B705A"/>
    <w:rsid w:val="006C1106"/>
    <w:rsid w:val="006C1388"/>
    <w:rsid w:val="006C501B"/>
    <w:rsid w:val="006C6138"/>
    <w:rsid w:val="006C698F"/>
    <w:rsid w:val="006C7E6A"/>
    <w:rsid w:val="006D14B2"/>
    <w:rsid w:val="006D1B6F"/>
    <w:rsid w:val="006D3988"/>
    <w:rsid w:val="006D7A73"/>
    <w:rsid w:val="006E2226"/>
    <w:rsid w:val="006E2DDB"/>
    <w:rsid w:val="006E2F93"/>
    <w:rsid w:val="006E42B5"/>
    <w:rsid w:val="006E491B"/>
    <w:rsid w:val="006F0DCD"/>
    <w:rsid w:val="006F2634"/>
    <w:rsid w:val="006F4039"/>
    <w:rsid w:val="006F5B28"/>
    <w:rsid w:val="006F5D23"/>
    <w:rsid w:val="006F6635"/>
    <w:rsid w:val="006F6833"/>
    <w:rsid w:val="00700AF7"/>
    <w:rsid w:val="0070624F"/>
    <w:rsid w:val="00707094"/>
    <w:rsid w:val="00707BE0"/>
    <w:rsid w:val="00712F7A"/>
    <w:rsid w:val="00715D2A"/>
    <w:rsid w:val="00716167"/>
    <w:rsid w:val="00716452"/>
    <w:rsid w:val="007253D5"/>
    <w:rsid w:val="00727982"/>
    <w:rsid w:val="0073295E"/>
    <w:rsid w:val="00732D8A"/>
    <w:rsid w:val="007337CD"/>
    <w:rsid w:val="00734944"/>
    <w:rsid w:val="00740A90"/>
    <w:rsid w:val="00743824"/>
    <w:rsid w:val="00743DB7"/>
    <w:rsid w:val="00755B08"/>
    <w:rsid w:val="00757025"/>
    <w:rsid w:val="007577DE"/>
    <w:rsid w:val="00764589"/>
    <w:rsid w:val="0077034D"/>
    <w:rsid w:val="00771199"/>
    <w:rsid w:val="00777576"/>
    <w:rsid w:val="007821DF"/>
    <w:rsid w:val="00782572"/>
    <w:rsid w:val="007838E8"/>
    <w:rsid w:val="007858C5"/>
    <w:rsid w:val="007931B5"/>
    <w:rsid w:val="007A02EE"/>
    <w:rsid w:val="007A0BCA"/>
    <w:rsid w:val="007A1D1F"/>
    <w:rsid w:val="007A1DC0"/>
    <w:rsid w:val="007A4573"/>
    <w:rsid w:val="007A5916"/>
    <w:rsid w:val="007A6C76"/>
    <w:rsid w:val="007B0331"/>
    <w:rsid w:val="007B1657"/>
    <w:rsid w:val="007B336C"/>
    <w:rsid w:val="007B41D2"/>
    <w:rsid w:val="007B42AF"/>
    <w:rsid w:val="007B6B39"/>
    <w:rsid w:val="007C04A8"/>
    <w:rsid w:val="007C268C"/>
    <w:rsid w:val="007C6C67"/>
    <w:rsid w:val="007D4ED3"/>
    <w:rsid w:val="007D6A29"/>
    <w:rsid w:val="007E0AFD"/>
    <w:rsid w:val="007E1882"/>
    <w:rsid w:val="007E3008"/>
    <w:rsid w:val="007E65E4"/>
    <w:rsid w:val="007F075B"/>
    <w:rsid w:val="007F0B9B"/>
    <w:rsid w:val="007F210B"/>
    <w:rsid w:val="007F6299"/>
    <w:rsid w:val="00802175"/>
    <w:rsid w:val="0080488B"/>
    <w:rsid w:val="00807112"/>
    <w:rsid w:val="0081036E"/>
    <w:rsid w:val="008113B2"/>
    <w:rsid w:val="0081544F"/>
    <w:rsid w:val="0081764C"/>
    <w:rsid w:val="00822237"/>
    <w:rsid w:val="0082296B"/>
    <w:rsid w:val="00825AC3"/>
    <w:rsid w:val="008271B6"/>
    <w:rsid w:val="008315E5"/>
    <w:rsid w:val="0084015B"/>
    <w:rsid w:val="00842920"/>
    <w:rsid w:val="00844ACA"/>
    <w:rsid w:val="00845E7B"/>
    <w:rsid w:val="00845F94"/>
    <w:rsid w:val="008460A8"/>
    <w:rsid w:val="00846EAB"/>
    <w:rsid w:val="0084748E"/>
    <w:rsid w:val="00847F0E"/>
    <w:rsid w:val="00857570"/>
    <w:rsid w:val="00857710"/>
    <w:rsid w:val="008667AE"/>
    <w:rsid w:val="00867D44"/>
    <w:rsid w:val="00871531"/>
    <w:rsid w:val="00875ABF"/>
    <w:rsid w:val="00880008"/>
    <w:rsid w:val="008849CF"/>
    <w:rsid w:val="00890908"/>
    <w:rsid w:val="00891E80"/>
    <w:rsid w:val="008A16A9"/>
    <w:rsid w:val="008A1B2E"/>
    <w:rsid w:val="008A2BD4"/>
    <w:rsid w:val="008A36CC"/>
    <w:rsid w:val="008A3F48"/>
    <w:rsid w:val="008B0F45"/>
    <w:rsid w:val="008B5C18"/>
    <w:rsid w:val="008C2617"/>
    <w:rsid w:val="008C315E"/>
    <w:rsid w:val="008C4CEB"/>
    <w:rsid w:val="008C5065"/>
    <w:rsid w:val="008C7024"/>
    <w:rsid w:val="008D17F6"/>
    <w:rsid w:val="008D3782"/>
    <w:rsid w:val="008D43D0"/>
    <w:rsid w:val="008D4CD9"/>
    <w:rsid w:val="008E079C"/>
    <w:rsid w:val="008F29F4"/>
    <w:rsid w:val="008F4F8D"/>
    <w:rsid w:val="00900041"/>
    <w:rsid w:val="00904B70"/>
    <w:rsid w:val="009074CC"/>
    <w:rsid w:val="0091244D"/>
    <w:rsid w:val="009131FD"/>
    <w:rsid w:val="009161F9"/>
    <w:rsid w:val="00916F46"/>
    <w:rsid w:val="0092069D"/>
    <w:rsid w:val="00923C0E"/>
    <w:rsid w:val="00926174"/>
    <w:rsid w:val="00931FB4"/>
    <w:rsid w:val="00940385"/>
    <w:rsid w:val="00944C4F"/>
    <w:rsid w:val="0094557C"/>
    <w:rsid w:val="00945CB6"/>
    <w:rsid w:val="009465E7"/>
    <w:rsid w:val="009514AA"/>
    <w:rsid w:val="00951A32"/>
    <w:rsid w:val="00952381"/>
    <w:rsid w:val="00952F50"/>
    <w:rsid w:val="00955065"/>
    <w:rsid w:val="00955B8D"/>
    <w:rsid w:val="0095756F"/>
    <w:rsid w:val="009661C0"/>
    <w:rsid w:val="00966AF9"/>
    <w:rsid w:val="00972B08"/>
    <w:rsid w:val="00974162"/>
    <w:rsid w:val="00975D49"/>
    <w:rsid w:val="00983F96"/>
    <w:rsid w:val="0098724D"/>
    <w:rsid w:val="00990A76"/>
    <w:rsid w:val="00991A00"/>
    <w:rsid w:val="00993B3E"/>
    <w:rsid w:val="00993CED"/>
    <w:rsid w:val="00996182"/>
    <w:rsid w:val="009A0C66"/>
    <w:rsid w:val="009A1F0A"/>
    <w:rsid w:val="009A22BE"/>
    <w:rsid w:val="009B160E"/>
    <w:rsid w:val="009B7DBC"/>
    <w:rsid w:val="009C0B64"/>
    <w:rsid w:val="009C2EFD"/>
    <w:rsid w:val="009C4326"/>
    <w:rsid w:val="009C4AD8"/>
    <w:rsid w:val="009C5A9E"/>
    <w:rsid w:val="009C6020"/>
    <w:rsid w:val="009D20FB"/>
    <w:rsid w:val="009D57AA"/>
    <w:rsid w:val="009D7420"/>
    <w:rsid w:val="009E1F67"/>
    <w:rsid w:val="009E6E65"/>
    <w:rsid w:val="009E7C9E"/>
    <w:rsid w:val="009F23FC"/>
    <w:rsid w:val="009F2F33"/>
    <w:rsid w:val="009F6E49"/>
    <w:rsid w:val="009F71E7"/>
    <w:rsid w:val="00A00363"/>
    <w:rsid w:val="00A018B6"/>
    <w:rsid w:val="00A05610"/>
    <w:rsid w:val="00A07BAA"/>
    <w:rsid w:val="00A100F7"/>
    <w:rsid w:val="00A114D5"/>
    <w:rsid w:val="00A1754F"/>
    <w:rsid w:val="00A302AF"/>
    <w:rsid w:val="00A353EC"/>
    <w:rsid w:val="00A354F8"/>
    <w:rsid w:val="00A45381"/>
    <w:rsid w:val="00A50404"/>
    <w:rsid w:val="00A51575"/>
    <w:rsid w:val="00A52E34"/>
    <w:rsid w:val="00A52FBD"/>
    <w:rsid w:val="00A5554B"/>
    <w:rsid w:val="00A74D26"/>
    <w:rsid w:val="00A76962"/>
    <w:rsid w:val="00A77407"/>
    <w:rsid w:val="00A77567"/>
    <w:rsid w:val="00A819C3"/>
    <w:rsid w:val="00A82ACD"/>
    <w:rsid w:val="00A836FA"/>
    <w:rsid w:val="00A860B8"/>
    <w:rsid w:val="00A861A9"/>
    <w:rsid w:val="00A87951"/>
    <w:rsid w:val="00A87DC8"/>
    <w:rsid w:val="00A90970"/>
    <w:rsid w:val="00A9637F"/>
    <w:rsid w:val="00AA1713"/>
    <w:rsid w:val="00AA2421"/>
    <w:rsid w:val="00AA4343"/>
    <w:rsid w:val="00AA6B32"/>
    <w:rsid w:val="00AA6E74"/>
    <w:rsid w:val="00AA6FE9"/>
    <w:rsid w:val="00AB1266"/>
    <w:rsid w:val="00AB613E"/>
    <w:rsid w:val="00AB645C"/>
    <w:rsid w:val="00AB6FDF"/>
    <w:rsid w:val="00AB7708"/>
    <w:rsid w:val="00AC0A4E"/>
    <w:rsid w:val="00AC6842"/>
    <w:rsid w:val="00AD3B22"/>
    <w:rsid w:val="00AD4443"/>
    <w:rsid w:val="00AD58E0"/>
    <w:rsid w:val="00AE3423"/>
    <w:rsid w:val="00AE65EC"/>
    <w:rsid w:val="00AF5771"/>
    <w:rsid w:val="00AF64B2"/>
    <w:rsid w:val="00B01C1B"/>
    <w:rsid w:val="00B053C0"/>
    <w:rsid w:val="00B0565F"/>
    <w:rsid w:val="00B06AF5"/>
    <w:rsid w:val="00B11A9D"/>
    <w:rsid w:val="00B152A9"/>
    <w:rsid w:val="00B16116"/>
    <w:rsid w:val="00B20024"/>
    <w:rsid w:val="00B2283F"/>
    <w:rsid w:val="00B26637"/>
    <w:rsid w:val="00B33A00"/>
    <w:rsid w:val="00B340C8"/>
    <w:rsid w:val="00B344C0"/>
    <w:rsid w:val="00B34DD0"/>
    <w:rsid w:val="00B46247"/>
    <w:rsid w:val="00B46BC7"/>
    <w:rsid w:val="00B56CAC"/>
    <w:rsid w:val="00B56EB6"/>
    <w:rsid w:val="00B60FFF"/>
    <w:rsid w:val="00B64C48"/>
    <w:rsid w:val="00B658DF"/>
    <w:rsid w:val="00B661B9"/>
    <w:rsid w:val="00B67E82"/>
    <w:rsid w:val="00B7225A"/>
    <w:rsid w:val="00B7346C"/>
    <w:rsid w:val="00B848B6"/>
    <w:rsid w:val="00B85C67"/>
    <w:rsid w:val="00B91238"/>
    <w:rsid w:val="00B92D90"/>
    <w:rsid w:val="00B94AF8"/>
    <w:rsid w:val="00B94C24"/>
    <w:rsid w:val="00B95FD7"/>
    <w:rsid w:val="00B9656A"/>
    <w:rsid w:val="00B96839"/>
    <w:rsid w:val="00BA230A"/>
    <w:rsid w:val="00BA3634"/>
    <w:rsid w:val="00BA3974"/>
    <w:rsid w:val="00BA6CE1"/>
    <w:rsid w:val="00BB021E"/>
    <w:rsid w:val="00BB319C"/>
    <w:rsid w:val="00BB477D"/>
    <w:rsid w:val="00BB724C"/>
    <w:rsid w:val="00BC606A"/>
    <w:rsid w:val="00BC7E71"/>
    <w:rsid w:val="00BD06CC"/>
    <w:rsid w:val="00BD153C"/>
    <w:rsid w:val="00BD44C2"/>
    <w:rsid w:val="00BE434B"/>
    <w:rsid w:val="00BE4EDC"/>
    <w:rsid w:val="00BE6341"/>
    <w:rsid w:val="00BF0F1B"/>
    <w:rsid w:val="00BF1D26"/>
    <w:rsid w:val="00BF35A7"/>
    <w:rsid w:val="00C059C8"/>
    <w:rsid w:val="00C116DF"/>
    <w:rsid w:val="00C11CE2"/>
    <w:rsid w:val="00C155F6"/>
    <w:rsid w:val="00C15D9B"/>
    <w:rsid w:val="00C21587"/>
    <w:rsid w:val="00C26C28"/>
    <w:rsid w:val="00C27DDB"/>
    <w:rsid w:val="00C31D46"/>
    <w:rsid w:val="00C334E0"/>
    <w:rsid w:val="00C36E0E"/>
    <w:rsid w:val="00C419BB"/>
    <w:rsid w:val="00C452F0"/>
    <w:rsid w:val="00C458E8"/>
    <w:rsid w:val="00C46FF8"/>
    <w:rsid w:val="00C47E6F"/>
    <w:rsid w:val="00C5142F"/>
    <w:rsid w:val="00C52B93"/>
    <w:rsid w:val="00C53223"/>
    <w:rsid w:val="00C55173"/>
    <w:rsid w:val="00C66301"/>
    <w:rsid w:val="00C67C0B"/>
    <w:rsid w:val="00C74F1E"/>
    <w:rsid w:val="00C757BB"/>
    <w:rsid w:val="00C76F32"/>
    <w:rsid w:val="00C82EB9"/>
    <w:rsid w:val="00C833F3"/>
    <w:rsid w:val="00C85A38"/>
    <w:rsid w:val="00C876E8"/>
    <w:rsid w:val="00CB0D72"/>
    <w:rsid w:val="00CB1C17"/>
    <w:rsid w:val="00CC288C"/>
    <w:rsid w:val="00CC2C92"/>
    <w:rsid w:val="00CC3ADA"/>
    <w:rsid w:val="00CC4544"/>
    <w:rsid w:val="00CC4C64"/>
    <w:rsid w:val="00CC6AFD"/>
    <w:rsid w:val="00CD39A7"/>
    <w:rsid w:val="00CD4076"/>
    <w:rsid w:val="00CD5361"/>
    <w:rsid w:val="00CD5C90"/>
    <w:rsid w:val="00CE2390"/>
    <w:rsid w:val="00CE3927"/>
    <w:rsid w:val="00CE510A"/>
    <w:rsid w:val="00CF0E13"/>
    <w:rsid w:val="00CF1F22"/>
    <w:rsid w:val="00CF371A"/>
    <w:rsid w:val="00CF396C"/>
    <w:rsid w:val="00CF5ABA"/>
    <w:rsid w:val="00CF6A4D"/>
    <w:rsid w:val="00D025DC"/>
    <w:rsid w:val="00D04CBE"/>
    <w:rsid w:val="00D1177F"/>
    <w:rsid w:val="00D200F4"/>
    <w:rsid w:val="00D314DF"/>
    <w:rsid w:val="00D32228"/>
    <w:rsid w:val="00D364AB"/>
    <w:rsid w:val="00D429F2"/>
    <w:rsid w:val="00D439F3"/>
    <w:rsid w:val="00D4451F"/>
    <w:rsid w:val="00D50F42"/>
    <w:rsid w:val="00D527D3"/>
    <w:rsid w:val="00D62F6D"/>
    <w:rsid w:val="00D657A9"/>
    <w:rsid w:val="00D66905"/>
    <w:rsid w:val="00D73A6B"/>
    <w:rsid w:val="00D75053"/>
    <w:rsid w:val="00D77EFC"/>
    <w:rsid w:val="00D816CB"/>
    <w:rsid w:val="00D81DB7"/>
    <w:rsid w:val="00D82FF2"/>
    <w:rsid w:val="00D835A0"/>
    <w:rsid w:val="00D97324"/>
    <w:rsid w:val="00DA0A9F"/>
    <w:rsid w:val="00DA2E14"/>
    <w:rsid w:val="00DA6ED0"/>
    <w:rsid w:val="00DB169D"/>
    <w:rsid w:val="00DB5C92"/>
    <w:rsid w:val="00DB797D"/>
    <w:rsid w:val="00DC0204"/>
    <w:rsid w:val="00DC36EE"/>
    <w:rsid w:val="00DC3F22"/>
    <w:rsid w:val="00DC4D0E"/>
    <w:rsid w:val="00DD1FF9"/>
    <w:rsid w:val="00DD20D6"/>
    <w:rsid w:val="00DD296C"/>
    <w:rsid w:val="00DD33D0"/>
    <w:rsid w:val="00DE1110"/>
    <w:rsid w:val="00DE2915"/>
    <w:rsid w:val="00DE3533"/>
    <w:rsid w:val="00DE5EC6"/>
    <w:rsid w:val="00DE69EF"/>
    <w:rsid w:val="00DF518E"/>
    <w:rsid w:val="00DF5C96"/>
    <w:rsid w:val="00DF5F16"/>
    <w:rsid w:val="00DF7542"/>
    <w:rsid w:val="00E03B34"/>
    <w:rsid w:val="00E12B35"/>
    <w:rsid w:val="00E1370A"/>
    <w:rsid w:val="00E140AF"/>
    <w:rsid w:val="00E14A7B"/>
    <w:rsid w:val="00E17489"/>
    <w:rsid w:val="00E20DBC"/>
    <w:rsid w:val="00E222C6"/>
    <w:rsid w:val="00E26A7E"/>
    <w:rsid w:val="00E30B2C"/>
    <w:rsid w:val="00E3417F"/>
    <w:rsid w:val="00E60D16"/>
    <w:rsid w:val="00E722EC"/>
    <w:rsid w:val="00E74257"/>
    <w:rsid w:val="00E74487"/>
    <w:rsid w:val="00E75052"/>
    <w:rsid w:val="00E766E2"/>
    <w:rsid w:val="00E77E97"/>
    <w:rsid w:val="00E81244"/>
    <w:rsid w:val="00E824EE"/>
    <w:rsid w:val="00E91C8F"/>
    <w:rsid w:val="00E93DD3"/>
    <w:rsid w:val="00EA15AE"/>
    <w:rsid w:val="00EA19C2"/>
    <w:rsid w:val="00EA4222"/>
    <w:rsid w:val="00EA7158"/>
    <w:rsid w:val="00EB2E48"/>
    <w:rsid w:val="00EB3CDF"/>
    <w:rsid w:val="00EB3DF4"/>
    <w:rsid w:val="00EB413F"/>
    <w:rsid w:val="00EC0053"/>
    <w:rsid w:val="00EC1B7F"/>
    <w:rsid w:val="00EC251A"/>
    <w:rsid w:val="00EC45AE"/>
    <w:rsid w:val="00EC4C1C"/>
    <w:rsid w:val="00EC5FDC"/>
    <w:rsid w:val="00EC7460"/>
    <w:rsid w:val="00EC7903"/>
    <w:rsid w:val="00ED1F79"/>
    <w:rsid w:val="00ED2EC7"/>
    <w:rsid w:val="00ED3232"/>
    <w:rsid w:val="00ED675E"/>
    <w:rsid w:val="00EE564E"/>
    <w:rsid w:val="00EF47D3"/>
    <w:rsid w:val="00EF4A67"/>
    <w:rsid w:val="00EF59ED"/>
    <w:rsid w:val="00EF7418"/>
    <w:rsid w:val="00F0789C"/>
    <w:rsid w:val="00F108D7"/>
    <w:rsid w:val="00F114A6"/>
    <w:rsid w:val="00F12FC9"/>
    <w:rsid w:val="00F168DD"/>
    <w:rsid w:val="00F16D8B"/>
    <w:rsid w:val="00F17245"/>
    <w:rsid w:val="00F1746F"/>
    <w:rsid w:val="00F17831"/>
    <w:rsid w:val="00F25086"/>
    <w:rsid w:val="00F25871"/>
    <w:rsid w:val="00F3141D"/>
    <w:rsid w:val="00F33A8A"/>
    <w:rsid w:val="00F33DCF"/>
    <w:rsid w:val="00F342E2"/>
    <w:rsid w:val="00F371B5"/>
    <w:rsid w:val="00F417A9"/>
    <w:rsid w:val="00F43355"/>
    <w:rsid w:val="00F50677"/>
    <w:rsid w:val="00F50AA9"/>
    <w:rsid w:val="00F52FA0"/>
    <w:rsid w:val="00F62C6C"/>
    <w:rsid w:val="00F6450E"/>
    <w:rsid w:val="00F673CB"/>
    <w:rsid w:val="00F674F5"/>
    <w:rsid w:val="00F717BF"/>
    <w:rsid w:val="00F73138"/>
    <w:rsid w:val="00F74683"/>
    <w:rsid w:val="00F7512B"/>
    <w:rsid w:val="00F75C6C"/>
    <w:rsid w:val="00F75ED2"/>
    <w:rsid w:val="00F7639F"/>
    <w:rsid w:val="00F8198A"/>
    <w:rsid w:val="00F86E44"/>
    <w:rsid w:val="00F87AF2"/>
    <w:rsid w:val="00FA2F2E"/>
    <w:rsid w:val="00FA335B"/>
    <w:rsid w:val="00FA7491"/>
    <w:rsid w:val="00FB395D"/>
    <w:rsid w:val="00FB5D11"/>
    <w:rsid w:val="00FB6F7C"/>
    <w:rsid w:val="00FB79BC"/>
    <w:rsid w:val="00FC0753"/>
    <w:rsid w:val="00FC0B46"/>
    <w:rsid w:val="00FD1121"/>
    <w:rsid w:val="00FD40C6"/>
    <w:rsid w:val="00FD559C"/>
    <w:rsid w:val="00FE2082"/>
    <w:rsid w:val="00FF6583"/>
    <w:rsid w:val="00FF71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242B"/>
  <w15:docId w15:val="{C8F3DF36-CE73-41A1-834B-64ABDECF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80B85"/>
    <w:pPr>
      <w:spacing w:line="240" w:lineRule="auto"/>
      <w:jc w:val="both"/>
    </w:pPr>
    <w:rPr>
      <w:rFonts w:ascii="Arial" w:hAnsi="Arial"/>
      <w:sz w:val="24"/>
    </w:rPr>
  </w:style>
  <w:style w:type="paragraph" w:styleId="Nadpis1">
    <w:name w:val="heading 1"/>
    <w:basedOn w:val="Normln"/>
    <w:next w:val="Normln"/>
    <w:link w:val="Nadpis1Char"/>
    <w:uiPriority w:val="9"/>
    <w:qFormat/>
    <w:rsid w:val="00280B85"/>
    <w:pPr>
      <w:keepNext/>
      <w:keepLines/>
      <w:numPr>
        <w:numId w:val="1"/>
      </w:numPr>
      <w:spacing w:before="240" w:after="120" w:line="259" w:lineRule="auto"/>
      <w:ind w:left="0" w:firstLine="0"/>
      <w:outlineLvl w:val="0"/>
    </w:pPr>
    <w:rPr>
      <w:rFonts w:eastAsiaTheme="majorEastAsia" w:cstheme="majorBidi"/>
      <w:b/>
      <w:sz w:val="40"/>
      <w:szCs w:val="32"/>
    </w:rPr>
  </w:style>
  <w:style w:type="paragraph" w:styleId="Nadpis2">
    <w:name w:val="heading 2"/>
    <w:basedOn w:val="Normln"/>
    <w:next w:val="Normln"/>
    <w:link w:val="Nadpis2Char"/>
    <w:autoRedefine/>
    <w:uiPriority w:val="9"/>
    <w:unhideWhenUsed/>
    <w:qFormat/>
    <w:rsid w:val="00280B85"/>
    <w:pPr>
      <w:keepNext/>
      <w:keepLines/>
      <w:numPr>
        <w:ilvl w:val="1"/>
        <w:numId w:val="1"/>
      </w:numPr>
      <w:spacing w:before="240" w:after="120" w:line="259" w:lineRule="auto"/>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D66905"/>
    <w:pPr>
      <w:keepNext/>
      <w:keepLines/>
      <w:numPr>
        <w:ilvl w:val="2"/>
        <w:numId w:val="1"/>
      </w:numPr>
      <w:spacing w:before="240" w:after="120"/>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4B5A5C"/>
    <w:pPr>
      <w:keepNext/>
      <w:keepLines/>
      <w:numPr>
        <w:ilvl w:val="3"/>
        <w:numId w:val="1"/>
      </w:numPr>
      <w:spacing w:before="240" w:after="120" w:line="259" w:lineRule="auto"/>
      <w:outlineLvl w:val="3"/>
    </w:pPr>
    <w:rPr>
      <w:rFonts w:eastAsiaTheme="majorEastAsia" w:cs="Times New Roman"/>
      <w:b/>
      <w:iCs/>
      <w:sz w:val="28"/>
      <w:lang w:eastAsia="zh-CN"/>
    </w:rPr>
  </w:style>
  <w:style w:type="paragraph" w:styleId="Nadpis5">
    <w:name w:val="heading 5"/>
    <w:basedOn w:val="Normln"/>
    <w:next w:val="Normln"/>
    <w:link w:val="Nadpis5Char"/>
    <w:autoRedefine/>
    <w:uiPriority w:val="9"/>
    <w:unhideWhenUsed/>
    <w:qFormat/>
    <w:rsid w:val="00280B85"/>
    <w:pPr>
      <w:keepNext/>
      <w:keepLines/>
      <w:numPr>
        <w:numId w:val="8"/>
      </w:numPr>
      <w:spacing w:before="240" w:after="120" w:line="259" w:lineRule="auto"/>
      <w:ind w:left="714" w:hanging="357"/>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280B85"/>
    <w:pPr>
      <w:keepNext/>
      <w:keepLines/>
      <w:numPr>
        <w:numId w:val="3"/>
      </w:numPr>
      <w:spacing w:before="240" w:after="120" w:line="259" w:lineRule="auto"/>
      <w:ind w:left="714" w:hanging="357"/>
      <w:outlineLvl w:val="5"/>
    </w:pPr>
    <w:rPr>
      <w:rFonts w:eastAsiaTheme="majorEastAsia" w:cstheme="majorBidi"/>
      <w:u w:val="single"/>
    </w:rPr>
  </w:style>
  <w:style w:type="paragraph" w:styleId="Nadpis7">
    <w:name w:val="heading 7"/>
    <w:basedOn w:val="Normln"/>
    <w:next w:val="Normln"/>
    <w:link w:val="Nadpis7Char"/>
    <w:autoRedefine/>
    <w:uiPriority w:val="9"/>
    <w:unhideWhenUsed/>
    <w:qFormat/>
    <w:rsid w:val="00280B85"/>
    <w:pPr>
      <w:keepNext/>
      <w:keepLines/>
      <w:numPr>
        <w:ilvl w:val="6"/>
        <w:numId w:val="1"/>
      </w:numPr>
      <w:spacing w:before="240" w:after="120" w:line="259" w:lineRule="auto"/>
      <w:ind w:left="0" w:firstLine="0"/>
      <w:outlineLvl w:val="6"/>
    </w:pPr>
    <w:rPr>
      <w:rFonts w:eastAsiaTheme="majorEastAsia" w:cstheme="majorBidi"/>
      <w:b/>
      <w:iCs/>
    </w:rPr>
  </w:style>
  <w:style w:type="paragraph" w:styleId="Nadpis8">
    <w:name w:val="heading 8"/>
    <w:basedOn w:val="Normln"/>
    <w:next w:val="Normln"/>
    <w:link w:val="Nadpis8Char"/>
    <w:autoRedefine/>
    <w:uiPriority w:val="9"/>
    <w:unhideWhenUsed/>
    <w:qFormat/>
    <w:rsid w:val="00280B85"/>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0B85"/>
    <w:rPr>
      <w:rFonts w:ascii="Arial" w:eastAsiaTheme="majorEastAsia" w:hAnsi="Arial" w:cstheme="majorBidi"/>
      <w:b/>
      <w:sz w:val="40"/>
      <w:szCs w:val="32"/>
    </w:rPr>
  </w:style>
  <w:style w:type="character" w:customStyle="1" w:styleId="Nadpis2Char">
    <w:name w:val="Nadpis 2 Char"/>
    <w:basedOn w:val="Standardnpsmoodstavce"/>
    <w:link w:val="Nadpis2"/>
    <w:uiPriority w:val="9"/>
    <w:rsid w:val="00280B85"/>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D66905"/>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4B5A5C"/>
    <w:rPr>
      <w:rFonts w:ascii="Arial" w:eastAsiaTheme="majorEastAsia" w:hAnsi="Arial" w:cs="Times New Roman"/>
      <w:b/>
      <w:iCs/>
      <w:sz w:val="28"/>
      <w:lang w:eastAsia="zh-CN"/>
    </w:rPr>
  </w:style>
  <w:style w:type="character" w:customStyle="1" w:styleId="Nadpis5Char">
    <w:name w:val="Nadpis 5 Char"/>
    <w:basedOn w:val="Standardnpsmoodstavce"/>
    <w:link w:val="Nadpis5"/>
    <w:uiPriority w:val="9"/>
    <w:rsid w:val="00280B85"/>
    <w:rPr>
      <w:rFonts w:ascii="Arial" w:eastAsiaTheme="majorEastAsia" w:hAnsi="Arial" w:cstheme="majorBidi"/>
      <w:b/>
      <w:sz w:val="24"/>
    </w:rPr>
  </w:style>
  <w:style w:type="character" w:customStyle="1" w:styleId="Nadpis6Char">
    <w:name w:val="Nadpis 6 Char"/>
    <w:basedOn w:val="Standardnpsmoodstavce"/>
    <w:link w:val="Nadpis6"/>
    <w:uiPriority w:val="9"/>
    <w:rsid w:val="00280B85"/>
    <w:rPr>
      <w:rFonts w:ascii="Arial" w:eastAsiaTheme="majorEastAsia" w:hAnsi="Arial" w:cstheme="majorBidi"/>
      <w:sz w:val="24"/>
      <w:u w:val="single"/>
    </w:rPr>
  </w:style>
  <w:style w:type="character" w:customStyle="1" w:styleId="Nadpis7Char">
    <w:name w:val="Nadpis 7 Char"/>
    <w:basedOn w:val="Standardnpsmoodstavce"/>
    <w:link w:val="Nadpis7"/>
    <w:uiPriority w:val="9"/>
    <w:rsid w:val="00280B85"/>
    <w:rPr>
      <w:rFonts w:ascii="Arial" w:eastAsiaTheme="majorEastAsia" w:hAnsi="Arial" w:cstheme="majorBidi"/>
      <w:b/>
      <w:iCs/>
      <w:sz w:val="24"/>
    </w:rPr>
  </w:style>
  <w:style w:type="character" w:customStyle="1" w:styleId="Nadpis8Char">
    <w:name w:val="Nadpis 8 Char"/>
    <w:basedOn w:val="Standardnpsmoodstavce"/>
    <w:link w:val="Nadpis8"/>
    <w:uiPriority w:val="9"/>
    <w:rsid w:val="00280B85"/>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qFormat/>
    <w:rsid w:val="006F5B28"/>
    <w:rPr>
      <w:sz w:val="16"/>
      <w:szCs w:val="16"/>
    </w:rPr>
  </w:style>
  <w:style w:type="paragraph" w:styleId="Textkomente">
    <w:name w:val="annotation text"/>
    <w:basedOn w:val="Normln"/>
    <w:link w:val="TextkomenteChar"/>
    <w:uiPriority w:val="99"/>
    <w:unhideWhenUsed/>
    <w:qFormat/>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Nadpisobsahu">
    <w:name w:val="TOC Heading"/>
    <w:basedOn w:val="Nadpis1"/>
    <w:next w:val="Normln"/>
    <w:uiPriority w:val="39"/>
    <w:unhideWhenUsed/>
    <w:qFormat/>
    <w:rsid w:val="003519E5"/>
    <w:pPr>
      <w:numPr>
        <w:numId w:val="0"/>
      </w:numPr>
      <w:spacing w:before="480" w:after="0" w:line="276" w:lineRule="auto"/>
      <w:jc w:val="left"/>
      <w:outlineLvl w:val="9"/>
    </w:pPr>
    <w:rPr>
      <w:rFonts w:asciiTheme="majorHAnsi" w:hAnsiTheme="majorHAnsi"/>
      <w:bCs/>
      <w:color w:val="2E74B5" w:themeColor="accent1" w:themeShade="BF"/>
      <w:sz w:val="28"/>
      <w:szCs w:val="28"/>
      <w:lang w:eastAsia="cs-CZ"/>
    </w:rPr>
  </w:style>
  <w:style w:type="paragraph" w:styleId="Obsah2">
    <w:name w:val="toc 2"/>
    <w:basedOn w:val="Normln"/>
    <w:next w:val="Normln"/>
    <w:autoRedefine/>
    <w:uiPriority w:val="39"/>
    <w:unhideWhenUsed/>
    <w:rsid w:val="003519E5"/>
    <w:pPr>
      <w:spacing w:after="100"/>
      <w:ind w:left="240"/>
    </w:pPr>
  </w:style>
  <w:style w:type="paragraph" w:styleId="Obsah3">
    <w:name w:val="toc 3"/>
    <w:basedOn w:val="Normln"/>
    <w:next w:val="Normln"/>
    <w:autoRedefine/>
    <w:uiPriority w:val="39"/>
    <w:unhideWhenUsed/>
    <w:rsid w:val="003519E5"/>
    <w:pPr>
      <w:spacing w:after="100"/>
      <w:ind w:left="480"/>
    </w:pPr>
  </w:style>
  <w:style w:type="paragraph" w:styleId="Obsah1">
    <w:name w:val="toc 1"/>
    <w:basedOn w:val="Normln"/>
    <w:next w:val="Normln"/>
    <w:autoRedefine/>
    <w:uiPriority w:val="39"/>
    <w:unhideWhenUsed/>
    <w:rsid w:val="00614A99"/>
    <w:pPr>
      <w:spacing w:after="100"/>
    </w:pPr>
  </w:style>
  <w:style w:type="paragraph" w:styleId="Textpoznpodarou">
    <w:name w:val="footnote text"/>
    <w:basedOn w:val="Normln"/>
    <w:link w:val="TextpoznpodarouChar"/>
    <w:uiPriority w:val="99"/>
    <w:unhideWhenUsed/>
    <w:rsid w:val="000B15C0"/>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rsid w:val="000B15C0"/>
    <w:rPr>
      <w:sz w:val="20"/>
      <w:szCs w:val="20"/>
    </w:rPr>
  </w:style>
  <w:style w:type="character" w:styleId="Znakapoznpodarou">
    <w:name w:val="footnote reference"/>
    <w:basedOn w:val="Standardnpsmoodstavce"/>
    <w:uiPriority w:val="99"/>
    <w:semiHidden/>
    <w:unhideWhenUsed/>
    <w:rsid w:val="000B15C0"/>
    <w:rPr>
      <w:vertAlign w:val="superscript"/>
    </w:rPr>
  </w:style>
  <w:style w:type="paragraph" w:styleId="Normlnweb">
    <w:name w:val="Normal (Web)"/>
    <w:basedOn w:val="Normln"/>
    <w:uiPriority w:val="99"/>
    <w:unhideWhenUsed/>
    <w:rsid w:val="00CE3927"/>
    <w:pPr>
      <w:spacing w:before="100" w:beforeAutospacing="1" w:after="100" w:afterAutospacing="1"/>
      <w:jc w:val="left"/>
    </w:pPr>
    <w:rPr>
      <w:rFonts w:ascii="Times New Roman" w:eastAsia="Times New Roman" w:hAnsi="Times New Roman" w:cs="Times New Roman"/>
      <w:szCs w:val="24"/>
      <w:lang w:eastAsia="cs-CZ"/>
    </w:rPr>
  </w:style>
  <w:style w:type="character" w:styleId="Siln">
    <w:name w:val="Strong"/>
    <w:basedOn w:val="Standardnpsmoodstavce"/>
    <w:uiPriority w:val="22"/>
    <w:qFormat/>
    <w:rsid w:val="00CE3927"/>
    <w:rPr>
      <w:b/>
      <w:bCs/>
    </w:rPr>
  </w:style>
  <w:style w:type="paragraph" w:styleId="Revize">
    <w:name w:val="Revision"/>
    <w:hidden/>
    <w:uiPriority w:val="99"/>
    <w:semiHidden/>
    <w:rsid w:val="00013073"/>
    <w:pPr>
      <w:spacing w:after="0" w:line="240" w:lineRule="auto"/>
    </w:pPr>
    <w:rPr>
      <w:rFonts w:ascii="Arial" w:hAnsi="Arial"/>
      <w:sz w:val="24"/>
    </w:rPr>
  </w:style>
  <w:style w:type="character" w:customStyle="1" w:styleId="tlid-translation">
    <w:name w:val="tlid-translation"/>
    <w:basedOn w:val="Standardnpsmoodstavce"/>
    <w:rsid w:val="009D57AA"/>
  </w:style>
  <w:style w:type="paragraph" w:customStyle="1" w:styleId="Default">
    <w:name w:val="Default"/>
    <w:rsid w:val="009D57AA"/>
    <w:pPr>
      <w:autoSpaceDE w:val="0"/>
      <w:autoSpaceDN w:val="0"/>
      <w:adjustRightInd w:val="0"/>
      <w:spacing w:after="0" w:line="240" w:lineRule="auto"/>
    </w:pPr>
    <w:rPr>
      <w:rFonts w:ascii="Cambria" w:hAnsi="Cambria" w:cs="Cambria"/>
      <w:color w:val="000000"/>
      <w:sz w:val="24"/>
      <w:szCs w:val="24"/>
    </w:rPr>
  </w:style>
  <w:style w:type="character" w:styleId="Sledovanodkaz">
    <w:name w:val="FollowedHyperlink"/>
    <w:basedOn w:val="Standardnpsmoodstavce"/>
    <w:uiPriority w:val="99"/>
    <w:semiHidden/>
    <w:unhideWhenUsed/>
    <w:rsid w:val="00BB724C"/>
    <w:rPr>
      <w:color w:val="954F72" w:themeColor="followedHyperlink"/>
      <w:u w:val="single"/>
    </w:rPr>
  </w:style>
  <w:style w:type="paragraph" w:styleId="Zhlav">
    <w:name w:val="header"/>
    <w:basedOn w:val="Normln"/>
    <w:link w:val="ZhlavChar"/>
    <w:uiPriority w:val="99"/>
    <w:unhideWhenUsed/>
    <w:rsid w:val="00C116DF"/>
    <w:pPr>
      <w:tabs>
        <w:tab w:val="center" w:pos="4536"/>
        <w:tab w:val="right" w:pos="9072"/>
      </w:tabs>
      <w:spacing w:after="0"/>
    </w:pPr>
  </w:style>
  <w:style w:type="character" w:customStyle="1" w:styleId="ZhlavChar">
    <w:name w:val="Záhlaví Char"/>
    <w:basedOn w:val="Standardnpsmoodstavce"/>
    <w:link w:val="Zhlav"/>
    <w:uiPriority w:val="99"/>
    <w:rsid w:val="00C116DF"/>
    <w:rPr>
      <w:rFonts w:ascii="Arial" w:hAnsi="Arial"/>
      <w:sz w:val="24"/>
    </w:rPr>
  </w:style>
  <w:style w:type="paragraph" w:styleId="Zpat">
    <w:name w:val="footer"/>
    <w:basedOn w:val="Normln"/>
    <w:link w:val="ZpatChar"/>
    <w:uiPriority w:val="99"/>
    <w:unhideWhenUsed/>
    <w:rsid w:val="00C116DF"/>
    <w:pPr>
      <w:tabs>
        <w:tab w:val="center" w:pos="4536"/>
        <w:tab w:val="right" w:pos="9072"/>
      </w:tabs>
      <w:spacing w:after="0"/>
    </w:pPr>
  </w:style>
  <w:style w:type="character" w:customStyle="1" w:styleId="ZpatChar">
    <w:name w:val="Zápatí Char"/>
    <w:basedOn w:val="Standardnpsmoodstavce"/>
    <w:link w:val="Zpat"/>
    <w:uiPriority w:val="99"/>
    <w:rsid w:val="00C116DF"/>
    <w:rPr>
      <w:rFonts w:ascii="Arial" w:hAnsi="Arial"/>
      <w:sz w:val="24"/>
    </w:rPr>
  </w:style>
  <w:style w:type="paragraph" w:customStyle="1" w:styleId="Textdopisu">
    <w:name w:val="Text dopisu"/>
    <w:basedOn w:val="Normln"/>
    <w:qFormat/>
    <w:rsid w:val="002E13BB"/>
    <w:pPr>
      <w:spacing w:after="240"/>
    </w:pPr>
    <w:rPr>
      <w:rFonts w:eastAsia="Times New Roman" w:cs="Arial"/>
      <w:szCs w:val="20"/>
      <w:lang w:eastAsia="cs-CZ"/>
    </w:rPr>
  </w:style>
  <w:style w:type="paragraph" w:customStyle="1" w:styleId="slovanodstavec">
    <w:name w:val="Číslovaný odstavec"/>
    <w:basedOn w:val="Normln"/>
    <w:qFormat/>
    <w:rsid w:val="00B658DF"/>
    <w:pPr>
      <w:numPr>
        <w:numId w:val="16"/>
      </w:numPr>
      <w:ind w:left="0"/>
    </w:pPr>
    <w:rPr>
      <w:rFonts w:asciiTheme="minorHAnsi" w:hAnsiTheme="minorHAnsi"/>
      <w:sz w:val="23"/>
      <w:szCs w:val="23"/>
    </w:rPr>
  </w:style>
  <w:style w:type="character" w:customStyle="1" w:styleId="upd">
    <w:name w:val="upd"/>
    <w:basedOn w:val="Standardnpsmoodstavce"/>
    <w:rsid w:val="00D816CB"/>
  </w:style>
  <w:style w:type="character" w:customStyle="1" w:styleId="OdstavecseseznamemChar">
    <w:name w:val="Odstavec se seznamem Char"/>
    <w:basedOn w:val="Standardnpsmoodstavce"/>
    <w:link w:val="Odstavecseseznamem"/>
    <w:uiPriority w:val="99"/>
    <w:locked/>
    <w:rsid w:val="002C29D4"/>
    <w:rPr>
      <w:rFonts w:ascii="Calibri" w:eastAsia="Calibri" w:hAnsi="Calibri" w:cs="Times New Roman"/>
    </w:rPr>
  </w:style>
  <w:style w:type="paragraph" w:styleId="Seznamobrzk">
    <w:name w:val="table of figures"/>
    <w:basedOn w:val="Normln"/>
    <w:next w:val="Normln"/>
    <w:uiPriority w:val="99"/>
    <w:unhideWhenUsed/>
    <w:rsid w:val="00E81244"/>
    <w:pPr>
      <w:spacing w:after="0"/>
    </w:pPr>
  </w:style>
  <w:style w:type="paragraph" w:styleId="Obsah4">
    <w:name w:val="toc 4"/>
    <w:basedOn w:val="Normln"/>
    <w:next w:val="Normln"/>
    <w:autoRedefine/>
    <w:uiPriority w:val="39"/>
    <w:unhideWhenUsed/>
    <w:rsid w:val="00AC6842"/>
    <w:pPr>
      <w:spacing w:after="100"/>
      <w:ind w:left="720"/>
    </w:pPr>
  </w:style>
  <w:style w:type="paragraph" w:styleId="Obsah5">
    <w:name w:val="toc 5"/>
    <w:basedOn w:val="Normln"/>
    <w:next w:val="Normln"/>
    <w:autoRedefine/>
    <w:uiPriority w:val="39"/>
    <w:unhideWhenUsed/>
    <w:rsid w:val="00AC6842"/>
    <w:pPr>
      <w:spacing w:after="100"/>
      <w:ind w:left="960"/>
    </w:pPr>
  </w:style>
  <w:style w:type="paragraph" w:styleId="Obsah6">
    <w:name w:val="toc 6"/>
    <w:basedOn w:val="Normln"/>
    <w:next w:val="Normln"/>
    <w:autoRedefine/>
    <w:uiPriority w:val="39"/>
    <w:unhideWhenUsed/>
    <w:rsid w:val="00AC6842"/>
    <w:pPr>
      <w:spacing w:after="100"/>
      <w:ind w:left="1200"/>
    </w:pPr>
  </w:style>
  <w:style w:type="paragraph" w:styleId="Obsah7">
    <w:name w:val="toc 7"/>
    <w:basedOn w:val="Normln"/>
    <w:next w:val="Normln"/>
    <w:autoRedefine/>
    <w:uiPriority w:val="39"/>
    <w:unhideWhenUsed/>
    <w:rsid w:val="00AC6842"/>
    <w:pPr>
      <w:spacing w:after="100" w:line="259" w:lineRule="auto"/>
      <w:ind w:left="1320"/>
      <w:jc w:val="left"/>
    </w:pPr>
    <w:rPr>
      <w:rFonts w:asciiTheme="minorHAnsi" w:eastAsiaTheme="minorEastAsia" w:hAnsiTheme="minorHAnsi"/>
      <w:sz w:val="22"/>
      <w:lang w:eastAsia="cs-CZ"/>
    </w:rPr>
  </w:style>
  <w:style w:type="paragraph" w:styleId="Obsah8">
    <w:name w:val="toc 8"/>
    <w:basedOn w:val="Normln"/>
    <w:next w:val="Normln"/>
    <w:autoRedefine/>
    <w:uiPriority w:val="39"/>
    <w:unhideWhenUsed/>
    <w:rsid w:val="00AC6842"/>
    <w:pPr>
      <w:spacing w:after="100" w:line="259" w:lineRule="auto"/>
      <w:ind w:left="1540"/>
      <w:jc w:val="left"/>
    </w:pPr>
    <w:rPr>
      <w:rFonts w:asciiTheme="minorHAnsi" w:eastAsiaTheme="minorEastAsia" w:hAnsiTheme="minorHAnsi"/>
      <w:sz w:val="22"/>
      <w:lang w:eastAsia="cs-CZ"/>
    </w:rPr>
  </w:style>
  <w:style w:type="paragraph" w:styleId="Obsah9">
    <w:name w:val="toc 9"/>
    <w:basedOn w:val="Normln"/>
    <w:next w:val="Normln"/>
    <w:autoRedefine/>
    <w:uiPriority w:val="39"/>
    <w:unhideWhenUsed/>
    <w:rsid w:val="00AC6842"/>
    <w:pPr>
      <w:spacing w:after="100" w:line="259" w:lineRule="auto"/>
      <w:ind w:left="1760"/>
      <w:jc w:val="left"/>
    </w:pPr>
    <w:rPr>
      <w:rFonts w:asciiTheme="minorHAnsi" w:eastAsiaTheme="minorEastAsia" w:hAnsiTheme="minorHAnsi"/>
      <w:sz w:val="22"/>
      <w:lang w:eastAsia="cs-CZ"/>
    </w:rPr>
  </w:style>
  <w:style w:type="paragraph" w:customStyle="1" w:styleId="Text">
    <w:name w:val="Text"/>
    <w:basedOn w:val="Normln"/>
    <w:qFormat/>
    <w:rsid w:val="00764589"/>
    <w:pPr>
      <w:widowControl w:val="0"/>
      <w:spacing w:before="120" w:after="120" w:line="360" w:lineRule="auto"/>
      <w:ind w:firstLine="709"/>
    </w:pPr>
    <w:rPr>
      <w:rFonts w:asciiTheme="minorHAnsi" w:hAnsiTheme="minorHAnsi"/>
      <w:sz w:val="22"/>
    </w:rPr>
  </w:style>
  <w:style w:type="paragraph" w:customStyle="1" w:styleId="nadpiszkona">
    <w:name w:val="nadpis zákona"/>
    <w:basedOn w:val="Normln"/>
    <w:next w:val="Normln"/>
    <w:rsid w:val="00764589"/>
    <w:pPr>
      <w:keepNext/>
      <w:keepLines/>
      <w:spacing w:before="120" w:after="0"/>
      <w:jc w:val="center"/>
      <w:outlineLvl w:val="0"/>
    </w:pPr>
    <w:rPr>
      <w:rFonts w:ascii="Times New Roman" w:eastAsia="Times New Roman" w:hAnsi="Times New Roman" w:cs="Times New Roman"/>
      <w:b/>
      <w:szCs w:val="20"/>
      <w:lang w:eastAsia="cs-CZ"/>
    </w:rPr>
  </w:style>
  <w:style w:type="character" w:styleId="Zdraznn">
    <w:name w:val="Emphasis"/>
    <w:basedOn w:val="Standardnpsmoodstavce"/>
    <w:uiPriority w:val="20"/>
    <w:qFormat/>
    <w:rsid w:val="00764589"/>
    <w:rPr>
      <w:i/>
      <w:iCs/>
    </w:rPr>
  </w:style>
  <w:style w:type="paragraph" w:customStyle="1" w:styleId="l3">
    <w:name w:val="l3"/>
    <w:basedOn w:val="Normln"/>
    <w:rsid w:val="00764589"/>
    <w:pPr>
      <w:spacing w:before="100" w:beforeAutospacing="1" w:after="100" w:afterAutospacing="1"/>
      <w:jc w:val="left"/>
    </w:pPr>
    <w:rPr>
      <w:rFonts w:ascii="Times New Roman" w:eastAsia="Times New Roman" w:hAnsi="Times New Roman" w:cs="Times New Roman"/>
      <w:szCs w:val="24"/>
      <w:lang w:eastAsia="cs-CZ"/>
    </w:rPr>
  </w:style>
  <w:style w:type="character" w:styleId="PromnnHTML">
    <w:name w:val="HTML Variable"/>
    <w:basedOn w:val="Standardnpsmoodstavce"/>
    <w:uiPriority w:val="99"/>
    <w:semiHidden/>
    <w:unhideWhenUsed/>
    <w:rsid w:val="00764589"/>
    <w:rPr>
      <w:i/>
      <w:iCs/>
    </w:rPr>
  </w:style>
  <w:style w:type="paragraph" w:customStyle="1" w:styleId="l4">
    <w:name w:val="l4"/>
    <w:basedOn w:val="Normln"/>
    <w:rsid w:val="00764589"/>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wm-m-207536399911588732msolistparagraph">
    <w:name w:val="-wm-m_-207536399911588732msolistparagraph"/>
    <w:basedOn w:val="Normln"/>
    <w:rsid w:val="00764589"/>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wm-msonormal">
    <w:name w:val="-wm-msonormal"/>
    <w:basedOn w:val="Normln"/>
    <w:rsid w:val="00764589"/>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hgkelc">
    <w:name w:val="hgkelc"/>
    <w:basedOn w:val="Standardnpsmoodstavce"/>
    <w:rsid w:val="00764589"/>
  </w:style>
  <w:style w:type="paragraph" w:customStyle="1" w:styleId="m309879155825721888msolistparagraph">
    <w:name w:val="m_309879155825721888msolistparagraph"/>
    <w:basedOn w:val="Normln"/>
    <w:rsid w:val="00764589"/>
    <w:pPr>
      <w:spacing w:before="100" w:beforeAutospacing="1" w:after="100" w:afterAutospacing="1"/>
      <w:jc w:val="left"/>
    </w:pPr>
    <w:rPr>
      <w:rFonts w:ascii="Times New Roman" w:eastAsia="Times New Roman" w:hAnsi="Times New Roman" w:cs="Times New Roman"/>
      <w:szCs w:val="24"/>
      <w:lang w:eastAsia="cs-CZ"/>
    </w:rPr>
  </w:style>
  <w:style w:type="paragraph" w:styleId="Bezmezer">
    <w:name w:val="No Spacing"/>
    <w:uiPriority w:val="1"/>
    <w:qFormat/>
    <w:rsid w:val="00764589"/>
    <w:pPr>
      <w:spacing w:after="0" w:line="240" w:lineRule="auto"/>
      <w:jc w:val="both"/>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7810">
      <w:bodyDiv w:val="1"/>
      <w:marLeft w:val="0"/>
      <w:marRight w:val="0"/>
      <w:marTop w:val="0"/>
      <w:marBottom w:val="0"/>
      <w:divBdr>
        <w:top w:val="none" w:sz="0" w:space="0" w:color="auto"/>
        <w:left w:val="none" w:sz="0" w:space="0" w:color="auto"/>
        <w:bottom w:val="none" w:sz="0" w:space="0" w:color="auto"/>
        <w:right w:val="none" w:sz="0" w:space="0" w:color="auto"/>
      </w:divBdr>
    </w:div>
    <w:div w:id="270555533">
      <w:bodyDiv w:val="1"/>
      <w:marLeft w:val="0"/>
      <w:marRight w:val="0"/>
      <w:marTop w:val="0"/>
      <w:marBottom w:val="0"/>
      <w:divBdr>
        <w:top w:val="none" w:sz="0" w:space="0" w:color="auto"/>
        <w:left w:val="none" w:sz="0" w:space="0" w:color="auto"/>
        <w:bottom w:val="none" w:sz="0" w:space="0" w:color="auto"/>
        <w:right w:val="none" w:sz="0" w:space="0" w:color="auto"/>
      </w:divBdr>
    </w:div>
    <w:div w:id="325130151">
      <w:bodyDiv w:val="1"/>
      <w:marLeft w:val="0"/>
      <w:marRight w:val="0"/>
      <w:marTop w:val="0"/>
      <w:marBottom w:val="0"/>
      <w:divBdr>
        <w:top w:val="none" w:sz="0" w:space="0" w:color="auto"/>
        <w:left w:val="none" w:sz="0" w:space="0" w:color="auto"/>
        <w:bottom w:val="none" w:sz="0" w:space="0" w:color="auto"/>
        <w:right w:val="none" w:sz="0" w:space="0" w:color="auto"/>
      </w:divBdr>
      <w:divsChild>
        <w:div w:id="516040110">
          <w:marLeft w:val="0"/>
          <w:marRight w:val="0"/>
          <w:marTop w:val="0"/>
          <w:marBottom w:val="0"/>
          <w:divBdr>
            <w:top w:val="none" w:sz="0" w:space="0" w:color="auto"/>
            <w:left w:val="none" w:sz="0" w:space="0" w:color="auto"/>
            <w:bottom w:val="none" w:sz="0" w:space="0" w:color="auto"/>
            <w:right w:val="none" w:sz="0" w:space="0" w:color="auto"/>
          </w:divBdr>
        </w:div>
      </w:divsChild>
    </w:div>
    <w:div w:id="377317163">
      <w:bodyDiv w:val="1"/>
      <w:marLeft w:val="0"/>
      <w:marRight w:val="0"/>
      <w:marTop w:val="0"/>
      <w:marBottom w:val="0"/>
      <w:divBdr>
        <w:top w:val="none" w:sz="0" w:space="0" w:color="auto"/>
        <w:left w:val="none" w:sz="0" w:space="0" w:color="auto"/>
        <w:bottom w:val="none" w:sz="0" w:space="0" w:color="auto"/>
        <w:right w:val="none" w:sz="0" w:space="0" w:color="auto"/>
      </w:divBdr>
      <w:divsChild>
        <w:div w:id="953369175">
          <w:marLeft w:val="0"/>
          <w:marRight w:val="0"/>
          <w:marTop w:val="0"/>
          <w:marBottom w:val="0"/>
          <w:divBdr>
            <w:top w:val="none" w:sz="0" w:space="0" w:color="auto"/>
            <w:left w:val="none" w:sz="0" w:space="0" w:color="auto"/>
            <w:bottom w:val="none" w:sz="0" w:space="0" w:color="auto"/>
            <w:right w:val="none" w:sz="0" w:space="0" w:color="auto"/>
          </w:divBdr>
        </w:div>
      </w:divsChild>
    </w:div>
    <w:div w:id="427821938">
      <w:bodyDiv w:val="1"/>
      <w:marLeft w:val="0"/>
      <w:marRight w:val="0"/>
      <w:marTop w:val="0"/>
      <w:marBottom w:val="0"/>
      <w:divBdr>
        <w:top w:val="none" w:sz="0" w:space="0" w:color="auto"/>
        <w:left w:val="none" w:sz="0" w:space="0" w:color="auto"/>
        <w:bottom w:val="none" w:sz="0" w:space="0" w:color="auto"/>
        <w:right w:val="none" w:sz="0" w:space="0" w:color="auto"/>
      </w:divBdr>
    </w:div>
    <w:div w:id="477965419">
      <w:bodyDiv w:val="1"/>
      <w:marLeft w:val="0"/>
      <w:marRight w:val="0"/>
      <w:marTop w:val="0"/>
      <w:marBottom w:val="0"/>
      <w:divBdr>
        <w:top w:val="none" w:sz="0" w:space="0" w:color="auto"/>
        <w:left w:val="none" w:sz="0" w:space="0" w:color="auto"/>
        <w:bottom w:val="none" w:sz="0" w:space="0" w:color="auto"/>
        <w:right w:val="none" w:sz="0" w:space="0" w:color="auto"/>
      </w:divBdr>
      <w:divsChild>
        <w:div w:id="1222908637">
          <w:marLeft w:val="0"/>
          <w:marRight w:val="0"/>
          <w:marTop w:val="0"/>
          <w:marBottom w:val="0"/>
          <w:divBdr>
            <w:top w:val="none" w:sz="0" w:space="0" w:color="auto"/>
            <w:left w:val="none" w:sz="0" w:space="0" w:color="auto"/>
            <w:bottom w:val="none" w:sz="0" w:space="0" w:color="auto"/>
            <w:right w:val="none" w:sz="0" w:space="0" w:color="auto"/>
          </w:divBdr>
        </w:div>
      </w:divsChild>
    </w:div>
    <w:div w:id="481432292">
      <w:bodyDiv w:val="1"/>
      <w:marLeft w:val="0"/>
      <w:marRight w:val="0"/>
      <w:marTop w:val="0"/>
      <w:marBottom w:val="0"/>
      <w:divBdr>
        <w:top w:val="none" w:sz="0" w:space="0" w:color="auto"/>
        <w:left w:val="none" w:sz="0" w:space="0" w:color="auto"/>
        <w:bottom w:val="none" w:sz="0" w:space="0" w:color="auto"/>
        <w:right w:val="none" w:sz="0" w:space="0" w:color="auto"/>
      </w:divBdr>
      <w:divsChild>
        <w:div w:id="1074666372">
          <w:marLeft w:val="0"/>
          <w:marRight w:val="0"/>
          <w:marTop w:val="0"/>
          <w:marBottom w:val="0"/>
          <w:divBdr>
            <w:top w:val="none" w:sz="0" w:space="0" w:color="auto"/>
            <w:left w:val="none" w:sz="0" w:space="0" w:color="auto"/>
            <w:bottom w:val="none" w:sz="0" w:space="0" w:color="auto"/>
            <w:right w:val="none" w:sz="0" w:space="0" w:color="auto"/>
          </w:divBdr>
        </w:div>
      </w:divsChild>
    </w:div>
    <w:div w:id="567612356">
      <w:bodyDiv w:val="1"/>
      <w:marLeft w:val="0"/>
      <w:marRight w:val="0"/>
      <w:marTop w:val="0"/>
      <w:marBottom w:val="0"/>
      <w:divBdr>
        <w:top w:val="none" w:sz="0" w:space="0" w:color="auto"/>
        <w:left w:val="none" w:sz="0" w:space="0" w:color="auto"/>
        <w:bottom w:val="none" w:sz="0" w:space="0" w:color="auto"/>
        <w:right w:val="none" w:sz="0" w:space="0" w:color="auto"/>
      </w:divBdr>
      <w:divsChild>
        <w:div w:id="1577786044">
          <w:marLeft w:val="0"/>
          <w:marRight w:val="0"/>
          <w:marTop w:val="0"/>
          <w:marBottom w:val="0"/>
          <w:divBdr>
            <w:top w:val="none" w:sz="0" w:space="0" w:color="auto"/>
            <w:left w:val="none" w:sz="0" w:space="0" w:color="auto"/>
            <w:bottom w:val="none" w:sz="0" w:space="0" w:color="auto"/>
            <w:right w:val="none" w:sz="0" w:space="0" w:color="auto"/>
          </w:divBdr>
        </w:div>
      </w:divsChild>
    </w:div>
    <w:div w:id="639264014">
      <w:bodyDiv w:val="1"/>
      <w:marLeft w:val="0"/>
      <w:marRight w:val="0"/>
      <w:marTop w:val="0"/>
      <w:marBottom w:val="0"/>
      <w:divBdr>
        <w:top w:val="none" w:sz="0" w:space="0" w:color="auto"/>
        <w:left w:val="none" w:sz="0" w:space="0" w:color="auto"/>
        <w:bottom w:val="none" w:sz="0" w:space="0" w:color="auto"/>
        <w:right w:val="none" w:sz="0" w:space="0" w:color="auto"/>
      </w:divBdr>
      <w:divsChild>
        <w:div w:id="16856412">
          <w:marLeft w:val="0"/>
          <w:marRight w:val="0"/>
          <w:marTop w:val="0"/>
          <w:marBottom w:val="0"/>
          <w:divBdr>
            <w:top w:val="none" w:sz="0" w:space="0" w:color="auto"/>
            <w:left w:val="none" w:sz="0" w:space="0" w:color="auto"/>
            <w:bottom w:val="none" w:sz="0" w:space="0" w:color="auto"/>
            <w:right w:val="none" w:sz="0" w:space="0" w:color="auto"/>
          </w:divBdr>
        </w:div>
      </w:divsChild>
    </w:div>
    <w:div w:id="977151306">
      <w:bodyDiv w:val="1"/>
      <w:marLeft w:val="0"/>
      <w:marRight w:val="0"/>
      <w:marTop w:val="0"/>
      <w:marBottom w:val="0"/>
      <w:divBdr>
        <w:top w:val="none" w:sz="0" w:space="0" w:color="auto"/>
        <w:left w:val="none" w:sz="0" w:space="0" w:color="auto"/>
        <w:bottom w:val="none" w:sz="0" w:space="0" w:color="auto"/>
        <w:right w:val="none" w:sz="0" w:space="0" w:color="auto"/>
      </w:divBdr>
    </w:div>
    <w:div w:id="1030766159">
      <w:bodyDiv w:val="1"/>
      <w:marLeft w:val="0"/>
      <w:marRight w:val="0"/>
      <w:marTop w:val="0"/>
      <w:marBottom w:val="0"/>
      <w:divBdr>
        <w:top w:val="none" w:sz="0" w:space="0" w:color="auto"/>
        <w:left w:val="none" w:sz="0" w:space="0" w:color="auto"/>
        <w:bottom w:val="none" w:sz="0" w:space="0" w:color="auto"/>
        <w:right w:val="none" w:sz="0" w:space="0" w:color="auto"/>
      </w:divBdr>
    </w:div>
    <w:div w:id="1194344057">
      <w:bodyDiv w:val="1"/>
      <w:marLeft w:val="0"/>
      <w:marRight w:val="0"/>
      <w:marTop w:val="0"/>
      <w:marBottom w:val="0"/>
      <w:divBdr>
        <w:top w:val="none" w:sz="0" w:space="0" w:color="auto"/>
        <w:left w:val="none" w:sz="0" w:space="0" w:color="auto"/>
        <w:bottom w:val="none" w:sz="0" w:space="0" w:color="auto"/>
        <w:right w:val="none" w:sz="0" w:space="0" w:color="auto"/>
      </w:divBdr>
      <w:divsChild>
        <w:div w:id="564410827">
          <w:marLeft w:val="0"/>
          <w:marRight w:val="0"/>
          <w:marTop w:val="0"/>
          <w:marBottom w:val="0"/>
          <w:divBdr>
            <w:top w:val="none" w:sz="0" w:space="0" w:color="auto"/>
            <w:left w:val="none" w:sz="0" w:space="0" w:color="auto"/>
            <w:bottom w:val="none" w:sz="0" w:space="0" w:color="auto"/>
            <w:right w:val="none" w:sz="0" w:space="0" w:color="auto"/>
          </w:divBdr>
        </w:div>
      </w:divsChild>
    </w:div>
    <w:div w:id="1341083492">
      <w:bodyDiv w:val="1"/>
      <w:marLeft w:val="0"/>
      <w:marRight w:val="0"/>
      <w:marTop w:val="0"/>
      <w:marBottom w:val="0"/>
      <w:divBdr>
        <w:top w:val="none" w:sz="0" w:space="0" w:color="auto"/>
        <w:left w:val="none" w:sz="0" w:space="0" w:color="auto"/>
        <w:bottom w:val="none" w:sz="0" w:space="0" w:color="auto"/>
        <w:right w:val="none" w:sz="0" w:space="0" w:color="auto"/>
      </w:divBdr>
      <w:divsChild>
        <w:div w:id="1012949534">
          <w:marLeft w:val="0"/>
          <w:marRight w:val="0"/>
          <w:marTop w:val="0"/>
          <w:marBottom w:val="0"/>
          <w:divBdr>
            <w:top w:val="none" w:sz="0" w:space="0" w:color="auto"/>
            <w:left w:val="none" w:sz="0" w:space="0" w:color="auto"/>
            <w:bottom w:val="none" w:sz="0" w:space="0" w:color="auto"/>
            <w:right w:val="none" w:sz="0" w:space="0" w:color="auto"/>
          </w:divBdr>
        </w:div>
      </w:divsChild>
    </w:div>
    <w:div w:id="1440444377">
      <w:bodyDiv w:val="1"/>
      <w:marLeft w:val="0"/>
      <w:marRight w:val="0"/>
      <w:marTop w:val="0"/>
      <w:marBottom w:val="0"/>
      <w:divBdr>
        <w:top w:val="none" w:sz="0" w:space="0" w:color="auto"/>
        <w:left w:val="none" w:sz="0" w:space="0" w:color="auto"/>
        <w:bottom w:val="none" w:sz="0" w:space="0" w:color="auto"/>
        <w:right w:val="none" w:sz="0" w:space="0" w:color="auto"/>
      </w:divBdr>
      <w:divsChild>
        <w:div w:id="1205409752">
          <w:marLeft w:val="360"/>
          <w:marRight w:val="0"/>
          <w:marTop w:val="200"/>
          <w:marBottom w:val="0"/>
          <w:divBdr>
            <w:top w:val="none" w:sz="0" w:space="0" w:color="auto"/>
            <w:left w:val="none" w:sz="0" w:space="0" w:color="auto"/>
            <w:bottom w:val="none" w:sz="0" w:space="0" w:color="auto"/>
            <w:right w:val="none" w:sz="0" w:space="0" w:color="auto"/>
          </w:divBdr>
        </w:div>
        <w:div w:id="243758223">
          <w:marLeft w:val="360"/>
          <w:marRight w:val="0"/>
          <w:marTop w:val="200"/>
          <w:marBottom w:val="0"/>
          <w:divBdr>
            <w:top w:val="none" w:sz="0" w:space="0" w:color="auto"/>
            <w:left w:val="none" w:sz="0" w:space="0" w:color="auto"/>
            <w:bottom w:val="none" w:sz="0" w:space="0" w:color="auto"/>
            <w:right w:val="none" w:sz="0" w:space="0" w:color="auto"/>
          </w:divBdr>
        </w:div>
        <w:div w:id="657272405">
          <w:marLeft w:val="360"/>
          <w:marRight w:val="0"/>
          <w:marTop w:val="200"/>
          <w:marBottom w:val="0"/>
          <w:divBdr>
            <w:top w:val="none" w:sz="0" w:space="0" w:color="auto"/>
            <w:left w:val="none" w:sz="0" w:space="0" w:color="auto"/>
            <w:bottom w:val="none" w:sz="0" w:space="0" w:color="auto"/>
            <w:right w:val="none" w:sz="0" w:space="0" w:color="auto"/>
          </w:divBdr>
        </w:div>
        <w:div w:id="866724259">
          <w:marLeft w:val="360"/>
          <w:marRight w:val="0"/>
          <w:marTop w:val="200"/>
          <w:marBottom w:val="0"/>
          <w:divBdr>
            <w:top w:val="none" w:sz="0" w:space="0" w:color="auto"/>
            <w:left w:val="none" w:sz="0" w:space="0" w:color="auto"/>
            <w:bottom w:val="none" w:sz="0" w:space="0" w:color="auto"/>
            <w:right w:val="none" w:sz="0" w:space="0" w:color="auto"/>
          </w:divBdr>
        </w:div>
      </w:divsChild>
    </w:div>
    <w:div w:id="1441608545">
      <w:bodyDiv w:val="1"/>
      <w:marLeft w:val="0"/>
      <w:marRight w:val="0"/>
      <w:marTop w:val="0"/>
      <w:marBottom w:val="0"/>
      <w:divBdr>
        <w:top w:val="none" w:sz="0" w:space="0" w:color="auto"/>
        <w:left w:val="none" w:sz="0" w:space="0" w:color="auto"/>
        <w:bottom w:val="none" w:sz="0" w:space="0" w:color="auto"/>
        <w:right w:val="none" w:sz="0" w:space="0" w:color="auto"/>
      </w:divBdr>
      <w:divsChild>
        <w:div w:id="400638015">
          <w:marLeft w:val="0"/>
          <w:marRight w:val="0"/>
          <w:marTop w:val="0"/>
          <w:marBottom w:val="0"/>
          <w:divBdr>
            <w:top w:val="none" w:sz="0" w:space="0" w:color="auto"/>
            <w:left w:val="none" w:sz="0" w:space="0" w:color="auto"/>
            <w:bottom w:val="none" w:sz="0" w:space="0" w:color="auto"/>
            <w:right w:val="none" w:sz="0" w:space="0" w:color="auto"/>
          </w:divBdr>
        </w:div>
      </w:divsChild>
    </w:div>
    <w:div w:id="1451624673">
      <w:bodyDiv w:val="1"/>
      <w:marLeft w:val="0"/>
      <w:marRight w:val="0"/>
      <w:marTop w:val="0"/>
      <w:marBottom w:val="0"/>
      <w:divBdr>
        <w:top w:val="none" w:sz="0" w:space="0" w:color="auto"/>
        <w:left w:val="none" w:sz="0" w:space="0" w:color="auto"/>
        <w:bottom w:val="none" w:sz="0" w:space="0" w:color="auto"/>
        <w:right w:val="none" w:sz="0" w:space="0" w:color="auto"/>
      </w:divBdr>
    </w:div>
    <w:div w:id="1514495014">
      <w:bodyDiv w:val="1"/>
      <w:marLeft w:val="0"/>
      <w:marRight w:val="0"/>
      <w:marTop w:val="0"/>
      <w:marBottom w:val="0"/>
      <w:divBdr>
        <w:top w:val="none" w:sz="0" w:space="0" w:color="auto"/>
        <w:left w:val="none" w:sz="0" w:space="0" w:color="auto"/>
        <w:bottom w:val="none" w:sz="0" w:space="0" w:color="auto"/>
        <w:right w:val="none" w:sz="0" w:space="0" w:color="auto"/>
      </w:divBdr>
      <w:divsChild>
        <w:div w:id="1745027154">
          <w:marLeft w:val="0"/>
          <w:marRight w:val="0"/>
          <w:marTop w:val="0"/>
          <w:marBottom w:val="0"/>
          <w:divBdr>
            <w:top w:val="none" w:sz="0" w:space="0" w:color="auto"/>
            <w:left w:val="none" w:sz="0" w:space="0" w:color="auto"/>
            <w:bottom w:val="none" w:sz="0" w:space="0" w:color="auto"/>
            <w:right w:val="none" w:sz="0" w:space="0" w:color="auto"/>
          </w:divBdr>
        </w:div>
      </w:divsChild>
    </w:div>
    <w:div w:id="1555967868">
      <w:bodyDiv w:val="1"/>
      <w:marLeft w:val="0"/>
      <w:marRight w:val="0"/>
      <w:marTop w:val="0"/>
      <w:marBottom w:val="0"/>
      <w:divBdr>
        <w:top w:val="none" w:sz="0" w:space="0" w:color="auto"/>
        <w:left w:val="none" w:sz="0" w:space="0" w:color="auto"/>
        <w:bottom w:val="none" w:sz="0" w:space="0" w:color="auto"/>
        <w:right w:val="none" w:sz="0" w:space="0" w:color="auto"/>
      </w:divBdr>
    </w:div>
    <w:div w:id="1702433335">
      <w:bodyDiv w:val="1"/>
      <w:marLeft w:val="0"/>
      <w:marRight w:val="0"/>
      <w:marTop w:val="0"/>
      <w:marBottom w:val="0"/>
      <w:divBdr>
        <w:top w:val="none" w:sz="0" w:space="0" w:color="auto"/>
        <w:left w:val="none" w:sz="0" w:space="0" w:color="auto"/>
        <w:bottom w:val="none" w:sz="0" w:space="0" w:color="auto"/>
        <w:right w:val="none" w:sz="0" w:space="0" w:color="auto"/>
      </w:divBdr>
      <w:divsChild>
        <w:div w:id="2118137232">
          <w:marLeft w:val="0"/>
          <w:marRight w:val="0"/>
          <w:marTop w:val="0"/>
          <w:marBottom w:val="0"/>
          <w:divBdr>
            <w:top w:val="none" w:sz="0" w:space="0" w:color="auto"/>
            <w:left w:val="none" w:sz="0" w:space="0" w:color="auto"/>
            <w:bottom w:val="none" w:sz="0" w:space="0" w:color="auto"/>
            <w:right w:val="none" w:sz="0" w:space="0" w:color="auto"/>
          </w:divBdr>
        </w:div>
      </w:divsChild>
    </w:div>
    <w:div w:id="1719276484">
      <w:bodyDiv w:val="1"/>
      <w:marLeft w:val="0"/>
      <w:marRight w:val="0"/>
      <w:marTop w:val="0"/>
      <w:marBottom w:val="0"/>
      <w:divBdr>
        <w:top w:val="none" w:sz="0" w:space="0" w:color="auto"/>
        <w:left w:val="none" w:sz="0" w:space="0" w:color="auto"/>
        <w:bottom w:val="none" w:sz="0" w:space="0" w:color="auto"/>
        <w:right w:val="none" w:sz="0" w:space="0" w:color="auto"/>
      </w:divBdr>
      <w:divsChild>
        <w:div w:id="1821389186">
          <w:marLeft w:val="0"/>
          <w:marRight w:val="0"/>
          <w:marTop w:val="0"/>
          <w:marBottom w:val="0"/>
          <w:divBdr>
            <w:top w:val="none" w:sz="0" w:space="0" w:color="auto"/>
            <w:left w:val="none" w:sz="0" w:space="0" w:color="auto"/>
            <w:bottom w:val="none" w:sz="0" w:space="0" w:color="auto"/>
            <w:right w:val="none" w:sz="0" w:space="0" w:color="auto"/>
          </w:divBdr>
        </w:div>
      </w:divsChild>
    </w:div>
    <w:div w:id="1763407624">
      <w:bodyDiv w:val="1"/>
      <w:marLeft w:val="0"/>
      <w:marRight w:val="0"/>
      <w:marTop w:val="0"/>
      <w:marBottom w:val="0"/>
      <w:divBdr>
        <w:top w:val="none" w:sz="0" w:space="0" w:color="auto"/>
        <w:left w:val="none" w:sz="0" w:space="0" w:color="auto"/>
        <w:bottom w:val="none" w:sz="0" w:space="0" w:color="auto"/>
        <w:right w:val="none" w:sz="0" w:space="0" w:color="auto"/>
      </w:divBdr>
    </w:div>
    <w:div w:id="1837723308">
      <w:bodyDiv w:val="1"/>
      <w:marLeft w:val="0"/>
      <w:marRight w:val="0"/>
      <w:marTop w:val="0"/>
      <w:marBottom w:val="0"/>
      <w:divBdr>
        <w:top w:val="none" w:sz="0" w:space="0" w:color="auto"/>
        <w:left w:val="none" w:sz="0" w:space="0" w:color="auto"/>
        <w:bottom w:val="none" w:sz="0" w:space="0" w:color="auto"/>
        <w:right w:val="none" w:sz="0" w:space="0" w:color="auto"/>
      </w:divBdr>
      <w:divsChild>
        <w:div w:id="1128745895">
          <w:marLeft w:val="0"/>
          <w:marRight w:val="0"/>
          <w:marTop w:val="0"/>
          <w:marBottom w:val="0"/>
          <w:divBdr>
            <w:top w:val="none" w:sz="0" w:space="0" w:color="auto"/>
            <w:left w:val="none" w:sz="0" w:space="0" w:color="auto"/>
            <w:bottom w:val="none" w:sz="0" w:space="0" w:color="auto"/>
            <w:right w:val="none" w:sz="0" w:space="0" w:color="auto"/>
          </w:divBdr>
        </w:div>
      </w:divsChild>
    </w:div>
    <w:div w:id="1890992955">
      <w:bodyDiv w:val="1"/>
      <w:marLeft w:val="0"/>
      <w:marRight w:val="0"/>
      <w:marTop w:val="0"/>
      <w:marBottom w:val="0"/>
      <w:divBdr>
        <w:top w:val="none" w:sz="0" w:space="0" w:color="auto"/>
        <w:left w:val="none" w:sz="0" w:space="0" w:color="auto"/>
        <w:bottom w:val="none" w:sz="0" w:space="0" w:color="auto"/>
        <w:right w:val="none" w:sz="0" w:space="0" w:color="auto"/>
      </w:divBdr>
      <w:divsChild>
        <w:div w:id="1286472290">
          <w:marLeft w:val="0"/>
          <w:marRight w:val="0"/>
          <w:marTop w:val="0"/>
          <w:marBottom w:val="0"/>
          <w:divBdr>
            <w:top w:val="none" w:sz="0" w:space="0" w:color="auto"/>
            <w:left w:val="none" w:sz="0" w:space="0" w:color="auto"/>
            <w:bottom w:val="none" w:sz="0" w:space="0" w:color="auto"/>
            <w:right w:val="none" w:sz="0" w:space="0" w:color="auto"/>
          </w:divBdr>
        </w:div>
      </w:divsChild>
    </w:div>
    <w:div w:id="1928224306">
      <w:bodyDiv w:val="1"/>
      <w:marLeft w:val="0"/>
      <w:marRight w:val="0"/>
      <w:marTop w:val="0"/>
      <w:marBottom w:val="0"/>
      <w:divBdr>
        <w:top w:val="none" w:sz="0" w:space="0" w:color="auto"/>
        <w:left w:val="none" w:sz="0" w:space="0" w:color="auto"/>
        <w:bottom w:val="none" w:sz="0" w:space="0" w:color="auto"/>
        <w:right w:val="none" w:sz="0" w:space="0" w:color="auto"/>
      </w:divBdr>
      <w:divsChild>
        <w:div w:id="2015956996">
          <w:marLeft w:val="0"/>
          <w:marRight w:val="0"/>
          <w:marTop w:val="0"/>
          <w:marBottom w:val="0"/>
          <w:divBdr>
            <w:top w:val="none" w:sz="0" w:space="0" w:color="auto"/>
            <w:left w:val="none" w:sz="0" w:space="0" w:color="auto"/>
            <w:bottom w:val="none" w:sz="0" w:space="0" w:color="auto"/>
            <w:right w:val="none" w:sz="0" w:space="0" w:color="auto"/>
          </w:divBdr>
        </w:div>
      </w:divsChild>
    </w:div>
    <w:div w:id="2077123608">
      <w:bodyDiv w:val="1"/>
      <w:marLeft w:val="0"/>
      <w:marRight w:val="0"/>
      <w:marTop w:val="0"/>
      <w:marBottom w:val="0"/>
      <w:divBdr>
        <w:top w:val="none" w:sz="0" w:space="0" w:color="auto"/>
        <w:left w:val="none" w:sz="0" w:space="0" w:color="auto"/>
        <w:bottom w:val="none" w:sz="0" w:space="0" w:color="auto"/>
        <w:right w:val="none" w:sz="0" w:space="0" w:color="auto"/>
      </w:divBdr>
      <w:divsChild>
        <w:div w:id="652560739">
          <w:marLeft w:val="360"/>
          <w:marRight w:val="0"/>
          <w:marTop w:val="200"/>
          <w:marBottom w:val="0"/>
          <w:divBdr>
            <w:top w:val="none" w:sz="0" w:space="0" w:color="auto"/>
            <w:left w:val="none" w:sz="0" w:space="0" w:color="auto"/>
            <w:bottom w:val="none" w:sz="0" w:space="0" w:color="auto"/>
            <w:right w:val="none" w:sz="0" w:space="0" w:color="auto"/>
          </w:divBdr>
        </w:div>
      </w:divsChild>
    </w:div>
    <w:div w:id="2085562903">
      <w:bodyDiv w:val="1"/>
      <w:marLeft w:val="0"/>
      <w:marRight w:val="0"/>
      <w:marTop w:val="0"/>
      <w:marBottom w:val="0"/>
      <w:divBdr>
        <w:top w:val="none" w:sz="0" w:space="0" w:color="auto"/>
        <w:left w:val="none" w:sz="0" w:space="0" w:color="auto"/>
        <w:bottom w:val="none" w:sz="0" w:space="0" w:color="auto"/>
        <w:right w:val="none" w:sz="0" w:space="0" w:color="auto"/>
      </w:divBdr>
      <w:divsChild>
        <w:div w:id="289092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117" Type="http://schemas.openxmlformats.org/officeDocument/2006/relationships/hyperlink" Target="http://www.personalityresearch.org/papers/sinha.html" TargetMode="External"/><Relationship Id="rId21" Type="http://schemas.openxmlformats.org/officeDocument/2006/relationships/image" Target="media/image7.png"/><Relationship Id="rId42" Type="http://schemas.openxmlformats.org/officeDocument/2006/relationships/image" Target="media/image14.gif"/><Relationship Id="rId47" Type="http://schemas.openxmlformats.org/officeDocument/2006/relationships/image" Target="media/image17.png"/><Relationship Id="rId63" Type="http://schemas.openxmlformats.org/officeDocument/2006/relationships/hyperlink" Target="https://www.celnisprava.cz/cz/dalsi-kompetence/hazard/Stranky/Legislativa.aspx" TargetMode="External"/><Relationship Id="rId68" Type="http://schemas.openxmlformats.org/officeDocument/2006/relationships/hyperlink" Target="https://www.celnisprava.cz/cz/dalsi-kompetence/hazard/Documents/Stanoviska%20-%20Stanovisko%20MF%20k%20%C2%A7%2068%20z%C3%A1kona%20o%20hazardn%C3%ADch%20hr%C3%A1ch.pdf" TargetMode="External"/><Relationship Id="rId84" Type="http://schemas.openxmlformats.org/officeDocument/2006/relationships/hyperlink" Target="https://likumi.lv/ta/en/en/id/122941" TargetMode="External"/><Relationship Id="rId89" Type="http://schemas.openxmlformats.org/officeDocument/2006/relationships/hyperlink" Target="https://www.zeturf.com/en" TargetMode="External"/><Relationship Id="rId112" Type="http://schemas.openxmlformats.org/officeDocument/2006/relationships/hyperlink" Target="https://kb.wedos.com/cs/domeny/administrace-domeny/presmerovani-domeny/" TargetMode="External"/><Relationship Id="rId16" Type="http://schemas.openxmlformats.org/officeDocument/2006/relationships/chart" Target="charts/chart7.xml"/><Relationship Id="rId107" Type="http://schemas.openxmlformats.org/officeDocument/2006/relationships/hyperlink" Target="https://www.hazardni-hry.eu/loterie/bingo.html" TargetMode="External"/><Relationship Id="rId11" Type="http://schemas.openxmlformats.org/officeDocument/2006/relationships/chart" Target="charts/chart2.xml"/><Relationship Id="rId32" Type="http://schemas.openxmlformats.org/officeDocument/2006/relationships/image" Target="media/image11.png"/><Relationship Id="rId37" Type="http://schemas.openxmlformats.org/officeDocument/2006/relationships/image" Target="cid:image002.png@01D7402C.4988A6B0" TargetMode="External"/><Relationship Id="rId53" Type="http://schemas.openxmlformats.org/officeDocument/2006/relationships/chart" Target="charts/chart24.xml"/><Relationship Id="rId58" Type="http://schemas.openxmlformats.org/officeDocument/2006/relationships/hyperlink" Target="https://www.hcch.net/en/instruments/conventions/status-table/?cid=41" TargetMode="External"/><Relationship Id="rId74" Type="http://schemas.openxmlformats.org/officeDocument/2006/relationships/hyperlink" Target="https://www.gamingcommission.be/opencms/opencms/jhksweb_en/gamingcommission/commission/licence/" TargetMode="External"/><Relationship Id="rId79" Type="http://schemas.openxmlformats.org/officeDocument/2006/relationships/hyperlink" Target="https://www.europarl.europa.eu/thinktank/en/document.html?reference=IPOL_STU(2020)652727" TargetMode="External"/><Relationship Id="rId102" Type="http://schemas.openxmlformats.org/officeDocument/2006/relationships/hyperlink" Target="https://dnsrpz.info/" TargetMode="External"/><Relationship Id="rId123" Type="http://schemas.openxmlformats.org/officeDocument/2006/relationships/hyperlink" Target="file:///S:\Odbor73\19_Projekt%20anal&#253;zy\FIN&#193;LN&#205;%20RIA%20-%20VO,%20&#344;O\Kompletov&#225;n&#237;\Anal&#253;za%20regulace%20hazardu%20v%20&#268;esk&#233;%20republice_v5.1.docx"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lottstift.no/pengespel/" TargetMode="External"/><Relationship Id="rId95" Type="http://schemas.openxmlformats.org/officeDocument/2006/relationships/hyperlink" Target="https://www.admin.ch/opc/de/classified-compilation/20172704/index.html" TargetMode="External"/><Relationship Id="rId19" Type="http://schemas.openxmlformats.org/officeDocument/2006/relationships/image" Target="media/image5.png"/><Relationship Id="rId14" Type="http://schemas.openxmlformats.org/officeDocument/2006/relationships/chart" Target="charts/chart5.xml"/><Relationship Id="rId22" Type="http://schemas.openxmlformats.org/officeDocument/2006/relationships/image" Target="media/image8.png"/><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7.xml"/><Relationship Id="rId43" Type="http://schemas.openxmlformats.org/officeDocument/2006/relationships/image" Target="cid:image003.png@01D7307D.B5BA2700" TargetMode="External"/><Relationship Id="rId48" Type="http://schemas.openxmlformats.org/officeDocument/2006/relationships/hyperlink" Target="https://www.mfcr.cz/cs/soukromy-sektor/hazardni-hry/rejstrik-vyloucenych-osob-rvo/pro-provozovatele/testovaci-prostredi-rvo-playground/2020/spusteni-neprodukcniho-prostredi-informa-38102" TargetMode="External"/><Relationship Id="rId56" Type="http://schemas.openxmlformats.org/officeDocument/2006/relationships/hyperlink" Target="https://www.opava-city.cz/files/cz/nabidka-temat/skolstvi/protidrogova-prevence/hazardni_hrani_v_cr_a_jeho_dopady.pdf" TargetMode="External"/><Relationship Id="rId64" Type="http://schemas.openxmlformats.org/officeDocument/2006/relationships/hyperlink" Target="https://www.mfcr.cz/cs/soukromy-sektor/hazardni-hry/verejna-sprava/stanoviska/2017/metodicke-doporuceni-k-cinnosti-uzemnich-29208" TargetMode="External"/><Relationship Id="rId69" Type="http://schemas.openxmlformats.org/officeDocument/2006/relationships/hyperlink" Target="https://www.mfcr.cz/assets/cs/media/2018-11-26_Doplneni-stanoviska-ziva-hra-v-kasinu-SS-68-ZHH.pdf" TargetMode="External"/><Relationship Id="rId77" Type="http://schemas.openxmlformats.org/officeDocument/2006/relationships/hyperlink" Target="https://www.retsinformation.dk/eli/lta/2016/1494" TargetMode="External"/><Relationship Id="rId100" Type="http://schemas.openxmlformats.org/officeDocument/2006/relationships/hyperlink" Target="https://cs.qaz.wiki/wiki/Application_firewall" TargetMode="External"/><Relationship Id="rId105" Type="http://schemas.openxmlformats.org/officeDocument/2006/relationships/hyperlink" Target="https://gamban.com/" TargetMode="External"/><Relationship Id="rId113" Type="http://schemas.openxmlformats.org/officeDocument/2006/relationships/hyperlink" Target="https://www.matchbook.com/page/rules_and_regulations/market-rules" TargetMode="External"/><Relationship Id="rId118" Type="http://schemas.openxmlformats.org/officeDocument/2006/relationships/hyperlink" Target="https://psychologie.cz/clovece-nezlob-se-jako-pruprava-pro-hazard/" TargetMode="External"/><Relationship Id="rId12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chart" Target="charts/chart22.xml"/><Relationship Id="rId72" Type="http://schemas.openxmlformats.org/officeDocument/2006/relationships/hyperlink" Target="https://www.celnisprava.cz/cz/dalsi-kompetence/hazard/Documents/Stanoviska%20-%20Odpov%C4%9B%C4%8F%20k%20dopl%C5%88uj%C3%ADc%C3%ADm%20dotaz%C5%AFm%20k%20ustanoven%C3%AD%20%C2%A7%2068%20z%C3%A1kona%20o%20hazardn%C3%ADch%20hr%C3%A1ch.pdf" TargetMode="External"/><Relationship Id="rId80" Type="http://schemas.openxmlformats.org/officeDocument/2006/relationships/hyperlink" Target="https://www.veikkaus.fi/fi/yritys?lang=en" TargetMode="External"/><Relationship Id="rId85" Type="http://schemas.openxmlformats.org/officeDocument/2006/relationships/hyperlink" Target="https://rpdarmstadt.hessen.de/sicherheit/gl%C3%BCcksspiel/sportwetten/konzessionsverfahren" TargetMode="External"/><Relationship Id="rId93" Type="http://schemas.openxmlformats.org/officeDocument/2006/relationships/hyperlink" Target="https://www.riksdagen.se/sv/dokument-lagar/dokument/svensk%20forfattningssamling/spellag-20181138_sfs-2018-1138" TargetMode="External"/><Relationship Id="rId98" Type="http://schemas.openxmlformats.org/officeDocument/2006/relationships/hyperlink" Target="http://asterig.org/" TargetMode="External"/><Relationship Id="rId121" Type="http://schemas.openxmlformats.org/officeDocument/2006/relationships/hyperlink" Target="https://www.vlada.cz/cz/ppov/protidrogova-politika/media/hrani-hazardnich-her-se-presouva-do-prostredi-internetu--v-roce-2017-byla-vice-nez-tretina-penez-vlozena-on-line-167869/" TargetMode="Externa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chart" Target="charts/chart8.xml"/><Relationship Id="rId33" Type="http://schemas.openxmlformats.org/officeDocument/2006/relationships/chart" Target="charts/chart15.xml"/><Relationship Id="rId38" Type="http://schemas.openxmlformats.org/officeDocument/2006/relationships/chart" Target="charts/chart18.xml"/><Relationship Id="rId46" Type="http://schemas.openxmlformats.org/officeDocument/2006/relationships/image" Target="cid:image003.png@01D740FB.217A9690" TargetMode="External"/><Relationship Id="rId59" Type="http://schemas.openxmlformats.org/officeDocument/2006/relationships/hyperlink" Target="http://portal.justice.cz/Justice2/ms/ms.aspx?j=33&amp;o=23&amp;k=5096&amp;d=9064" TargetMode="External"/><Relationship Id="rId67" Type="http://schemas.openxmlformats.org/officeDocument/2006/relationships/hyperlink" Target="https://www.mfcr.cz/assets/cs/media/2017-11-16_Stanovisko-k-oznaceni-kasina.pdf" TargetMode="External"/><Relationship Id="rId103" Type="http://schemas.openxmlformats.org/officeDocument/2006/relationships/hyperlink" Target="https://www.drogy-info.cz/" TargetMode="External"/><Relationship Id="rId108" Type="http://schemas.openxmlformats.org/officeDocument/2006/relationships/hyperlink" Target="http://www.hybridniaplikace.cz/srovnani.html" TargetMode="External"/><Relationship Id="rId116" Type="http://schemas.openxmlformats.org/officeDocument/2006/relationships/hyperlink" Target="https://www.mfcr.cz/cs/soukromy-sektor/hazardni-hry/zadatele-a-provozovatele/stanoviska/2016/formulare-zarucni-listiny-26106" TargetMode="External"/><Relationship Id="rId124" Type="http://schemas.openxmlformats.org/officeDocument/2006/relationships/hyperlink" Target="file:///S:\Odbor73\19_Projekt%20anal&#253;zy\FIN&#193;LN&#205;%20RIA%20-%20VO,%20&#344;O\Kompletov&#225;n&#237;\Anal&#253;za%20regulace%20hazardu%20v%20&#268;esk&#233;%20republice_v5.1.docx" TargetMode="External"/><Relationship Id="rId20" Type="http://schemas.openxmlformats.org/officeDocument/2006/relationships/image" Target="media/image6.png"/><Relationship Id="rId41" Type="http://schemas.openxmlformats.org/officeDocument/2006/relationships/image" Target="cid:image001.png@01D73DB4.D6EB9550" TargetMode="External"/><Relationship Id="rId54" Type="http://schemas.openxmlformats.org/officeDocument/2006/relationships/chart" Target="charts/chart25.xml"/><Relationship Id="rId62" Type="http://schemas.openxmlformats.org/officeDocument/2006/relationships/hyperlink" Target="aspi://module='JUD'&amp;link='JUD387822CZ%2523'&amp;ucin-k-dni='26.12.2020'" TargetMode="External"/><Relationship Id="rId70" Type="http://schemas.openxmlformats.org/officeDocument/2006/relationships/hyperlink" Target="https://www.google.com/url?sa=t&amp;rct=j&amp;q=&amp;esrc=s&amp;source=web&amp;cd=&amp;ved=2ahUKEwi28sKxxfbwAhWYuKQKHb_WAdMQFjAAegQIAxAD&amp;url=https%3A%2F%2Fwww.mfcr.cz%2Fassets%2Fcs%2Fmedia%2F2017-08-25_Stanovisko-k-pravni-povaze-plneni-v-ramci-provozovani-hazardnich-her.pdf&amp;usg=AOvVaw2-Pl_Tiivpamv7gJN4H_iG" TargetMode="External"/><Relationship Id="rId75" Type="http://schemas.openxmlformats.org/officeDocument/2006/relationships/hyperlink" Target="https://gamblingcompliance.com" TargetMode="External"/><Relationship Id="rId83" Type="http://schemas.openxmlformats.org/officeDocument/2006/relationships/hyperlink" Target="https://www.e-tar.lt/portal/lt/legalActEditions/TAR.E5509883EBB4?faces-redirect=true" TargetMode="External"/><Relationship Id="rId88" Type="http://schemas.openxmlformats.org/officeDocument/2006/relationships/hyperlink" Target="https://wetten.overheid.nl/BWBR0002469/2018-01-01" TargetMode="External"/><Relationship Id="rId91" Type="http://schemas.openxmlformats.org/officeDocument/2006/relationships/hyperlink" Target="https://isap.sejm.gov.pl/isap.nsf/DocDetails.xsp?id=WDU20092011540" TargetMode="External"/><Relationship Id="rId96" Type="http://schemas.openxmlformats.org/officeDocument/2006/relationships/hyperlink" Target="https://www.legislation.gov.uk/ukpga/2014/17/contents/enacted" TargetMode="External"/><Relationship Id="rId111" Type="http://schemas.openxmlformats.org/officeDocument/2006/relationships/hyperlink" Target="https://kansspelautoriteit.nl/english/loot-box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image" Target="media/image9.png"/><Relationship Id="rId28" Type="http://schemas.openxmlformats.org/officeDocument/2006/relationships/chart" Target="charts/chart11.xml"/><Relationship Id="rId36" Type="http://schemas.openxmlformats.org/officeDocument/2006/relationships/image" Target="media/image12.png"/><Relationship Id="rId49" Type="http://schemas.openxmlformats.org/officeDocument/2006/relationships/chart" Target="charts/chart20.xml"/><Relationship Id="rId57" Type="http://schemas.openxmlformats.org/officeDocument/2006/relationships/hyperlink" Target="https://www.drogy-info.cz/data/obj_files/1621/807/Koncep%C4%8Dn%C3%AD_r%C3%A1mec_%C5%A1kodliv%C3%A9ho_hr%C3%A1%C4%8Dstv%C3%AD.pdf" TargetMode="External"/><Relationship Id="rId106" Type="http://schemas.openxmlformats.org/officeDocument/2006/relationships/hyperlink" Target="https://www.gamblingcommission.gov.uk/for-the-public/Safer-gambling/Consumer-guides/Betting/Understanding-the-cash-out-option.aspx" TargetMode="External"/><Relationship Id="rId114" Type="http://schemas.openxmlformats.org/officeDocument/2006/relationships/hyperlink" Target="https://www.mfcr.cz/cs/soukromy-sektor/hazardni-hry/prihlasovani-nevyplacenych-vyher/obecne-informace/2021/informace-k-postupu-sazejicich-pri-uplat-41191" TargetMode="External"/><Relationship Id="rId119" Type="http://schemas.openxmlformats.org/officeDocument/2006/relationships/hyperlink" Target="http://somuchpoker.com/everything-you-need-to-know-about-the-new-german-online-poker-regulation/" TargetMode="External"/><Relationship Id="rId127" Type="http://schemas.openxmlformats.org/officeDocument/2006/relationships/fontTable" Target="fontTable.xml"/><Relationship Id="rId10" Type="http://schemas.openxmlformats.org/officeDocument/2006/relationships/chart" Target="charts/chart1.xml"/><Relationship Id="rId31" Type="http://schemas.openxmlformats.org/officeDocument/2006/relationships/chart" Target="charts/chart14.xml"/><Relationship Id="rId44" Type="http://schemas.openxmlformats.org/officeDocument/2006/relationships/image" Target="media/image15.png"/><Relationship Id="rId52" Type="http://schemas.openxmlformats.org/officeDocument/2006/relationships/chart" Target="charts/chart23.xml"/><Relationship Id="rId60" Type="http://schemas.openxmlformats.org/officeDocument/2006/relationships/hyperlink" Target="https://www.drogy-info.cz/data/obj_files/1622/810/Prevence_problemoveho_hracstvi.pdf" TargetMode="External"/><Relationship Id="rId65" Type="http://schemas.openxmlformats.org/officeDocument/2006/relationships/hyperlink" Target="https://www.financnianalytickyurad.cz/download/FileUploadComponent-1750233108/1481699516_cs_6-pokyn-mf_c-006_2016_metodicky-pokyn-fau.pdf" TargetMode="External"/><Relationship Id="rId73" Type="http://schemas.openxmlformats.org/officeDocument/2006/relationships/hyperlink" Target="https://www.mfcr.cz/assets/cs/media/2020-11-06_Stanovisko-k-vykladu-17-ZHH-1-0.pdf" TargetMode="External"/><Relationship Id="rId78" Type="http://schemas.openxmlformats.org/officeDocument/2006/relationships/hyperlink" Target="https://op.europa.eu/o/opportal-service/download-handler?identifier=6bac835f-2442-11e9-8d04-01aa75ed71a1&amp;format=pdf&amp;language=en&amp;productionSystem=cellar&amp;part" TargetMode="External"/><Relationship Id="rId81" Type="http://schemas.openxmlformats.org/officeDocument/2006/relationships/hyperlink" Target="https://www.legifrance.gouv.fr/codes/section_lc/LEGITEXT000025503132/LEGISCTA000025505690/2020-01-01/" TargetMode="External"/><Relationship Id="rId86" Type="http://schemas.openxmlformats.org/officeDocument/2006/relationships/hyperlink" Target="https://corporate.hollandcasino.nl/en/company-information" TargetMode="External"/><Relationship Id="rId94" Type="http://schemas.openxmlformats.org/officeDocument/2006/relationships/hyperlink" Target="https://www.riksdagen.se/sv/dokument-lagar/dokument/svensk-forfattningssamling/spelforordning-20181475_sfs-2018-1475" TargetMode="External"/><Relationship Id="rId99" Type="http://schemas.openxmlformats.org/officeDocument/2006/relationships/hyperlink" Target="https://corporatefinanceinstitute.com/resources/knowledge/trading-investing/anchoring-bias/" TargetMode="External"/><Relationship Id="rId101" Type="http://schemas.openxmlformats.org/officeDocument/2006/relationships/hyperlink" Target="https://developer.apple.com/app-store/review/guidelines/" TargetMode="External"/><Relationship Id="rId122" Type="http://schemas.openxmlformats.org/officeDocument/2006/relationships/hyperlink" Target="https://www.vlada.cz/cz/ppov/protidrogova-politika/koordinace/narodni-konference-hazardni-hrani-v-ceske-republice-v-roce-2018-165597/"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image" Target="media/image4.png"/><Relationship Id="rId39" Type="http://schemas.openxmlformats.org/officeDocument/2006/relationships/chart" Target="charts/chart19.xml"/><Relationship Id="rId109" Type="http://schemas.openxmlformats.org/officeDocument/2006/relationships/hyperlink" Target="https://www.idnes.cz/hry/novinky/lootboxy-zakaz-hry.A180425_171215_bw-novinky_srp" TargetMode="External"/><Relationship Id="rId34" Type="http://schemas.openxmlformats.org/officeDocument/2006/relationships/chart" Target="charts/chart16.xml"/><Relationship Id="rId50" Type="http://schemas.openxmlformats.org/officeDocument/2006/relationships/chart" Target="charts/chart21.xml"/><Relationship Id="rId55" Type="http://schemas.openxmlformats.org/officeDocument/2006/relationships/chart" Target="charts/chart26.xml"/><Relationship Id="rId76" Type="http://schemas.openxmlformats.org/officeDocument/2006/relationships/hyperlink" Target="https://www.spillemyndigheden.dk/en/licence-holders" TargetMode="External"/><Relationship Id="rId97" Type="http://schemas.openxmlformats.org/officeDocument/2006/relationships/hyperlink" Target="https://anygamble.com/cs/psychologie-hazardu-kognitivni-klamy/" TargetMode="External"/><Relationship Id="rId104" Type="http://schemas.openxmlformats.org/officeDocument/2006/relationships/hyperlink" Target="https://en.wikipedia.org/wiki/Mobile_app" TargetMode="External"/><Relationship Id="rId120" Type="http://schemas.openxmlformats.org/officeDocument/2006/relationships/hyperlink" Target="https://www.telegraph.co.uk/betting/sports-guides/betting-exchanges/" TargetMode="External"/><Relationship Id="rId125" Type="http://schemas.openxmlformats.org/officeDocument/2006/relationships/hyperlink" Target="file:///S:\Odbor73\19_Projekt%20anal&#253;zy\FIN&#193;LN&#205;%20RIA%20-%20VO,%20&#344;O\Kompletov&#225;n&#237;\Anal&#253;za%20regulace%20hazardu%20v%20&#268;esk&#233;%20republice_v5.1.docx" TargetMode="External"/><Relationship Id="rId7" Type="http://schemas.openxmlformats.org/officeDocument/2006/relationships/endnotes" Target="endnotes.xml"/><Relationship Id="rId71" Type="http://schemas.openxmlformats.org/officeDocument/2006/relationships/hyperlink" Target="https://www.google.com/url?sa=t&amp;rct=j&amp;q=&amp;esrc=s&amp;source=web&amp;cd=&amp;ved=2ahUKEwi_rfitxvbwAhWRtqQKHaFpA_YQFjAAegQIAhAF&amp;url=https%3A%2F%2Fwww.mfcr.cz%2Fassets%2Fcs%2Fmedia%2F2016-09-22_Stanovisko-k-provozovani-tzv-LIVE-DEALER-GAMES.pdf&amp;usg=AOvVaw3yJx1l1AZcOtDub0rL4eKz" TargetMode="External"/><Relationship Id="rId92" Type="http://schemas.openxmlformats.org/officeDocument/2006/relationships/hyperlink" Target="https://www.ris.bka.gv.at/GeltendeFassung.wxe?Abfrage=Bundesnormen&amp;Gesetzesnummer=10004611" TargetMode="External"/><Relationship Id="rId2" Type="http://schemas.openxmlformats.org/officeDocument/2006/relationships/numbering" Target="numbering.xml"/><Relationship Id="rId29" Type="http://schemas.openxmlformats.org/officeDocument/2006/relationships/chart" Target="charts/chart12.xml"/><Relationship Id="rId24"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6.gif"/><Relationship Id="rId66" Type="http://schemas.openxmlformats.org/officeDocument/2006/relationships/hyperlink" Target="https://www.mfcr.cz/assets/cs/media/2014-07-24_Loterie-a-sazky-Rozsirene-stanovisko-MF-k-tzv-Kvizomatum.pdf" TargetMode="External"/><Relationship Id="rId87" Type="http://schemas.openxmlformats.org/officeDocument/2006/relationships/hyperlink" Target="https://kansspelautoriteit.nl/algemeen/english/" TargetMode="External"/><Relationship Id="rId110" Type="http://schemas.openxmlformats.org/officeDocument/2006/relationships/hyperlink" Target="https://www.jakobejitblokaci.cz/" TargetMode="External"/><Relationship Id="rId115" Type="http://schemas.openxmlformats.org/officeDocument/2006/relationships/hyperlink" Target="https://www.mfcr.cz/cs/soukromy-sektor/hazardni-hry/prihlasovani-nevyplacenych-vyher/obecne-informace/2021/stanovisko-k-problematice-vyplaty-vyhry-41192" TargetMode="External"/><Relationship Id="rId61" Type="http://schemas.openxmlformats.org/officeDocument/2006/relationships/hyperlink" Target="https://www.google.com/url?client=internal-element-cse&amp;cx=004444584865611326555:wmrqdhkact0&amp;q=https://www.nudz.cz/files/common/winkler_problemove_hracstvi.pdf&amp;sa=U&amp;ved=2ahUKEwjw_YvLsPbwAhVXPewKHRyfBGgQFjAAegQIABAB&amp;usg=AOvVaw0RqWkFPIH_M_S-CkeDB8mW" TargetMode="External"/><Relationship Id="rId82" Type="http://schemas.openxmlformats.org/officeDocument/2006/relationships/hyperlink" Target="http://www.gref.net/update-blurring-of-lines-between-gambling-and-gamin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mfcr.cz/cs/soukromy-sektor/hazardni-hry/rejstrik-vyloucenych-osob-rvo" TargetMode="External"/><Relationship Id="rId1" Type="http://schemas.openxmlformats.org/officeDocument/2006/relationships/hyperlink" Target="https://www.mfcr.cz/cs/soukromy-sektor/hazardni-hry/reportingova-vyhlask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4528\AppData\Local\Microsoft\Windows\INetCache\Content.Outlook\LZOA3UHU\RVO%20statitisky%20aktualizace%20k%201.4.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4528\AppData\Local\Microsoft\Windows\INetCache\Content.Outlook\LZOA3UHU\RVO%20statitisky%20aktualizace%20k%201.4.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4528\AppData\Local\Microsoft\Windows\INetCache\Content.Outlook\LZOA3UHU\Graf.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15760\Desktop\postRIA\SOO\graf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5760\Desktop\postRIA\SOO\graf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5760\Desktop\postRIA\SOO\graf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5760\Desktop\postRIA\SOO\grafy.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Excel.xlsx"/></Relationships>
</file>

<file path=word/charts/_rels/chart9.xml.rels><?xml version="1.0" encoding="UTF-8" standalone="yes"?>
<Relationships xmlns="http://schemas.openxmlformats.org/package/2006/relationships"><Relationship Id="rId3" Type="http://schemas.openxmlformats.org/officeDocument/2006/relationships/oleObject" Target="file:///C:\Users\14528\AppData\Local\Microsoft\Windows\INetCache\Content.Outlook\LZOA3UHU\kauce.xlsx" TargetMode="External"/><Relationship Id="rId2" Type="http://schemas.microsoft.com/office/2011/relationships/chartColorStyle" Target="colors4.xml"/><Relationship Id="rId1" Type="http://schemas.microsoft.com/office/2011/relationships/chartStyle" Target="style4.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5.xml"/><Relationship Id="rId1" Type="http://schemas.microsoft.com/office/2011/relationships/chartStyle" Target="style5.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6.xml"/><Relationship Id="rId1" Type="http://schemas.microsoft.com/office/2011/relationships/chartStyle" Target="style6.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7.xml"/><Relationship Id="rId1" Type="http://schemas.microsoft.com/office/2011/relationships/chartStyle" Target="style7.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3_CS_rok_2020%20kontroln&#237;%20&#269;innost_odbor%20Dohledu.xlsx" TargetMode="External"/><Relationship Id="rId2" Type="http://schemas.microsoft.com/office/2011/relationships/chartColorStyle" Target="colors8.xml"/><Relationship Id="rId1" Type="http://schemas.microsoft.com/office/2011/relationships/chartStyle" Target="style8.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9.xml"/><Relationship Id="rId1" Type="http://schemas.microsoft.com/office/2011/relationships/chartStyle" Target="style9.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10.xml"/><Relationship Id="rId1" Type="http://schemas.microsoft.com/office/2011/relationships/chartStyle" Target="style10.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1.xml"/><Relationship Id="rId1" Type="http://schemas.microsoft.com/office/2011/relationships/chartStyle" Target="style11.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xlsx" TargetMode="External"/><Relationship Id="rId2" Type="http://schemas.microsoft.com/office/2011/relationships/chartColorStyle" Target="colors12.xml"/><Relationship Id="rId1" Type="http://schemas.microsoft.com/office/2011/relationships/chartStyle" Target="style12.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12410\Desktop\0002_DOZOR%20POST%20RIA%2028_10_2020\0_GRAF_1_podklady%20pro%20grafy%20dotazn&#237;k%20za%20CS_DOZOR_29_4_2021.xlsx" TargetMode="External"/><Relationship Id="rId2" Type="http://schemas.microsoft.com/office/2011/relationships/chartColorStyle" Target="colors13.xml"/><Relationship Id="rId1" Type="http://schemas.microsoft.com/office/2011/relationships/chartStyle" Target="style13.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12410\Desktop\Schillerov&#225;%20-%20efekt%20zaveden&#237;%20z&#225;kona%20o%20HH%2018_2_2021\CELN&#205;%20SPR&#193;VA%20-%20PODKLAD%20PRO%20MAIL_21_2_2021\Celn&#237;ci%20-%20dotazy%20ke%20statistik&#225;m_22_2_2021.xlsx" TargetMode="External"/><Relationship Id="rId2" Type="http://schemas.microsoft.com/office/2011/relationships/chartColorStyle" Target="colors14.xml"/><Relationship Id="rId1" Type="http://schemas.microsoft.com/office/2011/relationships/chartStyle" Target="style14.xml"/></Relationships>
</file>

<file path=word/charts/_rels/chart20.xml.rels><?xml version="1.0" encoding="UTF-8" standalone="yes"?>
<Relationships xmlns="http://schemas.openxmlformats.org/package/2006/relationships"><Relationship Id="rId3" Type="http://schemas.openxmlformats.org/officeDocument/2006/relationships/package" Target="../embeddings/List_aplikace_Microsoft_Excel1.xlsx"/><Relationship Id="rId2" Type="http://schemas.microsoft.com/office/2011/relationships/chartColorStyle" Target="colors15.xml"/><Relationship Id="rId1" Type="http://schemas.microsoft.com/office/2011/relationships/chartStyle" Target="style15.xml"/></Relationships>
</file>

<file path=word/charts/_rels/chart21.xml.rels><?xml version="1.0" encoding="UTF-8" standalone="yes"?>
<Relationships xmlns="http://schemas.openxmlformats.org/package/2006/relationships"><Relationship Id="rId1" Type="http://schemas.openxmlformats.org/officeDocument/2006/relationships/package" Target="../embeddings/List_aplikace_Microsoft_Excel2.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List_aplikace_Microsoft_Excel3.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List_aplikace_Microsoft_Excel4.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List_aplikace_Microsoft_Excel5.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List_aplikace_Microsoft_Excel6.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List_aplikace_Microsoft_Excel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List1!$B$99:$B$109</c:f>
              <c:strCache>
                <c:ptCount val="11"/>
                <c:pt idx="0">
                  <c:v>mladší 20 let</c:v>
                </c:pt>
                <c:pt idx="1">
                  <c:v>20-25</c:v>
                </c:pt>
                <c:pt idx="2">
                  <c:v>26-30</c:v>
                </c:pt>
                <c:pt idx="3">
                  <c:v>31-35</c:v>
                </c:pt>
                <c:pt idx="4">
                  <c:v>36-40</c:v>
                </c:pt>
                <c:pt idx="5">
                  <c:v>41-45</c:v>
                </c:pt>
                <c:pt idx="6">
                  <c:v>46-50</c:v>
                </c:pt>
                <c:pt idx="7">
                  <c:v>51-55</c:v>
                </c:pt>
                <c:pt idx="8">
                  <c:v>56-60</c:v>
                </c:pt>
                <c:pt idx="9">
                  <c:v>61-65</c:v>
                </c:pt>
                <c:pt idx="10">
                  <c:v>66 a více </c:v>
                </c:pt>
              </c:strCache>
            </c:strRef>
          </c:cat>
          <c:val>
            <c:numRef>
              <c:f>List1!$C$99:$C$109</c:f>
              <c:numCache>
                <c:formatCode>General</c:formatCode>
                <c:ptCount val="11"/>
                <c:pt idx="0">
                  <c:v>7</c:v>
                </c:pt>
                <c:pt idx="1">
                  <c:v>104</c:v>
                </c:pt>
                <c:pt idx="2">
                  <c:v>199</c:v>
                </c:pt>
                <c:pt idx="3">
                  <c:v>199</c:v>
                </c:pt>
                <c:pt idx="4">
                  <c:v>166</c:v>
                </c:pt>
                <c:pt idx="5">
                  <c:v>102</c:v>
                </c:pt>
                <c:pt idx="6">
                  <c:v>58</c:v>
                </c:pt>
                <c:pt idx="7">
                  <c:v>31</c:v>
                </c:pt>
                <c:pt idx="8">
                  <c:v>12</c:v>
                </c:pt>
                <c:pt idx="9">
                  <c:v>6</c:v>
                </c:pt>
                <c:pt idx="10">
                  <c:v>5</c:v>
                </c:pt>
              </c:numCache>
            </c:numRef>
          </c:val>
          <c:extLst>
            <c:ext xmlns:c16="http://schemas.microsoft.com/office/drawing/2014/chart" uri="{C3380CC4-5D6E-409C-BE32-E72D297353CC}">
              <c16:uniqueId val="{00000000-30CC-4DF7-A13B-D822FE246420}"/>
            </c:ext>
          </c:extLst>
        </c:ser>
        <c:dLbls>
          <c:dLblPos val="outEnd"/>
          <c:showLegendKey val="0"/>
          <c:showVal val="1"/>
          <c:showCatName val="0"/>
          <c:showSerName val="0"/>
          <c:showPercent val="0"/>
          <c:showBubbleSize val="0"/>
        </c:dLbls>
        <c:gapWidth val="219"/>
        <c:overlap val="-27"/>
        <c:axId val="40568320"/>
        <c:axId val="40569856"/>
      </c:barChart>
      <c:catAx>
        <c:axId val="4056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40569856"/>
        <c:crosses val="autoZero"/>
        <c:auto val="1"/>
        <c:lblAlgn val="ctr"/>
        <c:lblOffset val="100"/>
        <c:noMultiLvlLbl val="0"/>
      </c:catAx>
      <c:valAx>
        <c:axId val="4056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40568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List1!$B$46:$B$59</c:f>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f>List1!$C$46:$C$59</c:f>
              <c:numCache>
                <c:formatCode>General</c:formatCode>
                <c:ptCount val="14"/>
                <c:pt idx="0">
                  <c:v>116</c:v>
                </c:pt>
                <c:pt idx="1">
                  <c:v>50</c:v>
                </c:pt>
                <c:pt idx="2">
                  <c:v>98</c:v>
                </c:pt>
                <c:pt idx="3">
                  <c:v>14</c:v>
                </c:pt>
                <c:pt idx="4">
                  <c:v>36</c:v>
                </c:pt>
                <c:pt idx="5">
                  <c:v>41</c:v>
                </c:pt>
                <c:pt idx="6">
                  <c:v>42</c:v>
                </c:pt>
                <c:pt idx="7">
                  <c:v>131</c:v>
                </c:pt>
                <c:pt idx="8">
                  <c:v>53</c:v>
                </c:pt>
                <c:pt idx="9">
                  <c:v>38</c:v>
                </c:pt>
                <c:pt idx="10">
                  <c:v>38</c:v>
                </c:pt>
                <c:pt idx="11">
                  <c:v>114</c:v>
                </c:pt>
                <c:pt idx="12">
                  <c:v>64</c:v>
                </c:pt>
                <c:pt idx="13">
                  <c:v>53</c:v>
                </c:pt>
              </c:numCache>
            </c:numRef>
          </c:val>
          <c:extLst>
            <c:ext xmlns:c16="http://schemas.microsoft.com/office/drawing/2014/chart" uri="{C3380CC4-5D6E-409C-BE32-E72D297353CC}">
              <c16:uniqueId val="{00000000-3FB9-42A0-8381-6C4ED72B848B}"/>
            </c:ext>
          </c:extLst>
        </c:ser>
        <c:dLbls>
          <c:dLblPos val="outEnd"/>
          <c:showLegendKey val="0"/>
          <c:showVal val="1"/>
          <c:showCatName val="0"/>
          <c:showSerName val="0"/>
          <c:showPercent val="0"/>
          <c:showBubbleSize val="0"/>
        </c:dLbls>
        <c:gapWidth val="219"/>
        <c:overlap val="-27"/>
        <c:axId val="40589568"/>
        <c:axId val="40612224"/>
      </c:barChart>
      <c:catAx>
        <c:axId val="4058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40612224"/>
        <c:crosses val="autoZero"/>
        <c:auto val="1"/>
        <c:lblAlgn val="ctr"/>
        <c:lblOffset val="100"/>
        <c:noMultiLvlLbl val="0"/>
      </c:catAx>
      <c:valAx>
        <c:axId val="40612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cs-CZ"/>
          </a:p>
        </c:txPr>
        <c:crossAx val="40589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4"/>
          <c:order val="4"/>
          <c:tx>
            <c:strRef>
              <c:f>List1!$F$2</c:f>
              <c:strCache>
                <c:ptCount val="1"/>
                <c:pt idx="0">
                  <c:v>Procento, jakým se jednotlivé kraje podílí při zohlednění počtu obyvatel na osobách dobrovolně zapsaných v RVO</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List1!$A$3:$A$16</c:f>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f>List1!$F$3:$F$16</c:f>
              <c:numCache>
                <c:formatCode>0.00%</c:formatCode>
                <c:ptCount val="14"/>
                <c:pt idx="0">
                  <c:v>7.8399999999999997E-2</c:v>
                </c:pt>
                <c:pt idx="1">
                  <c:v>6.9599999999999995E-2</c:v>
                </c:pt>
                <c:pt idx="2">
                  <c:v>7.3599999999999999E-2</c:v>
                </c:pt>
                <c:pt idx="3">
                  <c:v>4.2599999999999999E-2</c:v>
                </c:pt>
                <c:pt idx="4">
                  <c:v>6.3299999999999995E-2</c:v>
                </c:pt>
                <c:pt idx="5">
                  <c:v>6.6600000000000006E-2</c:v>
                </c:pt>
                <c:pt idx="6">
                  <c:v>8.48E-2</c:v>
                </c:pt>
                <c:pt idx="7">
                  <c:v>9.7900000000000001E-2</c:v>
                </c:pt>
                <c:pt idx="8">
                  <c:v>7.5200000000000003E-2</c:v>
                </c:pt>
                <c:pt idx="9">
                  <c:v>6.5100000000000005E-2</c:v>
                </c:pt>
                <c:pt idx="10">
                  <c:v>5.7700000000000001E-2</c:v>
                </c:pt>
                <c:pt idx="11">
                  <c:v>7.3599999999999999E-2</c:v>
                </c:pt>
                <c:pt idx="12">
                  <c:v>7.0000000000000007E-2</c:v>
                </c:pt>
                <c:pt idx="13">
                  <c:v>8.1600000000000006E-2</c:v>
                </c:pt>
              </c:numCache>
            </c:numRef>
          </c:val>
          <c:extLst>
            <c:ext xmlns:c16="http://schemas.microsoft.com/office/drawing/2014/chart" uri="{C3380CC4-5D6E-409C-BE32-E72D297353CC}">
              <c16:uniqueId val="{00000000-E51E-40AD-AE4D-0C59BDC81BF7}"/>
            </c:ext>
          </c:extLst>
        </c:ser>
        <c:dLbls>
          <c:showLegendKey val="0"/>
          <c:showVal val="0"/>
          <c:showCatName val="0"/>
          <c:showSerName val="0"/>
          <c:showPercent val="0"/>
          <c:showBubbleSize val="0"/>
        </c:dLbls>
        <c:gapWidth val="219"/>
        <c:overlap val="-27"/>
        <c:axId val="107880832"/>
        <c:axId val="107882368"/>
        <c:extLst>
          <c:ext xmlns:c15="http://schemas.microsoft.com/office/drawing/2012/chart" uri="{02D57815-91ED-43cb-92C2-25804820EDAC}">
            <c15:filteredBarSeries>
              <c15:ser>
                <c:idx val="0"/>
                <c:order val="0"/>
                <c:tx>
                  <c:strRef>
                    <c:extLst>
                      <c:ext uri="{02D57815-91ED-43cb-92C2-25804820EDAC}">
                        <c15:formulaRef>
                          <c15:sqref>List1!$B$2</c15:sqref>
                        </c15:formulaRef>
                      </c:ext>
                    </c:extLst>
                    <c:strCache>
                      <c:ptCount val="1"/>
                      <c:pt idx="0">
                        <c:v>Počet osob dobrovolně zapsaných v RVO</c:v>
                      </c:pt>
                    </c:strCache>
                  </c:strRef>
                </c:tx>
                <c:spPr>
                  <a:solidFill>
                    <a:schemeClr val="accent1"/>
                  </a:solidFill>
                  <a:ln>
                    <a:noFill/>
                  </a:ln>
                  <a:effectLst/>
                </c:spPr>
                <c:invertIfNegative val="0"/>
                <c:cat>
                  <c:strRef>
                    <c:extLst>
                      <c:ext uri="{02D57815-91ED-43cb-92C2-25804820EDAC}">
                        <c15:formulaRef>
                          <c15:sqref>List1!$A$3:$A$16</c15:sqref>
                        </c15:formulaRef>
                      </c:ext>
                    </c:extLst>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extLst>
                      <c:ext uri="{02D57815-91ED-43cb-92C2-25804820EDAC}">
                        <c15:formulaRef>
                          <c15:sqref>List1!$B$3:$B$16</c15:sqref>
                        </c15:formulaRef>
                      </c:ext>
                    </c:extLst>
                    <c:numCache>
                      <c:formatCode>General</c:formatCode>
                      <c:ptCount val="14"/>
                      <c:pt idx="0">
                        <c:v>116</c:v>
                      </c:pt>
                      <c:pt idx="1">
                        <c:v>50</c:v>
                      </c:pt>
                      <c:pt idx="2">
                        <c:v>98</c:v>
                      </c:pt>
                      <c:pt idx="3">
                        <c:v>14</c:v>
                      </c:pt>
                      <c:pt idx="4">
                        <c:v>36</c:v>
                      </c:pt>
                      <c:pt idx="5">
                        <c:v>41</c:v>
                      </c:pt>
                      <c:pt idx="6">
                        <c:v>42</c:v>
                      </c:pt>
                      <c:pt idx="7">
                        <c:v>131</c:v>
                      </c:pt>
                      <c:pt idx="8">
                        <c:v>53</c:v>
                      </c:pt>
                      <c:pt idx="9">
                        <c:v>38</c:v>
                      </c:pt>
                      <c:pt idx="10">
                        <c:v>38</c:v>
                      </c:pt>
                      <c:pt idx="11">
                        <c:v>114</c:v>
                      </c:pt>
                      <c:pt idx="12">
                        <c:v>64</c:v>
                      </c:pt>
                      <c:pt idx="13">
                        <c:v>53</c:v>
                      </c:pt>
                    </c:numCache>
                  </c:numRef>
                </c:val>
                <c:extLst>
                  <c:ext xmlns:c16="http://schemas.microsoft.com/office/drawing/2014/chart" uri="{C3380CC4-5D6E-409C-BE32-E72D297353CC}">
                    <c16:uniqueId val="{00000001-E51E-40AD-AE4D-0C59BDC81BF7}"/>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List1!$C$2</c15:sqref>
                        </c15:formulaRef>
                      </c:ext>
                    </c:extLst>
                    <c:strCache>
                      <c:ptCount val="1"/>
                      <c:pt idx="0">
                        <c:v>Procenta vyloučených na žádost podle kraje</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List1!$A$3:$A$16</c15:sqref>
                        </c15:formulaRef>
                      </c:ext>
                    </c:extLst>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extLst xmlns:c15="http://schemas.microsoft.com/office/drawing/2012/chart">
                      <c:ext xmlns:c15="http://schemas.microsoft.com/office/drawing/2012/chart" uri="{02D57815-91ED-43cb-92C2-25804820EDAC}">
                        <c15:formulaRef>
                          <c15:sqref>List1!$C$3:$C$16</c15:sqref>
                        </c15:formulaRef>
                      </c:ext>
                    </c:extLst>
                    <c:numCache>
                      <c:formatCode>0.00%</c:formatCode>
                      <c:ptCount val="14"/>
                      <c:pt idx="0">
                        <c:v>0.13100000000000001</c:v>
                      </c:pt>
                      <c:pt idx="1">
                        <c:v>5.6000000000000001E-2</c:v>
                      </c:pt>
                      <c:pt idx="2">
                        <c:v>0.11</c:v>
                      </c:pt>
                      <c:pt idx="3">
                        <c:v>1.6E-2</c:v>
                      </c:pt>
                      <c:pt idx="4">
                        <c:v>4.1000000000000002E-2</c:v>
                      </c:pt>
                      <c:pt idx="5">
                        <c:v>4.5999999999999999E-2</c:v>
                      </c:pt>
                      <c:pt idx="6">
                        <c:v>4.7E-2</c:v>
                      </c:pt>
                      <c:pt idx="7">
                        <c:v>0.14799999999999999</c:v>
                      </c:pt>
                      <c:pt idx="8">
                        <c:v>0.06</c:v>
                      </c:pt>
                      <c:pt idx="9">
                        <c:v>4.2999999999999997E-2</c:v>
                      </c:pt>
                      <c:pt idx="10">
                        <c:v>4.2999999999999997E-2</c:v>
                      </c:pt>
                      <c:pt idx="11">
                        <c:v>0.128</c:v>
                      </c:pt>
                      <c:pt idx="12">
                        <c:v>7.1999999999999995E-2</c:v>
                      </c:pt>
                      <c:pt idx="13">
                        <c:v>0.06</c:v>
                      </c:pt>
                    </c:numCache>
                  </c:numRef>
                </c:val>
                <c:extLst xmlns:c15="http://schemas.microsoft.com/office/drawing/2012/chart">
                  <c:ext xmlns:c16="http://schemas.microsoft.com/office/drawing/2014/chart" uri="{C3380CC4-5D6E-409C-BE32-E72D297353CC}">
                    <c16:uniqueId val="{00000002-E51E-40AD-AE4D-0C59BDC81BF7}"/>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List1!$D$2</c15:sqref>
                        </c15:formulaRef>
                      </c:ext>
                    </c:extLst>
                    <c:strCache>
                      <c:ptCount val="1"/>
                      <c:pt idx="0">
                        <c:v>Počet obyvatel</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List1!$A$3:$A$16</c15:sqref>
                        </c15:formulaRef>
                      </c:ext>
                    </c:extLst>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extLst xmlns:c15="http://schemas.microsoft.com/office/drawing/2012/chart">
                      <c:ext xmlns:c15="http://schemas.microsoft.com/office/drawing/2012/chart" uri="{02D57815-91ED-43cb-92C2-25804820EDAC}">
                        <c15:formulaRef>
                          <c15:sqref>List1!$D$3:$D$16</c15:sqref>
                        </c15:formulaRef>
                      </c:ext>
                    </c:extLst>
                    <c:numCache>
                      <c:formatCode>#,##0</c:formatCode>
                      <c:ptCount val="14"/>
                      <c:pt idx="0">
                        <c:v>1325280</c:v>
                      </c:pt>
                      <c:pt idx="1">
                        <c:v>643408</c:v>
                      </c:pt>
                      <c:pt idx="2">
                        <c:v>1192698</c:v>
                      </c:pt>
                      <c:pt idx="3">
                        <c:v>294331</c:v>
                      </c:pt>
                      <c:pt idx="4">
                        <c:v>509817</c:v>
                      </c:pt>
                      <c:pt idx="5">
                        <c:v>551343</c:v>
                      </c:pt>
                      <c:pt idx="6">
                        <c:v>443842</c:v>
                      </c:pt>
                      <c:pt idx="7">
                        <c:v>1198534</c:v>
                      </c:pt>
                      <c:pt idx="8">
                        <c:v>631836</c:v>
                      </c:pt>
                      <c:pt idx="9">
                        <c:v>523054</c:v>
                      </c:pt>
                      <c:pt idx="10">
                        <c:v>590461</c:v>
                      </c:pt>
                      <c:pt idx="11">
                        <c:v>1388185</c:v>
                      </c:pt>
                      <c:pt idx="12">
                        <c:v>819713</c:v>
                      </c:pt>
                      <c:pt idx="13">
                        <c:v>581862</c:v>
                      </c:pt>
                    </c:numCache>
                  </c:numRef>
                </c:val>
                <c:extLst xmlns:c15="http://schemas.microsoft.com/office/drawing/2012/chart">
                  <c:ext xmlns:c16="http://schemas.microsoft.com/office/drawing/2014/chart" uri="{C3380CC4-5D6E-409C-BE32-E72D297353CC}">
                    <c16:uniqueId val="{00000003-E51E-40AD-AE4D-0C59BDC81BF7}"/>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List1!$E$2</c15:sqref>
                        </c15:formulaRef>
                      </c:ext>
                    </c:extLst>
                    <c:strCache>
                      <c:ptCount val="1"/>
                      <c:pt idx="0">
                        <c:v>Velikost kraje podle počtu obyvatel</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List1!$A$3:$A$16</c15:sqref>
                        </c15:formulaRef>
                      </c:ext>
                    </c:extLst>
                    <c:strCache>
                      <c:ptCount val="14"/>
                      <c:pt idx="0">
                        <c:v>Hlavní město Praha</c:v>
                      </c:pt>
                      <c:pt idx="1">
                        <c:v>Jihočeský kraj</c:v>
                      </c:pt>
                      <c:pt idx="2">
                        <c:v>Jihomoravský kraj</c:v>
                      </c:pt>
                      <c:pt idx="3">
                        <c:v>Karlovarský kraj</c:v>
                      </c:pt>
                      <c:pt idx="4">
                        <c:v>Kraj Vysočina</c:v>
                      </c:pt>
                      <c:pt idx="5">
                        <c:v>Královéhradecký kraj</c:v>
                      </c:pt>
                      <c:pt idx="6">
                        <c:v>Liberecký kraj</c:v>
                      </c:pt>
                      <c:pt idx="7">
                        <c:v>Moravskoslezský kraj</c:v>
                      </c:pt>
                      <c:pt idx="8">
                        <c:v>Olomoucký kraj</c:v>
                      </c:pt>
                      <c:pt idx="9">
                        <c:v>Pardubický kraj</c:v>
                      </c:pt>
                      <c:pt idx="10">
                        <c:v>Plzeňský kraj</c:v>
                      </c:pt>
                      <c:pt idx="11">
                        <c:v>Středočeský kraj</c:v>
                      </c:pt>
                      <c:pt idx="12">
                        <c:v>Ústecký kraj</c:v>
                      </c:pt>
                      <c:pt idx="13">
                        <c:v>Zlínský kraj</c:v>
                      </c:pt>
                    </c:strCache>
                  </c:strRef>
                </c:cat>
                <c:val>
                  <c:numRef>
                    <c:extLst xmlns:c15="http://schemas.microsoft.com/office/drawing/2012/chart">
                      <c:ext xmlns:c15="http://schemas.microsoft.com/office/drawing/2012/chart" uri="{02D57815-91ED-43cb-92C2-25804820EDAC}">
                        <c15:formulaRef>
                          <c15:sqref>List1!$E$3:$E$16</c15:sqref>
                        </c15:formulaRef>
                      </c:ext>
                    </c:extLst>
                    <c:numCache>
                      <c:formatCode>0.00%</c:formatCode>
                      <c:ptCount val="14"/>
                      <c:pt idx="0">
                        <c:v>0.124</c:v>
                      </c:pt>
                      <c:pt idx="1">
                        <c:v>0.06</c:v>
                      </c:pt>
                      <c:pt idx="2">
                        <c:v>0.112</c:v>
                      </c:pt>
                      <c:pt idx="3">
                        <c:v>2.8000000000000001E-2</c:v>
                      </c:pt>
                      <c:pt idx="4">
                        <c:v>4.8000000000000001E-2</c:v>
                      </c:pt>
                      <c:pt idx="5">
                        <c:v>5.1999999999999998E-2</c:v>
                      </c:pt>
                      <c:pt idx="6">
                        <c:v>4.2000000000000003E-2</c:v>
                      </c:pt>
                      <c:pt idx="7">
                        <c:v>0.112</c:v>
                      </c:pt>
                      <c:pt idx="8">
                        <c:v>5.8999999999999997E-2</c:v>
                      </c:pt>
                      <c:pt idx="9">
                        <c:v>4.9000000000000002E-2</c:v>
                      </c:pt>
                      <c:pt idx="10">
                        <c:v>5.5E-2</c:v>
                      </c:pt>
                      <c:pt idx="11">
                        <c:v>0.13</c:v>
                      </c:pt>
                      <c:pt idx="12">
                        <c:v>7.6999999999999999E-2</c:v>
                      </c:pt>
                      <c:pt idx="13">
                        <c:v>5.3999999999999999E-2</c:v>
                      </c:pt>
                    </c:numCache>
                  </c:numRef>
                </c:val>
                <c:extLst xmlns:c15="http://schemas.microsoft.com/office/drawing/2012/chart">
                  <c:ext xmlns:c16="http://schemas.microsoft.com/office/drawing/2014/chart" uri="{C3380CC4-5D6E-409C-BE32-E72D297353CC}">
                    <c16:uniqueId val="{00000004-E51E-40AD-AE4D-0C59BDC81BF7}"/>
                  </c:ext>
                </c:extLst>
              </c15:ser>
            </c15:filteredBarSeries>
          </c:ext>
        </c:extLst>
      </c:barChart>
      <c:catAx>
        <c:axId val="1078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7882368"/>
        <c:crosses val="autoZero"/>
        <c:auto val="1"/>
        <c:lblAlgn val="ctr"/>
        <c:lblOffset val="100"/>
        <c:noMultiLvlLbl val="0"/>
      </c:catAx>
      <c:valAx>
        <c:axId val="107882368"/>
        <c:scaling>
          <c:orientation val="minMax"/>
          <c:max val="0.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7880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cat>
            <c:strRef>
              <c:f>List1!$C$2:$H$2</c:f>
              <c:strCache>
                <c:ptCount val="6"/>
                <c:pt idx="0">
                  <c:v>0 - 100 Kč</c:v>
                </c:pt>
                <c:pt idx="1">
                  <c:v>101 - 500 Kč</c:v>
                </c:pt>
                <c:pt idx="2">
                  <c:v>501 - 1000 Kč</c:v>
                </c:pt>
                <c:pt idx="3">
                  <c:v>1001 - 10000 Kč</c:v>
                </c:pt>
                <c:pt idx="4">
                  <c:v>10001 Kč a více</c:v>
                </c:pt>
                <c:pt idx="5">
                  <c:v>odmítnuto</c:v>
                </c:pt>
              </c:strCache>
            </c:strRef>
          </c:cat>
          <c:val>
            <c:numRef>
              <c:f>List1!$C$3:$H$3</c:f>
              <c:numCache>
                <c:formatCode>General</c:formatCode>
                <c:ptCount val="6"/>
                <c:pt idx="0">
                  <c:v>32466</c:v>
                </c:pt>
                <c:pt idx="1">
                  <c:v>40531</c:v>
                </c:pt>
                <c:pt idx="2">
                  <c:v>4100</c:v>
                </c:pt>
                <c:pt idx="3">
                  <c:v>35760</c:v>
                </c:pt>
                <c:pt idx="4">
                  <c:v>44286</c:v>
                </c:pt>
                <c:pt idx="5">
                  <c:v>947957</c:v>
                </c:pt>
              </c:numCache>
            </c:numRef>
          </c:val>
          <c:extLst>
            <c:ext xmlns:c16="http://schemas.microsoft.com/office/drawing/2014/chart" uri="{C3380CC4-5D6E-409C-BE32-E72D297353CC}">
              <c16:uniqueId val="{00000000-F4EC-42AB-A30D-F362CEECD820}"/>
            </c:ext>
          </c:extLst>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cat>
            <c:strRef>
              <c:f>List1!$C$41:$H$41</c:f>
              <c:strCache>
                <c:ptCount val="6"/>
                <c:pt idx="0">
                  <c:v>0 - 20 min</c:v>
                </c:pt>
                <c:pt idx="1">
                  <c:v>21 - 60 min</c:v>
                </c:pt>
                <c:pt idx="2">
                  <c:v>61 - 120 min</c:v>
                </c:pt>
                <c:pt idx="3">
                  <c:v>121 - 1440 min</c:v>
                </c:pt>
                <c:pt idx="5">
                  <c:v>odmítnuto</c:v>
                </c:pt>
              </c:strCache>
            </c:strRef>
          </c:cat>
          <c:val>
            <c:numRef>
              <c:f>List1!$C$42:$H$42</c:f>
              <c:numCache>
                <c:formatCode>General</c:formatCode>
                <c:ptCount val="6"/>
                <c:pt idx="0">
                  <c:v>6895</c:v>
                </c:pt>
                <c:pt idx="1">
                  <c:v>9582</c:v>
                </c:pt>
                <c:pt idx="2">
                  <c:v>987</c:v>
                </c:pt>
                <c:pt idx="3">
                  <c:v>29164</c:v>
                </c:pt>
                <c:pt idx="5">
                  <c:v>872683</c:v>
                </c:pt>
              </c:numCache>
            </c:numRef>
          </c:val>
          <c:extLst>
            <c:ext xmlns:c16="http://schemas.microsoft.com/office/drawing/2014/chart" uri="{C3380CC4-5D6E-409C-BE32-E72D297353CC}">
              <c16:uniqueId val="{00000000-FF7C-412D-90F8-8CD84157CBBB}"/>
            </c:ext>
          </c:extLst>
        </c:ser>
        <c:dLbls>
          <c:showLegendKey val="0"/>
          <c:showVal val="0"/>
          <c:showCatName val="0"/>
          <c:showSerName val="0"/>
          <c:showPercent val="0"/>
          <c:showBubbleSize val="0"/>
          <c:showLeaderLines val="1"/>
        </c:dLbls>
        <c:firstSliceAng val="0"/>
        <c:holeSize val="50"/>
      </c:doughnutChart>
    </c:plotArea>
    <c:legend>
      <c:legendPos val="r"/>
      <c:legendEntry>
        <c:idx val="4"/>
        <c:delete val="1"/>
      </c:legendEntry>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cat>
            <c:strRef>
              <c:f>List1!$M$2:$R$2</c:f>
              <c:strCache>
                <c:ptCount val="6"/>
                <c:pt idx="0">
                  <c:v>0 - 100 Kč</c:v>
                </c:pt>
                <c:pt idx="1">
                  <c:v>101 - 500 Kč</c:v>
                </c:pt>
                <c:pt idx="2">
                  <c:v>501 - 1000 Kč</c:v>
                </c:pt>
                <c:pt idx="3">
                  <c:v>1001 - 10000 Kč</c:v>
                </c:pt>
                <c:pt idx="4">
                  <c:v>10001 Kč a více</c:v>
                </c:pt>
                <c:pt idx="5">
                  <c:v>odmítnuto</c:v>
                </c:pt>
              </c:strCache>
            </c:strRef>
          </c:cat>
          <c:val>
            <c:numRef>
              <c:f>List1!$M$3:$R$3</c:f>
              <c:numCache>
                <c:formatCode>General</c:formatCode>
                <c:ptCount val="6"/>
                <c:pt idx="0">
                  <c:v>38462</c:v>
                </c:pt>
                <c:pt idx="1">
                  <c:v>42255</c:v>
                </c:pt>
                <c:pt idx="2">
                  <c:v>4283</c:v>
                </c:pt>
                <c:pt idx="3">
                  <c:v>34146</c:v>
                </c:pt>
                <c:pt idx="4">
                  <c:v>48561</c:v>
                </c:pt>
                <c:pt idx="5">
                  <c:v>2173014</c:v>
                </c:pt>
              </c:numCache>
            </c:numRef>
          </c:val>
          <c:extLst>
            <c:ext xmlns:c16="http://schemas.microsoft.com/office/drawing/2014/chart" uri="{C3380CC4-5D6E-409C-BE32-E72D297353CC}">
              <c16:uniqueId val="{00000000-01E4-4166-9B40-733A5AF68640}"/>
            </c:ext>
          </c:extLst>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cat>
            <c:strRef>
              <c:f>List1!$M$41:$Q$41</c:f>
              <c:strCache>
                <c:ptCount val="5"/>
                <c:pt idx="0">
                  <c:v>0 - 20 min</c:v>
                </c:pt>
                <c:pt idx="1">
                  <c:v>21 - 60 min</c:v>
                </c:pt>
                <c:pt idx="2">
                  <c:v>61 - 120 min</c:v>
                </c:pt>
                <c:pt idx="3">
                  <c:v>121 - 1440 min</c:v>
                </c:pt>
                <c:pt idx="4">
                  <c:v>odmítnuto</c:v>
                </c:pt>
              </c:strCache>
            </c:strRef>
          </c:cat>
          <c:val>
            <c:numRef>
              <c:f>List1!$M$42:$Q$42</c:f>
              <c:numCache>
                <c:formatCode>General</c:formatCode>
                <c:ptCount val="5"/>
                <c:pt idx="0">
                  <c:v>9445</c:v>
                </c:pt>
                <c:pt idx="1">
                  <c:v>11397</c:v>
                </c:pt>
                <c:pt idx="2">
                  <c:v>1136</c:v>
                </c:pt>
                <c:pt idx="3">
                  <c:v>35975</c:v>
                </c:pt>
                <c:pt idx="4">
                  <c:v>1774442</c:v>
                </c:pt>
              </c:numCache>
            </c:numRef>
          </c:val>
          <c:extLst>
            <c:ext xmlns:c16="http://schemas.microsoft.com/office/drawing/2014/chart" uri="{C3380CC4-5D6E-409C-BE32-E72D297353CC}">
              <c16:uniqueId val="{00000000-B019-4223-B7B2-BD2D82FE1C9A}"/>
            </c:ext>
          </c:extLst>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5"/>
          <c:order val="5"/>
          <c:tx>
            <c:strRef>
              <c:f>List1!$G$1</c:f>
              <c:strCache>
                <c:ptCount val="1"/>
                <c:pt idx="0">
                  <c:v>Landbased</c:v>
                </c:pt>
              </c:strCache>
            </c:strRef>
          </c:tx>
          <c:spPr>
            <a:solidFill>
              <a:schemeClr val="accent6">
                <a:lumMod val="40000"/>
                <a:lumOff val="60000"/>
                <a:alpha val="93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List1!$G$2:$G$9</c:f>
              <c:numCache>
                <c:formatCode>General</c:formatCode>
                <c:ptCount val="8"/>
                <c:pt idx="0">
                  <c:v>7298122471.8000002</c:v>
                </c:pt>
                <c:pt idx="1">
                  <c:v>7325155440.2000008</c:v>
                </c:pt>
                <c:pt idx="2">
                  <c:v>7527488153.9500008</c:v>
                </c:pt>
                <c:pt idx="3" formatCode="?\ ???\ ??0">
                  <c:v>10409488229.917501</c:v>
                </c:pt>
                <c:pt idx="4" formatCode="?\ ???\ ??0">
                  <c:v>10208499618.280001</c:v>
                </c:pt>
                <c:pt idx="5" formatCode="?\ ???\ ??0">
                  <c:v>6861683223.3199997</c:v>
                </c:pt>
                <c:pt idx="6" formatCode="#,##0">
                  <c:v>7445619173</c:v>
                </c:pt>
                <c:pt idx="7">
                  <c:v>5851373605.8699999</c:v>
                </c:pt>
              </c:numCache>
            </c:numRef>
          </c:val>
          <c:extLst>
            <c:ext xmlns:c16="http://schemas.microsoft.com/office/drawing/2014/chart" uri="{C3380CC4-5D6E-409C-BE32-E72D297353CC}">
              <c16:uniqueId val="{00000000-412C-4872-886E-0EED5C0792D1}"/>
            </c:ext>
          </c:extLst>
        </c:ser>
        <c:ser>
          <c:idx val="6"/>
          <c:order val="6"/>
          <c:tx>
            <c:strRef>
              <c:f>List1!$H$1</c:f>
              <c:strCache>
                <c:ptCount val="1"/>
                <c:pt idx="0">
                  <c:v>Internet</c:v>
                </c:pt>
              </c:strCache>
            </c:strRef>
          </c:tx>
          <c:spPr>
            <a:solidFill>
              <a:schemeClr val="accent5">
                <a:lumMod val="40000"/>
                <a:lumOff val="60000"/>
                <a:alpha val="84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List1!$H$2:$H$9</c:f>
              <c:numCache>
                <c:formatCode>General</c:formatCode>
                <c:ptCount val="8"/>
                <c:pt idx="0">
                  <c:v>470948195</c:v>
                </c:pt>
                <c:pt idx="1">
                  <c:v>500551069.60000002</c:v>
                </c:pt>
                <c:pt idx="2">
                  <c:v>637145574.30000007</c:v>
                </c:pt>
                <c:pt idx="3" formatCode="?\ ???\ ??0">
                  <c:v>773075057.39999998</c:v>
                </c:pt>
                <c:pt idx="4" formatCode="?\ ???\ ??0">
                  <c:v>1919209323.4700003</c:v>
                </c:pt>
                <c:pt idx="5" formatCode="?\ ???\ ??0">
                  <c:v>2213947838.8200002</c:v>
                </c:pt>
                <c:pt idx="6" formatCode="#,##0">
                  <c:v>3047919989</c:v>
                </c:pt>
                <c:pt idx="7">
                  <c:v>4496228084.3300009</c:v>
                </c:pt>
              </c:numCache>
            </c:numRef>
          </c:val>
          <c:extLst>
            <c:ext xmlns:c16="http://schemas.microsoft.com/office/drawing/2014/chart" uri="{C3380CC4-5D6E-409C-BE32-E72D297353CC}">
              <c16:uniqueId val="{00000001-412C-4872-886E-0EED5C0792D1}"/>
            </c:ext>
          </c:extLst>
        </c:ser>
        <c:dLbls>
          <c:showLegendKey val="0"/>
          <c:showVal val="0"/>
          <c:showCatName val="0"/>
          <c:showSerName val="0"/>
          <c:showPercent val="0"/>
          <c:showBubbleSize val="0"/>
        </c:dLbls>
        <c:axId val="110075904"/>
        <c:axId val="110065920"/>
      </c:areaChart>
      <c:barChart>
        <c:barDir val="col"/>
        <c:grouping val="cluster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2-412C-4872-886E-0EED5C0792D1}"/>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3-412C-4872-886E-0EED5C0792D1}"/>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4-412C-4872-886E-0EED5C0792D1}"/>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5-412C-4872-886E-0EED5C0792D1}"/>
            </c:ext>
          </c:extLst>
        </c:ser>
        <c:ser>
          <c:idx val="4"/>
          <c:order val="4"/>
          <c:tx>
            <c:strRef>
              <c:f>List1!$F$1</c:f>
              <c:strCache>
                <c:ptCount val="1"/>
                <c:pt idx="0">
                  <c:v>Ostatní hry</c:v>
                </c:pt>
              </c:strCache>
            </c:strRef>
          </c:tx>
          <c:spPr>
            <a:solidFill>
              <a:srgbClr val="FF0000"/>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6-412C-4872-886E-0EED5C0792D1}"/>
            </c:ext>
          </c:extLst>
        </c:ser>
        <c:dLbls>
          <c:showLegendKey val="0"/>
          <c:showVal val="0"/>
          <c:showCatName val="0"/>
          <c:showSerName val="0"/>
          <c:showPercent val="0"/>
          <c:showBubbleSize val="0"/>
        </c:dLbls>
        <c:gapWidth val="150"/>
        <c:axId val="110054400"/>
        <c:axId val="110064384"/>
      </c:barChart>
      <c:catAx>
        <c:axId val="11005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064384"/>
        <c:crosses val="autoZero"/>
        <c:auto val="1"/>
        <c:lblAlgn val="ctr"/>
        <c:lblOffset val="100"/>
        <c:noMultiLvlLbl val="0"/>
      </c:catAx>
      <c:valAx>
        <c:axId val="110064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054400"/>
        <c:crosses val="autoZero"/>
        <c:crossBetween val="between"/>
      </c:valAx>
      <c:valAx>
        <c:axId val="11006592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075904"/>
        <c:crosses val="max"/>
        <c:crossBetween val="between"/>
      </c:valAx>
      <c:catAx>
        <c:axId val="110075904"/>
        <c:scaling>
          <c:orientation val="minMax"/>
        </c:scaling>
        <c:delete val="1"/>
        <c:axPos val="b"/>
        <c:numFmt formatCode="General" sourceLinked="1"/>
        <c:majorTickMark val="out"/>
        <c:minorTickMark val="none"/>
        <c:tickLblPos val="nextTo"/>
        <c:crossAx val="110065920"/>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136-4EEB-8EBE-77CBA4B2E3C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136-4EEB-8EBE-77CBA4B2E3C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136-4EEB-8EBE-77CBA4B2E3C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cs-CZ"/>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ext>
            </c:extLst>
          </c:dLbls>
          <c:cat>
            <c:strRef>
              <c:f>List2!$A$1:$A$3</c:f>
              <c:strCache>
                <c:ptCount val="3"/>
                <c:pt idx="0">
                  <c:v>na zvláštní účet</c:v>
                </c:pt>
                <c:pt idx="1">
                  <c:v>bankovní zárukou</c:v>
                </c:pt>
                <c:pt idx="2">
                  <c:v>kombinace</c:v>
                </c:pt>
              </c:strCache>
            </c:strRef>
          </c:cat>
          <c:val>
            <c:numRef>
              <c:f>List2!$B$1:$B$3</c:f>
              <c:numCache>
                <c:formatCode>General</c:formatCode>
                <c:ptCount val="3"/>
                <c:pt idx="0">
                  <c:v>31</c:v>
                </c:pt>
                <c:pt idx="1">
                  <c:v>24</c:v>
                </c:pt>
                <c:pt idx="2">
                  <c:v>8</c:v>
                </c:pt>
              </c:numCache>
            </c:numRef>
          </c:val>
          <c:extLst>
            <c:ext xmlns:c16="http://schemas.microsoft.com/office/drawing/2014/chart" uri="{C3380CC4-5D6E-409C-BE32-E72D297353CC}">
              <c16:uniqueId val="{00000006-9136-4EEB-8EBE-77CBA4B2E3C1}"/>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extLst>
                <c:ext xmlns:c16="http://schemas.microsoft.com/office/drawing/2014/chart" uri="{C3380CC4-5D6E-409C-BE32-E72D297353CC}">
                  <c16:uniqueId val="{00000000-51F3-4C60-BAC4-295DB755305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CS_DOZOR'!$B$5:$C$5</c:f>
              <c:strCache>
                <c:ptCount val="2"/>
                <c:pt idx="0">
                  <c:v>Celkový počet kontrol za období 2017- 2020</c:v>
                </c:pt>
                <c:pt idx="1">
                  <c:v>z toho počet kontrol, v jejichž rámci byly shledány dílčí nedostatky </c:v>
                </c:pt>
              </c:strCache>
            </c:strRef>
          </c:cat>
          <c:val>
            <c:numRef>
              <c:f>'DOTAZNÍK CS_DOZOR'!$B$6:$C$6</c:f>
              <c:numCache>
                <c:formatCode>General</c:formatCode>
                <c:ptCount val="2"/>
                <c:pt idx="0">
                  <c:v>5623</c:v>
                </c:pt>
                <c:pt idx="1">
                  <c:v>2723</c:v>
                </c:pt>
              </c:numCache>
            </c:numRef>
          </c:val>
          <c:extLst>
            <c:ext xmlns:c16="http://schemas.microsoft.com/office/drawing/2014/chart" uri="{C3380CC4-5D6E-409C-BE32-E72D297353CC}">
              <c16:uniqueId val="{00000001-B427-4A4D-8ABD-DD0D633291F2}"/>
            </c:ext>
          </c:extLst>
        </c:ser>
        <c:dLbls>
          <c:dLblPos val="outEnd"/>
          <c:showLegendKey val="0"/>
          <c:showVal val="1"/>
          <c:showCatName val="0"/>
          <c:showSerName val="0"/>
          <c:showPercent val="0"/>
          <c:showBubbleSize val="0"/>
        </c:dLbls>
        <c:gapWidth val="219"/>
        <c:overlap val="-27"/>
        <c:axId val="110012672"/>
        <c:axId val="110018560"/>
      </c:barChart>
      <c:catAx>
        <c:axId val="11001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10018560"/>
        <c:crosses val="autoZero"/>
        <c:auto val="1"/>
        <c:lblAlgn val="ctr"/>
        <c:lblOffset val="100"/>
        <c:noMultiLvlLbl val="0"/>
      </c:catAx>
      <c:valAx>
        <c:axId val="110018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012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CS_DOZOR'!$C$12</c:f>
              <c:strCache>
                <c:ptCount val="1"/>
                <c:pt idx="0">
                  <c:v>Počet kontrol celkem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CS_DOZOR'!$B$13:$B$16</c:f>
              <c:numCache>
                <c:formatCode>General</c:formatCode>
                <c:ptCount val="4"/>
                <c:pt idx="0">
                  <c:v>2017</c:v>
                </c:pt>
                <c:pt idx="1">
                  <c:v>2018</c:v>
                </c:pt>
                <c:pt idx="2">
                  <c:v>2019</c:v>
                </c:pt>
                <c:pt idx="3">
                  <c:v>2020</c:v>
                </c:pt>
              </c:numCache>
            </c:numRef>
          </c:cat>
          <c:val>
            <c:numRef>
              <c:f>'DOTAZNÍK CS_DOZOR'!$C$13:$C$16</c:f>
              <c:numCache>
                <c:formatCode>General</c:formatCode>
                <c:ptCount val="4"/>
                <c:pt idx="0">
                  <c:v>2060</c:v>
                </c:pt>
                <c:pt idx="1">
                  <c:v>1462</c:v>
                </c:pt>
                <c:pt idx="2">
                  <c:v>1347</c:v>
                </c:pt>
                <c:pt idx="3">
                  <c:v>754</c:v>
                </c:pt>
              </c:numCache>
            </c:numRef>
          </c:val>
          <c:extLst>
            <c:ext xmlns:c16="http://schemas.microsoft.com/office/drawing/2014/chart" uri="{C3380CC4-5D6E-409C-BE32-E72D297353CC}">
              <c16:uniqueId val="{00000000-1569-486A-BECA-7108B156C11A}"/>
            </c:ext>
          </c:extLst>
        </c:ser>
        <c:ser>
          <c:idx val="1"/>
          <c:order val="1"/>
          <c:tx>
            <c:strRef>
              <c:f>'DOTAZNÍK CS_DOZOR'!$D$12</c:f>
              <c:strCache>
                <c:ptCount val="1"/>
                <c:pt idx="0">
                  <c:v>z toho počet kontrol u 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CS_DOZOR'!$B$13:$B$16</c:f>
              <c:numCache>
                <c:formatCode>General</c:formatCode>
                <c:ptCount val="4"/>
                <c:pt idx="0">
                  <c:v>2017</c:v>
                </c:pt>
                <c:pt idx="1">
                  <c:v>2018</c:v>
                </c:pt>
                <c:pt idx="2">
                  <c:v>2019</c:v>
                </c:pt>
                <c:pt idx="3">
                  <c:v>2020</c:v>
                </c:pt>
              </c:numCache>
            </c:numRef>
          </c:cat>
          <c:val>
            <c:numRef>
              <c:f>'DOTAZNÍK CS_DOZOR'!$D$13:$D$16</c:f>
              <c:numCache>
                <c:formatCode>General</c:formatCode>
                <c:ptCount val="4"/>
                <c:pt idx="0">
                  <c:v>1913</c:v>
                </c:pt>
                <c:pt idx="1">
                  <c:v>1039</c:v>
                </c:pt>
                <c:pt idx="2">
                  <c:v>1115</c:v>
                </c:pt>
                <c:pt idx="3">
                  <c:v>612</c:v>
                </c:pt>
              </c:numCache>
            </c:numRef>
          </c:val>
          <c:extLst>
            <c:ext xmlns:c16="http://schemas.microsoft.com/office/drawing/2014/chart" uri="{C3380CC4-5D6E-409C-BE32-E72D297353CC}">
              <c16:uniqueId val="{00000001-1569-486A-BECA-7108B156C11A}"/>
            </c:ext>
          </c:extLst>
        </c:ser>
        <c:dLbls>
          <c:dLblPos val="outEnd"/>
          <c:showLegendKey val="0"/>
          <c:showVal val="1"/>
          <c:showCatName val="0"/>
          <c:showSerName val="0"/>
          <c:showPercent val="0"/>
          <c:showBubbleSize val="0"/>
        </c:dLbls>
        <c:gapWidth val="219"/>
        <c:overlap val="-27"/>
        <c:axId val="111748608"/>
        <c:axId val="111750144"/>
      </c:barChart>
      <c:catAx>
        <c:axId val="11174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11750144"/>
        <c:crosses val="autoZero"/>
        <c:auto val="1"/>
        <c:lblAlgn val="ctr"/>
        <c:lblOffset val="100"/>
        <c:noMultiLvlLbl val="0"/>
      </c:catAx>
      <c:valAx>
        <c:axId val="111750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1748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CS_DOZOR'!$C$23</c:f>
              <c:strCache>
                <c:ptCount val="1"/>
                <c:pt idx="0">
                  <c:v>Počet kontrol u legálních provozovatelů</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CS_DOZOR'!$B$24:$B$27</c:f>
              <c:numCache>
                <c:formatCode>General</c:formatCode>
                <c:ptCount val="4"/>
                <c:pt idx="0">
                  <c:v>2017</c:v>
                </c:pt>
                <c:pt idx="1">
                  <c:v>2018</c:v>
                </c:pt>
                <c:pt idx="2">
                  <c:v>2019</c:v>
                </c:pt>
                <c:pt idx="3">
                  <c:v>2020</c:v>
                </c:pt>
              </c:numCache>
            </c:numRef>
          </c:cat>
          <c:val>
            <c:numRef>
              <c:f>'DOTAZNÍK CS_DOZOR'!$C$24:$C$27</c:f>
              <c:numCache>
                <c:formatCode>General</c:formatCode>
                <c:ptCount val="4"/>
                <c:pt idx="0">
                  <c:v>1913</c:v>
                </c:pt>
                <c:pt idx="1">
                  <c:v>1039</c:v>
                </c:pt>
                <c:pt idx="2">
                  <c:v>1115</c:v>
                </c:pt>
                <c:pt idx="3">
                  <c:v>612</c:v>
                </c:pt>
              </c:numCache>
            </c:numRef>
          </c:val>
          <c:extLst>
            <c:ext xmlns:c16="http://schemas.microsoft.com/office/drawing/2014/chart" uri="{C3380CC4-5D6E-409C-BE32-E72D297353CC}">
              <c16:uniqueId val="{00000000-28B5-4C36-B7CF-B74A17D6FEAB}"/>
            </c:ext>
          </c:extLst>
        </c:ser>
        <c:ser>
          <c:idx val="1"/>
          <c:order val="1"/>
          <c:tx>
            <c:strRef>
              <c:f>'DOTAZNÍK CS_DOZOR'!$D$23</c:f>
              <c:strCache>
                <c:ptCount val="1"/>
                <c:pt idx="0">
                  <c:v>z toho počet kontrol se zjištěným podezřením na porušení dílčích povinností</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CS_DOZOR'!$B$24:$B$27</c:f>
              <c:numCache>
                <c:formatCode>General</c:formatCode>
                <c:ptCount val="4"/>
                <c:pt idx="0">
                  <c:v>2017</c:v>
                </c:pt>
                <c:pt idx="1">
                  <c:v>2018</c:v>
                </c:pt>
                <c:pt idx="2">
                  <c:v>2019</c:v>
                </c:pt>
                <c:pt idx="3">
                  <c:v>2020</c:v>
                </c:pt>
              </c:numCache>
            </c:numRef>
          </c:cat>
          <c:val>
            <c:numRef>
              <c:f>'DOTAZNÍK CS_DOZOR'!$D$24:$D$27</c:f>
              <c:numCache>
                <c:formatCode>General</c:formatCode>
                <c:ptCount val="4"/>
                <c:pt idx="0">
                  <c:v>341</c:v>
                </c:pt>
                <c:pt idx="1">
                  <c:v>453</c:v>
                </c:pt>
                <c:pt idx="2">
                  <c:v>630</c:v>
                </c:pt>
                <c:pt idx="3">
                  <c:v>355</c:v>
                </c:pt>
              </c:numCache>
            </c:numRef>
          </c:val>
          <c:extLst>
            <c:ext xmlns:c16="http://schemas.microsoft.com/office/drawing/2014/chart" uri="{C3380CC4-5D6E-409C-BE32-E72D297353CC}">
              <c16:uniqueId val="{00000001-28B5-4C36-B7CF-B74A17D6FEAB}"/>
            </c:ext>
          </c:extLst>
        </c:ser>
        <c:dLbls>
          <c:dLblPos val="outEnd"/>
          <c:showLegendKey val="0"/>
          <c:showVal val="1"/>
          <c:showCatName val="0"/>
          <c:showSerName val="0"/>
          <c:showPercent val="0"/>
          <c:showBubbleSize val="0"/>
        </c:dLbls>
        <c:gapWidth val="219"/>
        <c:overlap val="-27"/>
        <c:axId val="111780608"/>
        <c:axId val="111782144"/>
      </c:barChart>
      <c:catAx>
        <c:axId val="11178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crossAx val="111782144"/>
        <c:crosses val="autoZero"/>
        <c:auto val="1"/>
        <c:lblAlgn val="ctr"/>
        <c:lblOffset val="100"/>
        <c:noMultiLvlLbl val="0"/>
      </c:catAx>
      <c:valAx>
        <c:axId val="111782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178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List4!$B$15:$B$22</c:f>
              <c:strCache>
                <c:ptCount val="8"/>
                <c:pt idx="0">
                  <c:v>Podezření na porušení zákazu účastnit se hazardní hry v herním prostoru osobou, která pro provozovatele vykonává činnost nebo úkol související s provozováním hazardní hry. </c:v>
                </c:pt>
                <c:pt idx="1">
                  <c:v>Podezření na porušení povinosti umístit na viditelném místě v herním prostoru herní plán.</c:v>
                </c:pt>
                <c:pt idx="2">
                  <c:v>Podezření na porušení požadavků na kvalitu kamerového záznamu z monitorovacího zařízení.</c:v>
                </c:pt>
                <c:pt idx="3">
                  <c:v>Podezření na porušení povinnosti provádět identifikaci návštěvníka při jeho vstupu do herního prostoru. </c:v>
                </c:pt>
                <c:pt idx="4">
                  <c:v>Podezření na porušení povinnosti zabezpečit výlohy, okna a vstupy do herního prostoru proti nahlížení do jeho vnitřních prostor. </c:v>
                </c:pt>
                <c:pt idx="5">
                  <c:v>Podezření na porušení povinnosti umožnit hru nejméně u 3 hracích stolů živé hry, a to po celou provozní dobu kasina. </c:v>
                </c:pt>
                <c:pt idx="6">
                  <c:v>Podezření na porušení zákazu umístění reklamy na budově nebo ve veřejně přístupné vnitřní části budovy, ve které se herní prostor nachází. </c:v>
                </c:pt>
                <c:pt idx="7">
                  <c:v>Podezření na porušení podmínek uvedených v základním povolení (nepřítomnost odpovědné osoby v herním prostoru, neplnění informační povinnosti vůči celnímu účadu, nevedení knihy oprav apod.).</c:v>
                </c:pt>
              </c:strCache>
            </c:strRef>
          </c:cat>
          <c:val>
            <c:numRef>
              <c:f>List4!$C$15:$C$22</c:f>
              <c:numCache>
                <c:formatCode>General</c:formatCode>
                <c:ptCount val="8"/>
                <c:pt idx="0">
                  <c:v>9</c:v>
                </c:pt>
                <c:pt idx="1">
                  <c:v>11</c:v>
                </c:pt>
                <c:pt idx="2">
                  <c:v>11</c:v>
                </c:pt>
                <c:pt idx="3">
                  <c:v>19</c:v>
                </c:pt>
                <c:pt idx="4">
                  <c:v>20</c:v>
                </c:pt>
                <c:pt idx="5">
                  <c:v>42</c:v>
                </c:pt>
                <c:pt idx="6">
                  <c:v>44</c:v>
                </c:pt>
                <c:pt idx="7">
                  <c:v>100</c:v>
                </c:pt>
              </c:numCache>
            </c:numRef>
          </c:val>
          <c:extLst>
            <c:ext xmlns:c16="http://schemas.microsoft.com/office/drawing/2014/chart" uri="{C3380CC4-5D6E-409C-BE32-E72D297353CC}">
              <c16:uniqueId val="{00000000-568C-43AA-A38D-4B8938700A5E}"/>
            </c:ext>
          </c:extLst>
        </c:ser>
        <c:dLbls>
          <c:dLblPos val="outEnd"/>
          <c:showLegendKey val="0"/>
          <c:showVal val="1"/>
          <c:showCatName val="0"/>
          <c:showSerName val="0"/>
          <c:showPercent val="0"/>
          <c:showBubbleSize val="0"/>
        </c:dLbls>
        <c:gapWidth val="182"/>
        <c:axId val="110635264"/>
        <c:axId val="110646400"/>
      </c:barChart>
      <c:catAx>
        <c:axId val="110635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chemeClr val="tx1"/>
                </a:solidFill>
                <a:latin typeface="+mn-lt"/>
                <a:ea typeface="+mn-ea"/>
                <a:cs typeface="+mn-cs"/>
              </a:defRPr>
            </a:pPr>
            <a:endParaRPr lang="cs-CZ"/>
          </a:p>
        </c:txPr>
        <c:crossAx val="110646400"/>
        <c:crosses val="autoZero"/>
        <c:auto val="1"/>
        <c:lblAlgn val="ctr"/>
        <c:lblOffset val="100"/>
        <c:noMultiLvlLbl val="0"/>
      </c:catAx>
      <c:valAx>
        <c:axId val="110646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cs-CZ"/>
          </a:p>
        </c:txPr>
        <c:crossAx val="11063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CS_DOZOR'!$C$52</c:f>
              <c:strCache>
                <c:ptCount val="1"/>
                <c:pt idx="0">
                  <c:v>Počet kontrol celkem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CS_DOZOR'!$B$53:$B$56</c:f>
              <c:numCache>
                <c:formatCode>General</c:formatCode>
                <c:ptCount val="4"/>
                <c:pt idx="0">
                  <c:v>2017</c:v>
                </c:pt>
                <c:pt idx="1">
                  <c:v>2018</c:v>
                </c:pt>
                <c:pt idx="2">
                  <c:v>2019</c:v>
                </c:pt>
                <c:pt idx="3">
                  <c:v>2020</c:v>
                </c:pt>
              </c:numCache>
            </c:numRef>
          </c:cat>
          <c:val>
            <c:numRef>
              <c:f>'DOTAZNÍK CS_DOZOR'!$C$53:$C$56</c:f>
              <c:numCache>
                <c:formatCode>General</c:formatCode>
                <c:ptCount val="4"/>
                <c:pt idx="0">
                  <c:v>2060</c:v>
                </c:pt>
                <c:pt idx="1">
                  <c:v>1462</c:v>
                </c:pt>
                <c:pt idx="2">
                  <c:v>1347</c:v>
                </c:pt>
                <c:pt idx="3">
                  <c:v>754</c:v>
                </c:pt>
              </c:numCache>
            </c:numRef>
          </c:val>
          <c:extLst>
            <c:ext xmlns:c16="http://schemas.microsoft.com/office/drawing/2014/chart" uri="{C3380CC4-5D6E-409C-BE32-E72D297353CC}">
              <c16:uniqueId val="{00000000-77DD-462D-A330-B77AAF570663}"/>
            </c:ext>
          </c:extLst>
        </c:ser>
        <c:ser>
          <c:idx val="1"/>
          <c:order val="1"/>
          <c:tx>
            <c:strRef>
              <c:f>'DOTAZNÍK CS_DOZOR'!$D$52</c:f>
              <c:strCache>
                <c:ptCount val="1"/>
                <c:pt idx="0">
                  <c:v>z toho počet kontrol u nelegálních provozovatelů</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'DOTAZNÍK CS_DOZOR'!$B$53:$B$56</c:f>
              <c:numCache>
                <c:formatCode>General</c:formatCode>
                <c:ptCount val="4"/>
                <c:pt idx="0">
                  <c:v>2017</c:v>
                </c:pt>
                <c:pt idx="1">
                  <c:v>2018</c:v>
                </c:pt>
                <c:pt idx="2">
                  <c:v>2019</c:v>
                </c:pt>
                <c:pt idx="3">
                  <c:v>2020</c:v>
                </c:pt>
              </c:numCache>
            </c:numRef>
          </c:cat>
          <c:val>
            <c:numRef>
              <c:f>'DOTAZNÍK CS_DOZOR'!$D$53:$D$56</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1-77DD-462D-A330-B77AAF570663}"/>
            </c:ext>
          </c:extLst>
        </c:ser>
        <c:dLbls>
          <c:dLblPos val="outEnd"/>
          <c:showLegendKey val="0"/>
          <c:showVal val="1"/>
          <c:showCatName val="0"/>
          <c:showSerName val="0"/>
          <c:showPercent val="0"/>
          <c:showBubbleSize val="0"/>
        </c:dLbls>
        <c:gapWidth val="219"/>
        <c:overlap val="-27"/>
        <c:axId val="111876736"/>
        <c:axId val="111890816"/>
      </c:barChart>
      <c:catAx>
        <c:axId val="11187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111890816"/>
        <c:crosses val="autoZero"/>
        <c:auto val="1"/>
        <c:lblAlgn val="ctr"/>
        <c:lblOffset val="100"/>
        <c:noMultiLvlLbl val="0"/>
      </c:catAx>
      <c:valAx>
        <c:axId val="11189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1876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'DOTAZNÍK CS_DOZOR'!$C$53</c:f>
              <c:strCache>
                <c:ptCount val="1"/>
                <c:pt idx="0">
                  <c:v>Počet kontrol v tzv. černých hernách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CS_DOZOR'!$B$54:$B$57</c:f>
              <c:numCache>
                <c:formatCode>General</c:formatCode>
                <c:ptCount val="4"/>
                <c:pt idx="0">
                  <c:v>2017</c:v>
                </c:pt>
                <c:pt idx="1">
                  <c:v>2018</c:v>
                </c:pt>
                <c:pt idx="2">
                  <c:v>2019</c:v>
                </c:pt>
                <c:pt idx="3">
                  <c:v>2020</c:v>
                </c:pt>
              </c:numCache>
            </c:numRef>
          </c:cat>
          <c:val>
            <c:numRef>
              <c:f>'DOTAZNÍK CS_DOZOR'!$C$54:$C$57</c:f>
              <c:numCache>
                <c:formatCode>General</c:formatCode>
                <c:ptCount val="4"/>
                <c:pt idx="0">
                  <c:v>147</c:v>
                </c:pt>
                <c:pt idx="1">
                  <c:v>423</c:v>
                </c:pt>
                <c:pt idx="2">
                  <c:v>232</c:v>
                </c:pt>
                <c:pt idx="3">
                  <c:v>142</c:v>
                </c:pt>
              </c:numCache>
            </c:numRef>
          </c:val>
          <c:extLst>
            <c:ext xmlns:c16="http://schemas.microsoft.com/office/drawing/2014/chart" uri="{C3380CC4-5D6E-409C-BE32-E72D297353CC}">
              <c16:uniqueId val="{00000000-264F-4BE4-AFAB-E9CC6C5DC6C8}"/>
            </c:ext>
          </c:extLst>
        </c:ser>
        <c:ser>
          <c:idx val="1"/>
          <c:order val="1"/>
          <c:tx>
            <c:strRef>
              <c:f>'DOTAZNÍK CS_DOZOR'!$D$53</c:f>
              <c:strCache>
                <c:ptCount val="1"/>
                <c:pt idx="0">
                  <c:v>Počet zajištěných technických zařízení v tzv. černých hernách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'DOTAZNÍK CS_DOZOR'!$B$54:$B$57</c:f>
              <c:numCache>
                <c:formatCode>General</c:formatCode>
                <c:ptCount val="4"/>
                <c:pt idx="0">
                  <c:v>2017</c:v>
                </c:pt>
                <c:pt idx="1">
                  <c:v>2018</c:v>
                </c:pt>
                <c:pt idx="2">
                  <c:v>2019</c:v>
                </c:pt>
                <c:pt idx="3">
                  <c:v>2020</c:v>
                </c:pt>
              </c:numCache>
            </c:numRef>
          </c:cat>
          <c:val>
            <c:numRef>
              <c:f>'DOTAZNÍK CS_DOZOR'!$D$54:$D$57</c:f>
              <c:numCache>
                <c:formatCode>General</c:formatCode>
                <c:ptCount val="4"/>
                <c:pt idx="0">
                  <c:v>956</c:v>
                </c:pt>
                <c:pt idx="1">
                  <c:v>1797</c:v>
                </c:pt>
                <c:pt idx="2">
                  <c:v>862</c:v>
                </c:pt>
                <c:pt idx="3">
                  <c:v>770</c:v>
                </c:pt>
              </c:numCache>
            </c:numRef>
          </c:val>
          <c:extLst>
            <c:ext xmlns:c16="http://schemas.microsoft.com/office/drawing/2014/chart" uri="{C3380CC4-5D6E-409C-BE32-E72D297353CC}">
              <c16:uniqueId val="{00000001-264F-4BE4-AFAB-E9CC6C5DC6C8}"/>
            </c:ext>
          </c:extLst>
        </c:ser>
        <c:dLbls>
          <c:dLblPos val="outEnd"/>
          <c:showLegendKey val="0"/>
          <c:showVal val="1"/>
          <c:showCatName val="0"/>
          <c:showSerName val="0"/>
          <c:showPercent val="0"/>
          <c:showBubbleSize val="0"/>
        </c:dLbls>
        <c:gapWidth val="219"/>
        <c:overlap val="-27"/>
        <c:axId val="111918080"/>
        <c:axId val="111932160"/>
      </c:barChart>
      <c:catAx>
        <c:axId val="11191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111932160"/>
        <c:crosses val="autoZero"/>
        <c:auto val="1"/>
        <c:lblAlgn val="ctr"/>
        <c:lblOffset val="100"/>
        <c:noMultiLvlLbl val="0"/>
      </c:catAx>
      <c:valAx>
        <c:axId val="111932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19180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CS_DOZOR'!$B$107:$B$108</c:f>
              <c:strCache>
                <c:ptCount val="2"/>
                <c:pt idx="0">
                  <c:v>Ministerstvo financí - počet kontrol legálně provozovaných internetových stránek (od 1. 1. 2017 do 30. 10. 2019)</c:v>
                </c:pt>
                <c:pt idx="1">
                  <c:v>Celní správa - počet kontrol legálně provozovaných internetových stránek (od 1. 11. 2019 do 31. 12. 2020)</c:v>
                </c:pt>
              </c:strCache>
            </c:strRef>
          </c:cat>
          <c:val>
            <c:numRef>
              <c:f>'DOTAZNÍK CS_DOZOR'!$C$107:$C$108</c:f>
              <c:numCache>
                <c:formatCode>General</c:formatCode>
                <c:ptCount val="2"/>
                <c:pt idx="0">
                  <c:v>44</c:v>
                </c:pt>
                <c:pt idx="1">
                  <c:v>20</c:v>
                </c:pt>
              </c:numCache>
            </c:numRef>
          </c:val>
          <c:extLst>
            <c:ext xmlns:c16="http://schemas.microsoft.com/office/drawing/2014/chart" uri="{C3380CC4-5D6E-409C-BE32-E72D297353CC}">
              <c16:uniqueId val="{00000000-3673-4070-A766-5C424D73A513}"/>
            </c:ext>
          </c:extLst>
        </c:ser>
        <c:dLbls>
          <c:dLblPos val="outEnd"/>
          <c:showLegendKey val="0"/>
          <c:showVal val="1"/>
          <c:showCatName val="0"/>
          <c:showSerName val="0"/>
          <c:showPercent val="0"/>
          <c:showBubbleSize val="0"/>
        </c:dLbls>
        <c:gapWidth val="219"/>
        <c:overlap val="-27"/>
        <c:axId val="111940736"/>
        <c:axId val="111950848"/>
      </c:barChart>
      <c:catAx>
        <c:axId val="11194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cs-CZ"/>
          </a:p>
        </c:txPr>
        <c:crossAx val="111950848"/>
        <c:crosses val="autoZero"/>
        <c:auto val="1"/>
        <c:lblAlgn val="ctr"/>
        <c:lblOffset val="100"/>
        <c:noMultiLvlLbl val="0"/>
      </c:catAx>
      <c:valAx>
        <c:axId val="11195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19407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CS_DOZOR'!$I$162:$I$170</c:f>
              <c:strCache>
                <c:ptCount val="9"/>
                <c:pt idx="0">
                  <c:v>Podezření na porušení informačních povinností</c:v>
                </c:pt>
                <c:pt idx="1">
                  <c:v>Podezření na neoprávněné poskytování bonusů</c:v>
                </c:pt>
                <c:pt idx="2">
                  <c:v>Podezření na neoprávnění zrušení uživatelského konta</c:v>
                </c:pt>
                <c:pt idx="3">
                  <c:v>Podezření na neoprávněnou limitaci sázejícího</c:v>
                </c:pt>
                <c:pt idx="4">
                  <c:v>Podezření na ovlivnění výsledku sázkové příležitosti</c:v>
                </c:pt>
                <c:pt idx="5">
                  <c:v>Podezření na porušení povinnosti uvedených  herním plánu</c:v>
                </c:pt>
                <c:pt idx="6">
                  <c:v>Podezření na porušení povinnosti vyplatit výhru</c:v>
                </c:pt>
                <c:pt idx="7">
                  <c:v>Podezření na protiprávní vyhodnocení tiketu</c:v>
                </c:pt>
                <c:pt idx="8">
                  <c:v>Porušení podmínek vyhlášeného krizového stavu</c:v>
                </c:pt>
              </c:strCache>
            </c:strRef>
          </c:cat>
          <c:val>
            <c:numRef>
              <c:f>'DOTAZNÍK CS_DOZOR'!$J$162:$J$170</c:f>
              <c:numCache>
                <c:formatCode>General</c:formatCode>
                <c:ptCount val="9"/>
                <c:pt idx="0">
                  <c:v>1</c:v>
                </c:pt>
                <c:pt idx="1">
                  <c:v>4</c:v>
                </c:pt>
                <c:pt idx="2">
                  <c:v>1</c:v>
                </c:pt>
                <c:pt idx="3">
                  <c:v>1</c:v>
                </c:pt>
                <c:pt idx="4">
                  <c:v>3</c:v>
                </c:pt>
                <c:pt idx="5">
                  <c:v>4</c:v>
                </c:pt>
                <c:pt idx="6">
                  <c:v>9</c:v>
                </c:pt>
                <c:pt idx="7">
                  <c:v>2</c:v>
                </c:pt>
                <c:pt idx="8">
                  <c:v>1</c:v>
                </c:pt>
              </c:numCache>
            </c:numRef>
          </c:val>
          <c:extLst>
            <c:ext xmlns:c16="http://schemas.microsoft.com/office/drawing/2014/chart" uri="{C3380CC4-5D6E-409C-BE32-E72D297353CC}">
              <c16:uniqueId val="{00000000-CA4B-47BF-A540-463BBFD008FC}"/>
            </c:ext>
          </c:extLst>
        </c:ser>
        <c:dLbls>
          <c:dLblPos val="outEnd"/>
          <c:showLegendKey val="0"/>
          <c:showVal val="1"/>
          <c:showCatName val="0"/>
          <c:showSerName val="0"/>
          <c:showPercent val="0"/>
          <c:showBubbleSize val="0"/>
        </c:dLbls>
        <c:gapWidth val="182"/>
        <c:axId val="111966848"/>
        <c:axId val="111993600"/>
      </c:barChart>
      <c:catAx>
        <c:axId val="111966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cs-CZ"/>
          </a:p>
        </c:txPr>
        <c:crossAx val="111993600"/>
        <c:crosses val="autoZero"/>
        <c:auto val="1"/>
        <c:lblAlgn val="l"/>
        <c:lblOffset val="100"/>
        <c:noMultiLvlLbl val="0"/>
      </c:catAx>
      <c:valAx>
        <c:axId val="111993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cs-CZ"/>
          </a:p>
        </c:txPr>
        <c:crossAx val="111966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'DOTAZNÍK CS_DOZOR'!$B$234:$B$236</c:f>
              <c:strCache>
                <c:ptCount val="3"/>
                <c:pt idx="0">
                  <c:v>Celkový počet Celní správou provedených kontrol v období od 1. 11. 2019 do 31. 12. 2020</c:v>
                </c:pt>
                <c:pt idx="1">
                  <c:v>z toho počet kontrol legálních provozovatelů </c:v>
                </c:pt>
                <c:pt idx="2">
                  <c:v>z toho počet kontrol nelegálnách provozovatelů (kontrola 151 internetových stránek)</c:v>
                </c:pt>
              </c:strCache>
            </c:strRef>
          </c:cat>
          <c:val>
            <c:numRef>
              <c:f>'DOTAZNÍK CS_DOZOR'!$C$234:$C$236</c:f>
              <c:numCache>
                <c:formatCode>General</c:formatCode>
                <c:ptCount val="3"/>
                <c:pt idx="0">
                  <c:v>45</c:v>
                </c:pt>
                <c:pt idx="1">
                  <c:v>20</c:v>
                </c:pt>
                <c:pt idx="2">
                  <c:v>25</c:v>
                </c:pt>
              </c:numCache>
            </c:numRef>
          </c:val>
          <c:extLst>
            <c:ext xmlns:c16="http://schemas.microsoft.com/office/drawing/2014/chart" uri="{C3380CC4-5D6E-409C-BE32-E72D297353CC}">
              <c16:uniqueId val="{00000000-5B90-4758-99E5-5986812DFF8A}"/>
            </c:ext>
          </c:extLst>
        </c:ser>
        <c:dLbls>
          <c:dLblPos val="outEnd"/>
          <c:showLegendKey val="0"/>
          <c:showVal val="1"/>
          <c:showCatName val="0"/>
          <c:showSerName val="0"/>
          <c:showPercent val="0"/>
          <c:showBubbleSize val="0"/>
        </c:dLbls>
        <c:gapWidth val="219"/>
        <c:overlap val="-27"/>
        <c:axId val="112025984"/>
        <c:axId val="112028672"/>
      </c:barChart>
      <c:catAx>
        <c:axId val="11202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cs-CZ"/>
          </a:p>
        </c:txPr>
        <c:crossAx val="112028672"/>
        <c:crosses val="autoZero"/>
        <c:auto val="1"/>
        <c:lblAlgn val="ctr"/>
        <c:lblOffset val="100"/>
        <c:noMultiLvlLbl val="0"/>
      </c:catAx>
      <c:valAx>
        <c:axId val="112028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025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List1!$N$62</c:f>
              <c:strCache>
                <c:ptCount val="1"/>
                <c:pt idx="0">
                  <c:v>Výše pravomocně uložených pokut za přestupky legálních provozovatelů (v mil. Kč)</c:v>
                </c:pt>
              </c:strCache>
            </c:strRef>
          </c:tx>
          <c:spPr>
            <a:solidFill>
              <a:schemeClr val="accent5">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List1!$N$63:$N$66</c:f>
              <c:numCache>
                <c:formatCode>General</c:formatCode>
                <c:ptCount val="4"/>
                <c:pt idx="0" formatCode="#\ ##0.0">
                  <c:v>0.4</c:v>
                </c:pt>
                <c:pt idx="1">
                  <c:v>1.4</c:v>
                </c:pt>
                <c:pt idx="2">
                  <c:v>3.7</c:v>
                </c:pt>
                <c:pt idx="3">
                  <c:v>12.3</c:v>
                </c:pt>
              </c:numCache>
            </c:numRef>
          </c:val>
          <c:extLst>
            <c:ext xmlns:c16="http://schemas.microsoft.com/office/drawing/2014/chart" uri="{C3380CC4-5D6E-409C-BE32-E72D297353CC}">
              <c16:uniqueId val="{00000000-8CB6-465A-8B20-3FC87A396BAF}"/>
            </c:ext>
          </c:extLst>
        </c:ser>
        <c:ser>
          <c:idx val="1"/>
          <c:order val="1"/>
          <c:tx>
            <c:strRef>
              <c:f>List1!$O$62</c:f>
              <c:strCache>
                <c:ptCount val="1"/>
                <c:pt idx="0">
                  <c:v>Výše pravomocně uložených pokut za přestupky nelegálních provozovatelů (v mil. Kč)</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List1!$M$63:$M$66</c:f>
              <c:strCache>
                <c:ptCount val="4"/>
                <c:pt idx="0">
                  <c:v>rok 2017</c:v>
                </c:pt>
                <c:pt idx="1">
                  <c:v>rok 2018</c:v>
                </c:pt>
                <c:pt idx="2">
                  <c:v>rok 2019</c:v>
                </c:pt>
                <c:pt idx="3">
                  <c:v>rok 2020</c:v>
                </c:pt>
              </c:strCache>
            </c:strRef>
          </c:cat>
          <c:val>
            <c:numRef>
              <c:f>List1!$O$63:$O$66</c:f>
              <c:numCache>
                <c:formatCode>General</c:formatCode>
                <c:ptCount val="4"/>
                <c:pt idx="0" formatCode="#\ ##0.0">
                  <c:v>0.2</c:v>
                </c:pt>
                <c:pt idx="1">
                  <c:v>17.8</c:v>
                </c:pt>
                <c:pt idx="2">
                  <c:v>18.7</c:v>
                </c:pt>
                <c:pt idx="3">
                  <c:v>25.3</c:v>
                </c:pt>
              </c:numCache>
            </c:numRef>
          </c:val>
          <c:extLst>
            <c:ext xmlns:c16="http://schemas.microsoft.com/office/drawing/2014/chart" uri="{C3380CC4-5D6E-409C-BE32-E72D297353CC}">
              <c16:uniqueId val="{00000001-8CB6-465A-8B20-3FC87A396BAF}"/>
            </c:ext>
          </c:extLst>
        </c:ser>
        <c:dLbls>
          <c:dLblPos val="outEnd"/>
          <c:showLegendKey val="0"/>
          <c:showVal val="1"/>
          <c:showCatName val="0"/>
          <c:showSerName val="0"/>
          <c:showPercent val="0"/>
          <c:showBubbleSize val="0"/>
        </c:dLbls>
        <c:gapWidth val="219"/>
        <c:overlap val="-27"/>
        <c:axId val="112083712"/>
        <c:axId val="112085248"/>
      </c:barChart>
      <c:catAx>
        <c:axId val="11208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cs-CZ"/>
          </a:p>
        </c:txPr>
        <c:crossAx val="112085248"/>
        <c:crosses val="autoZero"/>
        <c:auto val="1"/>
        <c:lblAlgn val="ctr"/>
        <c:lblOffset val="100"/>
        <c:noMultiLvlLbl val="0"/>
      </c:catAx>
      <c:valAx>
        <c:axId val="112085248"/>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083712"/>
        <c:crosses val="autoZero"/>
        <c:crossBetween val="between"/>
      </c:valAx>
      <c:spPr>
        <a:noFill/>
        <a:ln>
          <a:noFill/>
        </a:ln>
        <a:effectLst/>
      </c:spPr>
    </c:plotArea>
    <c:legend>
      <c:legendPos val="b"/>
      <c:layout>
        <c:manualLayout>
          <c:xMode val="edge"/>
          <c:yMode val="edge"/>
          <c:x val="5.1951553831718317E-2"/>
          <c:y val="0.81182839949884311"/>
          <c:w val="0.89609689233656331"/>
          <c:h val="0.1324224715812962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Loterie</c:v>
                </c:pt>
              </c:strCache>
            </c:strRef>
          </c:tx>
          <c:spPr>
            <a:solidFill>
              <a:schemeClr val="accent1"/>
            </a:solidFill>
            <a:ln>
              <a:noFill/>
            </a:ln>
            <a:effectLst/>
          </c:spPr>
          <c:invertIfNegative val="0"/>
          <c:cat>
            <c:numRef>
              <c:f>List1!$A$2:$A$5</c:f>
              <c:numCache>
                <c:formatCode>General</c:formatCode>
                <c:ptCount val="4"/>
                <c:pt idx="0">
                  <c:v>2017</c:v>
                </c:pt>
                <c:pt idx="1">
                  <c:v>2018</c:v>
                </c:pt>
                <c:pt idx="2">
                  <c:v>2019</c:v>
                </c:pt>
                <c:pt idx="3">
                  <c:v>2020</c:v>
                </c:pt>
              </c:numCache>
            </c:numRef>
          </c:cat>
          <c:val>
            <c:numRef>
              <c:f>List1!$B$2:$B$5</c:f>
              <c:numCache>
                <c:formatCode>General</c:formatCode>
                <c:ptCount val="4"/>
                <c:pt idx="0">
                  <c:v>0.47178620301054497</c:v>
                </c:pt>
                <c:pt idx="1">
                  <c:v>0.46100124464112846</c:v>
                </c:pt>
                <c:pt idx="2">
                  <c:v>0.43324103058030339</c:v>
                </c:pt>
                <c:pt idx="3">
                  <c:v>0.45356569594129786</c:v>
                </c:pt>
              </c:numCache>
            </c:numRef>
          </c:val>
          <c:extLst>
            <c:ext xmlns:c16="http://schemas.microsoft.com/office/drawing/2014/chart" uri="{C3380CC4-5D6E-409C-BE32-E72D297353CC}">
              <c16:uniqueId val="{00000000-683A-4372-80BA-58C87F8AC5B2}"/>
            </c:ext>
          </c:extLst>
        </c:ser>
        <c:ser>
          <c:idx val="1"/>
          <c:order val="1"/>
          <c:tx>
            <c:strRef>
              <c:f>List1!$C$1</c:f>
              <c:strCache>
                <c:ptCount val="1"/>
                <c:pt idx="0">
                  <c:v>Kursová sázka</c:v>
                </c:pt>
              </c:strCache>
            </c:strRef>
          </c:tx>
          <c:spPr>
            <a:solidFill>
              <a:schemeClr val="accent2"/>
            </a:solidFill>
            <a:ln>
              <a:noFill/>
            </a:ln>
            <a:effectLst/>
          </c:spPr>
          <c:invertIfNegative val="0"/>
          <c:cat>
            <c:numRef>
              <c:f>List1!$A$2:$A$5</c:f>
              <c:numCache>
                <c:formatCode>General</c:formatCode>
                <c:ptCount val="4"/>
                <c:pt idx="0">
                  <c:v>2017</c:v>
                </c:pt>
                <c:pt idx="1">
                  <c:v>2018</c:v>
                </c:pt>
                <c:pt idx="2">
                  <c:v>2019</c:v>
                </c:pt>
                <c:pt idx="3">
                  <c:v>2020</c:v>
                </c:pt>
              </c:numCache>
            </c:numRef>
          </c:cat>
          <c:val>
            <c:numRef>
              <c:f>List1!$C$2:$C$5</c:f>
              <c:numCache>
                <c:formatCode>General</c:formatCode>
                <c:ptCount val="4"/>
                <c:pt idx="0">
                  <c:v>0.11499389235074915</c:v>
                </c:pt>
                <c:pt idx="1">
                  <c:v>0.10870410087372073</c:v>
                </c:pt>
                <c:pt idx="2">
                  <c:v>0.10392193789872643</c:v>
                </c:pt>
                <c:pt idx="3">
                  <c:v>9.9608561672357793E-2</c:v>
                </c:pt>
              </c:numCache>
            </c:numRef>
          </c:val>
          <c:extLst>
            <c:ext xmlns:c16="http://schemas.microsoft.com/office/drawing/2014/chart" uri="{C3380CC4-5D6E-409C-BE32-E72D297353CC}">
              <c16:uniqueId val="{00000001-683A-4372-80BA-58C87F8AC5B2}"/>
            </c:ext>
          </c:extLst>
        </c:ser>
        <c:ser>
          <c:idx val="2"/>
          <c:order val="2"/>
          <c:tx>
            <c:strRef>
              <c:f>List1!$D$1</c:f>
              <c:strCache>
                <c:ptCount val="1"/>
                <c:pt idx="0">
                  <c:v>Živá hra</c:v>
                </c:pt>
              </c:strCache>
            </c:strRef>
          </c:tx>
          <c:spPr>
            <a:solidFill>
              <a:schemeClr val="accent3"/>
            </a:solidFill>
            <a:ln>
              <a:noFill/>
            </a:ln>
            <a:effectLst/>
          </c:spPr>
          <c:invertIfNegative val="0"/>
          <c:cat>
            <c:numRef>
              <c:f>List1!$A$2:$A$5</c:f>
              <c:numCache>
                <c:formatCode>General</c:formatCode>
                <c:ptCount val="4"/>
                <c:pt idx="0">
                  <c:v>2017</c:v>
                </c:pt>
                <c:pt idx="1">
                  <c:v>2018</c:v>
                </c:pt>
                <c:pt idx="2">
                  <c:v>2019</c:v>
                </c:pt>
                <c:pt idx="3">
                  <c:v>2020</c:v>
                </c:pt>
              </c:numCache>
            </c:numRef>
          </c:cat>
          <c:val>
            <c:numRef>
              <c:f>List1!$D$2:$D$5</c:f>
              <c:numCache>
                <c:formatCode>General</c:formatCode>
                <c:ptCount val="4"/>
                <c:pt idx="0">
                  <c:v>0.12377638872508551</c:v>
                </c:pt>
                <c:pt idx="1">
                  <c:v>0.10801050558108996</c:v>
                </c:pt>
                <c:pt idx="2">
                  <c:v>0.10169491525423729</c:v>
                </c:pt>
                <c:pt idx="3">
                  <c:v>8.9262345891590336E-2</c:v>
                </c:pt>
              </c:numCache>
            </c:numRef>
          </c:val>
          <c:extLst>
            <c:ext xmlns:c16="http://schemas.microsoft.com/office/drawing/2014/chart" uri="{C3380CC4-5D6E-409C-BE32-E72D297353CC}">
              <c16:uniqueId val="{00000002-683A-4372-80BA-58C87F8AC5B2}"/>
            </c:ext>
          </c:extLst>
        </c:ser>
        <c:ser>
          <c:idx val="3"/>
          <c:order val="3"/>
          <c:tx>
            <c:strRef>
              <c:f>List1!$E$1</c:f>
              <c:strCache>
                <c:ptCount val="1"/>
                <c:pt idx="0">
                  <c:v>Technická hra</c:v>
                </c:pt>
              </c:strCache>
            </c:strRef>
          </c:tx>
          <c:spPr>
            <a:solidFill>
              <a:schemeClr val="accent4"/>
            </a:solidFill>
            <a:ln>
              <a:noFill/>
            </a:ln>
            <a:effectLst/>
          </c:spPr>
          <c:invertIfNegative val="0"/>
          <c:cat>
            <c:numRef>
              <c:f>List1!$A$2:$A$5</c:f>
              <c:numCache>
                <c:formatCode>General</c:formatCode>
                <c:ptCount val="4"/>
                <c:pt idx="0">
                  <c:v>2017</c:v>
                </c:pt>
                <c:pt idx="1">
                  <c:v>2018</c:v>
                </c:pt>
                <c:pt idx="2">
                  <c:v>2019</c:v>
                </c:pt>
                <c:pt idx="3">
                  <c:v>2020</c:v>
                </c:pt>
              </c:numCache>
            </c:numRef>
          </c:cat>
          <c:val>
            <c:numRef>
              <c:f>List1!$E$2:$E$5</c:f>
              <c:numCache>
                <c:formatCode>General</c:formatCode>
                <c:ptCount val="4"/>
                <c:pt idx="0">
                  <c:v>0.18834483446809491</c:v>
                </c:pt>
                <c:pt idx="1">
                  <c:v>0.10325203252032521</c:v>
                </c:pt>
                <c:pt idx="2">
                  <c:v>6.7654942826012379E-2</c:v>
                </c:pt>
                <c:pt idx="3">
                  <c:v>5.4492617595032669E-2</c:v>
                </c:pt>
              </c:numCache>
            </c:numRef>
          </c:val>
          <c:extLst>
            <c:ext xmlns:c16="http://schemas.microsoft.com/office/drawing/2014/chart" uri="{C3380CC4-5D6E-409C-BE32-E72D297353CC}">
              <c16:uniqueId val="{00000003-683A-4372-80BA-58C87F8AC5B2}"/>
            </c:ext>
          </c:extLst>
        </c:ser>
        <c:dLbls>
          <c:showLegendKey val="0"/>
          <c:showVal val="0"/>
          <c:showCatName val="0"/>
          <c:showSerName val="0"/>
          <c:showPercent val="0"/>
          <c:showBubbleSize val="0"/>
        </c:dLbls>
        <c:gapWidth val="219"/>
        <c:overlap val="-27"/>
        <c:axId val="112129152"/>
        <c:axId val="112130688"/>
      </c:barChart>
      <c:catAx>
        <c:axId val="112129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130688"/>
        <c:crosses val="autoZero"/>
        <c:auto val="1"/>
        <c:lblAlgn val="ctr"/>
        <c:lblOffset val="100"/>
        <c:noMultiLvlLbl val="0"/>
      </c:catAx>
      <c:valAx>
        <c:axId val="112130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12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List1!$B$1</c:f>
              <c:strCache>
                <c:ptCount val="1"/>
                <c:pt idx="0">
                  <c:v>Daňový výnos z hazardních her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#,##0</c:formatCode>
                <c:ptCount val="9"/>
                <c:pt idx="0">
                  <c:v>8122200137.4000006</c:v>
                </c:pt>
                <c:pt idx="1">
                  <c:v>7779439801.8000002</c:v>
                </c:pt>
                <c:pt idx="2">
                  <c:v>7856640049.499999</c:v>
                </c:pt>
                <c:pt idx="3">
                  <c:v>8191977545.5</c:v>
                </c:pt>
                <c:pt idx="4">
                  <c:v>11345728543.057503</c:v>
                </c:pt>
                <c:pt idx="5">
                  <c:v>12152710856</c:v>
                </c:pt>
                <c:pt idx="6">
                  <c:v>9078427007</c:v>
                </c:pt>
                <c:pt idx="7">
                  <c:v>10496353843</c:v>
                </c:pt>
                <c:pt idx="8">
                  <c:v>10347893529</c:v>
                </c:pt>
              </c:numCache>
            </c:numRef>
          </c:val>
          <c:smooth val="0"/>
          <c:extLst>
            <c:ext xmlns:c16="http://schemas.microsoft.com/office/drawing/2014/chart" uri="{C3380CC4-5D6E-409C-BE32-E72D297353CC}">
              <c16:uniqueId val="{00000000-52F3-4E73-8547-512FB2686F9A}"/>
            </c:ext>
          </c:extLst>
        </c:ser>
        <c:dLbls>
          <c:showLegendKey val="0"/>
          <c:showVal val="0"/>
          <c:showCatName val="0"/>
          <c:showSerName val="0"/>
          <c:showPercent val="0"/>
          <c:showBubbleSize val="0"/>
        </c:dLbls>
        <c:marker val="1"/>
        <c:smooth val="0"/>
        <c:axId val="110397696"/>
        <c:axId val="110571904"/>
      </c:lineChart>
      <c:catAx>
        <c:axId val="11039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571904"/>
        <c:crosses val="autoZero"/>
        <c:auto val="1"/>
        <c:lblAlgn val="ctr"/>
        <c:lblOffset val="100"/>
        <c:noMultiLvlLbl val="0"/>
      </c:catAx>
      <c:valAx>
        <c:axId val="1105719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397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Vloženo</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#,##0</c:formatCode>
                <c:ptCount val="9"/>
                <c:pt idx="0">
                  <c:v>133503.57864399999</c:v>
                </c:pt>
                <c:pt idx="1">
                  <c:v>142365.95508000001</c:v>
                </c:pt>
                <c:pt idx="2">
                  <c:v>159118.05568399999</c:v>
                </c:pt>
                <c:pt idx="3">
                  <c:v>178932.43322100001</c:v>
                </c:pt>
                <c:pt idx="4">
                  <c:v>196538.34549899999</c:v>
                </c:pt>
                <c:pt idx="5">
                  <c:v>224371.332669</c:v>
                </c:pt>
                <c:pt idx="6">
                  <c:v>250439.377545</c:v>
                </c:pt>
                <c:pt idx="7">
                  <c:v>389342.40529800003</c:v>
                </c:pt>
                <c:pt idx="8">
                  <c:v>393132.81571699999</c:v>
                </c:pt>
              </c:numCache>
            </c:numRef>
          </c:val>
          <c:extLst>
            <c:ext xmlns:c16="http://schemas.microsoft.com/office/drawing/2014/chart" uri="{C3380CC4-5D6E-409C-BE32-E72D297353CC}">
              <c16:uniqueId val="{00000000-0B14-4086-9D78-C2D2FF731F7D}"/>
            </c:ext>
          </c:extLst>
        </c:ser>
        <c:ser>
          <c:idx val="1"/>
          <c:order val="1"/>
          <c:tx>
            <c:strRef>
              <c:f>List1!$C$1</c:f>
              <c:strCache>
                <c:ptCount val="1"/>
                <c:pt idx="0">
                  <c:v>Vyplaceno</c:v>
                </c:pt>
              </c:strCache>
            </c:strRef>
          </c:tx>
          <c:spPr>
            <a:solidFill>
              <a:schemeClr val="accent2"/>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#,##0</c:formatCode>
                <c:ptCount val="9"/>
                <c:pt idx="0">
                  <c:v>102210.800818</c:v>
                </c:pt>
                <c:pt idx="1">
                  <c:v>111065.61012300001</c:v>
                </c:pt>
                <c:pt idx="2">
                  <c:v>124628.291598</c:v>
                </c:pt>
                <c:pt idx="3">
                  <c:v>141789.01138099999</c:v>
                </c:pt>
                <c:pt idx="4">
                  <c:v>157171.72609099999</c:v>
                </c:pt>
                <c:pt idx="5">
                  <c:v>184431.166364</c:v>
                </c:pt>
                <c:pt idx="6">
                  <c:v>218917.690588</c:v>
                </c:pt>
                <c:pt idx="7">
                  <c:v>353071.494366</c:v>
                </c:pt>
                <c:pt idx="8">
                  <c:v>360443.11385199998</c:v>
                </c:pt>
              </c:numCache>
            </c:numRef>
          </c:val>
          <c:extLst>
            <c:ext xmlns:c16="http://schemas.microsoft.com/office/drawing/2014/chart" uri="{C3380CC4-5D6E-409C-BE32-E72D297353CC}">
              <c16:uniqueId val="{00000001-0B14-4086-9D78-C2D2FF731F7D}"/>
            </c:ext>
          </c:extLst>
        </c:ser>
        <c:dLbls>
          <c:showLegendKey val="0"/>
          <c:showVal val="0"/>
          <c:showCatName val="0"/>
          <c:showSerName val="0"/>
          <c:showPercent val="0"/>
          <c:showBubbleSize val="0"/>
        </c:dLbls>
        <c:gapWidth val="219"/>
        <c:overlap val="-27"/>
        <c:axId val="110601728"/>
        <c:axId val="110603264"/>
      </c:barChart>
      <c:catAx>
        <c:axId val="11060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603264"/>
        <c:crosses val="autoZero"/>
        <c:auto val="1"/>
        <c:lblAlgn val="ctr"/>
        <c:lblOffset val="100"/>
        <c:noMultiLvlLbl val="0"/>
      </c:catAx>
      <c:valAx>
        <c:axId val="110603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060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5"/>
          <c:order val="5"/>
          <c:tx>
            <c:strRef>
              <c:f>List1!$G$1</c:f>
              <c:strCache>
                <c:ptCount val="1"/>
                <c:pt idx="0">
                  <c:v>Landbased</c:v>
                </c:pt>
              </c:strCache>
            </c:strRef>
          </c:tx>
          <c:spPr>
            <a:solidFill>
              <a:schemeClr val="accent6">
                <a:lumMod val="40000"/>
                <a:lumOff val="60000"/>
                <a:alpha val="93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List1!$G$2:$G$9</c:f>
              <c:numCache>
                <c:formatCode>General</c:formatCode>
                <c:ptCount val="8"/>
                <c:pt idx="0">
                  <c:v>7298122471.8000002</c:v>
                </c:pt>
                <c:pt idx="1">
                  <c:v>7325155440.2000008</c:v>
                </c:pt>
                <c:pt idx="2">
                  <c:v>7527488153.9500008</c:v>
                </c:pt>
                <c:pt idx="3" formatCode="?\ ???\ ??0">
                  <c:v>10409488229.917501</c:v>
                </c:pt>
                <c:pt idx="4" formatCode="?\ ???\ ??0">
                  <c:v>10208499618.280001</c:v>
                </c:pt>
                <c:pt idx="5" formatCode="?\ ???\ ??0">
                  <c:v>6861683223.3199997</c:v>
                </c:pt>
                <c:pt idx="6" formatCode="#,##0">
                  <c:v>7445619173</c:v>
                </c:pt>
                <c:pt idx="7">
                  <c:v>5851373605.8699999</c:v>
                </c:pt>
              </c:numCache>
            </c:numRef>
          </c:val>
          <c:extLst>
            <c:ext xmlns:c16="http://schemas.microsoft.com/office/drawing/2014/chart" uri="{C3380CC4-5D6E-409C-BE32-E72D297353CC}">
              <c16:uniqueId val="{00000000-1540-471A-9F75-8FA0C34227BE}"/>
            </c:ext>
          </c:extLst>
        </c:ser>
        <c:ser>
          <c:idx val="6"/>
          <c:order val="6"/>
          <c:tx>
            <c:strRef>
              <c:f>List1!$H$1</c:f>
              <c:strCache>
                <c:ptCount val="1"/>
                <c:pt idx="0">
                  <c:v>Internet</c:v>
                </c:pt>
              </c:strCache>
            </c:strRef>
          </c:tx>
          <c:spPr>
            <a:solidFill>
              <a:schemeClr val="accent5">
                <a:lumMod val="40000"/>
                <a:lumOff val="60000"/>
                <a:alpha val="84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List1!$H$2:$H$9</c:f>
              <c:numCache>
                <c:formatCode>General</c:formatCode>
                <c:ptCount val="8"/>
                <c:pt idx="0">
                  <c:v>470948195</c:v>
                </c:pt>
                <c:pt idx="1">
                  <c:v>500551069.60000002</c:v>
                </c:pt>
                <c:pt idx="2">
                  <c:v>637145574.30000007</c:v>
                </c:pt>
                <c:pt idx="3" formatCode="?\ ???\ ??0">
                  <c:v>773075057.39999998</c:v>
                </c:pt>
                <c:pt idx="4" formatCode="?\ ???\ ??0">
                  <c:v>1919209323.4700003</c:v>
                </c:pt>
                <c:pt idx="5" formatCode="?\ ???\ ??0">
                  <c:v>2213947838.8200002</c:v>
                </c:pt>
                <c:pt idx="6" formatCode="#,##0">
                  <c:v>3047919989</c:v>
                </c:pt>
                <c:pt idx="7">
                  <c:v>4496228084.3300009</c:v>
                </c:pt>
              </c:numCache>
            </c:numRef>
          </c:val>
          <c:extLst>
            <c:ext xmlns:c16="http://schemas.microsoft.com/office/drawing/2014/chart" uri="{C3380CC4-5D6E-409C-BE32-E72D297353CC}">
              <c16:uniqueId val="{00000001-1540-471A-9F75-8FA0C34227BE}"/>
            </c:ext>
          </c:extLst>
        </c:ser>
        <c:dLbls>
          <c:showLegendKey val="0"/>
          <c:showVal val="0"/>
          <c:showCatName val="0"/>
          <c:showSerName val="0"/>
          <c:showPercent val="0"/>
          <c:showBubbleSize val="0"/>
        </c:dLbls>
        <c:axId val="112218496"/>
        <c:axId val="112212608"/>
      </c:areaChart>
      <c:barChart>
        <c:barDir val="col"/>
        <c:grouping val="cluster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2-1540-471A-9F75-8FA0C34227BE}"/>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3-1540-471A-9F75-8FA0C34227BE}"/>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4-1540-471A-9F75-8FA0C34227BE}"/>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5-1540-471A-9F75-8FA0C34227BE}"/>
            </c:ext>
          </c:extLst>
        </c:ser>
        <c:ser>
          <c:idx val="4"/>
          <c:order val="4"/>
          <c:tx>
            <c:strRef>
              <c:f>List1!$F$1</c:f>
              <c:strCache>
                <c:ptCount val="1"/>
                <c:pt idx="0">
                  <c:v>Ostatní hry</c:v>
                </c:pt>
              </c:strCache>
            </c:strRef>
          </c:tx>
          <c:spPr>
            <a:solidFill>
              <a:srgbClr val="FF0000"/>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6-1540-471A-9F75-8FA0C34227BE}"/>
            </c:ext>
          </c:extLst>
        </c:ser>
        <c:dLbls>
          <c:showLegendKey val="0"/>
          <c:showVal val="0"/>
          <c:showCatName val="0"/>
          <c:showSerName val="0"/>
          <c:showPercent val="0"/>
          <c:showBubbleSize val="0"/>
        </c:dLbls>
        <c:gapWidth val="150"/>
        <c:axId val="112192896"/>
        <c:axId val="112211072"/>
      </c:barChart>
      <c:catAx>
        <c:axId val="11219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211072"/>
        <c:crosses val="autoZero"/>
        <c:auto val="1"/>
        <c:lblAlgn val="ctr"/>
        <c:lblOffset val="100"/>
        <c:noMultiLvlLbl val="0"/>
      </c:catAx>
      <c:valAx>
        <c:axId val="112211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192896"/>
        <c:crosses val="autoZero"/>
        <c:crossBetween val="between"/>
      </c:valAx>
      <c:valAx>
        <c:axId val="112212608"/>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218496"/>
        <c:crosses val="max"/>
        <c:crossBetween val="between"/>
      </c:valAx>
      <c:catAx>
        <c:axId val="112218496"/>
        <c:scaling>
          <c:orientation val="minMax"/>
        </c:scaling>
        <c:delete val="1"/>
        <c:axPos val="b"/>
        <c:numFmt formatCode="General" sourceLinked="1"/>
        <c:majorTickMark val="out"/>
        <c:minorTickMark val="none"/>
        <c:tickLblPos val="nextTo"/>
        <c:crossAx val="1122126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0-DAA0-4008-A548-09A6EADF923F}"/>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1-DAA0-4008-A548-09A6EADF923F}"/>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2-DAA0-4008-A548-09A6EADF923F}"/>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3-DAA0-4008-A548-09A6EADF923F}"/>
            </c:ext>
          </c:extLst>
        </c:ser>
        <c:ser>
          <c:idx val="4"/>
          <c:order val="4"/>
          <c:tx>
            <c:strRef>
              <c:f>List1!$F$1</c:f>
              <c:strCache>
                <c:ptCount val="1"/>
                <c:pt idx="0">
                  <c:v>Ostatní hry</c:v>
                </c:pt>
              </c:strCache>
            </c:strRef>
          </c:tx>
          <c:spPr>
            <a:solidFill>
              <a:schemeClr val="accent6"/>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4-DAA0-4008-A548-09A6EADF923F}"/>
            </c:ext>
          </c:extLst>
        </c:ser>
        <c:dLbls>
          <c:showLegendKey val="0"/>
          <c:showVal val="0"/>
          <c:showCatName val="0"/>
          <c:showSerName val="0"/>
          <c:showPercent val="0"/>
          <c:showBubbleSize val="0"/>
        </c:dLbls>
        <c:gapWidth val="150"/>
        <c:overlap val="100"/>
        <c:axId val="112252032"/>
        <c:axId val="112253568"/>
      </c:barChart>
      <c:catAx>
        <c:axId val="11225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253568"/>
        <c:crosses val="autoZero"/>
        <c:auto val="1"/>
        <c:lblAlgn val="ctr"/>
        <c:lblOffset val="100"/>
        <c:noMultiLvlLbl val="0"/>
      </c:catAx>
      <c:valAx>
        <c:axId val="112253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25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Stát</c:v>
                </c:pt>
              </c:strCache>
            </c:strRef>
          </c:tx>
          <c:spPr>
            <a:solidFill>
              <a:schemeClr val="accent1"/>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List1!$B$2:$B$10</c:f>
              <c:numCache>
                <c:formatCode>General</c:formatCode>
                <c:ptCount val="9"/>
                <c:pt idx="0">
                  <c:v>1.8</c:v>
                </c:pt>
                <c:pt idx="1">
                  <c:v>2.6</c:v>
                </c:pt>
                <c:pt idx="2">
                  <c:v>2.4</c:v>
                </c:pt>
                <c:pt idx="3">
                  <c:v>2.6</c:v>
                </c:pt>
                <c:pt idx="4">
                  <c:v>4.4000000000000004</c:v>
                </c:pt>
                <c:pt idx="5">
                  <c:v>5.5</c:v>
                </c:pt>
                <c:pt idx="6">
                  <c:v>4.7</c:v>
                </c:pt>
                <c:pt idx="7">
                  <c:v>5</c:v>
                </c:pt>
                <c:pt idx="8">
                  <c:v>5.0999999999999996</c:v>
                </c:pt>
              </c:numCache>
            </c:numRef>
          </c:val>
          <c:extLst>
            <c:ext xmlns:c16="http://schemas.microsoft.com/office/drawing/2014/chart" uri="{C3380CC4-5D6E-409C-BE32-E72D297353CC}">
              <c16:uniqueId val="{00000000-2DE0-4864-A2D9-5779A320AB5A}"/>
            </c:ext>
          </c:extLst>
        </c:ser>
        <c:ser>
          <c:idx val="1"/>
          <c:order val="1"/>
          <c:tx>
            <c:strRef>
              <c:f>List1!$C$1</c:f>
              <c:strCache>
                <c:ptCount val="1"/>
                <c:pt idx="0">
                  <c:v>Obce</c:v>
                </c:pt>
              </c:strCache>
            </c:strRef>
          </c:tx>
          <c:spPr>
            <a:solidFill>
              <a:schemeClr val="accent2"/>
            </a:solidFill>
            <a:ln>
              <a:noFill/>
            </a:ln>
            <a:effectLst/>
          </c:spPr>
          <c:invertIfNegative val="0"/>
          <c:cat>
            <c:numRef>
              <c:f>List1!$A$2:$A$10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List1!$C$2:$C$10</c:f>
              <c:numCache>
                <c:formatCode>General</c:formatCode>
                <c:ptCount val="9"/>
                <c:pt idx="0">
                  <c:v>4.0999999999999996</c:v>
                </c:pt>
                <c:pt idx="1">
                  <c:v>5.4</c:v>
                </c:pt>
                <c:pt idx="2">
                  <c:v>5.5</c:v>
                </c:pt>
                <c:pt idx="3">
                  <c:v>5.5</c:v>
                </c:pt>
                <c:pt idx="4">
                  <c:v>6.1</c:v>
                </c:pt>
                <c:pt idx="5">
                  <c:v>6.7</c:v>
                </c:pt>
                <c:pt idx="6">
                  <c:v>5.0999999999999996</c:v>
                </c:pt>
                <c:pt idx="7">
                  <c:v>5.2</c:v>
                </c:pt>
                <c:pt idx="8">
                  <c:v>5.5</c:v>
                </c:pt>
              </c:numCache>
            </c:numRef>
          </c:val>
          <c:extLst>
            <c:ext xmlns:c16="http://schemas.microsoft.com/office/drawing/2014/chart" uri="{C3380CC4-5D6E-409C-BE32-E72D297353CC}">
              <c16:uniqueId val="{00000001-2DE0-4864-A2D9-5779A320AB5A}"/>
            </c:ext>
          </c:extLst>
        </c:ser>
        <c:dLbls>
          <c:showLegendKey val="0"/>
          <c:showVal val="0"/>
          <c:showCatName val="0"/>
          <c:showSerName val="0"/>
          <c:showPercent val="0"/>
          <c:showBubbleSize val="0"/>
        </c:dLbls>
        <c:gapWidth val="219"/>
        <c:overlap val="-27"/>
        <c:axId val="112323968"/>
        <c:axId val="112329856"/>
      </c:barChart>
      <c:catAx>
        <c:axId val="11232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329856"/>
        <c:crosses val="autoZero"/>
        <c:auto val="1"/>
        <c:lblAlgn val="ctr"/>
        <c:lblOffset val="100"/>
        <c:noMultiLvlLbl val="0"/>
      </c:catAx>
      <c:valAx>
        <c:axId val="11232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32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percentStacked"/>
        <c:varyColors val="0"/>
        <c:ser>
          <c:idx val="5"/>
          <c:order val="5"/>
          <c:tx>
            <c:strRef>
              <c:f>List1!$G$1</c:f>
              <c:strCache>
                <c:ptCount val="1"/>
                <c:pt idx="0">
                  <c:v>Landbased</c:v>
                </c:pt>
              </c:strCache>
            </c:strRef>
          </c:tx>
          <c:spPr>
            <a:solidFill>
              <a:schemeClr val="accent6">
                <a:lumMod val="40000"/>
                <a:lumOff val="60000"/>
                <a:alpha val="93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List1!$G$2:$G$9</c:f>
              <c:numCache>
                <c:formatCode>General</c:formatCode>
                <c:ptCount val="8"/>
                <c:pt idx="0">
                  <c:v>7298122471.8000002</c:v>
                </c:pt>
                <c:pt idx="1">
                  <c:v>7325155440.2000008</c:v>
                </c:pt>
                <c:pt idx="2">
                  <c:v>7527488153.9500008</c:v>
                </c:pt>
                <c:pt idx="3" formatCode="?\ ???\ ??0">
                  <c:v>10409488229.917501</c:v>
                </c:pt>
                <c:pt idx="4" formatCode="?\ ???\ ??0">
                  <c:v>10208499618.280001</c:v>
                </c:pt>
                <c:pt idx="5" formatCode="?\ ???\ ??0">
                  <c:v>6861683223.3199997</c:v>
                </c:pt>
                <c:pt idx="6" formatCode="#,##0">
                  <c:v>7445619173</c:v>
                </c:pt>
                <c:pt idx="7">
                  <c:v>5851373605.8699999</c:v>
                </c:pt>
              </c:numCache>
            </c:numRef>
          </c:val>
          <c:extLst>
            <c:ext xmlns:c16="http://schemas.microsoft.com/office/drawing/2014/chart" uri="{C3380CC4-5D6E-409C-BE32-E72D297353CC}">
              <c16:uniqueId val="{00000000-1540-471A-9F75-8FA0C34227BE}"/>
            </c:ext>
          </c:extLst>
        </c:ser>
        <c:ser>
          <c:idx val="6"/>
          <c:order val="6"/>
          <c:tx>
            <c:strRef>
              <c:f>List1!$H$1</c:f>
              <c:strCache>
                <c:ptCount val="1"/>
                <c:pt idx="0">
                  <c:v>Internet</c:v>
                </c:pt>
              </c:strCache>
            </c:strRef>
          </c:tx>
          <c:spPr>
            <a:solidFill>
              <a:schemeClr val="accent5">
                <a:lumMod val="40000"/>
                <a:lumOff val="60000"/>
                <a:alpha val="84000"/>
              </a:schemeClr>
            </a:solidFill>
            <a:ln>
              <a:noFill/>
            </a:ln>
            <a:effectLst/>
          </c:spPr>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List1!$H$2:$H$9</c:f>
              <c:numCache>
                <c:formatCode>General</c:formatCode>
                <c:ptCount val="8"/>
                <c:pt idx="0">
                  <c:v>470948195</c:v>
                </c:pt>
                <c:pt idx="1">
                  <c:v>500551069.60000002</c:v>
                </c:pt>
                <c:pt idx="2">
                  <c:v>637145574.30000007</c:v>
                </c:pt>
                <c:pt idx="3" formatCode="?\ ???\ ??0">
                  <c:v>773075057.39999998</c:v>
                </c:pt>
                <c:pt idx="4" formatCode="?\ ???\ ??0">
                  <c:v>1919209323.4700003</c:v>
                </c:pt>
                <c:pt idx="5" formatCode="?\ ???\ ??0">
                  <c:v>2213947838.8200002</c:v>
                </c:pt>
                <c:pt idx="6" formatCode="#,##0">
                  <c:v>3047919989</c:v>
                </c:pt>
                <c:pt idx="7">
                  <c:v>4496228084.3300009</c:v>
                </c:pt>
              </c:numCache>
            </c:numRef>
          </c:val>
          <c:extLst>
            <c:ext xmlns:c16="http://schemas.microsoft.com/office/drawing/2014/chart" uri="{C3380CC4-5D6E-409C-BE32-E72D297353CC}">
              <c16:uniqueId val="{00000001-1540-471A-9F75-8FA0C34227BE}"/>
            </c:ext>
          </c:extLst>
        </c:ser>
        <c:dLbls>
          <c:showLegendKey val="0"/>
          <c:showVal val="0"/>
          <c:showCatName val="0"/>
          <c:showSerName val="0"/>
          <c:showPercent val="0"/>
          <c:showBubbleSize val="0"/>
        </c:dLbls>
        <c:axId val="112400640"/>
        <c:axId val="112399104"/>
      </c:areaChart>
      <c:barChart>
        <c:barDir val="col"/>
        <c:grouping val="clustered"/>
        <c:varyColors val="0"/>
        <c:ser>
          <c:idx val="0"/>
          <c:order val="0"/>
          <c:tx>
            <c:strRef>
              <c:f>List1!$B$1</c:f>
              <c:strCache>
                <c:ptCount val="1"/>
                <c:pt idx="0">
                  <c:v>Technická hra</c:v>
                </c:pt>
              </c:strCache>
            </c:strRef>
          </c:tx>
          <c:spPr>
            <a:solidFill>
              <a:schemeClr val="accent1"/>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List1!$B$2:$B$9</c:f>
              <c:numCache>
                <c:formatCode>?\ ???\ ??0</c:formatCode>
                <c:ptCount val="8"/>
                <c:pt idx="0">
                  <c:v>5888048496</c:v>
                </c:pt>
                <c:pt idx="1">
                  <c:v>6069131566</c:v>
                </c:pt>
                <c:pt idx="2">
                  <c:v>6141908262</c:v>
                </c:pt>
                <c:pt idx="3">
                  <c:v>8679161038.4000015</c:v>
                </c:pt>
                <c:pt idx="4">
                  <c:v>8608766045</c:v>
                </c:pt>
                <c:pt idx="5">
                  <c:v>5274992010</c:v>
                </c:pt>
                <c:pt idx="6">
                  <c:v>6281391415</c:v>
                </c:pt>
                <c:pt idx="7" formatCode="General">
                  <c:v>5353832120</c:v>
                </c:pt>
              </c:numCache>
            </c:numRef>
          </c:val>
          <c:extLst>
            <c:ext xmlns:c16="http://schemas.microsoft.com/office/drawing/2014/chart" uri="{C3380CC4-5D6E-409C-BE32-E72D297353CC}">
              <c16:uniqueId val="{00000002-1540-471A-9F75-8FA0C34227BE}"/>
            </c:ext>
          </c:extLst>
        </c:ser>
        <c:ser>
          <c:idx val="1"/>
          <c:order val="1"/>
          <c:tx>
            <c:strRef>
              <c:f>List1!$C$1</c:f>
              <c:strCache>
                <c:ptCount val="1"/>
                <c:pt idx="0">
                  <c:v>Kursová sázka</c:v>
                </c:pt>
              </c:strCache>
            </c:strRef>
          </c:tx>
          <c:spPr>
            <a:solidFill>
              <a:schemeClr val="accent2"/>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List1!$C$2:$C$9</c:f>
              <c:numCache>
                <c:formatCode>?\ ???\ ??0</c:formatCode>
                <c:ptCount val="8"/>
                <c:pt idx="0">
                  <c:v>796195290.60000014</c:v>
                </c:pt>
                <c:pt idx="1">
                  <c:v>764061636.89999998</c:v>
                </c:pt>
                <c:pt idx="2">
                  <c:v>876837247.5</c:v>
                </c:pt>
                <c:pt idx="3">
                  <c:v>1089192538.4175</c:v>
                </c:pt>
                <c:pt idx="4">
                  <c:v>1710581369</c:v>
                </c:pt>
                <c:pt idx="5">
                  <c:v>1737249225</c:v>
                </c:pt>
                <c:pt idx="6">
                  <c:v>2030883394</c:v>
                </c:pt>
                <c:pt idx="7" formatCode="General">
                  <c:v>1925603769</c:v>
                </c:pt>
              </c:numCache>
            </c:numRef>
          </c:val>
          <c:extLst>
            <c:ext xmlns:c16="http://schemas.microsoft.com/office/drawing/2014/chart" uri="{C3380CC4-5D6E-409C-BE32-E72D297353CC}">
              <c16:uniqueId val="{00000003-1540-471A-9F75-8FA0C34227BE}"/>
            </c:ext>
          </c:extLst>
        </c:ser>
        <c:ser>
          <c:idx val="2"/>
          <c:order val="2"/>
          <c:tx>
            <c:strRef>
              <c:f>List1!$D$1</c:f>
              <c:strCache>
                <c:ptCount val="1"/>
                <c:pt idx="0">
                  <c:v>Loterie</c:v>
                </c:pt>
              </c:strCache>
            </c:strRef>
          </c:tx>
          <c:spPr>
            <a:solidFill>
              <a:schemeClr val="accent3"/>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List1!$D$2:$D$9</c:f>
              <c:numCache>
                <c:formatCode>?\ ???\ ??0</c:formatCode>
                <c:ptCount val="8"/>
                <c:pt idx="0">
                  <c:v>771466620.20000005</c:v>
                </c:pt>
                <c:pt idx="1">
                  <c:v>721768632.20000005</c:v>
                </c:pt>
                <c:pt idx="2">
                  <c:v>840925401</c:v>
                </c:pt>
                <c:pt idx="3">
                  <c:v>1095416673.53</c:v>
                </c:pt>
                <c:pt idx="4">
                  <c:v>1348091410</c:v>
                </c:pt>
                <c:pt idx="5">
                  <c:v>1533598163</c:v>
                </c:pt>
                <c:pt idx="6">
                  <c:v>1655458350</c:v>
                </c:pt>
                <c:pt idx="7" formatCode="General">
                  <c:v>2769299400</c:v>
                </c:pt>
              </c:numCache>
            </c:numRef>
          </c:val>
          <c:extLst>
            <c:ext xmlns:c16="http://schemas.microsoft.com/office/drawing/2014/chart" uri="{C3380CC4-5D6E-409C-BE32-E72D297353CC}">
              <c16:uniqueId val="{00000004-1540-471A-9F75-8FA0C34227BE}"/>
            </c:ext>
          </c:extLst>
        </c:ser>
        <c:ser>
          <c:idx val="3"/>
          <c:order val="3"/>
          <c:tx>
            <c:strRef>
              <c:f>List1!$E$1</c:f>
              <c:strCache>
                <c:ptCount val="1"/>
                <c:pt idx="0">
                  <c:v>Živá hra</c:v>
                </c:pt>
              </c:strCache>
            </c:strRef>
          </c:tx>
          <c:spPr>
            <a:solidFill>
              <a:schemeClr val="accent4"/>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List1!$E$2:$E$9</c:f>
              <c:numCache>
                <c:formatCode>?\ ???\ ??0</c:formatCode>
                <c:ptCount val="8"/>
                <c:pt idx="0">
                  <c:v>320755116</c:v>
                </c:pt>
                <c:pt idx="1">
                  <c:v>298942589.40000004</c:v>
                </c:pt>
                <c:pt idx="2">
                  <c:v>329017613</c:v>
                </c:pt>
                <c:pt idx="3">
                  <c:v>478821308.71000004</c:v>
                </c:pt>
                <c:pt idx="4">
                  <c:v>482829731</c:v>
                </c:pt>
                <c:pt idx="5">
                  <c:v>529794006</c:v>
                </c:pt>
                <c:pt idx="6">
                  <c:v>526217552</c:v>
                </c:pt>
                <c:pt idx="7" formatCode="General">
                  <c:v>298071030</c:v>
                </c:pt>
              </c:numCache>
            </c:numRef>
          </c:val>
          <c:extLst>
            <c:ext xmlns:c16="http://schemas.microsoft.com/office/drawing/2014/chart" uri="{C3380CC4-5D6E-409C-BE32-E72D297353CC}">
              <c16:uniqueId val="{00000005-1540-471A-9F75-8FA0C34227BE}"/>
            </c:ext>
          </c:extLst>
        </c:ser>
        <c:ser>
          <c:idx val="4"/>
          <c:order val="4"/>
          <c:tx>
            <c:strRef>
              <c:f>List1!$F$1</c:f>
              <c:strCache>
                <c:ptCount val="1"/>
                <c:pt idx="0">
                  <c:v>Ostatní hry</c:v>
                </c:pt>
              </c:strCache>
            </c:strRef>
          </c:tx>
          <c:spPr>
            <a:solidFill>
              <a:srgbClr val="FF0000"/>
            </a:solidFill>
            <a:ln>
              <a:noFill/>
            </a:ln>
            <a:effectLst/>
          </c:spPr>
          <c:invertIfNegative val="0"/>
          <c:cat>
            <c:numRef>
              <c:f>List1!$A$2:$A$9</c:f>
              <c:numCache>
                <c:formatCode>General</c:formatCode>
                <c:ptCount val="8"/>
                <c:pt idx="0">
                  <c:v>2013</c:v>
                </c:pt>
                <c:pt idx="1">
                  <c:v>2014</c:v>
                </c:pt>
                <c:pt idx="2">
                  <c:v>2015</c:v>
                </c:pt>
                <c:pt idx="3">
                  <c:v>2016</c:v>
                </c:pt>
                <c:pt idx="4">
                  <c:v>2017</c:v>
                </c:pt>
                <c:pt idx="5">
                  <c:v>2018</c:v>
                </c:pt>
                <c:pt idx="6">
                  <c:v>2019</c:v>
                </c:pt>
                <c:pt idx="7">
                  <c:v>2020</c:v>
                </c:pt>
              </c:numCache>
            </c:numRef>
          </c:cat>
          <c:val>
            <c:numRef>
              <c:f>List1!$F$2:$F$9</c:f>
              <c:numCache>
                <c:formatCode>#,##0</c:formatCode>
                <c:ptCount val="8"/>
                <c:pt idx="0">
                  <c:v>2974279</c:v>
                </c:pt>
                <c:pt idx="1">
                  <c:v>2735625</c:v>
                </c:pt>
                <c:pt idx="2">
                  <c:v>3289022</c:v>
                </c:pt>
                <c:pt idx="3">
                  <c:v>3136984</c:v>
                </c:pt>
                <c:pt idx="4" formatCode="?\ ???\ ??0">
                  <c:v>2442301</c:v>
                </c:pt>
                <c:pt idx="5" formatCode="?\ ???\ ??0">
                  <c:v>2793603</c:v>
                </c:pt>
                <c:pt idx="6" formatCode="?\ ???\ ??0">
                  <c:v>2403132</c:v>
                </c:pt>
                <c:pt idx="7" formatCode="General">
                  <c:v>1087210</c:v>
                </c:pt>
              </c:numCache>
            </c:numRef>
          </c:val>
          <c:extLst>
            <c:ext xmlns:c16="http://schemas.microsoft.com/office/drawing/2014/chart" uri="{C3380CC4-5D6E-409C-BE32-E72D297353CC}">
              <c16:uniqueId val="{00000006-1540-471A-9F75-8FA0C34227BE}"/>
            </c:ext>
          </c:extLst>
        </c:ser>
        <c:dLbls>
          <c:showLegendKey val="0"/>
          <c:showVal val="0"/>
          <c:showCatName val="0"/>
          <c:showSerName val="0"/>
          <c:showPercent val="0"/>
          <c:showBubbleSize val="0"/>
        </c:dLbls>
        <c:gapWidth val="150"/>
        <c:axId val="112391680"/>
        <c:axId val="112393216"/>
      </c:barChart>
      <c:catAx>
        <c:axId val="11239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393216"/>
        <c:crosses val="autoZero"/>
        <c:auto val="1"/>
        <c:lblAlgn val="ctr"/>
        <c:lblOffset val="100"/>
        <c:noMultiLvlLbl val="0"/>
      </c:catAx>
      <c:valAx>
        <c:axId val="112393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391680"/>
        <c:crosses val="autoZero"/>
        <c:crossBetween val="between"/>
      </c:valAx>
      <c:valAx>
        <c:axId val="11239910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12400640"/>
        <c:crosses val="max"/>
        <c:crossBetween val="between"/>
      </c:valAx>
      <c:catAx>
        <c:axId val="112400640"/>
        <c:scaling>
          <c:orientation val="minMax"/>
        </c:scaling>
        <c:delete val="1"/>
        <c:axPos val="b"/>
        <c:numFmt formatCode="General" sourceLinked="1"/>
        <c:majorTickMark val="out"/>
        <c:minorTickMark val="none"/>
        <c:tickLblPos val="nextTo"/>
        <c:crossAx val="1123991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B683B-FA86-49BA-B5E1-12E236DEB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47947</Words>
  <Characters>282893</Characters>
  <Application>Microsoft Office Word</Application>
  <DocSecurity>0</DocSecurity>
  <Lines>2357</Lines>
  <Paragraphs>660</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330180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Poláková Karolína</dc:creator>
  <cp:lastModifiedBy>Nespěšná Petra Mgr. Bc.</cp:lastModifiedBy>
  <cp:revision>2</cp:revision>
  <dcterms:created xsi:type="dcterms:W3CDTF">2021-06-03T09:54:00Z</dcterms:created>
  <dcterms:modified xsi:type="dcterms:W3CDTF">2021-06-03T09:54:00Z</dcterms:modified>
</cp:coreProperties>
</file>