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08689" w14:textId="3BEDC404" w:rsidR="00F23084" w:rsidRPr="00F23084" w:rsidRDefault="00F23084" w:rsidP="004D216A">
      <w:pPr>
        <w:pStyle w:val="Nadpis2"/>
        <w:numPr>
          <w:ilvl w:val="0"/>
          <w:numId w:val="0"/>
        </w:numPr>
        <w:ind w:left="578"/>
      </w:pPr>
      <w:bookmarkStart w:id="0" w:name="_Toc71631345"/>
      <w:bookmarkStart w:id="1" w:name="_Toc71631344"/>
      <w:bookmarkStart w:id="2" w:name="_Toc73526854"/>
      <w:bookmarkStart w:id="3" w:name="_Toc73529262"/>
      <w:bookmarkStart w:id="4" w:name="_Toc73604304"/>
      <w:bookmarkStart w:id="5" w:name="_Toc69210519"/>
      <w:bookmarkStart w:id="6" w:name="_Toc71880534"/>
      <w:bookmarkStart w:id="7" w:name="_Toc71881094"/>
      <w:bookmarkStart w:id="8" w:name="_Toc71881104"/>
      <w:r w:rsidRPr="00F23084">
        <w:t>Vyhodnocení rizikovosti provozovaných hazardních her</w:t>
      </w:r>
      <w:bookmarkEnd w:id="0"/>
      <w:bookmarkEnd w:id="1"/>
      <w:bookmarkEnd w:id="2"/>
      <w:bookmarkEnd w:id="3"/>
      <w:bookmarkEnd w:id="4"/>
    </w:p>
    <w:p w14:paraId="2B859A8E" w14:textId="1ED20B34" w:rsidR="00F23084" w:rsidRDefault="00F23084" w:rsidP="006B6318">
      <w:pPr>
        <w:pStyle w:val="Nadpis3"/>
        <w:rPr>
          <w:lang w:eastAsia="zh-CN"/>
        </w:rPr>
      </w:pPr>
      <w:bookmarkStart w:id="9" w:name="_Toc73604305"/>
      <w:bookmarkEnd w:id="5"/>
      <w:bookmarkEnd w:id="6"/>
      <w:bookmarkEnd w:id="7"/>
      <w:bookmarkEnd w:id="8"/>
      <w:r>
        <w:rPr>
          <w:lang w:eastAsia="zh-CN"/>
        </w:rPr>
        <w:t>Stručný popis metodiky testu ASTERIG</w:t>
      </w:r>
      <w:bookmarkEnd w:id="9"/>
    </w:p>
    <w:p w14:paraId="3C316294" w14:textId="1594C519" w:rsidR="003A78E2" w:rsidRDefault="00F23084" w:rsidP="00F23084">
      <w:pPr>
        <w:rPr>
          <w:bCs/>
        </w:rPr>
      </w:pPr>
      <w:r w:rsidRPr="00A018F4">
        <w:t xml:space="preserve">Ministerstvo financí v rámci své činnosti v oblasti regulace hazardu během </w:t>
      </w:r>
      <w:r>
        <w:t>roku 2020</w:t>
      </w:r>
      <w:r w:rsidR="007B2FCA">
        <w:t> </w:t>
      </w:r>
      <w:r w:rsidRPr="00F45C14">
        <w:rPr>
          <w:b/>
        </w:rPr>
        <w:t>uskutečnilo analýzu rizikového potenciálu jednotlivých hazardních her provozovaných na území České republiky</w:t>
      </w:r>
      <w:r w:rsidRPr="00A018F4">
        <w:t xml:space="preserve">. </w:t>
      </w:r>
      <w:bookmarkStart w:id="10" w:name="_GoBack"/>
      <w:bookmarkEnd w:id="10"/>
      <w:r w:rsidRPr="00A018F4">
        <w:t>K mapování míry rizikovosti hazardních her, ve smyslu negativních dopadů na úč</w:t>
      </w:r>
      <w:r>
        <w:t>astníky hazardních her a</w:t>
      </w:r>
      <w:r w:rsidR="007B2FCA">
        <w:t> </w:t>
      </w:r>
      <w:r>
        <w:t>tedy i </w:t>
      </w:r>
      <w:r w:rsidRPr="00A018F4">
        <w:t>možný rozvoj maladaptivní</w:t>
      </w:r>
      <w:r>
        <w:t>ho</w:t>
      </w:r>
      <w:r w:rsidRPr="00A018F4">
        <w:t xml:space="preserve"> modelu h</w:t>
      </w:r>
      <w:r>
        <w:t>ráčského chování</w:t>
      </w:r>
      <w:r w:rsidRPr="00A018F4">
        <w:t xml:space="preserve">, </w:t>
      </w:r>
      <w:r>
        <w:t>využilo</w:t>
      </w:r>
      <w:r w:rsidRPr="00A018F4">
        <w:t xml:space="preserve"> Ministerstvo financí hodnotící </w:t>
      </w:r>
      <w:r w:rsidRPr="001639BD">
        <w:rPr>
          <w:b/>
        </w:rPr>
        <w:t>nástroj ASTERIG</w:t>
      </w:r>
      <w:r>
        <w:rPr>
          <w:rStyle w:val="Znakapoznpodarou"/>
          <w:b/>
        </w:rPr>
        <w:footnoteReference w:id="1"/>
      </w:r>
      <w:r w:rsidRPr="00A018F4">
        <w:t>. Tento nástroj j</w:t>
      </w:r>
      <w:r w:rsidRPr="00441E75">
        <w:rPr>
          <w:bCs/>
        </w:rPr>
        <w:t xml:space="preserve">ednak umožňuje vykreslit srovnání mezi návykovým potenciálem různých hazardních her, jednak specifikuje oblast rizikového potenciálu každého konkrétního </w:t>
      </w:r>
      <w:r w:rsidRPr="0004780D">
        <w:rPr>
          <w:bCs/>
        </w:rPr>
        <w:t>hazardního produktu</w:t>
      </w:r>
      <w:r>
        <w:rPr>
          <w:bCs/>
        </w:rPr>
        <w:t>,</w:t>
      </w:r>
      <w:r w:rsidRPr="0004780D">
        <w:rPr>
          <w:bCs/>
        </w:rPr>
        <w:t xml:space="preserve"> </w:t>
      </w:r>
      <w:r w:rsidRPr="006E0411">
        <w:rPr>
          <w:bCs/>
        </w:rPr>
        <w:t xml:space="preserve">tj. </w:t>
      </w:r>
      <w:r w:rsidRPr="00F87A9E">
        <w:rPr>
          <w:bCs/>
        </w:rPr>
        <w:t>hazardní hry</w:t>
      </w:r>
      <w:r w:rsidRPr="00A018F4">
        <w:rPr>
          <w:bCs/>
        </w:rPr>
        <w:t xml:space="preserve">. </w:t>
      </w:r>
    </w:p>
    <w:p w14:paraId="46DE3715" w14:textId="0B81E501" w:rsidR="003A78E2" w:rsidRDefault="003A78E2" w:rsidP="003A78E2">
      <w:r w:rsidRPr="001518FF">
        <w:t xml:space="preserve">Nástroj </w:t>
      </w:r>
      <w:r w:rsidRPr="001639BD">
        <w:rPr>
          <w:b/>
        </w:rPr>
        <w:t>ASTERIG</w:t>
      </w:r>
      <w:r w:rsidRPr="001518FF">
        <w:t xml:space="preserve"> používá numerická skóre k měření toho, jak vysoký může být potenciál rizika závislostí u</w:t>
      </w:r>
      <w:r w:rsidR="007B2FCA">
        <w:t> </w:t>
      </w:r>
      <w:r w:rsidRPr="001518FF">
        <w:t>daného produktu hazar</w:t>
      </w:r>
      <w:r w:rsidR="006B6318">
        <w:t>dní hry a</w:t>
      </w:r>
      <w:r w:rsidR="007B2FCA">
        <w:t> </w:t>
      </w:r>
      <w:r w:rsidR="006B6318">
        <w:t>zároveň zdůrazňuje, v </w:t>
      </w:r>
      <w:r w:rsidRPr="001518FF">
        <w:t>které oblasti se potenciál specifického rizika nachází. Z</w:t>
      </w:r>
      <w:r w:rsidR="007B2FCA">
        <w:t> </w:t>
      </w:r>
      <w:r w:rsidRPr="001518FF">
        <w:t>tohoto důvodu je zvažováno deset vzájemně korelačních parametrů, které jsou dále odstupňovány podle síly jejich vlivu. Tento přístup umožňuje matematicko-objektivní srovnání možných potenciálů rizika závislosti mezi různými, případně i podobnými produkty hazardních her. Navíc nástroj ASTERIG zdůrazňuje, kde přesně se toto riziko nachází, u kterých vlastností nebo charakteristik příslušné hazardní hry lze potenciál rizika závislosti podpořit nebo snížit.</w:t>
      </w:r>
      <w:r>
        <w:t xml:space="preserve"> Posuzované parametry (</w:t>
      </w:r>
      <w:r>
        <w:rPr>
          <w:rFonts w:eastAsia="Times New Roman" w:cs="Arial"/>
          <w:color w:val="000000"/>
          <w:szCs w:val="24"/>
          <w:lang w:eastAsia="cs-CZ"/>
        </w:rPr>
        <w:t>k</w:t>
      </w:r>
      <w:r w:rsidRPr="006969E6">
        <w:rPr>
          <w:rFonts w:eastAsia="Times New Roman" w:cs="Arial"/>
          <w:color w:val="000000"/>
          <w:szCs w:val="24"/>
          <w:lang w:eastAsia="cs-CZ"/>
        </w:rPr>
        <w:t>ritéria potenciálního rizika</w:t>
      </w:r>
      <w:r>
        <w:rPr>
          <w:rFonts w:eastAsia="Times New Roman" w:cs="Arial"/>
          <w:color w:val="000000"/>
          <w:szCs w:val="24"/>
          <w:lang w:eastAsia="cs-CZ"/>
        </w:rPr>
        <w:t>)</w:t>
      </w:r>
      <w:r>
        <w:t xml:space="preserve"> dosahují různých maximálních hodno</w:t>
      </w:r>
      <w:r w:rsidR="006B6318">
        <w:t>t - tyto maximální hodnoty se u </w:t>
      </w:r>
      <w:r>
        <w:t xml:space="preserve">jednotlivých parametrů odvíjí od jejich důležitosti při posuzování rizikového potenciálu, odvíjí se tedy od jejich váhy. Tyto údaje představuje níže uvedená </w:t>
      </w:r>
      <w:r w:rsidRPr="00D93DA7">
        <w:t>tabulka č. 1.</w:t>
      </w:r>
      <w:r>
        <w:t xml:space="preserve"> </w:t>
      </w:r>
    </w:p>
    <w:p w14:paraId="7E6274AD" w14:textId="798F2F3B" w:rsidR="003A78E2" w:rsidRDefault="003A78E2" w:rsidP="003A78E2">
      <w:pPr>
        <w:pStyle w:val="Titulek"/>
        <w:keepNext/>
      </w:pPr>
      <w:bookmarkStart w:id="11" w:name="_Toc73526751"/>
      <w:r>
        <w:t xml:space="preserve">Tabulka č. </w:t>
      </w:r>
      <w:fldSimple w:instr=" SEQ Tabulka_č._ \* ARABIC ">
        <w:r w:rsidR="00B63DD6">
          <w:rPr>
            <w:noProof/>
          </w:rPr>
          <w:t>1</w:t>
        </w:r>
      </w:fldSimple>
      <w:r>
        <w:t>: Parametry a jejich hodnoty</w:t>
      </w:r>
      <w:bookmarkEnd w:id="11"/>
    </w:p>
    <w:tbl>
      <w:tblPr>
        <w:tblW w:w="5560" w:type="dxa"/>
        <w:tblInd w:w="60" w:type="dxa"/>
        <w:tblCellMar>
          <w:left w:w="70" w:type="dxa"/>
          <w:right w:w="70" w:type="dxa"/>
        </w:tblCellMar>
        <w:tblLook w:val="04A0" w:firstRow="1" w:lastRow="0" w:firstColumn="1" w:lastColumn="0" w:noHBand="0" w:noVBand="1"/>
      </w:tblPr>
      <w:tblGrid>
        <w:gridCol w:w="3260"/>
        <w:gridCol w:w="940"/>
        <w:gridCol w:w="1360"/>
      </w:tblGrid>
      <w:tr w:rsidR="003A78E2" w:rsidRPr="006969E6" w14:paraId="6A2A6436" w14:textId="77777777" w:rsidTr="003A78E2">
        <w:trPr>
          <w:trHeight w:val="900"/>
        </w:trPr>
        <w:tc>
          <w:tcPr>
            <w:tcW w:w="32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5CC453F"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Kritéria potenciálního rizika</w:t>
            </w:r>
          </w:p>
        </w:tc>
        <w:tc>
          <w:tcPr>
            <w:tcW w:w="940" w:type="dxa"/>
            <w:tcBorders>
              <w:top w:val="single" w:sz="8" w:space="0" w:color="auto"/>
              <w:left w:val="nil"/>
              <w:bottom w:val="single" w:sz="4" w:space="0" w:color="auto"/>
              <w:right w:val="single" w:sz="4" w:space="0" w:color="auto"/>
            </w:tcBorders>
            <w:shd w:val="clear" w:color="auto" w:fill="auto"/>
            <w:noWrap/>
            <w:vAlign w:val="center"/>
            <w:hideMark/>
          </w:tcPr>
          <w:p w14:paraId="38898A08"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Váha</w:t>
            </w:r>
          </w:p>
        </w:tc>
        <w:tc>
          <w:tcPr>
            <w:tcW w:w="1360" w:type="dxa"/>
            <w:tcBorders>
              <w:top w:val="single" w:sz="8" w:space="0" w:color="auto"/>
              <w:left w:val="nil"/>
              <w:bottom w:val="single" w:sz="4" w:space="0" w:color="auto"/>
              <w:right w:val="single" w:sz="8" w:space="0" w:color="auto"/>
            </w:tcBorders>
            <w:shd w:val="clear" w:color="auto" w:fill="auto"/>
            <w:vAlign w:val="center"/>
            <w:hideMark/>
          </w:tcPr>
          <w:p w14:paraId="0F813066"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Maximální možná hodnota</w:t>
            </w:r>
          </w:p>
        </w:tc>
      </w:tr>
      <w:tr w:rsidR="003A78E2" w:rsidRPr="006969E6" w14:paraId="13E9FF84"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77535D6E"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Frekvence události</w:t>
            </w:r>
          </w:p>
        </w:tc>
        <w:tc>
          <w:tcPr>
            <w:tcW w:w="940" w:type="dxa"/>
            <w:tcBorders>
              <w:top w:val="nil"/>
              <w:left w:val="nil"/>
              <w:bottom w:val="single" w:sz="4" w:space="0" w:color="auto"/>
              <w:right w:val="single" w:sz="4" w:space="0" w:color="auto"/>
            </w:tcBorders>
            <w:shd w:val="clear" w:color="auto" w:fill="auto"/>
            <w:noWrap/>
            <w:vAlign w:val="center"/>
            <w:hideMark/>
          </w:tcPr>
          <w:p w14:paraId="543441CA"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8</w:t>
            </w:r>
          </w:p>
        </w:tc>
        <w:tc>
          <w:tcPr>
            <w:tcW w:w="1360" w:type="dxa"/>
            <w:tcBorders>
              <w:top w:val="nil"/>
              <w:left w:val="nil"/>
              <w:bottom w:val="single" w:sz="4" w:space="0" w:color="auto"/>
              <w:right w:val="single" w:sz="8" w:space="0" w:color="auto"/>
            </w:tcBorders>
            <w:shd w:val="clear" w:color="auto" w:fill="auto"/>
            <w:vAlign w:val="center"/>
            <w:hideMark/>
          </w:tcPr>
          <w:p w14:paraId="73CCD3E5"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80</w:t>
            </w:r>
          </w:p>
        </w:tc>
      </w:tr>
      <w:tr w:rsidR="003A78E2" w:rsidRPr="006969E6" w14:paraId="38B148B1"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12FC203B"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Interval návratnosti</w:t>
            </w:r>
          </w:p>
        </w:tc>
        <w:tc>
          <w:tcPr>
            <w:tcW w:w="940" w:type="dxa"/>
            <w:tcBorders>
              <w:top w:val="nil"/>
              <w:left w:val="nil"/>
              <w:bottom w:val="single" w:sz="4" w:space="0" w:color="auto"/>
              <w:right w:val="single" w:sz="4" w:space="0" w:color="auto"/>
            </w:tcBorders>
            <w:shd w:val="clear" w:color="auto" w:fill="auto"/>
            <w:noWrap/>
            <w:vAlign w:val="center"/>
            <w:hideMark/>
          </w:tcPr>
          <w:p w14:paraId="6D6D3087"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10EB949F"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3A78E2" w:rsidRPr="006969E6" w14:paraId="1B1BAC1B"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043E793C"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Jackpot</w:t>
            </w:r>
          </w:p>
        </w:tc>
        <w:tc>
          <w:tcPr>
            <w:tcW w:w="940" w:type="dxa"/>
            <w:tcBorders>
              <w:top w:val="nil"/>
              <w:left w:val="nil"/>
              <w:bottom w:val="single" w:sz="4" w:space="0" w:color="auto"/>
              <w:right w:val="single" w:sz="4" w:space="0" w:color="auto"/>
            </w:tcBorders>
            <w:shd w:val="clear" w:color="auto" w:fill="auto"/>
            <w:noWrap/>
            <w:vAlign w:val="center"/>
            <w:hideMark/>
          </w:tcPr>
          <w:p w14:paraId="6BBD987C"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5</w:t>
            </w:r>
          </w:p>
        </w:tc>
        <w:tc>
          <w:tcPr>
            <w:tcW w:w="1360" w:type="dxa"/>
            <w:tcBorders>
              <w:top w:val="nil"/>
              <w:left w:val="nil"/>
              <w:bottom w:val="single" w:sz="4" w:space="0" w:color="auto"/>
              <w:right w:val="single" w:sz="8" w:space="0" w:color="auto"/>
            </w:tcBorders>
            <w:shd w:val="clear" w:color="auto" w:fill="auto"/>
            <w:vAlign w:val="center"/>
            <w:hideMark/>
          </w:tcPr>
          <w:p w14:paraId="638FB4E5"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50</w:t>
            </w:r>
          </w:p>
        </w:tc>
      </w:tr>
      <w:tr w:rsidR="003A78E2" w:rsidRPr="006969E6" w14:paraId="0926B767"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0FA64567"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Kontinuita hraní</w:t>
            </w:r>
          </w:p>
        </w:tc>
        <w:tc>
          <w:tcPr>
            <w:tcW w:w="940" w:type="dxa"/>
            <w:tcBorders>
              <w:top w:val="nil"/>
              <w:left w:val="nil"/>
              <w:bottom w:val="single" w:sz="4" w:space="0" w:color="auto"/>
              <w:right w:val="single" w:sz="4" w:space="0" w:color="auto"/>
            </w:tcBorders>
            <w:shd w:val="clear" w:color="auto" w:fill="auto"/>
            <w:noWrap/>
            <w:vAlign w:val="center"/>
            <w:hideMark/>
          </w:tcPr>
          <w:p w14:paraId="78C13FBB"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8</w:t>
            </w:r>
          </w:p>
        </w:tc>
        <w:tc>
          <w:tcPr>
            <w:tcW w:w="1360" w:type="dxa"/>
            <w:tcBorders>
              <w:top w:val="nil"/>
              <w:left w:val="nil"/>
              <w:bottom w:val="single" w:sz="4" w:space="0" w:color="auto"/>
              <w:right w:val="single" w:sz="8" w:space="0" w:color="auto"/>
            </w:tcBorders>
            <w:shd w:val="clear" w:color="auto" w:fill="auto"/>
            <w:vAlign w:val="center"/>
            <w:hideMark/>
          </w:tcPr>
          <w:p w14:paraId="28B6D56E"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80</w:t>
            </w:r>
          </w:p>
        </w:tc>
      </w:tr>
      <w:tr w:rsidR="003A78E2" w:rsidRPr="006969E6" w14:paraId="59A2C203"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2D56A71D"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Šance na získání zisku</w:t>
            </w:r>
          </w:p>
        </w:tc>
        <w:tc>
          <w:tcPr>
            <w:tcW w:w="940" w:type="dxa"/>
            <w:tcBorders>
              <w:top w:val="nil"/>
              <w:left w:val="nil"/>
              <w:bottom w:val="single" w:sz="4" w:space="0" w:color="auto"/>
              <w:right w:val="single" w:sz="4" w:space="0" w:color="auto"/>
            </w:tcBorders>
            <w:shd w:val="clear" w:color="auto" w:fill="auto"/>
            <w:noWrap/>
            <w:vAlign w:val="center"/>
            <w:hideMark/>
          </w:tcPr>
          <w:p w14:paraId="7055BBF4"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2418773A"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3A78E2" w:rsidRPr="006969E6" w14:paraId="7CCCE1BB"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53F9D40A"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Dostupnost</w:t>
            </w:r>
          </w:p>
        </w:tc>
        <w:tc>
          <w:tcPr>
            <w:tcW w:w="940" w:type="dxa"/>
            <w:tcBorders>
              <w:top w:val="nil"/>
              <w:left w:val="nil"/>
              <w:bottom w:val="single" w:sz="4" w:space="0" w:color="auto"/>
              <w:right w:val="single" w:sz="4" w:space="0" w:color="auto"/>
            </w:tcBorders>
            <w:shd w:val="clear" w:color="auto" w:fill="auto"/>
            <w:noWrap/>
            <w:vAlign w:val="center"/>
            <w:hideMark/>
          </w:tcPr>
          <w:p w14:paraId="32487380"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7</w:t>
            </w:r>
          </w:p>
        </w:tc>
        <w:tc>
          <w:tcPr>
            <w:tcW w:w="1360" w:type="dxa"/>
            <w:tcBorders>
              <w:top w:val="nil"/>
              <w:left w:val="nil"/>
              <w:bottom w:val="single" w:sz="4" w:space="0" w:color="auto"/>
              <w:right w:val="single" w:sz="8" w:space="0" w:color="auto"/>
            </w:tcBorders>
            <w:shd w:val="clear" w:color="auto" w:fill="auto"/>
            <w:vAlign w:val="center"/>
            <w:hideMark/>
          </w:tcPr>
          <w:p w14:paraId="2083D69C"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70</w:t>
            </w:r>
          </w:p>
        </w:tc>
      </w:tr>
      <w:tr w:rsidR="003A78E2" w:rsidRPr="006969E6" w14:paraId="1314FA42"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5AFCB293"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Více možností hraní / sázek</w:t>
            </w:r>
          </w:p>
        </w:tc>
        <w:tc>
          <w:tcPr>
            <w:tcW w:w="940" w:type="dxa"/>
            <w:tcBorders>
              <w:top w:val="nil"/>
              <w:left w:val="nil"/>
              <w:bottom w:val="single" w:sz="4" w:space="0" w:color="auto"/>
              <w:right w:val="single" w:sz="4" w:space="0" w:color="auto"/>
            </w:tcBorders>
            <w:shd w:val="clear" w:color="auto" w:fill="auto"/>
            <w:noWrap/>
            <w:vAlign w:val="center"/>
            <w:hideMark/>
          </w:tcPr>
          <w:p w14:paraId="2B5BA41F"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75B3F042"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3A78E2" w:rsidRPr="006969E6" w14:paraId="2A5184C9"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26D16735"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Proměnlivá výše vkladu</w:t>
            </w:r>
          </w:p>
        </w:tc>
        <w:tc>
          <w:tcPr>
            <w:tcW w:w="940" w:type="dxa"/>
            <w:tcBorders>
              <w:top w:val="nil"/>
              <w:left w:val="nil"/>
              <w:bottom w:val="single" w:sz="4" w:space="0" w:color="auto"/>
              <w:right w:val="single" w:sz="4" w:space="0" w:color="auto"/>
            </w:tcBorders>
            <w:shd w:val="clear" w:color="auto" w:fill="auto"/>
            <w:noWrap/>
            <w:vAlign w:val="center"/>
            <w:hideMark/>
          </w:tcPr>
          <w:p w14:paraId="4A711CB1"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7066943B"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3A78E2" w:rsidRPr="006969E6" w14:paraId="316AFCA3" w14:textId="77777777" w:rsidTr="003A78E2">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145FD57C"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Smyslový design výrobku</w:t>
            </w:r>
          </w:p>
        </w:tc>
        <w:tc>
          <w:tcPr>
            <w:tcW w:w="940" w:type="dxa"/>
            <w:tcBorders>
              <w:top w:val="nil"/>
              <w:left w:val="nil"/>
              <w:bottom w:val="single" w:sz="4" w:space="0" w:color="auto"/>
              <w:right w:val="single" w:sz="4" w:space="0" w:color="auto"/>
            </w:tcBorders>
            <w:shd w:val="clear" w:color="auto" w:fill="auto"/>
            <w:noWrap/>
            <w:vAlign w:val="center"/>
            <w:hideMark/>
          </w:tcPr>
          <w:p w14:paraId="3B8DADF2"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4</w:t>
            </w:r>
          </w:p>
        </w:tc>
        <w:tc>
          <w:tcPr>
            <w:tcW w:w="1360" w:type="dxa"/>
            <w:tcBorders>
              <w:top w:val="nil"/>
              <w:left w:val="nil"/>
              <w:bottom w:val="single" w:sz="4" w:space="0" w:color="auto"/>
              <w:right w:val="single" w:sz="8" w:space="0" w:color="auto"/>
            </w:tcBorders>
            <w:shd w:val="clear" w:color="auto" w:fill="auto"/>
            <w:vAlign w:val="center"/>
            <w:hideMark/>
          </w:tcPr>
          <w:p w14:paraId="4556E3B9"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40</w:t>
            </w:r>
          </w:p>
        </w:tc>
      </w:tr>
      <w:tr w:rsidR="003A78E2" w:rsidRPr="006969E6" w14:paraId="4ED17F2F" w14:textId="77777777" w:rsidTr="003A78E2">
        <w:trPr>
          <w:trHeight w:val="315"/>
        </w:trPr>
        <w:tc>
          <w:tcPr>
            <w:tcW w:w="3260" w:type="dxa"/>
            <w:tcBorders>
              <w:top w:val="nil"/>
              <w:left w:val="single" w:sz="8" w:space="0" w:color="auto"/>
              <w:bottom w:val="single" w:sz="8" w:space="0" w:color="auto"/>
              <w:right w:val="single" w:sz="4" w:space="0" w:color="auto"/>
            </w:tcBorders>
            <w:shd w:val="clear" w:color="auto" w:fill="auto"/>
            <w:noWrap/>
            <w:vAlign w:val="center"/>
            <w:hideMark/>
          </w:tcPr>
          <w:p w14:paraId="706AB72E" w14:textId="77777777" w:rsidR="003A78E2" w:rsidRPr="006969E6" w:rsidRDefault="003A78E2" w:rsidP="003A78E2">
            <w:pPr>
              <w:spacing w:after="0"/>
              <w:jc w:val="left"/>
              <w:rPr>
                <w:rFonts w:eastAsia="Times New Roman" w:cs="Arial"/>
                <w:color w:val="000000"/>
                <w:szCs w:val="24"/>
                <w:lang w:eastAsia="cs-CZ"/>
              </w:rPr>
            </w:pPr>
            <w:r w:rsidRPr="006969E6">
              <w:rPr>
                <w:rFonts w:eastAsia="Times New Roman" w:cs="Arial"/>
                <w:color w:val="000000"/>
                <w:szCs w:val="24"/>
                <w:lang w:eastAsia="cs-CZ"/>
              </w:rPr>
              <w:t>V blízkosti vítězství</w:t>
            </w:r>
          </w:p>
        </w:tc>
        <w:tc>
          <w:tcPr>
            <w:tcW w:w="940" w:type="dxa"/>
            <w:tcBorders>
              <w:top w:val="nil"/>
              <w:left w:val="nil"/>
              <w:bottom w:val="single" w:sz="8" w:space="0" w:color="auto"/>
              <w:right w:val="single" w:sz="4" w:space="0" w:color="auto"/>
            </w:tcBorders>
            <w:shd w:val="clear" w:color="auto" w:fill="auto"/>
            <w:noWrap/>
            <w:vAlign w:val="center"/>
            <w:hideMark/>
          </w:tcPr>
          <w:p w14:paraId="490241DE" w14:textId="77777777" w:rsidR="003A78E2" w:rsidRPr="006969E6" w:rsidRDefault="003A78E2" w:rsidP="003A78E2">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8" w:space="0" w:color="auto"/>
              <w:right w:val="single" w:sz="8" w:space="0" w:color="auto"/>
            </w:tcBorders>
            <w:shd w:val="clear" w:color="auto" w:fill="auto"/>
            <w:vAlign w:val="center"/>
            <w:hideMark/>
          </w:tcPr>
          <w:p w14:paraId="76A5B9B0" w14:textId="77777777" w:rsidR="003A78E2" w:rsidRPr="006969E6" w:rsidRDefault="003A78E2" w:rsidP="003A78E2">
            <w:pPr>
              <w:keepNext/>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bl>
    <w:p w14:paraId="3E05C2A3" w14:textId="40D7B397" w:rsidR="003A78E2" w:rsidRPr="006B6318" w:rsidRDefault="003A78E2" w:rsidP="00447CE5">
      <w:pPr>
        <w:pStyle w:val="Titulek"/>
        <w:rPr>
          <w:bCs/>
          <w:sz w:val="20"/>
        </w:rPr>
      </w:pPr>
      <w:r w:rsidRPr="006B6318">
        <w:rPr>
          <w:sz w:val="20"/>
        </w:rPr>
        <w:t>Zdroj: http://asterig.org/</w:t>
      </w:r>
      <w:r w:rsidR="006B6318">
        <w:rPr>
          <w:sz w:val="20"/>
        </w:rPr>
        <w:t>.</w:t>
      </w:r>
    </w:p>
    <w:p w14:paraId="31AE63C5" w14:textId="69693FED" w:rsidR="003A78E2" w:rsidRPr="003A78E2" w:rsidRDefault="00F23084" w:rsidP="00F23084">
      <w:pPr>
        <w:rPr>
          <w:bCs/>
        </w:rPr>
      </w:pPr>
      <w:r w:rsidRPr="003A78E2">
        <w:rPr>
          <w:b/>
          <w:bCs/>
        </w:rPr>
        <w:t>ASTERIG je vědecky podložená</w:t>
      </w:r>
      <w:r w:rsidRPr="00A018F4">
        <w:rPr>
          <w:bCs/>
        </w:rPr>
        <w:t xml:space="preserve"> klasifikace produktů hazardních her (</w:t>
      </w:r>
      <w:r w:rsidRPr="00A018F4">
        <w:t>se srovnatelně hodnotitelnou stupnicí</w:t>
      </w:r>
      <w:r w:rsidRPr="00441E75">
        <w:rPr>
          <w:bCs/>
        </w:rPr>
        <w:t>), a to i</w:t>
      </w:r>
      <w:r w:rsidR="005167CD">
        <w:rPr>
          <w:bCs/>
        </w:rPr>
        <w:t> </w:t>
      </w:r>
      <w:r w:rsidRPr="00441E75">
        <w:rPr>
          <w:bCs/>
        </w:rPr>
        <w:t xml:space="preserve"> v mezinárodním kontextu. Díky tomu je tento hodnotící </w:t>
      </w:r>
      <w:r w:rsidRPr="00441E75">
        <w:rPr>
          <w:bCs/>
        </w:rPr>
        <w:lastRenderedPageBreak/>
        <w:t xml:space="preserve">nástroj </w:t>
      </w:r>
      <w:r w:rsidRPr="003A78E2">
        <w:rPr>
          <w:b/>
          <w:bCs/>
        </w:rPr>
        <w:t>celosvětově uznávaným</w:t>
      </w:r>
      <w:r w:rsidRPr="00441E75">
        <w:rPr>
          <w:bCs/>
        </w:rPr>
        <w:t>, a to jak v legislativní, tak i</w:t>
      </w:r>
      <w:r w:rsidR="005167CD">
        <w:rPr>
          <w:bCs/>
        </w:rPr>
        <w:t> </w:t>
      </w:r>
      <w:r w:rsidRPr="00441E75">
        <w:rPr>
          <w:bCs/>
        </w:rPr>
        <w:t xml:space="preserve"> v</w:t>
      </w:r>
      <w:r w:rsidR="005167CD">
        <w:rPr>
          <w:bCs/>
        </w:rPr>
        <w:t> </w:t>
      </w:r>
      <w:r w:rsidRPr="00441E75">
        <w:rPr>
          <w:bCs/>
        </w:rPr>
        <w:t xml:space="preserve"> soudní</w:t>
      </w:r>
      <w:r>
        <w:rPr>
          <w:bCs/>
        </w:rPr>
        <w:t xml:space="preserve"> a správní oblasti</w:t>
      </w:r>
      <w:r w:rsidRPr="0092753A">
        <w:rPr>
          <w:bCs/>
        </w:rPr>
        <w:t xml:space="preserve"> v zemích, </w:t>
      </w:r>
      <w:r>
        <w:rPr>
          <w:bCs/>
        </w:rPr>
        <w:t xml:space="preserve">ve </w:t>
      </w:r>
      <w:r w:rsidRPr="0092753A">
        <w:rPr>
          <w:bCs/>
        </w:rPr>
        <w:t>kterých jsou povolovány a</w:t>
      </w:r>
      <w:r w:rsidR="005167CD">
        <w:rPr>
          <w:bCs/>
        </w:rPr>
        <w:t> </w:t>
      </w:r>
      <w:r w:rsidRPr="0092753A">
        <w:rPr>
          <w:bCs/>
        </w:rPr>
        <w:t xml:space="preserve"> nabízeny hazardní hry.</w:t>
      </w:r>
    </w:p>
    <w:p w14:paraId="0A261A47" w14:textId="0FF1FC6E" w:rsidR="00C14815" w:rsidRPr="00A018F4" w:rsidRDefault="00F23084" w:rsidP="00C14815">
      <w:r w:rsidRPr="00A018F4">
        <w:t xml:space="preserve">Hodnoceno bylo celkem </w:t>
      </w:r>
      <w:r>
        <w:t>dvacet</w:t>
      </w:r>
      <w:r w:rsidRPr="00A018F4">
        <w:t xml:space="preserve"> konkrétních hazardních her</w:t>
      </w:r>
      <w:r w:rsidRPr="00A018F4">
        <w:rPr>
          <w:rStyle w:val="Znakapoznpodarou"/>
          <w:rFonts w:cs="Arial"/>
        </w:rPr>
        <w:footnoteReference w:id="2"/>
      </w:r>
      <w:r w:rsidRPr="00A018F4">
        <w:t xml:space="preserve"> </w:t>
      </w:r>
      <w:r w:rsidR="00F71942">
        <w:t xml:space="preserve">konkrétních provozovatelů </w:t>
      </w:r>
      <w:r>
        <w:t>napříč v</w:t>
      </w:r>
      <w:r w:rsidRPr="00441E75">
        <w:t>šemi povolenými druhy hazar</w:t>
      </w:r>
      <w:r w:rsidRPr="0004780D">
        <w:t>dních her</w:t>
      </w:r>
      <w:r>
        <w:t xml:space="preserve"> v České republice</w:t>
      </w:r>
      <w:r w:rsidRPr="0004780D">
        <w:t xml:space="preserve">, </w:t>
      </w:r>
      <w:r>
        <w:t>provozovaných jak formou land-based, tak i </w:t>
      </w:r>
      <w:r w:rsidRPr="0004780D">
        <w:t xml:space="preserve">prostřednictvím internetu. Při výběru hazardních her pro jednotlivé druhy byl kladen důraz především na </w:t>
      </w:r>
      <w:r w:rsidRPr="00C14815">
        <w:rPr>
          <w:b/>
        </w:rPr>
        <w:t>vyváženost posuzovaných her</w:t>
      </w:r>
      <w:r>
        <w:t>,</w:t>
      </w:r>
      <w:r w:rsidRPr="0004780D">
        <w:t xml:space="preserve"> a to ve smyslu</w:t>
      </w:r>
      <w:r>
        <w:t xml:space="preserve"> zařazení jak hazardních her s </w:t>
      </w:r>
      <w:r w:rsidRPr="0092753A">
        <w:t>četnějším výskytem (t</w:t>
      </w:r>
      <w:r w:rsidRPr="00A018F4">
        <w:t xml:space="preserve">ypická hazardní hra na trhu), tak zároveň, pokud to nabídka trhu umožnila, hry atypické (vymykající se průměru provozovaných </w:t>
      </w:r>
      <w:r>
        <w:t xml:space="preserve">hazardních </w:t>
      </w:r>
      <w:r w:rsidRPr="00A018F4">
        <w:t xml:space="preserve">her). Stejný přístup </w:t>
      </w:r>
      <w:r>
        <w:t>M</w:t>
      </w:r>
      <w:r w:rsidRPr="00A018F4">
        <w:t>inisterstvo</w:t>
      </w:r>
      <w:r>
        <w:t xml:space="preserve"> financí</w:t>
      </w:r>
      <w:r w:rsidRPr="00A018F4">
        <w:t xml:space="preserve"> uplatnilo i</w:t>
      </w:r>
      <w:r w:rsidR="005167CD">
        <w:t> </w:t>
      </w:r>
      <w:r w:rsidRPr="00A018F4">
        <w:t xml:space="preserve"> </w:t>
      </w:r>
      <w:r>
        <w:t>při výběru hazardních her podle</w:t>
      </w:r>
      <w:r w:rsidRPr="00A018F4">
        <w:t xml:space="preserve"> způsobu provozování hazardních her</w:t>
      </w:r>
      <w:r>
        <w:t>,</w:t>
      </w:r>
      <w:r w:rsidRPr="00A018F4">
        <w:t xml:space="preserve"> tj. vyvážený výběr hazardníc</w:t>
      </w:r>
      <w:r>
        <w:t>h her provozovaných formou land-</w:t>
      </w:r>
      <w:r w:rsidRPr="00A018F4">
        <w:t>based a</w:t>
      </w:r>
      <w:r w:rsidR="005167CD">
        <w:t> </w:t>
      </w:r>
      <w:r w:rsidRPr="00A018F4">
        <w:t xml:space="preserve"> prostřednictvím internetu.</w:t>
      </w:r>
      <w:r w:rsidR="00C14815" w:rsidRPr="00C14815">
        <w:t xml:space="preserve"> </w:t>
      </w:r>
      <w:r w:rsidR="00C14815" w:rsidRPr="00A018F4">
        <w:t xml:space="preserve">V neposlední řadě byl kladen důraz na to, aby výběr zahrnoval pokud možno veškeré provozovatele hazardních her na současném českém trhu. </w:t>
      </w:r>
      <w:r w:rsidR="005B3F64" w:rsidRPr="003152CE">
        <w:t xml:space="preserve">Názvy hodnocených hazardních her byly pro účel tohoto dokumentu anonymizovány. </w:t>
      </w:r>
    </w:p>
    <w:p w14:paraId="5BF8F3B7" w14:textId="3E4675F5" w:rsidR="00F23084" w:rsidRDefault="00F23084" w:rsidP="006B6318">
      <w:pPr>
        <w:pStyle w:val="Nadpis3"/>
        <w:rPr>
          <w:lang w:eastAsia="zh-CN"/>
        </w:rPr>
      </w:pPr>
      <w:bookmarkStart w:id="12" w:name="_Toc73604306"/>
      <w:r>
        <w:rPr>
          <w:lang w:eastAsia="zh-CN"/>
        </w:rPr>
        <w:t>Posouzení jednotlivých zástupců v rámci druhů hazardních her a způsobů jejich provozování</w:t>
      </w:r>
      <w:bookmarkEnd w:id="12"/>
    </w:p>
    <w:p w14:paraId="78AAA5BE" w14:textId="58F41A2C" w:rsidR="00F23084" w:rsidRDefault="00F23084" w:rsidP="00F23084">
      <w:r>
        <w:t>Výsledné hodnoty konkrétních hazardních her byly pro účely vyhodnocení potenciální rizikovosti jednotlivých druhů hazardních her podřazeny pod příslušné druhy hazardních her, tomuto hod</w:t>
      </w:r>
      <w:r w:rsidR="00B62503">
        <w:t xml:space="preserve">nocení je věnována </w:t>
      </w:r>
      <w:r>
        <w:t xml:space="preserve">kapitola </w:t>
      </w:r>
      <w:r w:rsidRPr="006C1441">
        <w:t>č.</w:t>
      </w:r>
      <w:r w:rsidR="005C5E58">
        <w:t> </w:t>
      </w:r>
      <w:r w:rsidRPr="006C1441">
        <w:t>3</w:t>
      </w:r>
      <w:r>
        <w:t xml:space="preserve"> </w:t>
      </w:r>
      <w:r w:rsidR="00B62503">
        <w:t xml:space="preserve">Analýzy </w:t>
      </w:r>
      <w:r>
        <w:t>(</w:t>
      </w:r>
      <w:r w:rsidR="006C1441">
        <w:t>závěrečné hodnocení podle druhů hazardních her</w:t>
      </w:r>
      <w:r w:rsidR="00B62503">
        <w:t xml:space="preserve">). V této </w:t>
      </w:r>
      <w:r>
        <w:t>kapitole jsou nao</w:t>
      </w:r>
      <w:r w:rsidR="00C14815">
        <w:t>pak zhodnocena základní výsledná</w:t>
      </w:r>
      <w:r>
        <w:t xml:space="preserve"> data podle procentuální naplněnosti parametrů u</w:t>
      </w:r>
      <w:r w:rsidR="006B6318">
        <w:t> </w:t>
      </w:r>
      <w:r>
        <w:t>jednotlivýc</w:t>
      </w:r>
      <w:r w:rsidR="00C14815">
        <w:t xml:space="preserve">h posuzovaných hazardních her. </w:t>
      </w:r>
    </w:p>
    <w:p w14:paraId="2609ACBE" w14:textId="6DDA4985" w:rsidR="00F23084" w:rsidRDefault="00F23084" w:rsidP="00C44D1E">
      <w:pPr>
        <w:pStyle w:val="Nadpis4"/>
      </w:pPr>
      <w:bookmarkStart w:id="13" w:name="_Toc73604307"/>
      <w:r>
        <w:t>Znázornění jednotlivých druhů hazardních her podle procentuálního naplnění hodnotících parametrů</w:t>
      </w:r>
      <w:bookmarkEnd w:id="13"/>
    </w:p>
    <w:p w14:paraId="72956159" w14:textId="69F18B75" w:rsidR="00F23084" w:rsidRDefault="00F23084" w:rsidP="00FC2CA2">
      <w:r>
        <w:t>Výsledky testu ASTERIG, tedy výsledné hodnoty konkrétních hazardních her, byly mj.</w:t>
      </w:r>
      <w:r w:rsidR="0038378D">
        <w:t> </w:t>
      </w:r>
      <w:r>
        <w:t>porovnány v rámci druhu hazardních her a způsobu jejich provozování</w:t>
      </w:r>
      <w:r w:rsidR="00A84219">
        <w:t>.</w:t>
      </w:r>
      <w:r>
        <w:t xml:space="preserve"> Jinými slovy</w:t>
      </w:r>
      <w:r w:rsidR="00A84219">
        <w:t xml:space="preserve"> -</w:t>
      </w:r>
      <w:r>
        <w:t xml:space="preserve"> každý druh hazardní hry (např. živá hra) provozovaný konkrétním způsobem (např. </w:t>
      </w:r>
      <w:r w:rsidR="0038378D">
        <w:t xml:space="preserve">formou </w:t>
      </w:r>
      <w:r>
        <w:t>land-based) byl rámcově popsán a</w:t>
      </w:r>
      <w:r w:rsidR="0038378D">
        <w:t> </w:t>
      </w:r>
      <w:r>
        <w:t>vizualizován grafem, který znázorňuje procentuální naplnění každého parametru</w:t>
      </w:r>
      <w:r w:rsidR="00C14815">
        <w:t xml:space="preserve"> (např. 100</w:t>
      </w:r>
      <w:r w:rsidR="0038378D">
        <w:t> </w:t>
      </w:r>
      <w:r w:rsidR="00C14815">
        <w:t>%</w:t>
      </w:r>
      <w:r w:rsidR="0038378D">
        <w:t> </w:t>
      </w:r>
      <w:r w:rsidR="00C14815">
        <w:t>značí maximální možnou dosažitelnou hranic</w:t>
      </w:r>
      <w:r w:rsidR="00B43BC7">
        <w:t>i</w:t>
      </w:r>
      <w:r w:rsidR="00C14815">
        <w:t xml:space="preserve"> v rámci hodnocení daného parametru; čím vyšší, tím </w:t>
      </w:r>
      <w:r w:rsidR="00ED4EE3">
        <w:t xml:space="preserve">silnější potenciál </w:t>
      </w:r>
      <w:r w:rsidR="00C14815">
        <w:t>rizikovost</w:t>
      </w:r>
      <w:r w:rsidR="00ED4EE3">
        <w:t>i</w:t>
      </w:r>
      <w:r w:rsidR="00C14815">
        <w:t>)</w:t>
      </w:r>
      <w:r>
        <w:t xml:space="preserve"> u</w:t>
      </w:r>
      <w:r w:rsidR="0038378D">
        <w:t> </w:t>
      </w:r>
      <w:r>
        <w:t>všech posuzovaných hazardních her v rámci druhu a</w:t>
      </w:r>
      <w:r w:rsidR="0038378D">
        <w:t> </w:t>
      </w:r>
      <w:r>
        <w:t>způsobu provozování, a</w:t>
      </w:r>
      <w:r w:rsidR="0038378D">
        <w:t> </w:t>
      </w:r>
      <w:r>
        <w:t>to bez ohledu na váhu parametrů.</w:t>
      </w:r>
    </w:p>
    <w:p w14:paraId="54BD85A4" w14:textId="77777777" w:rsidR="00B176FE" w:rsidRDefault="00B176FE" w:rsidP="00FC2CA2">
      <w:pPr>
        <w:sectPr w:rsidR="00B176FE">
          <w:headerReference w:type="default" r:id="rId8"/>
          <w:footerReference w:type="default" r:id="rId9"/>
          <w:pgSz w:w="11906" w:h="16838"/>
          <w:pgMar w:top="1417" w:right="1417" w:bottom="1417" w:left="1417" w:header="708" w:footer="708" w:gutter="0"/>
          <w:cols w:space="708"/>
          <w:docGrid w:linePitch="360"/>
        </w:sectPr>
      </w:pPr>
    </w:p>
    <w:p w14:paraId="42C370F6" w14:textId="77777777" w:rsidR="00F23084" w:rsidRDefault="00F23084" w:rsidP="00846E09">
      <w:pPr>
        <w:pStyle w:val="Nadpis5"/>
      </w:pPr>
      <w:r>
        <w:lastRenderedPageBreak/>
        <w:t xml:space="preserve">Loterie provozované </w:t>
      </w:r>
      <w:r w:rsidRPr="00943AE2">
        <w:t>formou</w:t>
      </w:r>
      <w:r>
        <w:t xml:space="preserve"> land-based</w:t>
      </w:r>
    </w:p>
    <w:p w14:paraId="066252E6" w14:textId="76BFB69E" w:rsidR="00B176FE" w:rsidRDefault="00F23084" w:rsidP="00FC2CA2">
      <w:pPr>
        <w:rPr>
          <w:noProof/>
          <w:lang w:eastAsia="cs-CZ"/>
        </w:rPr>
      </w:pPr>
      <w:r>
        <w:rPr>
          <w:noProof/>
          <w:lang w:eastAsia="cs-CZ"/>
        </w:rPr>
        <w:t>V rámci kategorie loterie provozované formou land-based byli vybráni jednotliví a konkrétní zástupci jak loterie okamžité, tak loterie číselné. Zástupci loterie peněžité či věcné nebyli posuzováni z důvodu absence jejich nabídky na českém trhu hazardních her. Z posuzovaných loterií provozovaných v land-based prostředí vykazuje nejvy</w:t>
      </w:r>
      <w:r w:rsidR="003152CE">
        <w:rPr>
          <w:noProof/>
          <w:lang w:eastAsia="cs-CZ"/>
        </w:rPr>
        <w:t xml:space="preserve">šší rizikovost okamžitá loterie - </w:t>
      </w:r>
      <w:r>
        <w:rPr>
          <w:noProof/>
          <w:lang w:eastAsia="cs-CZ"/>
        </w:rPr>
        <w:t>stírací los</w:t>
      </w:r>
      <w:r w:rsidR="00187DEE">
        <w:rPr>
          <w:noProof/>
          <w:lang w:eastAsia="cs-CZ"/>
        </w:rPr>
        <w:t xml:space="preserve"> č. 1</w:t>
      </w:r>
      <w:r>
        <w:rPr>
          <w:noProof/>
          <w:lang w:eastAsia="cs-CZ"/>
        </w:rPr>
        <w:t>, přičemž rizikový potenciál významným způsobem navýšil posuzovaný parametr „kontinuita hraní“</w:t>
      </w:r>
      <w:r>
        <w:rPr>
          <w:rStyle w:val="Znakapoznpodarou"/>
          <w:noProof/>
          <w:lang w:eastAsia="cs-CZ"/>
        </w:rPr>
        <w:footnoteReference w:id="3"/>
      </w:r>
      <w:r>
        <w:rPr>
          <w:noProof/>
          <w:lang w:eastAsia="cs-CZ"/>
        </w:rPr>
        <w:t>, a</w:t>
      </w:r>
      <w:r w:rsidR="0038378D">
        <w:rPr>
          <w:noProof/>
          <w:lang w:eastAsia="cs-CZ"/>
        </w:rPr>
        <w:t> </w:t>
      </w:r>
      <w:r>
        <w:rPr>
          <w:noProof/>
          <w:lang w:eastAsia="cs-CZ"/>
        </w:rPr>
        <w:t>to z důvodu možnosti zakoupit si na kterémkoliv prodejním místě vysoký počet losů a tyto postupně stírat bez jakéhokoliv dalšího omezení</w:t>
      </w:r>
      <w:r>
        <w:rPr>
          <w:rStyle w:val="Znakapoznpodarou"/>
          <w:noProof/>
          <w:lang w:eastAsia="cs-CZ"/>
        </w:rPr>
        <w:footnoteReference w:id="4"/>
      </w:r>
      <w:r>
        <w:rPr>
          <w:noProof/>
          <w:lang w:eastAsia="cs-CZ"/>
        </w:rPr>
        <w:t xml:space="preserve">. Rovněž byla tato hra posouzena jako </w:t>
      </w:r>
      <w:r w:rsidR="007A6B92">
        <w:rPr>
          <w:noProof/>
          <w:lang w:eastAsia="cs-CZ"/>
        </w:rPr>
        <w:t>riziková z hlediska parametru „š</w:t>
      </w:r>
      <w:r>
        <w:rPr>
          <w:noProof/>
          <w:lang w:eastAsia="cs-CZ"/>
        </w:rPr>
        <w:t>ance na získání zisku“, jelikož více než ¼ vydaných losů je výherní</w:t>
      </w:r>
      <w:r>
        <w:rPr>
          <w:rStyle w:val="Znakapoznpodarou"/>
          <w:noProof/>
          <w:lang w:eastAsia="cs-CZ"/>
        </w:rPr>
        <w:footnoteReference w:id="5"/>
      </w:r>
      <w:r>
        <w:rPr>
          <w:noProof/>
          <w:lang w:eastAsia="cs-CZ"/>
        </w:rPr>
        <w:t>. Druhou nejrizikovější hazardní hrou tohoto druhu a</w:t>
      </w:r>
      <w:r w:rsidR="0038378D">
        <w:rPr>
          <w:noProof/>
          <w:lang w:eastAsia="cs-CZ"/>
        </w:rPr>
        <w:t> </w:t>
      </w:r>
      <w:r>
        <w:rPr>
          <w:noProof/>
          <w:lang w:eastAsia="cs-CZ"/>
        </w:rPr>
        <w:t xml:space="preserve">způsobu provozování je </w:t>
      </w:r>
      <w:r w:rsidR="00187DEE">
        <w:rPr>
          <w:noProof/>
          <w:lang w:eastAsia="cs-CZ"/>
        </w:rPr>
        <w:t>č</w:t>
      </w:r>
      <w:r>
        <w:rPr>
          <w:noProof/>
          <w:lang w:eastAsia="cs-CZ"/>
        </w:rPr>
        <w:t>íselná loterie</w:t>
      </w:r>
      <w:r w:rsidR="003152CE">
        <w:rPr>
          <w:noProof/>
          <w:lang w:eastAsia="cs-CZ"/>
        </w:rPr>
        <w:t xml:space="preserve"> </w:t>
      </w:r>
      <w:r w:rsidR="00187DEE">
        <w:rPr>
          <w:noProof/>
          <w:lang w:eastAsia="cs-CZ"/>
        </w:rPr>
        <w:t>č. 3</w:t>
      </w:r>
      <w:r>
        <w:rPr>
          <w:noProof/>
          <w:lang w:eastAsia="cs-CZ"/>
        </w:rPr>
        <w:t>, u které zvýšení rizikového potenciálu taktéž leží především na posuzovaném parametru „kontinuita hraní“. To je způsobeno především specifickou povahou této hazardní hry, neboť slosování se odehrává více méně nepřetržitě v</w:t>
      </w:r>
      <w:r w:rsidR="0038378D">
        <w:rPr>
          <w:noProof/>
          <w:lang w:eastAsia="cs-CZ"/>
        </w:rPr>
        <w:t> </w:t>
      </w:r>
      <w:r>
        <w:rPr>
          <w:noProof/>
          <w:lang w:eastAsia="cs-CZ"/>
        </w:rPr>
        <w:t>5</w:t>
      </w:r>
      <w:r w:rsidR="0038378D">
        <w:rPr>
          <w:noProof/>
          <w:lang w:eastAsia="cs-CZ"/>
        </w:rPr>
        <w:t> </w:t>
      </w:r>
      <w:r>
        <w:rPr>
          <w:noProof/>
          <w:lang w:eastAsia="cs-CZ"/>
        </w:rPr>
        <w:t xml:space="preserve">minutových intervalech. </w:t>
      </w:r>
      <w:r w:rsidRPr="00C97E75">
        <w:rPr>
          <w:noProof/>
          <w:lang w:eastAsia="cs-CZ"/>
        </w:rPr>
        <w:t>Z tohoto důvodu se hra odlišuje od jiných číselných loterií provozovaných v land-based prostředí, jelikož období, během kterého je možné hrát hazardní hru bez přerušení, je zde delší vzhledem k častějším slosováním.</w:t>
      </w:r>
      <w:r>
        <w:rPr>
          <w:noProof/>
          <w:lang w:eastAsia="cs-CZ"/>
        </w:rPr>
        <w:t xml:space="preserve"> Z tohoto důvodu je tedy také vyhodnocena jako rizikovější než například číselná loterie</w:t>
      </w:r>
      <w:r w:rsidR="003152CE">
        <w:rPr>
          <w:noProof/>
          <w:lang w:eastAsia="cs-CZ"/>
        </w:rPr>
        <w:t xml:space="preserve"> </w:t>
      </w:r>
      <w:r w:rsidR="00187DEE">
        <w:rPr>
          <w:noProof/>
          <w:lang w:eastAsia="cs-CZ"/>
        </w:rPr>
        <w:t>č. 1</w:t>
      </w:r>
      <w:r>
        <w:rPr>
          <w:noProof/>
          <w:lang w:eastAsia="cs-CZ"/>
        </w:rPr>
        <w:t>. Nejméně rizikovou h</w:t>
      </w:r>
      <w:r w:rsidR="003152CE">
        <w:rPr>
          <w:noProof/>
          <w:lang w:eastAsia="cs-CZ"/>
        </w:rPr>
        <w:t>azardní hrou z této skupiny je č</w:t>
      </w:r>
      <w:r>
        <w:rPr>
          <w:noProof/>
          <w:lang w:eastAsia="cs-CZ"/>
        </w:rPr>
        <w:t>íselná loterie</w:t>
      </w:r>
      <w:r w:rsidR="003152CE">
        <w:rPr>
          <w:noProof/>
          <w:lang w:eastAsia="cs-CZ"/>
        </w:rPr>
        <w:t xml:space="preserve"> </w:t>
      </w:r>
      <w:r w:rsidR="00187DEE">
        <w:rPr>
          <w:noProof/>
          <w:lang w:eastAsia="cs-CZ"/>
        </w:rPr>
        <w:t>č. 1</w:t>
      </w:r>
      <w:r>
        <w:rPr>
          <w:noProof/>
          <w:lang w:eastAsia="cs-CZ"/>
        </w:rPr>
        <w:t xml:space="preserve">, která ale zároveň jako jediná obsahuje prvek </w:t>
      </w:r>
      <w:r w:rsidR="001D541B">
        <w:rPr>
          <w:noProof/>
          <w:lang w:eastAsia="cs-CZ"/>
        </w:rPr>
        <w:t>„</w:t>
      </w:r>
      <w:r>
        <w:rPr>
          <w:noProof/>
          <w:lang w:eastAsia="cs-CZ"/>
        </w:rPr>
        <w:t>jackpot</w:t>
      </w:r>
      <w:r w:rsidR="001D541B">
        <w:rPr>
          <w:noProof/>
          <w:lang w:eastAsia="cs-CZ"/>
        </w:rPr>
        <w:t>“</w:t>
      </w:r>
      <w:r>
        <w:rPr>
          <w:noProof/>
          <w:lang w:eastAsia="cs-CZ"/>
        </w:rPr>
        <w:t>, přičemž tento parametr dosahuje nejvyšší možné hodnoty.</w:t>
      </w:r>
    </w:p>
    <w:p w14:paraId="2C12D656" w14:textId="2708599B" w:rsidR="00F23084" w:rsidRDefault="00F23084" w:rsidP="00FC2CA2">
      <w:pPr>
        <w:rPr>
          <w:noProof/>
          <w:lang w:eastAsia="cs-CZ"/>
        </w:rPr>
        <w:sectPr w:rsidR="00F23084" w:rsidSect="00F23084">
          <w:pgSz w:w="16838" w:h="11906" w:orient="landscape"/>
          <w:pgMar w:top="1417" w:right="1417" w:bottom="1417" w:left="1417" w:header="708" w:footer="708" w:gutter="0"/>
          <w:cols w:space="708"/>
          <w:docGrid w:linePitch="360"/>
        </w:sectPr>
      </w:pPr>
      <w:r>
        <w:rPr>
          <w:noProof/>
          <w:lang w:eastAsia="cs-CZ"/>
        </w:rPr>
        <w:t xml:space="preserve"> </w:t>
      </w:r>
    </w:p>
    <w:p w14:paraId="4B121D4F" w14:textId="17F7FBD1" w:rsidR="000F0D6E" w:rsidRDefault="006B6318" w:rsidP="000F0D6E">
      <w:pPr>
        <w:pStyle w:val="Titulek"/>
        <w:keepNext/>
        <w:rPr>
          <w:noProof/>
          <w:lang w:eastAsia="cs-CZ"/>
        </w:rPr>
      </w:pPr>
      <w:bookmarkStart w:id="14" w:name="_Toc73526777"/>
      <w:r>
        <w:lastRenderedPageBreak/>
        <w:t xml:space="preserve">Graf č. </w:t>
      </w:r>
      <w:fldSimple w:instr=" SEQ Graf_č._ \* ARABIC ">
        <w:r w:rsidR="00D65822">
          <w:rPr>
            <w:noProof/>
          </w:rPr>
          <w:t>1</w:t>
        </w:r>
      </w:fldSimple>
      <w:r w:rsidR="00EF2220">
        <w:rPr>
          <w:rFonts w:cs="Arial"/>
          <w:noProof/>
        </w:rPr>
        <w:t xml:space="preserve">: </w:t>
      </w:r>
      <w:r w:rsidR="000F0D6E">
        <w:rPr>
          <w:rFonts w:cs="Arial"/>
          <w:noProof/>
        </w:rPr>
        <w:t>Znázornění loterií</w:t>
      </w:r>
      <w:r w:rsidR="000F0D6E" w:rsidRPr="000B406A">
        <w:rPr>
          <w:rFonts w:cs="Arial"/>
          <w:noProof/>
        </w:rPr>
        <w:t xml:space="preserve"> </w:t>
      </w:r>
      <w:r w:rsidR="000F0D6E" w:rsidRPr="000B406A">
        <w:rPr>
          <w:noProof/>
          <w:lang w:eastAsia="cs-CZ"/>
        </w:rPr>
        <w:t>provozov</w:t>
      </w:r>
      <w:r w:rsidR="000F0D6E">
        <w:rPr>
          <w:noProof/>
          <w:lang w:eastAsia="cs-CZ"/>
        </w:rPr>
        <w:t>aných</w:t>
      </w:r>
      <w:r w:rsidR="000F0D6E" w:rsidRPr="000B406A">
        <w:rPr>
          <w:noProof/>
          <w:lang w:eastAsia="cs-CZ"/>
        </w:rPr>
        <w:t xml:space="preserve"> </w:t>
      </w:r>
      <w:r w:rsidR="000F0D6E">
        <w:rPr>
          <w:noProof/>
          <w:lang w:eastAsia="cs-CZ"/>
        </w:rPr>
        <w:t>formou</w:t>
      </w:r>
      <w:r w:rsidR="000F0D6E" w:rsidRPr="000B406A">
        <w:rPr>
          <w:noProof/>
          <w:lang w:eastAsia="cs-CZ"/>
        </w:rPr>
        <w:t xml:space="preserve"> land-based podle </w:t>
      </w:r>
      <w:r w:rsidR="000F0D6E" w:rsidRPr="00D73374">
        <w:rPr>
          <w:noProof/>
          <w:lang w:eastAsia="cs-CZ"/>
        </w:rPr>
        <w:t>procentuálního naplnění hodnotících parametrů</w:t>
      </w:r>
      <w:bookmarkEnd w:id="14"/>
      <w:r w:rsidR="000F0D6E" w:rsidRPr="00D73374">
        <w:rPr>
          <w:noProof/>
          <w:lang w:eastAsia="cs-CZ"/>
        </w:rPr>
        <w:t xml:space="preserve">  </w:t>
      </w:r>
    </w:p>
    <w:p w14:paraId="16D02E42" w14:textId="78C8FB21" w:rsidR="000F0D6E" w:rsidRDefault="005D1C38" w:rsidP="00A31348">
      <w:pPr>
        <w:rPr>
          <w:lang w:eastAsia="cs-CZ"/>
        </w:rPr>
      </w:pPr>
      <w:r>
        <w:rPr>
          <w:noProof/>
          <w:lang w:eastAsia="cs-CZ"/>
        </w:rPr>
        <w:drawing>
          <wp:inline distT="0" distB="0" distL="0" distR="0" wp14:anchorId="0E31513E" wp14:editId="7574315B">
            <wp:extent cx="8820000" cy="4113161"/>
            <wp:effectExtent l="0" t="0" r="635" b="190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20000" cy="4113161"/>
                    </a:xfrm>
                    <a:prstGeom prst="rect">
                      <a:avLst/>
                    </a:prstGeom>
                    <a:noFill/>
                  </pic:spPr>
                </pic:pic>
              </a:graphicData>
            </a:graphic>
          </wp:inline>
        </w:drawing>
      </w:r>
    </w:p>
    <w:p w14:paraId="367FEEF0" w14:textId="499FE6A8" w:rsidR="00F23084" w:rsidRPr="006B6318" w:rsidRDefault="000F0D6E" w:rsidP="000F0D6E">
      <w:pPr>
        <w:pStyle w:val="Titulek"/>
        <w:rPr>
          <w:sz w:val="20"/>
          <w:lang w:eastAsia="zh-CN"/>
        </w:rPr>
      </w:pPr>
      <w:r w:rsidRPr="006B6318">
        <w:rPr>
          <w:sz w:val="20"/>
        </w:rPr>
        <w:t>Zdroj: Ministerstvo financí</w:t>
      </w:r>
      <w:r w:rsidR="006B6318" w:rsidRPr="006B6318">
        <w:rPr>
          <w:sz w:val="20"/>
        </w:rPr>
        <w:t>.</w:t>
      </w:r>
    </w:p>
    <w:p w14:paraId="64FE357E" w14:textId="77777777" w:rsidR="00F23084" w:rsidRDefault="00F23084" w:rsidP="00F23084">
      <w:pPr>
        <w:rPr>
          <w:lang w:eastAsia="zh-CN"/>
        </w:rPr>
      </w:pPr>
    </w:p>
    <w:p w14:paraId="3DD97D6D" w14:textId="77777777" w:rsidR="000F0D6E" w:rsidRDefault="000F0D6E" w:rsidP="00F23084">
      <w:pPr>
        <w:rPr>
          <w:lang w:eastAsia="zh-CN"/>
        </w:rPr>
        <w:sectPr w:rsidR="000F0D6E" w:rsidSect="00F23084">
          <w:pgSz w:w="16838" w:h="11906" w:orient="landscape"/>
          <w:pgMar w:top="1417" w:right="1417" w:bottom="1417" w:left="1417" w:header="708" w:footer="708" w:gutter="0"/>
          <w:cols w:space="708"/>
          <w:docGrid w:linePitch="360"/>
        </w:sectPr>
      </w:pPr>
    </w:p>
    <w:p w14:paraId="59F34E0C" w14:textId="77777777" w:rsidR="000F0D6E" w:rsidRPr="00FB2C55" w:rsidRDefault="000F0D6E" w:rsidP="00846E09">
      <w:pPr>
        <w:pStyle w:val="Nadpis5"/>
      </w:pPr>
      <w:r w:rsidRPr="00FB2C55">
        <w:lastRenderedPageBreak/>
        <w:t xml:space="preserve">Loterie provozované prostřednictvím internetu  </w:t>
      </w:r>
    </w:p>
    <w:p w14:paraId="66060CFB" w14:textId="0D7DE989" w:rsidR="000F0D6E" w:rsidRPr="00317A4C" w:rsidRDefault="000F0D6E" w:rsidP="000F0D6E">
      <w:pPr>
        <w:rPr>
          <w:b/>
          <w:noProof/>
          <w:lang w:eastAsia="cs-CZ"/>
        </w:rPr>
      </w:pPr>
      <w:r w:rsidRPr="00FB2C55">
        <w:rPr>
          <w:noProof/>
          <w:lang w:eastAsia="cs-CZ"/>
        </w:rPr>
        <w:t>V rámci kategorie loterie provozované prostřednictvím internetu byli vybráni jednotliví konkrétní zástupci jak loterie okamžité, tak loterie číselné. Zástupci loterie peněžité či věcné nebyli posuzováni z důvodu absence jejich nabídky na českém trhu. Z posuzovaných hazardních her vykazuje</w:t>
      </w:r>
      <w:r>
        <w:rPr>
          <w:noProof/>
          <w:lang w:eastAsia="cs-CZ"/>
        </w:rPr>
        <w:t xml:space="preserve"> nejvyšší</w:t>
      </w:r>
      <w:r w:rsidRPr="00FB2C55">
        <w:rPr>
          <w:noProof/>
          <w:lang w:eastAsia="cs-CZ"/>
        </w:rPr>
        <w:t xml:space="preserve"> rizikovost okamžitá loterie </w:t>
      </w:r>
      <w:r w:rsidR="00187DEE">
        <w:rPr>
          <w:noProof/>
          <w:lang w:eastAsia="cs-CZ"/>
        </w:rPr>
        <w:t xml:space="preserve">- </w:t>
      </w:r>
      <w:r w:rsidRPr="00FB2C55">
        <w:rPr>
          <w:noProof/>
          <w:lang w:eastAsia="cs-CZ"/>
        </w:rPr>
        <w:t>stírací los</w:t>
      </w:r>
      <w:r w:rsidR="00187DEE">
        <w:rPr>
          <w:noProof/>
          <w:lang w:eastAsia="cs-CZ"/>
        </w:rPr>
        <w:t xml:space="preserve"> č. 2</w:t>
      </w:r>
      <w:r w:rsidRPr="00FB2C55">
        <w:rPr>
          <w:noProof/>
          <w:lang w:eastAsia="cs-CZ"/>
        </w:rPr>
        <w:t>, přičemž pět z deseti  posuzovaných parametrů dosahuje maximálních možných hodnot. Rizikový potenciál významným způsobem navýšil posuzovaný parametr „frekvence události“</w:t>
      </w:r>
      <w:r w:rsidRPr="00FB2C55">
        <w:rPr>
          <w:rStyle w:val="Znakapoznpodarou"/>
          <w:noProof/>
          <w:lang w:eastAsia="cs-CZ"/>
        </w:rPr>
        <w:footnoteReference w:id="6"/>
      </w:r>
      <w:r w:rsidRPr="00FB2C55">
        <w:rPr>
          <w:noProof/>
          <w:lang w:eastAsia="cs-CZ"/>
        </w:rPr>
        <w:t>, přičemž u této hazardní hry naměřené skóre dosahuje společně s posuzovanými technickými hrami válcového typu nejvyšší naměřené hodnoty. Uvedené je společné pro internetové okamžité loterie, neboť jednotlivé hry se mohou odehrávat v řádu několika sekund (např. sázející nemusí internetový los reálně stírat, pouze klikne na tlačítko setřít). Dalších stejně vysokých hodnot dosáhl u této hazardní hry parametr „kontinuita hraní“</w:t>
      </w:r>
      <w:r w:rsidRPr="00FB2C55">
        <w:rPr>
          <w:rStyle w:val="Znakapoznpodarou"/>
          <w:noProof/>
          <w:lang w:eastAsia="cs-CZ"/>
        </w:rPr>
        <w:footnoteReference w:id="7"/>
      </w:r>
      <w:r w:rsidRPr="00FB2C55">
        <w:rPr>
          <w:noProof/>
          <w:lang w:eastAsia="cs-CZ"/>
        </w:rPr>
        <w:t>, jelikož účast na této hazardní hře  není žádným způsobem omezena, tudíž sázející může hrát tuto hazardní hru neomezeně dlouhou dobu defacto bez přestávky. U</w:t>
      </w:r>
      <w:r w:rsidR="00640DF4">
        <w:rPr>
          <w:noProof/>
          <w:lang w:eastAsia="cs-CZ"/>
        </w:rPr>
        <w:t> </w:t>
      </w:r>
      <w:r w:rsidRPr="00FB2C55">
        <w:rPr>
          <w:noProof/>
          <w:lang w:eastAsia="cs-CZ"/>
        </w:rPr>
        <w:t xml:space="preserve">číselné loterie </w:t>
      </w:r>
      <w:r w:rsidR="00F11A73">
        <w:rPr>
          <w:noProof/>
          <w:lang w:eastAsia="cs-CZ"/>
        </w:rPr>
        <w:t xml:space="preserve">č. 5 </w:t>
      </w:r>
      <w:r w:rsidRPr="00FB2C55">
        <w:rPr>
          <w:noProof/>
          <w:lang w:eastAsia="cs-CZ"/>
        </w:rPr>
        <w:t>bylo zaznamenáno u</w:t>
      </w:r>
      <w:r w:rsidR="00640DF4">
        <w:rPr>
          <w:noProof/>
          <w:lang w:eastAsia="cs-CZ"/>
        </w:rPr>
        <w:t> </w:t>
      </w:r>
      <w:r w:rsidRPr="00FB2C55">
        <w:rPr>
          <w:noProof/>
          <w:lang w:eastAsia="cs-CZ"/>
        </w:rPr>
        <w:t xml:space="preserve"> čtyř posuzovaných parametrů nejvyšší možné skóre, přičemž  potenciál rizikovosti leží především na posuzovaném parametru „kontinuita hraní</w:t>
      </w:r>
      <w:r w:rsidR="001D541B">
        <w:rPr>
          <w:noProof/>
          <w:lang w:eastAsia="cs-CZ"/>
        </w:rPr>
        <w:t>“</w:t>
      </w:r>
      <w:r w:rsidRPr="00FB2C55">
        <w:rPr>
          <w:noProof/>
          <w:lang w:eastAsia="cs-CZ"/>
        </w:rPr>
        <w:t>. Parametr „frekvence události“ u</w:t>
      </w:r>
      <w:r w:rsidR="00640DF4">
        <w:rPr>
          <w:noProof/>
          <w:lang w:eastAsia="cs-CZ"/>
        </w:rPr>
        <w:t> </w:t>
      </w:r>
      <w:r w:rsidRPr="00FB2C55">
        <w:rPr>
          <w:noProof/>
          <w:lang w:eastAsia="cs-CZ"/>
        </w:rPr>
        <w:t>této hazardní hry dosáhl nižšího skóre než okamžitá lo</w:t>
      </w:r>
      <w:r>
        <w:rPr>
          <w:noProof/>
          <w:lang w:eastAsia="cs-CZ"/>
        </w:rPr>
        <w:t>terie</w:t>
      </w:r>
      <w:r w:rsidR="00E645BC">
        <w:rPr>
          <w:noProof/>
          <w:lang w:eastAsia="cs-CZ"/>
        </w:rPr>
        <w:t xml:space="preserve"> - </w:t>
      </w:r>
      <w:r w:rsidR="00F11A73">
        <w:rPr>
          <w:noProof/>
          <w:lang w:eastAsia="cs-CZ"/>
        </w:rPr>
        <w:t xml:space="preserve">stírací los č. 2 </w:t>
      </w:r>
      <w:r>
        <w:rPr>
          <w:noProof/>
          <w:lang w:eastAsia="cs-CZ"/>
        </w:rPr>
        <w:t>, jelikož</w:t>
      </w:r>
      <w:r w:rsidRPr="00FB2C55">
        <w:rPr>
          <w:noProof/>
          <w:lang w:eastAsia="cs-CZ"/>
        </w:rPr>
        <w:t xml:space="preserve"> ke slosování dochází obvykle každou minutu, nikoliv v řádu sekund</w:t>
      </w:r>
      <w:r w:rsidR="00F11A73">
        <w:rPr>
          <w:noProof/>
          <w:lang w:eastAsia="cs-CZ"/>
        </w:rPr>
        <w:t xml:space="preserve">. </w:t>
      </w:r>
      <w:r w:rsidRPr="00FB2C55">
        <w:rPr>
          <w:noProof/>
          <w:lang w:eastAsia="cs-CZ"/>
        </w:rPr>
        <w:t xml:space="preserve"> Méně rizikovou hazardní hrou tohoto druhu a způsobu provozování je</w:t>
      </w:r>
      <w:r w:rsidR="006D614C">
        <w:rPr>
          <w:noProof/>
          <w:lang w:eastAsia="cs-CZ"/>
        </w:rPr>
        <w:t>číselná loterie č. 4</w:t>
      </w:r>
      <w:r w:rsidRPr="00FB2C55">
        <w:rPr>
          <w:noProof/>
          <w:lang w:eastAsia="cs-CZ"/>
        </w:rPr>
        <w:t>, u</w:t>
      </w:r>
      <w:r w:rsidR="00640DF4">
        <w:rPr>
          <w:noProof/>
          <w:lang w:eastAsia="cs-CZ"/>
        </w:rPr>
        <w:t> </w:t>
      </w:r>
      <w:r w:rsidRPr="00FB2C55">
        <w:rPr>
          <w:noProof/>
          <w:lang w:eastAsia="cs-CZ"/>
        </w:rPr>
        <w:t>které zvýšení rizikového potenciálu leží především na posuzovaném parametru „kontinuita hraní“. Paramet</w:t>
      </w:r>
      <w:r w:rsidR="006B6318">
        <w:rPr>
          <w:noProof/>
          <w:lang w:eastAsia="cs-CZ"/>
        </w:rPr>
        <w:t>r „frekvence události“ dosáhl u </w:t>
      </w:r>
      <w:r w:rsidRPr="00FB2C55">
        <w:rPr>
          <w:noProof/>
          <w:lang w:eastAsia="cs-CZ"/>
        </w:rPr>
        <w:t xml:space="preserve">této hazardní hry nižšího skóre </w:t>
      </w:r>
      <w:r w:rsidRPr="00524C34">
        <w:rPr>
          <w:noProof/>
          <w:lang w:eastAsia="cs-CZ"/>
        </w:rPr>
        <w:t>než číselná loterie</w:t>
      </w:r>
      <w:r w:rsidR="00E645BC">
        <w:rPr>
          <w:noProof/>
          <w:lang w:eastAsia="cs-CZ"/>
        </w:rPr>
        <w:t xml:space="preserve"> </w:t>
      </w:r>
      <w:r w:rsidR="006D614C">
        <w:rPr>
          <w:noProof/>
          <w:lang w:eastAsia="cs-CZ"/>
        </w:rPr>
        <w:t>č. 5</w:t>
      </w:r>
      <w:r w:rsidRPr="00524C34">
        <w:rPr>
          <w:noProof/>
          <w:lang w:eastAsia="cs-CZ"/>
        </w:rPr>
        <w:t>, protože ke slosování dochází obvykle každých pět minut, nikoliv v řádu sekund. Nejméně</w:t>
      </w:r>
      <w:r w:rsidRPr="00FB2C55">
        <w:rPr>
          <w:noProof/>
          <w:lang w:eastAsia="cs-CZ"/>
        </w:rPr>
        <w:t xml:space="preserve"> rizikovou hazardní hrou z této skupiny byla vyhodnocena </w:t>
      </w:r>
      <w:r w:rsidR="006D614C">
        <w:rPr>
          <w:noProof/>
          <w:lang w:eastAsia="cs-CZ"/>
        </w:rPr>
        <w:t>č</w:t>
      </w:r>
      <w:r w:rsidRPr="00FB2C55">
        <w:rPr>
          <w:noProof/>
          <w:lang w:eastAsia="cs-CZ"/>
        </w:rPr>
        <w:t>íselná loterie</w:t>
      </w:r>
      <w:r w:rsidR="00E645BC">
        <w:rPr>
          <w:noProof/>
          <w:lang w:eastAsia="cs-CZ"/>
        </w:rPr>
        <w:t xml:space="preserve"> </w:t>
      </w:r>
      <w:r w:rsidR="006D614C">
        <w:rPr>
          <w:noProof/>
          <w:lang w:eastAsia="cs-CZ"/>
        </w:rPr>
        <w:t>č. 2</w:t>
      </w:r>
      <w:r w:rsidRPr="00FB2C55">
        <w:rPr>
          <w:noProof/>
          <w:lang w:eastAsia="cs-CZ"/>
        </w:rPr>
        <w:t>, která vykazuje nejvyšší hodnoty v případě parametru „dostupnost“, avšak vzhledem k frekvenci slosování (losuje se třikrát týdně) není považována za tolik rizikovou z hlediska posuzovaného parametru „kontinutity hraní“, jako například vý</w:t>
      </w:r>
      <w:r>
        <w:rPr>
          <w:noProof/>
          <w:lang w:eastAsia="cs-CZ"/>
        </w:rPr>
        <w:t xml:space="preserve">še uvedené internetové loterie. Číselná loterie </w:t>
      </w:r>
      <w:r w:rsidR="006D614C">
        <w:rPr>
          <w:noProof/>
          <w:lang w:eastAsia="cs-CZ"/>
        </w:rPr>
        <w:t xml:space="preserve">č. 2 </w:t>
      </w:r>
      <w:r>
        <w:rPr>
          <w:noProof/>
          <w:lang w:eastAsia="cs-CZ"/>
        </w:rPr>
        <w:t xml:space="preserve">jako jediná obsahuje prvek </w:t>
      </w:r>
      <w:r w:rsidR="001D541B">
        <w:rPr>
          <w:noProof/>
          <w:lang w:eastAsia="cs-CZ"/>
        </w:rPr>
        <w:t>„</w:t>
      </w:r>
      <w:r>
        <w:rPr>
          <w:noProof/>
          <w:lang w:eastAsia="cs-CZ"/>
        </w:rPr>
        <w:t>jackpot</w:t>
      </w:r>
      <w:r w:rsidR="001D541B">
        <w:rPr>
          <w:noProof/>
          <w:lang w:eastAsia="cs-CZ"/>
        </w:rPr>
        <w:t>“</w:t>
      </w:r>
      <w:r>
        <w:rPr>
          <w:noProof/>
          <w:lang w:eastAsia="cs-CZ"/>
        </w:rPr>
        <w:t>, přičemž tento parametr dosahuje nejvyšší možné hodnoty.</w:t>
      </w:r>
      <w:r w:rsidR="00640DF4">
        <w:rPr>
          <w:noProof/>
          <w:lang w:eastAsia="cs-CZ"/>
        </w:rPr>
        <w:t xml:space="preserve"> </w:t>
      </w:r>
      <w:r w:rsidR="001D541B">
        <w:rPr>
          <w:noProof/>
          <w:lang w:eastAsia="cs-CZ"/>
        </w:rPr>
        <w:t>Posuzovaný parametr „d</w:t>
      </w:r>
      <w:r w:rsidRPr="00FB2C55">
        <w:rPr>
          <w:noProof/>
          <w:lang w:eastAsia="cs-CZ"/>
        </w:rPr>
        <w:t>ostupnost“ je u</w:t>
      </w:r>
      <w:r w:rsidR="00640DF4">
        <w:rPr>
          <w:noProof/>
          <w:lang w:eastAsia="cs-CZ"/>
        </w:rPr>
        <w:t> </w:t>
      </w:r>
      <w:r w:rsidRPr="00FB2C55">
        <w:rPr>
          <w:noProof/>
          <w:lang w:eastAsia="cs-CZ"/>
        </w:rPr>
        <w:t>t</w:t>
      </w:r>
      <w:r w:rsidR="001D541B">
        <w:rPr>
          <w:noProof/>
          <w:lang w:eastAsia="cs-CZ"/>
        </w:rPr>
        <w:t>ohoto druhu hazardní hry totožný</w:t>
      </w:r>
      <w:r w:rsidRPr="00FB2C55">
        <w:rPr>
          <w:noProof/>
          <w:lang w:eastAsia="cs-CZ"/>
        </w:rPr>
        <w:t xml:space="preserve"> s ostatními internetovými hazardními hrami, neboť vzhledem k jejich provozu prostřednictvím internetu jsou tyto hry poměrně snadno dostupné.</w:t>
      </w:r>
      <w:r>
        <w:rPr>
          <w:noProof/>
          <w:lang w:eastAsia="cs-CZ"/>
        </w:rPr>
        <w:t xml:space="preserve"> </w:t>
      </w:r>
    </w:p>
    <w:p w14:paraId="015DADBE" w14:textId="0721FC52" w:rsidR="00F23084" w:rsidRDefault="00F23084" w:rsidP="00F23084">
      <w:pPr>
        <w:rPr>
          <w:lang w:eastAsia="zh-CN"/>
        </w:rPr>
      </w:pPr>
    </w:p>
    <w:p w14:paraId="084C2BFF" w14:textId="77777777" w:rsidR="000F0D6E" w:rsidRDefault="000F0D6E" w:rsidP="00F23084">
      <w:pPr>
        <w:rPr>
          <w:lang w:eastAsia="zh-CN"/>
        </w:rPr>
        <w:sectPr w:rsidR="000F0D6E" w:rsidSect="00F23084">
          <w:pgSz w:w="16838" w:h="11906" w:orient="landscape"/>
          <w:pgMar w:top="1417" w:right="1417" w:bottom="1417" w:left="1417" w:header="708" w:footer="708" w:gutter="0"/>
          <w:cols w:space="708"/>
          <w:docGrid w:linePitch="360"/>
        </w:sectPr>
      </w:pPr>
    </w:p>
    <w:p w14:paraId="755578A5" w14:textId="0F70142D" w:rsidR="000F0D6E" w:rsidRDefault="006B6318" w:rsidP="000F0D6E">
      <w:pPr>
        <w:pStyle w:val="Titulek"/>
        <w:keepNext/>
        <w:rPr>
          <w:noProof/>
          <w:lang w:eastAsia="cs-CZ"/>
        </w:rPr>
      </w:pPr>
      <w:bookmarkStart w:id="15" w:name="_Toc73526778"/>
      <w:r>
        <w:lastRenderedPageBreak/>
        <w:t>Graf č.</w:t>
      </w:r>
      <w:r w:rsidR="000F0D6E">
        <w:t xml:space="preserve"> </w:t>
      </w:r>
      <w:fldSimple w:instr=" SEQ Graf_č._ \* ARABIC ">
        <w:r w:rsidR="00D65822">
          <w:rPr>
            <w:noProof/>
          </w:rPr>
          <w:t>2</w:t>
        </w:r>
      </w:fldSimple>
      <w:r w:rsidR="000F0D6E">
        <w:rPr>
          <w:rFonts w:cs="Arial"/>
          <w:noProof/>
          <w:szCs w:val="24"/>
        </w:rPr>
        <w:t>: Znázornění loterií</w:t>
      </w:r>
      <w:r w:rsidR="000F0D6E" w:rsidRPr="00170A7A">
        <w:rPr>
          <w:rFonts w:cs="Arial"/>
          <w:noProof/>
          <w:szCs w:val="24"/>
        </w:rPr>
        <w:t xml:space="preserve"> </w:t>
      </w:r>
      <w:r w:rsidR="000F0D6E">
        <w:rPr>
          <w:noProof/>
          <w:szCs w:val="24"/>
          <w:lang w:eastAsia="cs-CZ"/>
        </w:rPr>
        <w:t>provozovaných</w:t>
      </w:r>
      <w:r w:rsidR="000F0D6E" w:rsidRPr="00170A7A">
        <w:rPr>
          <w:noProof/>
          <w:szCs w:val="24"/>
          <w:lang w:eastAsia="cs-CZ"/>
        </w:rPr>
        <w:t xml:space="preserve"> prostřednictvím internetu </w:t>
      </w:r>
      <w:r w:rsidR="000F0D6E" w:rsidRPr="000B406A">
        <w:rPr>
          <w:noProof/>
          <w:lang w:eastAsia="cs-CZ"/>
        </w:rPr>
        <w:t xml:space="preserve">podle </w:t>
      </w:r>
      <w:r w:rsidR="000F0D6E" w:rsidRPr="00D73374">
        <w:rPr>
          <w:noProof/>
          <w:lang w:eastAsia="cs-CZ"/>
        </w:rPr>
        <w:t>procentuálního naplnění hodnotících parametrů</w:t>
      </w:r>
      <w:bookmarkEnd w:id="15"/>
    </w:p>
    <w:p w14:paraId="2605A757" w14:textId="158A3E07" w:rsidR="000F0D6E" w:rsidRDefault="005D1C38" w:rsidP="00B83088">
      <w:pPr>
        <w:rPr>
          <w:lang w:eastAsia="cs-CZ"/>
        </w:rPr>
      </w:pPr>
      <w:r>
        <w:rPr>
          <w:noProof/>
          <w:lang w:eastAsia="cs-CZ"/>
        </w:rPr>
        <w:drawing>
          <wp:inline distT="0" distB="0" distL="0" distR="0" wp14:anchorId="15D5707D" wp14:editId="2A54AACF">
            <wp:extent cx="8820000" cy="3865642"/>
            <wp:effectExtent l="0" t="0" r="635" b="190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20000" cy="3865642"/>
                    </a:xfrm>
                    <a:prstGeom prst="rect">
                      <a:avLst/>
                    </a:prstGeom>
                    <a:noFill/>
                  </pic:spPr>
                </pic:pic>
              </a:graphicData>
            </a:graphic>
          </wp:inline>
        </w:drawing>
      </w:r>
    </w:p>
    <w:p w14:paraId="2912CA74" w14:textId="204BC2FA" w:rsidR="00F23084" w:rsidRPr="006B6318" w:rsidRDefault="006B6318" w:rsidP="000F0D6E">
      <w:pPr>
        <w:pStyle w:val="Titulek"/>
        <w:rPr>
          <w:sz w:val="20"/>
          <w:lang w:eastAsia="zh-CN"/>
        </w:rPr>
      </w:pPr>
      <w:r w:rsidRPr="006B6318">
        <w:rPr>
          <w:sz w:val="20"/>
        </w:rPr>
        <w:t>Zdroj: Ministerstvo financí.</w:t>
      </w:r>
    </w:p>
    <w:p w14:paraId="50ED8EEB" w14:textId="77777777" w:rsidR="00F23084" w:rsidRDefault="00F23084" w:rsidP="00F23084">
      <w:pPr>
        <w:rPr>
          <w:lang w:eastAsia="zh-CN"/>
        </w:rPr>
      </w:pPr>
    </w:p>
    <w:p w14:paraId="7C2A7EB2" w14:textId="77777777" w:rsidR="000F0D6E" w:rsidRDefault="000F0D6E" w:rsidP="00F23084">
      <w:pPr>
        <w:rPr>
          <w:lang w:eastAsia="zh-CN"/>
        </w:rPr>
        <w:sectPr w:rsidR="000F0D6E" w:rsidSect="00F23084">
          <w:pgSz w:w="16838" w:h="11906" w:orient="landscape"/>
          <w:pgMar w:top="1417" w:right="1417" w:bottom="1417" w:left="1417" w:header="708" w:footer="708" w:gutter="0"/>
          <w:cols w:space="708"/>
          <w:docGrid w:linePitch="360"/>
        </w:sectPr>
      </w:pPr>
    </w:p>
    <w:p w14:paraId="7B37E858" w14:textId="77777777" w:rsidR="000F0D6E" w:rsidRPr="00F0746A" w:rsidRDefault="000F0D6E" w:rsidP="00846E09">
      <w:pPr>
        <w:pStyle w:val="Nadpis5"/>
      </w:pPr>
      <w:r>
        <w:lastRenderedPageBreak/>
        <w:t>Kursová sázka provozovaná formou land-based</w:t>
      </w:r>
    </w:p>
    <w:p w14:paraId="2AD970D4" w14:textId="4C385B1D" w:rsidR="000F0D6E" w:rsidRPr="00170A7A" w:rsidRDefault="000F0D6E" w:rsidP="000F0D6E">
      <w:r w:rsidRPr="00170A7A">
        <w:t xml:space="preserve">Kursová sázka vykazuje </w:t>
      </w:r>
      <w:r>
        <w:t>ve dvou případech maximální možné skóre, a</w:t>
      </w:r>
      <w:r w:rsidR="00640DF4">
        <w:t> </w:t>
      </w:r>
      <w:r>
        <w:t xml:space="preserve">to </w:t>
      </w:r>
      <w:r w:rsidRPr="00170A7A">
        <w:t>v případě posuzovaného parametru „více možností hraní/sázek“</w:t>
      </w:r>
      <w:r>
        <w:rPr>
          <w:rStyle w:val="Znakapoznpodarou"/>
        </w:rPr>
        <w:footnoteReference w:id="8"/>
      </w:r>
      <w:r>
        <w:t xml:space="preserve"> z důvodu široké nabídky sázkových událostí a příležitostí, </w:t>
      </w:r>
      <w:r w:rsidR="00640DF4">
        <w:t xml:space="preserve">a </w:t>
      </w:r>
      <w:r>
        <w:t xml:space="preserve">v případě </w:t>
      </w:r>
      <w:r w:rsidRPr="00170A7A">
        <w:t>posuzované</w:t>
      </w:r>
      <w:r>
        <w:t>ho</w:t>
      </w:r>
      <w:r w:rsidRPr="00170A7A">
        <w:t xml:space="preserve"> parametru „šance na získání zisku“</w:t>
      </w:r>
      <w:r>
        <w:rPr>
          <w:rStyle w:val="Znakapoznpodarou"/>
        </w:rPr>
        <w:footnoteReference w:id="9"/>
      </w:r>
      <w:r>
        <w:t>,</w:t>
      </w:r>
      <w:r w:rsidRPr="00586E85">
        <w:t xml:space="preserve"> </w:t>
      </w:r>
      <w:r>
        <w:t>jelikož ze získaných  hodnot vyplynulo, že pravděpodobnost získání zisku je vyšší než 25 %</w:t>
      </w:r>
      <w:r w:rsidRPr="00170A7A">
        <w:t>.</w:t>
      </w:r>
      <w:r w:rsidR="006B6318">
        <w:t xml:space="preserve"> </w:t>
      </w:r>
      <w:r w:rsidRPr="00170A7A">
        <w:t xml:space="preserve">Naopak nejnižší hodnoty dosáhla </w:t>
      </w:r>
      <w:r w:rsidR="006D614C">
        <w:t>k</w:t>
      </w:r>
      <w:r w:rsidRPr="00170A7A">
        <w:t>ursová sázka v případě posuz</w:t>
      </w:r>
      <w:r>
        <w:t>ovaného parame</w:t>
      </w:r>
      <w:r w:rsidR="0075226C">
        <w:t>tru „jackpot“</w:t>
      </w:r>
      <w:r w:rsidR="006D614C">
        <w:t xml:space="preserve"> </w:t>
      </w:r>
      <w:r w:rsidR="0075226C">
        <w:t>(</w:t>
      </w:r>
      <w:r w:rsidRPr="00170A7A">
        <w:t>jedná</w:t>
      </w:r>
      <w:r w:rsidR="0075226C">
        <w:t xml:space="preserve"> se</w:t>
      </w:r>
      <w:r w:rsidRPr="00170A7A">
        <w:t xml:space="preserve"> o</w:t>
      </w:r>
      <w:r>
        <w:t xml:space="preserve"> </w:t>
      </w:r>
      <w:r w:rsidRPr="00170A7A">
        <w:t xml:space="preserve">mimořádnou </w:t>
      </w:r>
      <w:r>
        <w:t>výhru</w:t>
      </w:r>
      <w:r w:rsidRPr="00170A7A">
        <w:t xml:space="preserve">, </w:t>
      </w:r>
      <w:r>
        <w:t>jejíž výše se odvíjí od</w:t>
      </w:r>
      <w:r w:rsidRPr="00170A7A">
        <w:t xml:space="preserve"> </w:t>
      </w:r>
      <w:r>
        <w:t>uzavřených</w:t>
      </w:r>
      <w:r w:rsidRPr="00170A7A">
        <w:t xml:space="preserve"> předešl</w:t>
      </w:r>
      <w:r>
        <w:t>ých</w:t>
      </w:r>
      <w:r w:rsidRPr="00170A7A">
        <w:t xml:space="preserve"> sáz</w:t>
      </w:r>
      <w:r>
        <w:t>ek</w:t>
      </w:r>
      <w:r w:rsidR="00BA046D">
        <w:t>)</w:t>
      </w:r>
      <w:r>
        <w:t xml:space="preserve">, </w:t>
      </w:r>
      <w:r w:rsidR="0075226C">
        <w:t xml:space="preserve">neboť </w:t>
      </w:r>
      <w:r>
        <w:t xml:space="preserve">hazardní hra </w:t>
      </w:r>
      <w:r w:rsidR="00E8015B">
        <w:t>k</w:t>
      </w:r>
      <w:r>
        <w:t>ursová sázka</w:t>
      </w:r>
      <w:r w:rsidR="0075226C">
        <w:t xml:space="preserve"> tento parametr</w:t>
      </w:r>
      <w:r>
        <w:t xml:space="preserve"> neobsahuje</w:t>
      </w:r>
      <w:r w:rsidR="00640DF4">
        <w:t>,</w:t>
      </w:r>
      <w:r>
        <w:t xml:space="preserve"> a </w:t>
      </w:r>
      <w:r w:rsidRPr="00170A7A">
        <w:t>v případě parametru „smyslový design výrobku“</w:t>
      </w:r>
      <w:r>
        <w:rPr>
          <w:rStyle w:val="Znakapoznpodarou"/>
        </w:rPr>
        <w:footnoteReference w:id="10"/>
      </w:r>
      <w:r>
        <w:t>, neboť se de facto jedná o prostý výběr sázkových příležitostí z kursové nabídky a následné vsazení</w:t>
      </w:r>
      <w:r w:rsidRPr="00170A7A">
        <w:t>.</w:t>
      </w:r>
    </w:p>
    <w:p w14:paraId="4490B1DA" w14:textId="3F10A22D" w:rsidR="00F23084" w:rsidRDefault="00F23084" w:rsidP="00F23084">
      <w:pPr>
        <w:rPr>
          <w:lang w:eastAsia="zh-CN"/>
        </w:rPr>
      </w:pPr>
    </w:p>
    <w:p w14:paraId="6653C046" w14:textId="77777777" w:rsidR="000F0D6E" w:rsidRDefault="000F0D6E" w:rsidP="00F23084">
      <w:pPr>
        <w:rPr>
          <w:lang w:eastAsia="zh-CN"/>
        </w:rPr>
        <w:sectPr w:rsidR="000F0D6E" w:rsidSect="00F23084">
          <w:pgSz w:w="16838" w:h="11906" w:orient="landscape"/>
          <w:pgMar w:top="1417" w:right="1417" w:bottom="1417" w:left="1417" w:header="708" w:footer="708" w:gutter="0"/>
          <w:cols w:space="708"/>
          <w:docGrid w:linePitch="360"/>
        </w:sectPr>
      </w:pPr>
    </w:p>
    <w:p w14:paraId="694D08B2" w14:textId="13D8BB76" w:rsidR="000F0D6E" w:rsidRDefault="006B6318" w:rsidP="000F0D6E">
      <w:pPr>
        <w:pStyle w:val="Titulek"/>
        <w:keepNext/>
      </w:pPr>
      <w:bookmarkStart w:id="16" w:name="_Toc73526779"/>
      <w:r>
        <w:lastRenderedPageBreak/>
        <w:t xml:space="preserve">Graf č. </w:t>
      </w:r>
      <w:fldSimple w:instr=" SEQ Graf_č._ \* ARABIC ">
        <w:r w:rsidR="00D65822">
          <w:rPr>
            <w:noProof/>
          </w:rPr>
          <w:t>3</w:t>
        </w:r>
      </w:fldSimple>
      <w:r w:rsidR="000F0D6E">
        <w:rPr>
          <w:rFonts w:cs="Arial"/>
          <w:noProof/>
          <w:szCs w:val="24"/>
        </w:rPr>
        <w:t xml:space="preserve">: </w:t>
      </w:r>
      <w:r w:rsidR="000F0D6E" w:rsidRPr="00D73374">
        <w:rPr>
          <w:rFonts w:cs="Arial"/>
          <w:noProof/>
          <w:szCs w:val="24"/>
        </w:rPr>
        <w:t xml:space="preserve">Znázornění kursové sázky </w:t>
      </w:r>
      <w:r w:rsidR="000F0D6E" w:rsidRPr="00D73374">
        <w:rPr>
          <w:noProof/>
          <w:szCs w:val="24"/>
          <w:lang w:eastAsia="cs-CZ"/>
        </w:rPr>
        <w:t xml:space="preserve">provozované formou land-based </w:t>
      </w:r>
      <w:r w:rsidR="000F0D6E" w:rsidRPr="00D73374">
        <w:rPr>
          <w:noProof/>
          <w:lang w:eastAsia="cs-CZ"/>
        </w:rPr>
        <w:t>podle procentuálního naplnění hodnotících parametrů</w:t>
      </w:r>
      <w:bookmarkEnd w:id="16"/>
    </w:p>
    <w:p w14:paraId="0C9DACA0" w14:textId="77777777" w:rsidR="000F0D6E" w:rsidRDefault="000F0D6E" w:rsidP="000F0D6E">
      <w:pPr>
        <w:keepNext/>
      </w:pPr>
      <w:r>
        <w:rPr>
          <w:noProof/>
          <w:lang w:eastAsia="cs-CZ"/>
        </w:rPr>
        <w:drawing>
          <wp:inline distT="0" distB="0" distL="0" distR="0" wp14:anchorId="4D3B12D5" wp14:editId="2ECCAEAD">
            <wp:extent cx="8820000" cy="4471734"/>
            <wp:effectExtent l="0" t="0" r="635" b="508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20000" cy="4471734"/>
                    </a:xfrm>
                    <a:prstGeom prst="rect">
                      <a:avLst/>
                    </a:prstGeom>
                    <a:noFill/>
                  </pic:spPr>
                </pic:pic>
              </a:graphicData>
            </a:graphic>
          </wp:inline>
        </w:drawing>
      </w:r>
    </w:p>
    <w:p w14:paraId="713370BE" w14:textId="3587B6AB" w:rsidR="00F23084" w:rsidRPr="006B6318" w:rsidRDefault="000F0D6E" w:rsidP="000F0D6E">
      <w:pPr>
        <w:pStyle w:val="Titulek"/>
        <w:rPr>
          <w:sz w:val="20"/>
          <w:lang w:eastAsia="zh-CN"/>
        </w:rPr>
      </w:pPr>
      <w:r w:rsidRPr="006B6318">
        <w:rPr>
          <w:sz w:val="20"/>
        </w:rPr>
        <w:t>Zdroj: Ministerstvo financí</w:t>
      </w:r>
      <w:r w:rsidR="006B6318">
        <w:rPr>
          <w:sz w:val="20"/>
        </w:rPr>
        <w:t>.</w:t>
      </w:r>
      <w:r w:rsidRPr="006B6318">
        <w:rPr>
          <w:sz w:val="20"/>
        </w:rPr>
        <w:t xml:space="preserve"> </w:t>
      </w:r>
    </w:p>
    <w:p w14:paraId="3BB30AD4" w14:textId="77777777" w:rsidR="00EF2220" w:rsidRDefault="00EF2220" w:rsidP="00F23084">
      <w:pPr>
        <w:rPr>
          <w:lang w:eastAsia="zh-CN"/>
        </w:rPr>
        <w:sectPr w:rsidR="00EF2220" w:rsidSect="00F23084">
          <w:pgSz w:w="16838" w:h="11906" w:orient="landscape"/>
          <w:pgMar w:top="1417" w:right="1417" w:bottom="1417" w:left="1417" w:header="708" w:footer="708" w:gutter="0"/>
          <w:cols w:space="708"/>
          <w:docGrid w:linePitch="360"/>
        </w:sectPr>
      </w:pPr>
    </w:p>
    <w:p w14:paraId="62CEB849" w14:textId="7085EC17" w:rsidR="00EF2220" w:rsidRDefault="00B63DD6" w:rsidP="00846E09">
      <w:pPr>
        <w:pStyle w:val="Nadpis5"/>
      </w:pPr>
      <w:r>
        <w:lastRenderedPageBreak/>
        <w:t>Kursová sázka provozovaná</w:t>
      </w:r>
      <w:r w:rsidR="00EF2220">
        <w:t xml:space="preserve"> prostřednictvím internetu</w:t>
      </w:r>
    </w:p>
    <w:p w14:paraId="2F80C188" w14:textId="4CF952AD" w:rsidR="00EF2220" w:rsidRPr="00317A4C" w:rsidRDefault="00EF2220" w:rsidP="00EF2220">
      <w:pPr>
        <w:rPr>
          <w:b/>
          <w:noProof/>
          <w:lang w:eastAsia="cs-CZ"/>
        </w:rPr>
      </w:pPr>
      <w:r>
        <w:t>V rámci dané kategorie byly posuzovány běžná internetová kursová sázka a</w:t>
      </w:r>
      <w:r w:rsidR="001218C9">
        <w:t> </w:t>
      </w:r>
      <w:r>
        <w:t xml:space="preserve">internetová kursová sázka typu live, tedy sázka uzavíraná v průběhu konání sázkové události. </w:t>
      </w:r>
      <w:r w:rsidRPr="008A4DD7">
        <w:t xml:space="preserve">Z posuzovaných </w:t>
      </w:r>
      <w:r>
        <w:t xml:space="preserve">hazardních her </w:t>
      </w:r>
      <w:r>
        <w:rPr>
          <w:noProof/>
          <w:lang w:eastAsia="cs-CZ"/>
        </w:rPr>
        <w:t xml:space="preserve">vykazuje vyšší rizikovost hazardní hra </w:t>
      </w:r>
      <w:r w:rsidR="00E8015B">
        <w:rPr>
          <w:noProof/>
          <w:lang w:eastAsia="cs-CZ"/>
        </w:rPr>
        <w:t>k</w:t>
      </w:r>
      <w:r>
        <w:rPr>
          <w:noProof/>
          <w:lang w:eastAsia="cs-CZ"/>
        </w:rPr>
        <w:t xml:space="preserve">ursová sázka – live, která dosahuje ve čtyřech případech maximálních možných hodnot, přičemž rizikový potenciál významným způsobem navýšil posuzovaný </w:t>
      </w:r>
      <w:r w:rsidRPr="00F4732B">
        <w:rPr>
          <w:noProof/>
          <w:lang w:eastAsia="cs-CZ"/>
        </w:rPr>
        <w:t>parametr</w:t>
      </w:r>
      <w:r>
        <w:rPr>
          <w:noProof/>
          <w:lang w:eastAsia="cs-CZ"/>
        </w:rPr>
        <w:t xml:space="preserve"> „kontinuita hraní“</w:t>
      </w:r>
      <w:r>
        <w:rPr>
          <w:rStyle w:val="Znakapoznpodarou"/>
          <w:noProof/>
          <w:lang w:eastAsia="cs-CZ"/>
        </w:rPr>
        <w:footnoteReference w:id="11"/>
      </w:r>
      <w:r>
        <w:rPr>
          <w:noProof/>
          <w:lang w:eastAsia="cs-CZ"/>
        </w:rPr>
        <w:t>, neboť sázkové události a</w:t>
      </w:r>
      <w:r w:rsidR="001218C9">
        <w:rPr>
          <w:noProof/>
          <w:lang w:eastAsia="cs-CZ"/>
        </w:rPr>
        <w:t> </w:t>
      </w:r>
      <w:r>
        <w:rPr>
          <w:noProof/>
          <w:lang w:eastAsia="cs-CZ"/>
        </w:rPr>
        <w:t>příležitosti jsou nabíze</w:t>
      </w:r>
      <w:r w:rsidR="001218C9">
        <w:rPr>
          <w:noProof/>
          <w:lang w:eastAsia="cs-CZ"/>
        </w:rPr>
        <w:t>n</w:t>
      </w:r>
      <w:r>
        <w:rPr>
          <w:noProof/>
          <w:lang w:eastAsia="cs-CZ"/>
        </w:rPr>
        <w:t>y v podstatě 24</w:t>
      </w:r>
      <w:r w:rsidR="001218C9">
        <w:rPr>
          <w:noProof/>
          <w:lang w:eastAsia="cs-CZ"/>
        </w:rPr>
        <w:t> </w:t>
      </w:r>
      <w:r>
        <w:rPr>
          <w:noProof/>
          <w:lang w:eastAsia="cs-CZ"/>
        </w:rPr>
        <w:t>hod</w:t>
      </w:r>
      <w:r w:rsidR="001218C9">
        <w:rPr>
          <w:noProof/>
          <w:lang w:eastAsia="cs-CZ"/>
        </w:rPr>
        <w:t>in</w:t>
      </w:r>
      <w:r>
        <w:rPr>
          <w:noProof/>
          <w:lang w:eastAsia="cs-CZ"/>
        </w:rPr>
        <w:t xml:space="preserve"> denně. Další posuzovanou hrou je </w:t>
      </w:r>
      <w:r w:rsidR="00E8015B">
        <w:rPr>
          <w:noProof/>
          <w:lang w:eastAsia="cs-CZ"/>
        </w:rPr>
        <w:t>k</w:t>
      </w:r>
      <w:r>
        <w:rPr>
          <w:noProof/>
          <w:lang w:eastAsia="cs-CZ"/>
        </w:rPr>
        <w:t>ursová sázka, která dosahuje taktéž ve čtyřech případech maximální možných hodnot a</w:t>
      </w:r>
      <w:r w:rsidR="001218C9">
        <w:rPr>
          <w:noProof/>
          <w:lang w:eastAsia="cs-CZ"/>
        </w:rPr>
        <w:t> </w:t>
      </w:r>
      <w:r>
        <w:rPr>
          <w:noProof/>
          <w:lang w:eastAsia="cs-CZ"/>
        </w:rPr>
        <w:t>u</w:t>
      </w:r>
      <w:r w:rsidR="001218C9">
        <w:rPr>
          <w:noProof/>
          <w:lang w:eastAsia="cs-CZ"/>
        </w:rPr>
        <w:t> </w:t>
      </w:r>
      <w:r>
        <w:rPr>
          <w:noProof/>
          <w:lang w:eastAsia="cs-CZ"/>
        </w:rPr>
        <w:t xml:space="preserve">které potenciál rizikovosti leží taktéž zejména na parametru „kontinuita hraní“. Nicméně proti předchozí hře </w:t>
      </w:r>
      <w:r w:rsidR="00E8015B">
        <w:rPr>
          <w:noProof/>
          <w:lang w:eastAsia="cs-CZ"/>
        </w:rPr>
        <w:t>k</w:t>
      </w:r>
      <w:r>
        <w:rPr>
          <w:noProof/>
          <w:lang w:eastAsia="cs-CZ"/>
        </w:rPr>
        <w:t xml:space="preserve">ursová sázka vykazuje nižší potenciál v případě parametru „frekvence události“, </w:t>
      </w:r>
      <w:r w:rsidRPr="00F4732B">
        <w:rPr>
          <w:noProof/>
          <w:lang w:eastAsia="cs-CZ"/>
        </w:rPr>
        <w:t>tedy</w:t>
      </w:r>
      <w:r>
        <w:rPr>
          <w:noProof/>
          <w:lang w:eastAsia="cs-CZ"/>
        </w:rPr>
        <w:t xml:space="preserve"> časem</w:t>
      </w:r>
      <w:r w:rsidRPr="001A368D">
        <w:rPr>
          <w:noProof/>
          <w:lang w:eastAsia="cs-CZ"/>
        </w:rPr>
        <w:t xml:space="preserve"> mezi sázkou, vý</w:t>
      </w:r>
      <w:r>
        <w:rPr>
          <w:noProof/>
          <w:lang w:eastAsia="cs-CZ"/>
        </w:rPr>
        <w:t>sledkem hazardní hry a</w:t>
      </w:r>
      <w:r w:rsidR="001218C9">
        <w:rPr>
          <w:noProof/>
          <w:lang w:eastAsia="cs-CZ"/>
        </w:rPr>
        <w:t> </w:t>
      </w:r>
      <w:r>
        <w:rPr>
          <w:noProof/>
          <w:lang w:eastAsia="cs-CZ"/>
        </w:rPr>
        <w:t>příští sázkou</w:t>
      </w:r>
      <w:r w:rsidR="001218C9">
        <w:rPr>
          <w:noProof/>
          <w:lang w:eastAsia="cs-CZ"/>
        </w:rPr>
        <w:t>,</w:t>
      </w:r>
      <w:r>
        <w:rPr>
          <w:noProof/>
          <w:lang w:eastAsia="cs-CZ"/>
        </w:rPr>
        <w:t xml:space="preserve"> a</w:t>
      </w:r>
      <w:r w:rsidR="001218C9">
        <w:rPr>
          <w:noProof/>
          <w:lang w:eastAsia="cs-CZ"/>
        </w:rPr>
        <w:t> </w:t>
      </w:r>
      <w:r>
        <w:rPr>
          <w:noProof/>
          <w:lang w:eastAsia="cs-CZ"/>
        </w:rPr>
        <w:t xml:space="preserve"> v případě parametru „interval návratnosti“, tedy časovým úsekem</w:t>
      </w:r>
      <w:r w:rsidRPr="00287BF0">
        <w:rPr>
          <w:noProof/>
          <w:lang w:eastAsia="cs-CZ"/>
        </w:rPr>
        <w:t xml:space="preserve"> mezi výsledkem h</w:t>
      </w:r>
      <w:r>
        <w:rPr>
          <w:noProof/>
          <w:lang w:eastAsia="cs-CZ"/>
        </w:rPr>
        <w:t xml:space="preserve">azardní hry a přijetím výhry, </w:t>
      </w:r>
      <w:r w:rsidR="001218C9">
        <w:rPr>
          <w:noProof/>
          <w:lang w:eastAsia="cs-CZ"/>
        </w:rPr>
        <w:t>jelikož</w:t>
      </w:r>
      <w:r>
        <w:rPr>
          <w:noProof/>
          <w:lang w:eastAsia="cs-CZ"/>
        </w:rPr>
        <w:t xml:space="preserve"> u předzápasových sázek dochází v některých případech k vyhodnocení a připsání výhry až po ukončení předmětné události</w:t>
      </w:r>
      <w:r w:rsidR="001218C9">
        <w:rPr>
          <w:noProof/>
          <w:lang w:eastAsia="cs-CZ"/>
        </w:rPr>
        <w:t>,</w:t>
      </w:r>
      <w:r w:rsidR="001218C9" w:rsidRPr="001218C9">
        <w:rPr>
          <w:noProof/>
          <w:lang w:eastAsia="cs-CZ"/>
        </w:rPr>
        <w:t xml:space="preserve"> </w:t>
      </w:r>
      <w:r w:rsidR="001218C9">
        <w:rPr>
          <w:noProof/>
          <w:lang w:eastAsia="cs-CZ"/>
        </w:rPr>
        <w:t>zatímco sázky typu live bývají po rozhodnutí vyhodnoceny a výhry připsány mnohem rychleji</w:t>
      </w:r>
      <w:r w:rsidR="0075226C">
        <w:rPr>
          <w:noProof/>
          <w:lang w:eastAsia="cs-CZ"/>
        </w:rPr>
        <w:t>,</w:t>
      </w:r>
      <w:r w:rsidR="001218C9">
        <w:rPr>
          <w:noProof/>
          <w:lang w:eastAsia="cs-CZ"/>
        </w:rPr>
        <w:t xml:space="preserve"> i</w:t>
      </w:r>
      <w:r w:rsidR="00F702B4">
        <w:rPr>
          <w:noProof/>
          <w:lang w:eastAsia="cs-CZ"/>
        </w:rPr>
        <w:t> </w:t>
      </w:r>
      <w:r w:rsidR="001218C9">
        <w:rPr>
          <w:noProof/>
          <w:lang w:eastAsia="cs-CZ"/>
        </w:rPr>
        <w:t>takřka okamžitě</w:t>
      </w:r>
      <w:r>
        <w:rPr>
          <w:noProof/>
          <w:lang w:eastAsia="cs-CZ"/>
        </w:rPr>
        <w:t>.</w:t>
      </w:r>
      <w:r w:rsidRPr="00601D7C">
        <w:rPr>
          <w:noProof/>
          <w:lang w:eastAsia="cs-CZ"/>
        </w:rPr>
        <w:t xml:space="preserve"> </w:t>
      </w:r>
      <w:r w:rsidRPr="00FB2C55">
        <w:rPr>
          <w:noProof/>
          <w:lang w:eastAsia="cs-CZ"/>
        </w:rPr>
        <w:t>Posuzovaný parametr „</w:t>
      </w:r>
      <w:r w:rsidR="00A14113">
        <w:rPr>
          <w:noProof/>
          <w:lang w:eastAsia="cs-CZ"/>
        </w:rPr>
        <w:t>d</w:t>
      </w:r>
      <w:r w:rsidRPr="00FB2C55">
        <w:rPr>
          <w:noProof/>
          <w:lang w:eastAsia="cs-CZ"/>
        </w:rPr>
        <w:t>ostupnost“ je u</w:t>
      </w:r>
      <w:r w:rsidR="00F702B4">
        <w:rPr>
          <w:noProof/>
          <w:lang w:eastAsia="cs-CZ"/>
        </w:rPr>
        <w:t> </w:t>
      </w:r>
      <w:r w:rsidRPr="00FB2C55">
        <w:rPr>
          <w:noProof/>
          <w:lang w:eastAsia="cs-CZ"/>
        </w:rPr>
        <w:t>tohoto druhu hazardní hry totožn</w:t>
      </w:r>
      <w:r w:rsidR="00A14113">
        <w:rPr>
          <w:noProof/>
          <w:lang w:eastAsia="cs-CZ"/>
        </w:rPr>
        <w:t>ý</w:t>
      </w:r>
      <w:r w:rsidRPr="00FB2C55">
        <w:rPr>
          <w:noProof/>
          <w:lang w:eastAsia="cs-CZ"/>
        </w:rPr>
        <w:t xml:space="preserve"> s ostatními internetovými hazardními hrami, neboť vzhledem k jejich provozu prostřednictvím internetu jsou tyto hry poměrně snadno dostupné.</w:t>
      </w:r>
      <w:r>
        <w:rPr>
          <w:noProof/>
          <w:lang w:eastAsia="cs-CZ"/>
        </w:rPr>
        <w:t xml:space="preserve"> </w:t>
      </w:r>
    </w:p>
    <w:p w14:paraId="405E9BD3" w14:textId="77777777" w:rsidR="00EF2220" w:rsidRDefault="00EF2220" w:rsidP="00F23084">
      <w:pPr>
        <w:rPr>
          <w:lang w:eastAsia="zh-CN"/>
        </w:rPr>
        <w:sectPr w:rsidR="00EF2220" w:rsidSect="00F23084">
          <w:pgSz w:w="16838" w:h="11906" w:orient="landscape"/>
          <w:pgMar w:top="1417" w:right="1417" w:bottom="1417" w:left="1417" w:header="708" w:footer="708" w:gutter="0"/>
          <w:cols w:space="708"/>
          <w:docGrid w:linePitch="360"/>
        </w:sectPr>
      </w:pPr>
    </w:p>
    <w:p w14:paraId="3E9A5DE1" w14:textId="4E7AA870" w:rsidR="00EF2220" w:rsidRDefault="006B6318" w:rsidP="00EF2220">
      <w:pPr>
        <w:pStyle w:val="Titulek"/>
        <w:keepNext/>
      </w:pPr>
      <w:bookmarkStart w:id="17" w:name="_Toc73526780"/>
      <w:r>
        <w:lastRenderedPageBreak/>
        <w:t xml:space="preserve">Graf č. </w:t>
      </w:r>
      <w:fldSimple w:instr=" SEQ Graf_č._ \* ARABIC ">
        <w:r w:rsidR="00D65822">
          <w:rPr>
            <w:noProof/>
          </w:rPr>
          <w:t>4</w:t>
        </w:r>
      </w:fldSimple>
      <w:r w:rsidR="00EF2220">
        <w:t xml:space="preserve">: </w:t>
      </w:r>
      <w:r w:rsidR="00EF2220" w:rsidRPr="00C576EF">
        <w:rPr>
          <w:rFonts w:cs="Arial"/>
          <w:noProof/>
        </w:rPr>
        <w:t xml:space="preserve">Znázornění kursových sázek </w:t>
      </w:r>
      <w:r w:rsidR="00EF2220" w:rsidRPr="00C576EF">
        <w:rPr>
          <w:noProof/>
          <w:lang w:eastAsia="cs-CZ"/>
        </w:rPr>
        <w:t>provozovaných prostřednictvím internetu podle procentuálního naplnění hodnotících parametrů</w:t>
      </w:r>
      <w:bookmarkEnd w:id="17"/>
    </w:p>
    <w:p w14:paraId="6CB705E9" w14:textId="77777777" w:rsidR="00EF2220" w:rsidRDefault="00EF2220" w:rsidP="00EF2220">
      <w:pPr>
        <w:keepNext/>
      </w:pPr>
      <w:r>
        <w:rPr>
          <w:rFonts w:cs="Arial"/>
          <w:noProof/>
          <w:u w:val="single"/>
          <w:lang w:eastAsia="cs-CZ"/>
        </w:rPr>
        <w:drawing>
          <wp:inline distT="0" distB="0" distL="0" distR="0" wp14:anchorId="4C462F17" wp14:editId="7CBFC95F">
            <wp:extent cx="8825024" cy="3359888"/>
            <wp:effectExtent l="0" t="0" r="0"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20000" cy="3357975"/>
                    </a:xfrm>
                    <a:prstGeom prst="rect">
                      <a:avLst/>
                    </a:prstGeom>
                    <a:noFill/>
                  </pic:spPr>
                </pic:pic>
              </a:graphicData>
            </a:graphic>
          </wp:inline>
        </w:drawing>
      </w:r>
    </w:p>
    <w:p w14:paraId="5D792C85" w14:textId="65342548" w:rsidR="00F23084" w:rsidRPr="006B6318" w:rsidRDefault="00EF2220" w:rsidP="00EF2220">
      <w:pPr>
        <w:pStyle w:val="Titulek"/>
        <w:rPr>
          <w:sz w:val="20"/>
          <w:lang w:eastAsia="zh-CN"/>
        </w:rPr>
      </w:pPr>
      <w:r w:rsidRPr="006B6318">
        <w:rPr>
          <w:sz w:val="20"/>
        </w:rPr>
        <w:t>Zdroj: Ministerstvo financí</w:t>
      </w:r>
      <w:r w:rsidR="006B6318" w:rsidRPr="006B6318">
        <w:rPr>
          <w:sz w:val="20"/>
        </w:rPr>
        <w:t>.</w:t>
      </w:r>
      <w:r w:rsidRPr="006B6318">
        <w:rPr>
          <w:sz w:val="20"/>
        </w:rPr>
        <w:t xml:space="preserve"> </w:t>
      </w:r>
    </w:p>
    <w:p w14:paraId="7589873E" w14:textId="77777777" w:rsidR="00EF2220" w:rsidRDefault="00EF2220" w:rsidP="00F23084">
      <w:pPr>
        <w:rPr>
          <w:lang w:eastAsia="zh-CN"/>
        </w:rPr>
        <w:sectPr w:rsidR="00EF2220" w:rsidSect="00F23084">
          <w:pgSz w:w="16838" w:h="11906" w:orient="landscape"/>
          <w:pgMar w:top="1417" w:right="1417" w:bottom="1417" w:left="1417" w:header="708" w:footer="708" w:gutter="0"/>
          <w:cols w:space="708"/>
          <w:docGrid w:linePitch="360"/>
        </w:sectPr>
      </w:pPr>
    </w:p>
    <w:p w14:paraId="36124C30" w14:textId="77777777" w:rsidR="00EF2220" w:rsidRDefault="00EF2220" w:rsidP="00846E09">
      <w:pPr>
        <w:pStyle w:val="Nadpis5"/>
      </w:pPr>
      <w:r w:rsidRPr="00222FAF">
        <w:lastRenderedPageBreak/>
        <w:t xml:space="preserve">Bingo provozované </w:t>
      </w:r>
      <w:r>
        <w:t>formou land-based</w:t>
      </w:r>
    </w:p>
    <w:p w14:paraId="7701AC12" w14:textId="7BAB8BF4" w:rsidR="00EF2220" w:rsidRDefault="00EF2220" w:rsidP="00EF2220">
      <w:r>
        <w:t>Hazardní hru bingo v průběhu provádění analýzy provozoval na území České republiky jeden provozovatel v jednom herním prostoru, z tohoto důvodu nebylo možné tuto hazardní hru posuzovat v kontextu on-line prostředí, ani nebylo možné tuto hazardní hru srovnat v kontextu např. odlišných pravidel. Posuzovaná hazardní hra bingo vykazuje druhý nejnižší stupeň rizikovosti ze všech posuzovaných her a</w:t>
      </w:r>
      <w:r w:rsidR="00AC73DD">
        <w:t> </w:t>
      </w:r>
      <w:r>
        <w:t>zároveň ani u</w:t>
      </w:r>
      <w:r w:rsidR="00AC73DD">
        <w:t> </w:t>
      </w:r>
      <w:r>
        <w:t>jednoho z deseti posuzovaných parametrů nebyla zaznamenána nejvyšší možná hladina rizikového potenciálu. Nízký rizikový potenciál vykazuje tato hazardní hra zejména z důvodu nulové hodnoty u</w:t>
      </w:r>
      <w:r w:rsidR="00AC73DD">
        <w:t> </w:t>
      </w:r>
      <w:r>
        <w:t>posuzovaného parametru „jackpot“</w:t>
      </w:r>
      <w:r>
        <w:rPr>
          <w:rStyle w:val="Znakapoznpodarou"/>
        </w:rPr>
        <w:footnoteReference w:id="12"/>
      </w:r>
      <w:r>
        <w:t>, jelikož současná právní úprava umožňuje tvořit herní jistinu pouze z uzavře</w:t>
      </w:r>
      <w:r w:rsidR="006B6318">
        <w:t>ných sázek v jedné hře bingo, a </w:t>
      </w:r>
      <w:r>
        <w:t>to jako součin počtu prodaných sázkových tiketů v jedné hře a prodejní ceny za jeden sázkový tiket</w:t>
      </w:r>
      <w:r w:rsidRPr="0068257B">
        <w:t>.</w:t>
      </w:r>
      <w:r>
        <w:t xml:space="preserve"> Při absenci tohoto pravidla by pak rizikovost dosahovala vyšší hodnoty. Další posuzovaný parametr, který významným způsobem snižuje potenciál rizikovosti, je „proměnlivá výše vkladu“, tj. rozsah výběru sázek nebo rozsah úprav sázek během hraní hazardní hry, jelikož cena sázkových tiketů do hazardní hry bingo je </w:t>
      </w:r>
      <w:r w:rsidR="003400A6">
        <w:t>po</w:t>
      </w:r>
      <w:r>
        <w:t xml:space="preserve">dle herního plánu jednotná. Dalším parametrem, který významným způsobem snižuje potenciál rizikovosti, je „dostupnost“, </w:t>
      </w:r>
      <w:r>
        <w:rPr>
          <w:noProof/>
          <w:lang w:eastAsia="cs-CZ"/>
        </w:rPr>
        <w:t>tj.</w:t>
      </w:r>
      <w:r w:rsidRPr="00150EFE">
        <w:rPr>
          <w:noProof/>
          <w:lang w:eastAsia="cs-CZ"/>
        </w:rPr>
        <w:t xml:space="preserve"> </w:t>
      </w:r>
      <w:r w:rsidR="00B63DD6">
        <w:rPr>
          <w:noProof/>
          <w:lang w:eastAsia="cs-CZ"/>
        </w:rPr>
        <w:t xml:space="preserve">dostupnost hazardní hry. </w:t>
      </w:r>
      <w:r>
        <w:t>Ostatní posuzované parametry se drží spíše v nižších hladinách.</w:t>
      </w:r>
    </w:p>
    <w:p w14:paraId="4F914847"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2C28D916" w14:textId="617946B8" w:rsidR="00EF2220" w:rsidRPr="00EF2220" w:rsidRDefault="006B6318" w:rsidP="00EF2220">
      <w:pPr>
        <w:pStyle w:val="Titulek"/>
        <w:keepNext/>
      </w:pPr>
      <w:bookmarkStart w:id="18" w:name="_Toc73526781"/>
      <w:r>
        <w:lastRenderedPageBreak/>
        <w:t>Graf č.</w:t>
      </w:r>
      <w:r w:rsidR="00EF2220">
        <w:t xml:space="preserve"> </w:t>
      </w:r>
      <w:fldSimple w:instr=" SEQ Graf_č._ \* ARABIC ">
        <w:r w:rsidR="00D65822">
          <w:rPr>
            <w:noProof/>
          </w:rPr>
          <w:t>5</w:t>
        </w:r>
      </w:fldSimple>
      <w:r w:rsidR="00EF2220">
        <w:t>:</w:t>
      </w:r>
      <w:r w:rsidR="00EF2220" w:rsidRPr="00EF2220">
        <w:t xml:space="preserve"> </w:t>
      </w:r>
      <w:r w:rsidR="00EF2220" w:rsidRPr="001A441E">
        <w:t xml:space="preserve">Znázornění binga provozovaného </w:t>
      </w:r>
      <w:r w:rsidR="00EF2220">
        <w:t>formou</w:t>
      </w:r>
      <w:r w:rsidR="00EF2220" w:rsidRPr="001A441E">
        <w:t xml:space="preserve"> land-based </w:t>
      </w:r>
      <w:r w:rsidR="00EF2220" w:rsidRPr="00D73374">
        <w:rPr>
          <w:noProof/>
          <w:lang w:eastAsia="cs-CZ"/>
        </w:rPr>
        <w:t>podle procentuálního naplnění hodnotících parametrů</w:t>
      </w:r>
      <w:bookmarkEnd w:id="18"/>
    </w:p>
    <w:p w14:paraId="6AC1CEC1" w14:textId="77777777" w:rsidR="00EF2220" w:rsidRDefault="00EF2220" w:rsidP="00EF2220">
      <w:pPr>
        <w:keepNext/>
      </w:pPr>
      <w:r>
        <w:rPr>
          <w:b/>
          <w:noProof/>
          <w:sz w:val="22"/>
          <w:lang w:eastAsia="cs-CZ"/>
        </w:rPr>
        <w:drawing>
          <wp:inline distT="0" distB="0" distL="0" distR="0" wp14:anchorId="37202024" wp14:editId="3797553A">
            <wp:extent cx="8825024" cy="5082363"/>
            <wp:effectExtent l="0" t="0" r="0" b="4445"/>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l="-3" r="-421"/>
                    <a:stretch/>
                  </pic:blipFill>
                  <pic:spPr bwMode="auto">
                    <a:xfrm>
                      <a:off x="0" y="0"/>
                      <a:ext cx="8820000" cy="5079470"/>
                    </a:xfrm>
                    <a:prstGeom prst="rect">
                      <a:avLst/>
                    </a:prstGeom>
                    <a:noFill/>
                    <a:ln>
                      <a:noFill/>
                    </a:ln>
                    <a:extLst>
                      <a:ext uri="{53640926-AAD7-44D8-BBD7-CCE9431645EC}">
                        <a14:shadowObscured xmlns:a14="http://schemas.microsoft.com/office/drawing/2010/main"/>
                      </a:ext>
                    </a:extLst>
                  </pic:spPr>
                </pic:pic>
              </a:graphicData>
            </a:graphic>
          </wp:inline>
        </w:drawing>
      </w:r>
    </w:p>
    <w:p w14:paraId="4133C79F" w14:textId="232FBE11" w:rsidR="00EF2220" w:rsidRDefault="00EF2220" w:rsidP="00EF2220">
      <w:pPr>
        <w:pStyle w:val="Titulek"/>
      </w:pPr>
      <w:r w:rsidRPr="006B6318">
        <w:rPr>
          <w:sz w:val="20"/>
        </w:rPr>
        <w:t>Zdroj: Ministerstvo financí</w:t>
      </w:r>
      <w:r w:rsidR="006B6318" w:rsidRPr="006B6318">
        <w:rPr>
          <w:sz w:val="20"/>
        </w:rPr>
        <w:t>.</w:t>
      </w:r>
      <w:r>
        <w:t xml:space="preserve"> </w:t>
      </w:r>
    </w:p>
    <w:p w14:paraId="7C7A566E" w14:textId="77777777" w:rsidR="00EF2220" w:rsidRPr="00723F05" w:rsidRDefault="00EF2220" w:rsidP="00846E09">
      <w:pPr>
        <w:pStyle w:val="Nadpis5"/>
      </w:pPr>
      <w:r>
        <w:lastRenderedPageBreak/>
        <w:t>Technické hry provozované</w:t>
      </w:r>
      <w:r w:rsidRPr="00723F05">
        <w:t xml:space="preserve"> </w:t>
      </w:r>
      <w:r>
        <w:t>formou</w:t>
      </w:r>
      <w:r w:rsidRPr="00723F05">
        <w:t xml:space="preserve"> land-based</w:t>
      </w:r>
    </w:p>
    <w:p w14:paraId="7C52A2A2" w14:textId="3BB0FEE0" w:rsidR="00EF2220" w:rsidRDefault="00EF2220" w:rsidP="00EF2220">
      <w:pPr>
        <w:rPr>
          <w:noProof/>
          <w:lang w:eastAsia="cs-CZ"/>
        </w:rPr>
      </w:pPr>
      <w:r w:rsidRPr="00F15E18">
        <w:t>V rámci dané kategorie byli posuzováni dva zástupci, a</w:t>
      </w:r>
      <w:r w:rsidR="007E4AE1">
        <w:t> </w:t>
      </w:r>
      <w:r w:rsidRPr="00F15E18">
        <w:t xml:space="preserve">to válcová hra </w:t>
      </w:r>
      <w:r w:rsidR="00E8015B">
        <w:t xml:space="preserve">č. 1 </w:t>
      </w:r>
      <w:r w:rsidRPr="00F15E18">
        <w:t>a</w:t>
      </w:r>
      <w:r w:rsidR="007E4AE1">
        <w:t> </w:t>
      </w:r>
      <w:r w:rsidR="00E8015B">
        <w:t xml:space="preserve"> </w:t>
      </w:r>
      <w:r w:rsidRPr="00F15E18">
        <w:t>elektromechanická ruleta</w:t>
      </w:r>
      <w:r w:rsidR="00E8015B">
        <w:t xml:space="preserve"> č. 1</w:t>
      </w:r>
      <w:r w:rsidRPr="00F15E18">
        <w:t xml:space="preserve">. Z posuzovaných hazardních her </w:t>
      </w:r>
      <w:r w:rsidRPr="00F15E18">
        <w:rPr>
          <w:noProof/>
          <w:lang w:eastAsia="cs-CZ"/>
        </w:rPr>
        <w:t xml:space="preserve">vykazuje vyšší rizikovost </w:t>
      </w:r>
      <w:r w:rsidR="00BB3B73">
        <w:rPr>
          <w:noProof/>
          <w:lang w:eastAsia="cs-CZ"/>
        </w:rPr>
        <w:t xml:space="preserve">válcová hra č. 1 </w:t>
      </w:r>
      <w:r w:rsidRPr="00F15E18">
        <w:rPr>
          <w:noProof/>
          <w:lang w:eastAsia="cs-CZ"/>
        </w:rPr>
        <w:t>, která dosahuje ve třech případech maximálních možných hodnot, přičemž rizikový potenciál významným způsobem navýšil posuzovaný parametr „frekvence události“</w:t>
      </w:r>
      <w:r w:rsidRPr="00F15E18">
        <w:rPr>
          <w:rStyle w:val="Znakapoznpodarou"/>
          <w:noProof/>
          <w:lang w:eastAsia="cs-CZ"/>
        </w:rPr>
        <w:footnoteReference w:id="13"/>
      </w:r>
      <w:r w:rsidRPr="00F15E18">
        <w:rPr>
          <w:noProof/>
          <w:lang w:eastAsia="cs-CZ"/>
        </w:rPr>
        <w:t>, a</w:t>
      </w:r>
      <w:r w:rsidR="007E4AE1">
        <w:rPr>
          <w:noProof/>
          <w:lang w:eastAsia="cs-CZ"/>
        </w:rPr>
        <w:t> </w:t>
      </w:r>
      <w:r w:rsidRPr="00F15E18">
        <w:rPr>
          <w:noProof/>
          <w:lang w:eastAsia="cs-CZ"/>
        </w:rPr>
        <w:t>to z důvodu toho, že tato posuzovaná hazardní hra umožňuje každé dvě sekundy uskutečnit novou sázku, přičemž výsledek předešlé sázky je sázejícímu již znám. Druhého nejvyššího skóre dosáhl u</w:t>
      </w:r>
      <w:r w:rsidR="007E4AE1">
        <w:rPr>
          <w:noProof/>
          <w:lang w:eastAsia="cs-CZ"/>
        </w:rPr>
        <w:t> </w:t>
      </w:r>
      <w:r w:rsidRPr="00F15E18">
        <w:rPr>
          <w:noProof/>
          <w:lang w:eastAsia="cs-CZ"/>
        </w:rPr>
        <w:t>této hazardní hry parametr „interval návratnosti“</w:t>
      </w:r>
      <w:r w:rsidRPr="00F15E18">
        <w:rPr>
          <w:rStyle w:val="Znakapoznpodarou"/>
          <w:noProof/>
          <w:lang w:eastAsia="cs-CZ"/>
        </w:rPr>
        <w:footnoteReference w:id="14"/>
      </w:r>
      <w:r w:rsidRPr="00F15E18">
        <w:rPr>
          <w:noProof/>
          <w:lang w:eastAsia="cs-CZ"/>
        </w:rPr>
        <w:t xml:space="preserve">, jelikož u této hazardní hry se víceméně jedná o stejný okamžik. Uvedené hodnocení je typické pro technické hry válcového typu provozované </w:t>
      </w:r>
      <w:r w:rsidR="007E4AE1">
        <w:rPr>
          <w:noProof/>
          <w:lang w:eastAsia="cs-CZ"/>
        </w:rPr>
        <w:t>formou</w:t>
      </w:r>
      <w:r w:rsidR="007E4AE1" w:rsidRPr="00F15E18">
        <w:rPr>
          <w:noProof/>
          <w:lang w:eastAsia="cs-CZ"/>
        </w:rPr>
        <w:t xml:space="preserve"> </w:t>
      </w:r>
      <w:r w:rsidRPr="00F15E18">
        <w:rPr>
          <w:noProof/>
          <w:lang w:eastAsia="cs-CZ"/>
        </w:rPr>
        <w:t>land-base</w:t>
      </w:r>
      <w:r w:rsidR="00A82784">
        <w:rPr>
          <w:noProof/>
          <w:lang w:eastAsia="cs-CZ"/>
        </w:rPr>
        <w:t>d</w:t>
      </w:r>
      <w:r w:rsidRPr="00F15E18">
        <w:rPr>
          <w:noProof/>
          <w:lang w:eastAsia="cs-CZ"/>
        </w:rPr>
        <w:t xml:space="preserve"> i </w:t>
      </w:r>
      <w:r w:rsidR="00A14113">
        <w:rPr>
          <w:noProof/>
          <w:lang w:eastAsia="cs-CZ"/>
        </w:rPr>
        <w:t>prostřednictvím internetu</w:t>
      </w:r>
      <w:r w:rsidRPr="00F15E18">
        <w:rPr>
          <w:noProof/>
          <w:lang w:eastAsia="cs-CZ"/>
        </w:rPr>
        <w:t>, neboť časy mezi jednotlivými sázkami mohou být poměrně krátké, rychlost hry může umocňovat navíc funkce tzv. autospinu. Další posuzovanou hazardní hrou je</w:t>
      </w:r>
      <w:r w:rsidR="00E645BC">
        <w:rPr>
          <w:noProof/>
          <w:lang w:eastAsia="cs-CZ"/>
        </w:rPr>
        <w:t xml:space="preserve"> </w:t>
      </w:r>
      <w:r w:rsidR="00BB3B73">
        <w:rPr>
          <w:noProof/>
          <w:lang w:eastAsia="cs-CZ"/>
        </w:rPr>
        <w:t xml:space="preserve">elektromechanická ruleta č. 1 </w:t>
      </w:r>
      <w:r w:rsidRPr="00F15E18">
        <w:rPr>
          <w:noProof/>
          <w:lang w:eastAsia="cs-CZ"/>
        </w:rPr>
        <w:t>, která vykazuje nejnižší potenciál rizikovosti v rámci druhu hazardní hry (jak v land–based, tak i on</w:t>
      </w:r>
      <w:r w:rsidR="007E4AE1">
        <w:rPr>
          <w:noProof/>
          <w:lang w:eastAsia="cs-CZ"/>
        </w:rPr>
        <w:t>-</w:t>
      </w:r>
      <w:r w:rsidRPr="00F15E18">
        <w:rPr>
          <w:noProof/>
          <w:lang w:eastAsia="cs-CZ"/>
        </w:rPr>
        <w:t>line prostředí) a</w:t>
      </w:r>
      <w:r w:rsidR="007E4AE1">
        <w:rPr>
          <w:noProof/>
          <w:lang w:eastAsia="cs-CZ"/>
        </w:rPr>
        <w:t> </w:t>
      </w:r>
      <w:r w:rsidRPr="00F15E18">
        <w:rPr>
          <w:noProof/>
          <w:lang w:eastAsia="cs-CZ"/>
        </w:rPr>
        <w:t>u  které zároveň nebylo ani v jednom případě naměřeno nejvyšší možné skóre. Vyššího skóre u</w:t>
      </w:r>
      <w:r w:rsidR="00134BC7">
        <w:rPr>
          <w:noProof/>
          <w:lang w:eastAsia="cs-CZ"/>
        </w:rPr>
        <w:t> </w:t>
      </w:r>
      <w:r w:rsidRPr="00F15E18">
        <w:rPr>
          <w:noProof/>
          <w:lang w:eastAsia="cs-CZ"/>
        </w:rPr>
        <w:t>této hazardní hry dosáhl parametr „kontinuita hraní“</w:t>
      </w:r>
      <w:r w:rsidRPr="00F15E18">
        <w:rPr>
          <w:rStyle w:val="Znakapoznpodarou"/>
          <w:noProof/>
          <w:lang w:eastAsia="cs-CZ"/>
        </w:rPr>
        <w:footnoteReference w:id="15"/>
      </w:r>
      <w:r w:rsidRPr="00F15E18">
        <w:rPr>
          <w:noProof/>
          <w:lang w:eastAsia="cs-CZ"/>
        </w:rPr>
        <w:t>, přičemž tento parametr zdaleka nedosahuje nejvyšších možných hodnot, jelikož v souladu se zákonem o</w:t>
      </w:r>
      <w:r w:rsidR="00134BC7">
        <w:rPr>
          <w:noProof/>
          <w:lang w:eastAsia="cs-CZ"/>
        </w:rPr>
        <w:t> </w:t>
      </w:r>
      <w:r w:rsidRPr="00F15E18">
        <w:rPr>
          <w:noProof/>
          <w:lang w:eastAsia="cs-CZ"/>
        </w:rPr>
        <w:t xml:space="preserve">hazardních hrách musí být účast na hazardní hře vždy po uplynutí 120 minut přerušena. Od </w:t>
      </w:r>
      <w:r w:rsidR="00BB3B73">
        <w:rPr>
          <w:noProof/>
          <w:lang w:eastAsia="cs-CZ"/>
        </w:rPr>
        <w:t xml:space="preserve">válcové </w:t>
      </w:r>
      <w:r w:rsidRPr="00F15E18">
        <w:rPr>
          <w:noProof/>
          <w:lang w:eastAsia="cs-CZ"/>
        </w:rPr>
        <w:t xml:space="preserve">hry </w:t>
      </w:r>
      <w:r w:rsidR="00BB3B73">
        <w:rPr>
          <w:noProof/>
          <w:lang w:eastAsia="cs-CZ"/>
        </w:rPr>
        <w:t xml:space="preserve">č. 1 </w:t>
      </w:r>
      <w:r w:rsidRPr="00F15E18">
        <w:rPr>
          <w:noProof/>
          <w:lang w:eastAsia="cs-CZ"/>
        </w:rPr>
        <w:t>se tato hazardní hra odlišuje především v nižší frekvenci události, jelikož výsledek náhodného procesu je generován v delším časovém odstupu, tak aby sázející měli prostor</w:t>
      </w:r>
      <w:r>
        <w:rPr>
          <w:noProof/>
          <w:lang w:eastAsia="cs-CZ"/>
        </w:rPr>
        <w:t xml:space="preserve"> pro uskutečnění sázek, přičemž</w:t>
      </w:r>
      <w:r w:rsidRPr="00F15E18">
        <w:rPr>
          <w:noProof/>
          <w:lang w:eastAsia="cs-CZ"/>
        </w:rPr>
        <w:t xml:space="preserve"> tento časový úsek nelze sázejícím ovlivnit. Zároveň z pohledu zákona o</w:t>
      </w:r>
      <w:r w:rsidR="00134BC7">
        <w:rPr>
          <w:noProof/>
          <w:lang w:eastAsia="cs-CZ"/>
        </w:rPr>
        <w:t> </w:t>
      </w:r>
      <w:r w:rsidRPr="00F15E18">
        <w:rPr>
          <w:noProof/>
          <w:lang w:eastAsia="cs-CZ"/>
        </w:rPr>
        <w:t xml:space="preserve">hazardních hrách je možné v rámci jedné hry technické hry uskutečnit pouze jednu sázku, avšak pro účely anylýzy ASTERIG bylo v případě elektromechanické rulety </w:t>
      </w:r>
      <w:r w:rsidR="00BB3B73">
        <w:rPr>
          <w:noProof/>
          <w:lang w:eastAsia="cs-CZ"/>
        </w:rPr>
        <w:t xml:space="preserve">č. 1 </w:t>
      </w:r>
      <w:r w:rsidRPr="00F15E18">
        <w:t>pohlíženo na tuto sázku</w:t>
      </w:r>
      <w:r>
        <w:t xml:space="preserve"> (u</w:t>
      </w:r>
      <w:r w:rsidR="00134BC7">
        <w:t> </w:t>
      </w:r>
      <w:r>
        <w:t>posuzovaného</w:t>
      </w:r>
      <w:r w:rsidRPr="00F15E18">
        <w:t xml:space="preserve"> parametru </w:t>
      </w:r>
      <w:r w:rsidR="00134BC7">
        <w:t>„</w:t>
      </w:r>
      <w:r w:rsidR="00134BC7">
        <w:rPr>
          <w:noProof/>
          <w:lang w:eastAsia="cs-CZ"/>
        </w:rPr>
        <w:t>v</w:t>
      </w:r>
      <w:r w:rsidR="006B6318">
        <w:rPr>
          <w:noProof/>
          <w:lang w:eastAsia="cs-CZ"/>
        </w:rPr>
        <w:t>íce možností hraní/</w:t>
      </w:r>
      <w:r w:rsidRPr="00F15E18">
        <w:rPr>
          <w:noProof/>
          <w:lang w:eastAsia="cs-CZ"/>
        </w:rPr>
        <w:t>sázek“</w:t>
      </w:r>
      <w:r w:rsidRPr="00F15E18">
        <w:rPr>
          <w:rStyle w:val="Znakapoznpodarou"/>
          <w:noProof/>
          <w:lang w:eastAsia="cs-CZ"/>
        </w:rPr>
        <w:footnoteReference w:id="16"/>
      </w:r>
      <w:r w:rsidRPr="00F15E18">
        <w:rPr>
          <w:noProof/>
          <w:lang w:eastAsia="cs-CZ"/>
        </w:rPr>
        <w:t>)</w:t>
      </w:r>
      <w:r w:rsidRPr="00F15E18">
        <w:t>, jako na více oddělených sázek, jelikož stejný princip sázení vykazují i</w:t>
      </w:r>
      <w:r w:rsidR="00134BC7">
        <w:t> </w:t>
      </w:r>
      <w:r w:rsidRPr="00F15E18">
        <w:t>živé hry ruletového typu</w:t>
      </w:r>
      <w:r>
        <w:t>, kde se uplatňuje odlišný výklad</w:t>
      </w:r>
      <w:r w:rsidRPr="00F15E18">
        <w:t>.</w:t>
      </w:r>
      <w:r w:rsidRPr="00F15E18">
        <w:rPr>
          <w:noProof/>
          <w:lang w:eastAsia="cs-CZ"/>
        </w:rPr>
        <w:t xml:space="preserve"> Parametr „kontinuita hraní“ je u</w:t>
      </w:r>
      <w:r w:rsidR="00134BC7">
        <w:rPr>
          <w:noProof/>
          <w:lang w:eastAsia="cs-CZ"/>
        </w:rPr>
        <w:t> </w:t>
      </w:r>
      <w:r w:rsidRPr="00F15E18">
        <w:rPr>
          <w:noProof/>
          <w:lang w:eastAsia="cs-CZ"/>
        </w:rPr>
        <w:t>výše uvedených hazardních her ovlivněn zákonnou</w:t>
      </w:r>
      <w:r w:rsidRPr="005E7652">
        <w:rPr>
          <w:noProof/>
          <w:lang w:eastAsia="cs-CZ"/>
        </w:rPr>
        <w:t xml:space="preserve"> regulací, neboť účast na hazardní hře musí být vždy po uplynutí 120 minut přerušena.</w:t>
      </w:r>
    </w:p>
    <w:p w14:paraId="0E8EC021"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40C421C7" w14:textId="34A0C5A7" w:rsidR="00EF2220" w:rsidRDefault="00EF2220" w:rsidP="00EF2220">
      <w:pPr>
        <w:pStyle w:val="Titulek"/>
        <w:keepNext/>
        <w:rPr>
          <w:noProof/>
          <w:lang w:eastAsia="cs-CZ"/>
        </w:rPr>
      </w:pPr>
      <w:bookmarkStart w:id="19" w:name="_Toc73526782"/>
      <w:r>
        <w:lastRenderedPageBreak/>
        <w:t xml:space="preserve">Graf č. </w:t>
      </w:r>
      <w:fldSimple w:instr=" SEQ Graf_č._ \* ARABIC ">
        <w:r w:rsidR="00D65822">
          <w:rPr>
            <w:noProof/>
          </w:rPr>
          <w:t>6</w:t>
        </w:r>
      </w:fldSimple>
      <w:r>
        <w:t>:</w:t>
      </w:r>
      <w:r w:rsidRPr="00EF2220">
        <w:t xml:space="preserve"> </w:t>
      </w:r>
      <w:r w:rsidRPr="003E3C36">
        <w:t xml:space="preserve">Znázornění technické hry provozované </w:t>
      </w:r>
      <w:r>
        <w:t>formou</w:t>
      </w:r>
      <w:r w:rsidRPr="003E3C36">
        <w:t xml:space="preserve"> land-based </w:t>
      </w:r>
      <w:r w:rsidRPr="00D73374">
        <w:rPr>
          <w:noProof/>
          <w:lang w:eastAsia="cs-CZ"/>
        </w:rPr>
        <w:t>podle procentuálního naplnění hodnotících parametrů</w:t>
      </w:r>
      <w:bookmarkEnd w:id="19"/>
    </w:p>
    <w:p w14:paraId="01769FBB" w14:textId="54FE826D" w:rsidR="00EF2220" w:rsidRDefault="005D1C38" w:rsidP="005D1C38">
      <w:pPr>
        <w:rPr>
          <w:lang w:eastAsia="cs-CZ"/>
        </w:rPr>
      </w:pPr>
      <w:r>
        <w:rPr>
          <w:noProof/>
          <w:lang w:eastAsia="cs-CZ"/>
        </w:rPr>
        <w:drawing>
          <wp:inline distT="0" distB="0" distL="0" distR="0" wp14:anchorId="07F09DFE" wp14:editId="137B1A58">
            <wp:extent cx="8820000" cy="4705948"/>
            <wp:effectExtent l="0" t="0" r="635"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20000" cy="4705948"/>
                    </a:xfrm>
                    <a:prstGeom prst="rect">
                      <a:avLst/>
                    </a:prstGeom>
                    <a:noFill/>
                  </pic:spPr>
                </pic:pic>
              </a:graphicData>
            </a:graphic>
          </wp:inline>
        </w:drawing>
      </w:r>
    </w:p>
    <w:p w14:paraId="649D2F81" w14:textId="0D55AE9C" w:rsidR="00EF2220" w:rsidRPr="006B6318" w:rsidRDefault="00EF2220" w:rsidP="00EF2220">
      <w:pPr>
        <w:pStyle w:val="Titulek"/>
        <w:rPr>
          <w:sz w:val="20"/>
        </w:rPr>
      </w:pPr>
      <w:r w:rsidRPr="006B6318">
        <w:rPr>
          <w:sz w:val="20"/>
        </w:rPr>
        <w:t>Zdroj: Ministerstvo financí</w:t>
      </w:r>
      <w:r w:rsidR="006B6318">
        <w:rPr>
          <w:sz w:val="20"/>
        </w:rPr>
        <w:t>.</w:t>
      </w:r>
      <w:r w:rsidRPr="006B6318">
        <w:rPr>
          <w:sz w:val="20"/>
        </w:rPr>
        <w:t xml:space="preserve"> </w:t>
      </w:r>
    </w:p>
    <w:p w14:paraId="06A65B89"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0E05DF6F" w14:textId="77777777" w:rsidR="00EF2220" w:rsidRDefault="00EF2220" w:rsidP="00846E09">
      <w:pPr>
        <w:pStyle w:val="Nadpis5"/>
      </w:pPr>
      <w:r>
        <w:lastRenderedPageBreak/>
        <w:t>Technické hry provozované</w:t>
      </w:r>
      <w:r w:rsidRPr="005568F0">
        <w:t xml:space="preserve"> </w:t>
      </w:r>
      <w:r w:rsidRPr="00F8460B">
        <w:t xml:space="preserve">prostřednictvím internetu  </w:t>
      </w:r>
    </w:p>
    <w:p w14:paraId="125955A8" w14:textId="1CF70948" w:rsidR="00EF2220" w:rsidRDefault="00EF2220" w:rsidP="00EF2220">
      <w:pPr>
        <w:rPr>
          <w:noProof/>
          <w:lang w:eastAsia="cs-CZ"/>
        </w:rPr>
      </w:pPr>
      <w:r>
        <w:t>V rámci dané kategorie byli posuzováni dva zástupci, a</w:t>
      </w:r>
      <w:r w:rsidR="006A2D6B">
        <w:t> </w:t>
      </w:r>
      <w:r>
        <w:t xml:space="preserve">to válcová hra </w:t>
      </w:r>
      <w:r w:rsidR="00BB3B73">
        <w:t xml:space="preserve">č. 2 </w:t>
      </w:r>
      <w:r>
        <w:t>a</w:t>
      </w:r>
      <w:r w:rsidR="008C51DD">
        <w:t xml:space="preserve"> </w:t>
      </w:r>
      <w:r w:rsidR="00E82579">
        <w:t xml:space="preserve">technická </w:t>
      </w:r>
      <w:r w:rsidR="008C51DD">
        <w:t>hra</w:t>
      </w:r>
      <w:r w:rsidR="00BB3B73">
        <w:t xml:space="preserve"> ruletového typu č. 2</w:t>
      </w:r>
      <w:r>
        <w:t xml:space="preserve">. </w:t>
      </w:r>
      <w:r w:rsidRPr="008A4DD7">
        <w:t xml:space="preserve">Z posuzovaných </w:t>
      </w:r>
      <w:r>
        <w:t xml:space="preserve">hazardních her </w:t>
      </w:r>
      <w:r>
        <w:rPr>
          <w:noProof/>
          <w:lang w:eastAsia="cs-CZ"/>
        </w:rPr>
        <w:t>vykazuje nepatrně vyšší rizikovost hazardní hra</w:t>
      </w:r>
      <w:r w:rsidR="00E645BC">
        <w:rPr>
          <w:noProof/>
          <w:lang w:eastAsia="cs-CZ"/>
        </w:rPr>
        <w:t xml:space="preserve"> </w:t>
      </w:r>
      <w:r w:rsidR="008C51DD">
        <w:t>ruletového typu č. 2</w:t>
      </w:r>
      <w:r>
        <w:rPr>
          <w:noProof/>
          <w:lang w:eastAsia="cs-CZ"/>
        </w:rPr>
        <w:t>,</w:t>
      </w:r>
      <w:r w:rsidRPr="00F460AD">
        <w:rPr>
          <w:noProof/>
          <w:lang w:eastAsia="cs-CZ"/>
        </w:rPr>
        <w:t xml:space="preserve"> </w:t>
      </w:r>
      <w:r>
        <w:rPr>
          <w:noProof/>
          <w:lang w:eastAsia="cs-CZ"/>
        </w:rPr>
        <w:t>která dosahuje u</w:t>
      </w:r>
      <w:r w:rsidR="006A2D6B">
        <w:rPr>
          <w:noProof/>
          <w:lang w:eastAsia="cs-CZ"/>
        </w:rPr>
        <w:t> </w:t>
      </w:r>
      <w:r>
        <w:rPr>
          <w:noProof/>
          <w:lang w:eastAsia="cs-CZ"/>
        </w:rPr>
        <w:t>dvou parametrů maximálních</w:t>
      </w:r>
      <w:r w:rsidRPr="00F15E18">
        <w:rPr>
          <w:noProof/>
          <w:lang w:eastAsia="cs-CZ"/>
        </w:rPr>
        <w:t xml:space="preserve"> možných hodnot</w:t>
      </w:r>
      <w:r>
        <w:rPr>
          <w:noProof/>
          <w:lang w:eastAsia="cs-CZ"/>
        </w:rPr>
        <w:t>,</w:t>
      </w:r>
      <w:r w:rsidRPr="008A4DD7">
        <w:rPr>
          <w:noProof/>
          <w:lang w:eastAsia="cs-CZ"/>
        </w:rPr>
        <w:t xml:space="preserve"> </w:t>
      </w:r>
      <w:r>
        <w:rPr>
          <w:noProof/>
          <w:lang w:eastAsia="cs-CZ"/>
        </w:rPr>
        <w:t xml:space="preserve">přičemž rizikový potenciál významným způsobem navýšil posuzovaný </w:t>
      </w:r>
      <w:r w:rsidRPr="00E073BF">
        <w:rPr>
          <w:noProof/>
          <w:lang w:eastAsia="cs-CZ"/>
        </w:rPr>
        <w:t>parametr  „dostupnost“, tedy dostupnost hazardní hry</w:t>
      </w:r>
      <w:r>
        <w:rPr>
          <w:noProof/>
          <w:lang w:eastAsia="cs-CZ"/>
        </w:rPr>
        <w:t>, přičemž tento parametr vykazuje stejnou hodnotu, jako ostatní posuzované internetové hazardní hry, neboť vzhledem k jejich provozu prostřednictvím internetu jsou tyto hry poměrně snadno dostupné. Další posuzovanou hazardní hrou je</w:t>
      </w:r>
      <w:r w:rsidR="00E645BC">
        <w:rPr>
          <w:noProof/>
          <w:lang w:eastAsia="cs-CZ"/>
        </w:rPr>
        <w:t xml:space="preserve"> </w:t>
      </w:r>
      <w:r w:rsidR="008C51DD">
        <w:rPr>
          <w:noProof/>
          <w:lang w:eastAsia="cs-CZ"/>
        </w:rPr>
        <w:t>válcová hra č. 2</w:t>
      </w:r>
      <w:r>
        <w:rPr>
          <w:noProof/>
          <w:lang w:eastAsia="cs-CZ"/>
        </w:rPr>
        <w:t>, ta dosahuje i</w:t>
      </w:r>
      <w:r w:rsidR="006A2D6B">
        <w:rPr>
          <w:noProof/>
          <w:lang w:eastAsia="cs-CZ"/>
        </w:rPr>
        <w:t> </w:t>
      </w:r>
      <w:r>
        <w:rPr>
          <w:noProof/>
          <w:lang w:eastAsia="cs-CZ"/>
        </w:rPr>
        <w:t xml:space="preserve">přes zákonnou regulaci ve čtyřech případech maximálních možných hodnot, přičemž rizikový potenciál významným způsobem navýšil posuzovaný </w:t>
      </w:r>
      <w:r w:rsidRPr="00F4732B">
        <w:rPr>
          <w:noProof/>
          <w:lang w:eastAsia="cs-CZ"/>
        </w:rPr>
        <w:t>parametr</w:t>
      </w:r>
      <w:r>
        <w:rPr>
          <w:noProof/>
          <w:lang w:eastAsia="cs-CZ"/>
        </w:rPr>
        <w:t xml:space="preserve"> „frekvence události“</w:t>
      </w:r>
      <w:r>
        <w:rPr>
          <w:rStyle w:val="Znakapoznpodarou"/>
          <w:noProof/>
          <w:lang w:eastAsia="cs-CZ"/>
        </w:rPr>
        <w:footnoteReference w:id="17"/>
      </w:r>
      <w:r>
        <w:rPr>
          <w:noProof/>
          <w:lang w:eastAsia="cs-CZ"/>
        </w:rPr>
        <w:t>, a</w:t>
      </w:r>
      <w:r w:rsidR="006A2D6B">
        <w:rPr>
          <w:noProof/>
          <w:lang w:eastAsia="cs-CZ"/>
        </w:rPr>
        <w:t> </w:t>
      </w:r>
      <w:r>
        <w:rPr>
          <w:noProof/>
          <w:lang w:eastAsia="cs-CZ"/>
        </w:rPr>
        <w:t>to z</w:t>
      </w:r>
      <w:r w:rsidR="006A2D6B">
        <w:rPr>
          <w:noProof/>
          <w:lang w:eastAsia="cs-CZ"/>
        </w:rPr>
        <w:t xml:space="preserve"> toho</w:t>
      </w:r>
      <w:r>
        <w:rPr>
          <w:noProof/>
          <w:lang w:eastAsia="cs-CZ"/>
        </w:rPr>
        <w:t xml:space="preserve"> důvodu, že tato posuzovaná hazardní hra stejně jako </w:t>
      </w:r>
      <w:r w:rsidR="008C51DD">
        <w:rPr>
          <w:noProof/>
          <w:lang w:eastAsia="cs-CZ"/>
        </w:rPr>
        <w:t xml:space="preserve">válcová </w:t>
      </w:r>
      <w:r>
        <w:rPr>
          <w:noProof/>
          <w:lang w:eastAsia="cs-CZ"/>
        </w:rPr>
        <w:t xml:space="preserve">hra </w:t>
      </w:r>
      <w:r w:rsidR="008C51DD">
        <w:rPr>
          <w:noProof/>
          <w:lang w:eastAsia="cs-CZ"/>
        </w:rPr>
        <w:t>č. 1 (</w:t>
      </w:r>
      <w:r>
        <w:rPr>
          <w:noProof/>
          <w:lang w:eastAsia="cs-CZ"/>
        </w:rPr>
        <w:t xml:space="preserve">provozovaná </w:t>
      </w:r>
      <w:r w:rsidR="006A2D6B">
        <w:rPr>
          <w:noProof/>
          <w:lang w:eastAsia="cs-CZ"/>
        </w:rPr>
        <w:t xml:space="preserve">formou </w:t>
      </w:r>
      <w:r>
        <w:rPr>
          <w:noProof/>
          <w:lang w:eastAsia="cs-CZ"/>
        </w:rPr>
        <w:t>land-based</w:t>
      </w:r>
      <w:r w:rsidR="008C51DD">
        <w:rPr>
          <w:noProof/>
          <w:lang w:eastAsia="cs-CZ"/>
        </w:rPr>
        <w:t>)</w:t>
      </w:r>
      <w:r>
        <w:rPr>
          <w:noProof/>
          <w:lang w:eastAsia="cs-CZ"/>
        </w:rPr>
        <w:t xml:space="preserve">, umožňuje každé dvě vteřiny uskutečnit novou sázku, přičemž výsledek předešlé sázky je sázejícímu již znám. Zákoná regulace neumožňuje v případě technických her uskutečňovat více sázek v rámci jedné hry technické hry, </w:t>
      </w:r>
      <w:r w:rsidR="006A2D6B">
        <w:rPr>
          <w:noProof/>
          <w:lang w:eastAsia="cs-CZ"/>
        </w:rPr>
        <w:t>proto</w:t>
      </w:r>
      <w:r>
        <w:rPr>
          <w:noProof/>
          <w:lang w:eastAsia="cs-CZ"/>
        </w:rPr>
        <w:t xml:space="preserve"> u</w:t>
      </w:r>
      <w:r w:rsidR="006A2D6B">
        <w:rPr>
          <w:noProof/>
          <w:lang w:eastAsia="cs-CZ"/>
        </w:rPr>
        <w:t> </w:t>
      </w:r>
      <w:r>
        <w:rPr>
          <w:noProof/>
          <w:lang w:eastAsia="cs-CZ"/>
        </w:rPr>
        <w:t xml:space="preserve"> </w:t>
      </w:r>
      <w:r w:rsidR="008C51DD">
        <w:rPr>
          <w:noProof/>
          <w:lang w:eastAsia="cs-CZ"/>
        </w:rPr>
        <w:t xml:space="preserve">válcové </w:t>
      </w:r>
      <w:r>
        <w:rPr>
          <w:noProof/>
          <w:lang w:eastAsia="cs-CZ"/>
        </w:rPr>
        <w:t xml:space="preserve">hry </w:t>
      </w:r>
      <w:r w:rsidR="008C51DD">
        <w:rPr>
          <w:noProof/>
          <w:lang w:eastAsia="cs-CZ"/>
        </w:rPr>
        <w:t xml:space="preserve">č. 2 </w:t>
      </w:r>
      <w:r>
        <w:rPr>
          <w:noProof/>
          <w:lang w:eastAsia="cs-CZ"/>
        </w:rPr>
        <w:t xml:space="preserve">posuzovaný parametr „více možností hraní/sázek“ vykazuje nulovou hodnotu, avšak v případě posuzované hazardní hry </w:t>
      </w:r>
      <w:r w:rsidR="008C51DD">
        <w:rPr>
          <w:noProof/>
          <w:lang w:eastAsia="cs-CZ"/>
        </w:rPr>
        <w:t xml:space="preserve">ruletového typu č. 2 </w:t>
      </w:r>
      <w:r>
        <w:rPr>
          <w:noProof/>
          <w:lang w:eastAsia="cs-CZ"/>
        </w:rPr>
        <w:t xml:space="preserve">bylo pro účely anylýzy ASTERIG </w:t>
      </w:r>
      <w:r>
        <w:t>pohlíženo na tuto sázku, jako na více oddělených sázek, jelikož stejný princip sázení vykazují i</w:t>
      </w:r>
      <w:r w:rsidR="006A2D6B">
        <w:t> </w:t>
      </w:r>
      <w:r>
        <w:t xml:space="preserve"> živé hry ruletového typu, kde se uplatňuje odlišný výklad</w:t>
      </w:r>
      <w:r w:rsidRPr="00F15E18">
        <w:t>.</w:t>
      </w:r>
      <w:r w:rsidRPr="00F15E18">
        <w:rPr>
          <w:noProof/>
          <w:lang w:eastAsia="cs-CZ"/>
        </w:rPr>
        <w:t xml:space="preserve"> </w:t>
      </w:r>
      <w:r w:rsidRPr="00843A50">
        <w:rPr>
          <w:noProof/>
          <w:lang w:eastAsia="cs-CZ"/>
        </w:rPr>
        <w:t xml:space="preserve"> </w:t>
      </w:r>
      <w:r>
        <w:rPr>
          <w:noProof/>
          <w:lang w:eastAsia="cs-CZ"/>
        </w:rPr>
        <w:t>Parametr „kontinuita hraní“ je v případě obou posuzovaných hazardních her ovlivněn zákonnou regulací, neboť účast na hazardní hře musí být vždy po uplynutí 120 minut přerušena.</w:t>
      </w:r>
    </w:p>
    <w:p w14:paraId="38109241" w14:textId="7224BE53" w:rsidR="00EF2220" w:rsidRDefault="00EF2220" w:rsidP="00EF2220"/>
    <w:p w14:paraId="41BDF717"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7D6A1B10" w14:textId="3B421BFB" w:rsidR="00EF2220" w:rsidRDefault="006B6318" w:rsidP="00EF2220">
      <w:pPr>
        <w:pStyle w:val="Titulek"/>
        <w:keepNext/>
        <w:rPr>
          <w:noProof/>
          <w:lang w:eastAsia="cs-CZ"/>
        </w:rPr>
      </w:pPr>
      <w:bookmarkStart w:id="20" w:name="_Toc73526783"/>
      <w:r>
        <w:lastRenderedPageBreak/>
        <w:t xml:space="preserve">Graf č. </w:t>
      </w:r>
      <w:fldSimple w:instr=" SEQ Graf_č._ \* ARABIC ">
        <w:r w:rsidR="00D65822">
          <w:rPr>
            <w:noProof/>
          </w:rPr>
          <w:t>7</w:t>
        </w:r>
      </w:fldSimple>
      <w:r w:rsidR="00EF2220">
        <w:t>:</w:t>
      </w:r>
      <w:r w:rsidR="00EF2220" w:rsidRPr="00EF2220">
        <w:t xml:space="preserve"> </w:t>
      </w:r>
      <w:r w:rsidR="00EF2220">
        <w:t>Znázornění technických her provozovaných</w:t>
      </w:r>
      <w:r w:rsidR="00EF2220" w:rsidRPr="002B1053">
        <w:t xml:space="preserve"> prostřednictvím internetu </w:t>
      </w:r>
      <w:r w:rsidR="00EF2220" w:rsidRPr="00D73374">
        <w:rPr>
          <w:noProof/>
          <w:lang w:eastAsia="cs-CZ"/>
        </w:rPr>
        <w:t>podle procentuálního naplnění hodnotících parametrů</w:t>
      </w:r>
      <w:bookmarkEnd w:id="20"/>
    </w:p>
    <w:p w14:paraId="680E4D14" w14:textId="77A3F164" w:rsidR="00EF2220" w:rsidRDefault="00A71848" w:rsidP="00A71848">
      <w:pPr>
        <w:rPr>
          <w:lang w:eastAsia="cs-CZ"/>
        </w:rPr>
      </w:pPr>
      <w:r>
        <w:rPr>
          <w:noProof/>
          <w:lang w:eastAsia="cs-CZ"/>
        </w:rPr>
        <w:drawing>
          <wp:inline distT="0" distB="0" distL="0" distR="0" wp14:anchorId="74039C13" wp14:editId="60CC3AD0">
            <wp:extent cx="8820000" cy="3694618"/>
            <wp:effectExtent l="0" t="0" r="635" b="127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20000" cy="3694618"/>
                    </a:xfrm>
                    <a:prstGeom prst="rect">
                      <a:avLst/>
                    </a:prstGeom>
                    <a:noFill/>
                  </pic:spPr>
                </pic:pic>
              </a:graphicData>
            </a:graphic>
          </wp:inline>
        </w:drawing>
      </w:r>
    </w:p>
    <w:p w14:paraId="6EC7A4AC" w14:textId="66458058" w:rsidR="00EF2220" w:rsidRPr="006B6318" w:rsidRDefault="006B6318" w:rsidP="00EF2220">
      <w:pPr>
        <w:pStyle w:val="Titulek"/>
        <w:rPr>
          <w:sz w:val="20"/>
        </w:rPr>
      </w:pPr>
      <w:r>
        <w:rPr>
          <w:sz w:val="20"/>
        </w:rPr>
        <w:t>Zdroj: Ministerstvo financí.</w:t>
      </w:r>
    </w:p>
    <w:p w14:paraId="055F0336" w14:textId="77777777" w:rsidR="00EF2220" w:rsidRDefault="00EF2220" w:rsidP="00F23084">
      <w:pPr>
        <w:rPr>
          <w:lang w:eastAsia="zh-CN"/>
        </w:rPr>
        <w:sectPr w:rsidR="00EF2220" w:rsidSect="00F23084">
          <w:pgSz w:w="16838" w:h="11906" w:orient="landscape"/>
          <w:pgMar w:top="1417" w:right="1417" w:bottom="1417" w:left="1417" w:header="708" w:footer="708" w:gutter="0"/>
          <w:cols w:space="708"/>
          <w:docGrid w:linePitch="360"/>
        </w:sectPr>
      </w:pPr>
    </w:p>
    <w:p w14:paraId="3C7353B7" w14:textId="77777777" w:rsidR="00EF2220" w:rsidRPr="000653AD" w:rsidRDefault="00EF2220" w:rsidP="00846E09">
      <w:pPr>
        <w:pStyle w:val="Nadpis5"/>
      </w:pPr>
      <w:r w:rsidRPr="00437F8E">
        <w:t xml:space="preserve">Živé hry provozované </w:t>
      </w:r>
      <w:r w:rsidRPr="000653AD">
        <w:t>formou land-based</w:t>
      </w:r>
    </w:p>
    <w:p w14:paraId="2F5F6FCB" w14:textId="2923700E" w:rsidR="00EF2220" w:rsidRPr="00437F8E" w:rsidRDefault="00EF2220" w:rsidP="00EF2220">
      <w:pPr>
        <w:rPr>
          <w:noProof/>
          <w:lang w:eastAsia="cs-CZ"/>
        </w:rPr>
      </w:pPr>
      <w:r w:rsidRPr="000653AD">
        <w:t>V rámci dané kategorie byli posuzováni dva zástupci, a</w:t>
      </w:r>
      <w:r w:rsidR="00D114F1">
        <w:t> </w:t>
      </w:r>
      <w:r w:rsidRPr="000653AD">
        <w:t xml:space="preserve">to karetní hra </w:t>
      </w:r>
      <w:r w:rsidR="00F533BA">
        <w:t xml:space="preserve">č. 1 </w:t>
      </w:r>
      <w:r w:rsidRPr="000653AD">
        <w:t>a</w:t>
      </w:r>
      <w:r w:rsidR="00D114F1">
        <w:t> </w:t>
      </w:r>
      <w:r w:rsidRPr="000653AD">
        <w:t>živá hra ruletového typu</w:t>
      </w:r>
      <w:r w:rsidR="00F533BA">
        <w:t xml:space="preserve"> č. 3</w:t>
      </w:r>
      <w:r w:rsidRPr="000653AD">
        <w:t xml:space="preserve">. Z posuzovaných hazardních her </w:t>
      </w:r>
      <w:r w:rsidRPr="000653AD">
        <w:rPr>
          <w:noProof/>
          <w:lang w:eastAsia="cs-CZ"/>
        </w:rPr>
        <w:t>vykazuje nepatrně vyšší rizikovost hazardní hra</w:t>
      </w:r>
      <w:r w:rsidR="007376C3">
        <w:rPr>
          <w:noProof/>
          <w:lang w:eastAsia="cs-CZ"/>
        </w:rPr>
        <w:t xml:space="preserve"> </w:t>
      </w:r>
      <w:r w:rsidR="00F533BA">
        <w:rPr>
          <w:noProof/>
          <w:lang w:eastAsia="cs-CZ"/>
        </w:rPr>
        <w:t>ruletového typu č.3</w:t>
      </w:r>
      <w:r w:rsidRPr="000653AD">
        <w:rPr>
          <w:noProof/>
          <w:lang w:eastAsia="cs-CZ"/>
        </w:rPr>
        <w:t>, u</w:t>
      </w:r>
      <w:r w:rsidR="00D114F1">
        <w:rPr>
          <w:noProof/>
          <w:lang w:eastAsia="cs-CZ"/>
        </w:rPr>
        <w:t> </w:t>
      </w:r>
      <w:r w:rsidRPr="000653AD">
        <w:rPr>
          <w:noProof/>
          <w:lang w:eastAsia="cs-CZ"/>
        </w:rPr>
        <w:t xml:space="preserve"> které maximálního možného skóre dosáhl jeden posuzovaný param</w:t>
      </w:r>
      <w:r>
        <w:rPr>
          <w:noProof/>
          <w:lang w:eastAsia="cs-CZ"/>
        </w:rPr>
        <w:t>etr, a</w:t>
      </w:r>
      <w:r w:rsidR="00D114F1">
        <w:rPr>
          <w:noProof/>
          <w:lang w:eastAsia="cs-CZ"/>
        </w:rPr>
        <w:t> </w:t>
      </w:r>
      <w:r>
        <w:rPr>
          <w:noProof/>
          <w:lang w:eastAsia="cs-CZ"/>
        </w:rPr>
        <w:t xml:space="preserve"> to </w:t>
      </w:r>
      <w:r w:rsidRPr="000653AD">
        <w:rPr>
          <w:noProof/>
          <w:lang w:eastAsia="cs-CZ"/>
        </w:rPr>
        <w:t>parametr „kontinuita hraní“</w:t>
      </w:r>
      <w:r w:rsidRPr="000653AD">
        <w:rPr>
          <w:rStyle w:val="Znakapoznpodarou"/>
          <w:noProof/>
          <w:lang w:eastAsia="cs-CZ"/>
        </w:rPr>
        <w:footnoteReference w:id="18"/>
      </w:r>
      <w:r w:rsidRPr="000653AD">
        <w:rPr>
          <w:noProof/>
          <w:lang w:eastAsia="cs-CZ"/>
        </w:rPr>
        <w:t>, jelikož živá hra smí být provozována pouze v herním prostoru kasino, kde zákon o hazardních hrách nijak neomezuje otevírací dobu a</w:t>
      </w:r>
      <w:r w:rsidR="00D114F1">
        <w:rPr>
          <w:noProof/>
          <w:lang w:eastAsia="cs-CZ"/>
        </w:rPr>
        <w:t> </w:t>
      </w:r>
      <w:r w:rsidRPr="000653AD">
        <w:rPr>
          <w:noProof/>
          <w:lang w:eastAsia="cs-CZ"/>
        </w:rPr>
        <w:t xml:space="preserve"> zároveň zákonná regulace nijak neupravuje povinné  přestávky</w:t>
      </w:r>
      <w:r w:rsidRPr="000653AD">
        <w:t xml:space="preserve">, tudíž </w:t>
      </w:r>
      <w:r w:rsidR="008A4EDE">
        <w:t>účastník hazardní hry</w:t>
      </w:r>
      <w:r w:rsidRPr="000653AD">
        <w:t xml:space="preserve"> může hrát bez přerušení de facto neomezeně</w:t>
      </w:r>
      <w:r w:rsidRPr="000653AD">
        <w:rPr>
          <w:noProof/>
          <w:lang w:eastAsia="cs-CZ"/>
        </w:rPr>
        <w:t>. Další výše naměřené skóre u</w:t>
      </w:r>
      <w:r w:rsidR="00D114F1">
        <w:rPr>
          <w:noProof/>
          <w:lang w:eastAsia="cs-CZ"/>
        </w:rPr>
        <w:t> </w:t>
      </w:r>
      <w:r w:rsidRPr="000653AD">
        <w:rPr>
          <w:noProof/>
          <w:lang w:eastAsia="cs-CZ"/>
        </w:rPr>
        <w:t xml:space="preserve"> této hazardní hry nese parametr „šance na získání zisku“</w:t>
      </w:r>
      <w:r w:rsidRPr="000653AD">
        <w:rPr>
          <w:rStyle w:val="Znakapoznpodarou"/>
          <w:noProof/>
          <w:lang w:eastAsia="cs-CZ"/>
        </w:rPr>
        <w:footnoteReference w:id="19"/>
      </w:r>
      <w:r w:rsidRPr="000653AD">
        <w:t>, jelikož ze získaných  hodnot vyplynulo, že pravděpodobnost získání zisku se při standardní účasti na hazardní hře pohybuje v rozmezí 10</w:t>
      </w:r>
      <w:r w:rsidR="00D114F1">
        <w:t> </w:t>
      </w:r>
      <w:r w:rsidRPr="000653AD">
        <w:t>% až 25</w:t>
      </w:r>
      <w:r w:rsidR="00D114F1">
        <w:t> </w:t>
      </w:r>
      <w:r>
        <w:t>%</w:t>
      </w:r>
      <w:r w:rsidRPr="00170A7A">
        <w:t>.</w:t>
      </w:r>
      <w:r>
        <w:t xml:space="preserve"> Druhou posuzovanou hazardní hrou tohoto druhu a</w:t>
      </w:r>
      <w:r w:rsidR="00D114F1">
        <w:t> </w:t>
      </w:r>
      <w:r>
        <w:t>způsobu provozování je</w:t>
      </w:r>
      <w:r w:rsidR="00F533BA">
        <w:t xml:space="preserve"> karetní hra č. 1</w:t>
      </w:r>
      <w:r>
        <w:t>, u</w:t>
      </w:r>
      <w:r w:rsidR="00D114F1">
        <w:t> </w:t>
      </w:r>
      <w:r>
        <w:t xml:space="preserve">kterého byly zaznamenány dva parametry s nejvyšší možnou hodnotou, přičemž měřený parametr „kontinuita hraní“ dosahuje (ze stejného důvodu) totožných hodnot, jako hazardní hra </w:t>
      </w:r>
      <w:r w:rsidR="00F533BA">
        <w:t>ruletového typu č. 3</w:t>
      </w:r>
      <w:r>
        <w:t>. Druhý parametr „šance na získání zisku“ dosáhl o</w:t>
      </w:r>
      <w:r w:rsidR="00D114F1">
        <w:t> </w:t>
      </w:r>
      <w:r>
        <w:t>něco vyššího skóre, jelikož naměřené hodnoty vykazují více než 25</w:t>
      </w:r>
      <w:r w:rsidR="00D114F1">
        <w:t> </w:t>
      </w:r>
      <w:r>
        <w:t>% šanci na získání zisku</w:t>
      </w:r>
      <w:r w:rsidR="00B130FE">
        <w:t>.</w:t>
      </w:r>
      <w:r>
        <w:t xml:space="preserve"> </w:t>
      </w:r>
      <w:r w:rsidR="00B130FE">
        <w:t>N</w:t>
      </w:r>
      <w:r>
        <w:t xml:space="preserve">a rozdíl od hazardní hry </w:t>
      </w:r>
      <w:r w:rsidR="00F533BA">
        <w:t>ruletového typu č. 3</w:t>
      </w:r>
      <w:r w:rsidR="007376C3">
        <w:t xml:space="preserve"> </w:t>
      </w:r>
      <w:r>
        <w:t xml:space="preserve">se zde </w:t>
      </w:r>
      <w:r w:rsidR="00B130FE">
        <w:t xml:space="preserve">totiž </w:t>
      </w:r>
      <w:r>
        <w:t xml:space="preserve">v určité míře </w:t>
      </w:r>
      <w:r w:rsidR="00B63DD6">
        <w:t>může uplatnit</w:t>
      </w:r>
      <w:r>
        <w:t xml:space="preserve"> dovednostní prvek. Zároveň potenciál rizikovosti u</w:t>
      </w:r>
      <w:r w:rsidR="00D114F1">
        <w:t> </w:t>
      </w:r>
      <w:r w:rsidR="00F533BA">
        <w:t xml:space="preserve">karetní hry č. 1 </w:t>
      </w:r>
      <w:r>
        <w:t>významným způsobem snížil parametr „více možností hraní/sázek“</w:t>
      </w:r>
      <w:r>
        <w:rPr>
          <w:rStyle w:val="Znakapoznpodarou"/>
        </w:rPr>
        <w:footnoteReference w:id="20"/>
      </w:r>
      <w:r>
        <w:t>, jelikož pravidla hazardní hry nenabízejí v takovém rozsahu množství sázek (více druhů sázek), jako je tomu u</w:t>
      </w:r>
      <w:r w:rsidR="00D114F1">
        <w:t> </w:t>
      </w:r>
      <w:r>
        <w:t>posuzované hazardní hry</w:t>
      </w:r>
      <w:r w:rsidR="00F533BA">
        <w:t xml:space="preserve"> </w:t>
      </w:r>
      <w:r w:rsidR="007376C3">
        <w:t>ruletového typu č. 3</w:t>
      </w:r>
      <w:r>
        <w:t xml:space="preserve">. </w:t>
      </w:r>
    </w:p>
    <w:p w14:paraId="41E701D5" w14:textId="77777777" w:rsidR="00EF2220" w:rsidRDefault="00EF2220" w:rsidP="00F23084">
      <w:pPr>
        <w:rPr>
          <w:lang w:eastAsia="zh-CN"/>
        </w:rPr>
        <w:sectPr w:rsidR="00EF2220" w:rsidSect="00F23084">
          <w:pgSz w:w="16838" w:h="11906" w:orient="landscape"/>
          <w:pgMar w:top="1417" w:right="1417" w:bottom="1417" w:left="1417" w:header="708" w:footer="708" w:gutter="0"/>
          <w:cols w:space="708"/>
          <w:docGrid w:linePitch="360"/>
        </w:sectPr>
      </w:pPr>
    </w:p>
    <w:p w14:paraId="7D521609" w14:textId="34A51497" w:rsidR="00EF2220" w:rsidRDefault="006B6318" w:rsidP="00EF2220">
      <w:pPr>
        <w:pStyle w:val="Titulek"/>
        <w:keepNext/>
        <w:rPr>
          <w:noProof/>
          <w:lang w:eastAsia="cs-CZ"/>
        </w:rPr>
      </w:pPr>
      <w:bookmarkStart w:id="21" w:name="_Toc73526784"/>
      <w:r>
        <w:t xml:space="preserve">Graf č. </w:t>
      </w:r>
      <w:fldSimple w:instr=" SEQ Graf_č._ \* ARABIC ">
        <w:r w:rsidR="00D65822">
          <w:rPr>
            <w:noProof/>
          </w:rPr>
          <w:t>8</w:t>
        </w:r>
      </w:fldSimple>
      <w:r w:rsidR="00EF2220">
        <w:t>: Znázornění živých her provozovaných</w:t>
      </w:r>
      <w:r w:rsidR="00EF2220" w:rsidRPr="003872CD">
        <w:t xml:space="preserve"> </w:t>
      </w:r>
      <w:r w:rsidR="00EF2220">
        <w:t>formou</w:t>
      </w:r>
      <w:r w:rsidR="00EF2220" w:rsidRPr="003872CD">
        <w:t xml:space="preserve"> land-based </w:t>
      </w:r>
      <w:r w:rsidR="00EF2220" w:rsidRPr="00D73374">
        <w:rPr>
          <w:noProof/>
          <w:lang w:eastAsia="cs-CZ"/>
        </w:rPr>
        <w:t>podle procentuálního naplnění hodnotících parametrů</w:t>
      </w:r>
      <w:bookmarkEnd w:id="21"/>
    </w:p>
    <w:p w14:paraId="542ED80A" w14:textId="5DDA65C2" w:rsidR="00EF2220" w:rsidRDefault="000E1F3B" w:rsidP="000E1F3B">
      <w:pPr>
        <w:rPr>
          <w:lang w:eastAsia="cs-CZ"/>
        </w:rPr>
      </w:pPr>
      <w:r>
        <w:rPr>
          <w:noProof/>
          <w:lang w:eastAsia="cs-CZ"/>
        </w:rPr>
        <w:drawing>
          <wp:inline distT="0" distB="0" distL="0" distR="0" wp14:anchorId="6674F8FA" wp14:editId="4C767B87">
            <wp:extent cx="8963025" cy="5114925"/>
            <wp:effectExtent l="0" t="0" r="9525" b="952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66642" cy="5116989"/>
                    </a:xfrm>
                    <a:prstGeom prst="rect">
                      <a:avLst/>
                    </a:prstGeom>
                    <a:noFill/>
                  </pic:spPr>
                </pic:pic>
              </a:graphicData>
            </a:graphic>
          </wp:inline>
        </w:drawing>
      </w:r>
    </w:p>
    <w:p w14:paraId="0CADE221" w14:textId="65FC888F" w:rsidR="00F23084" w:rsidRPr="006B6318" w:rsidRDefault="00EF2220" w:rsidP="00EF2220">
      <w:pPr>
        <w:pStyle w:val="Titulek"/>
        <w:rPr>
          <w:sz w:val="20"/>
        </w:rPr>
      </w:pPr>
      <w:r w:rsidRPr="006B6318">
        <w:rPr>
          <w:sz w:val="20"/>
        </w:rPr>
        <w:t>Zdroj: Ministerstvo financí</w:t>
      </w:r>
      <w:r w:rsidR="006B6318" w:rsidRPr="006B6318">
        <w:rPr>
          <w:sz w:val="20"/>
        </w:rPr>
        <w:t>.</w:t>
      </w:r>
      <w:r w:rsidRPr="006B6318">
        <w:rPr>
          <w:sz w:val="20"/>
        </w:rPr>
        <w:t xml:space="preserve"> </w:t>
      </w:r>
    </w:p>
    <w:p w14:paraId="441D9B55" w14:textId="77777777" w:rsidR="00EF2220" w:rsidRDefault="00EF2220" w:rsidP="00846E09">
      <w:pPr>
        <w:pStyle w:val="Nadpis5"/>
      </w:pPr>
      <w:r>
        <w:t>Živé hry provozované prostřednictvím internetu</w:t>
      </w:r>
    </w:p>
    <w:p w14:paraId="3EDCD276" w14:textId="5DF150D7" w:rsidR="00EF2220" w:rsidRDefault="00EF2220" w:rsidP="00EF2220">
      <w:pPr>
        <w:rPr>
          <w:noProof/>
          <w:lang w:eastAsia="cs-CZ"/>
        </w:rPr>
      </w:pPr>
      <w:r w:rsidRPr="00C76850">
        <w:t>V rámci dané kategorie byli posuzováni dva zástupci, a</w:t>
      </w:r>
      <w:r w:rsidR="00DE6463">
        <w:t> </w:t>
      </w:r>
      <w:r w:rsidRPr="00C76850">
        <w:t xml:space="preserve">to </w:t>
      </w:r>
      <w:r w:rsidR="00E82579">
        <w:t xml:space="preserve">živá </w:t>
      </w:r>
      <w:r w:rsidRPr="00C76850">
        <w:t xml:space="preserve">karetní hra </w:t>
      </w:r>
      <w:r w:rsidR="00FB1D8A">
        <w:t xml:space="preserve">č. 2 </w:t>
      </w:r>
      <w:r w:rsidRPr="00C76850">
        <w:t>a</w:t>
      </w:r>
      <w:r w:rsidR="00DE6463">
        <w:t> </w:t>
      </w:r>
      <w:r w:rsidRPr="00C76850">
        <w:t xml:space="preserve"> živá </w:t>
      </w:r>
      <w:r w:rsidR="00FB1D8A">
        <w:t xml:space="preserve">hazardní </w:t>
      </w:r>
      <w:r w:rsidRPr="00C76850">
        <w:t>hra ruletového typu</w:t>
      </w:r>
      <w:r w:rsidR="00FB1D8A">
        <w:t xml:space="preserve"> č. 4</w:t>
      </w:r>
      <w:r w:rsidR="007376C3">
        <w:t xml:space="preserve">. </w:t>
      </w:r>
      <w:r w:rsidRPr="00C76850">
        <w:t xml:space="preserve">Z posuzovaných hazardních her </w:t>
      </w:r>
      <w:r w:rsidRPr="00C76850">
        <w:rPr>
          <w:noProof/>
          <w:lang w:eastAsia="cs-CZ"/>
        </w:rPr>
        <w:t>vykazuje vyšší rizikovost hazardní hra</w:t>
      </w:r>
      <w:r w:rsidR="007376C3">
        <w:rPr>
          <w:noProof/>
          <w:lang w:eastAsia="cs-CZ"/>
        </w:rPr>
        <w:t xml:space="preserve"> </w:t>
      </w:r>
      <w:r w:rsidR="00A54E0F">
        <w:rPr>
          <w:noProof/>
          <w:lang w:eastAsia="cs-CZ"/>
        </w:rPr>
        <w:t>ruletového typu č. 4</w:t>
      </w:r>
      <w:r w:rsidRPr="00C76850">
        <w:rPr>
          <w:noProof/>
          <w:lang w:eastAsia="cs-CZ"/>
        </w:rPr>
        <w:t>, u</w:t>
      </w:r>
      <w:r w:rsidR="00DE6463">
        <w:rPr>
          <w:noProof/>
          <w:lang w:eastAsia="cs-CZ"/>
        </w:rPr>
        <w:t> </w:t>
      </w:r>
      <w:r w:rsidRPr="00C76850">
        <w:rPr>
          <w:noProof/>
          <w:lang w:eastAsia="cs-CZ"/>
        </w:rPr>
        <w:t>které maximálního možného skóre dosáhly tři posuzované parametry, přičemž rizikový potenciál významným způsobem navýšil posuzovaný parametr „kontinuita hraní“</w:t>
      </w:r>
      <w:r w:rsidRPr="00C76850">
        <w:rPr>
          <w:rStyle w:val="Znakapoznpodarou"/>
          <w:noProof/>
          <w:lang w:eastAsia="cs-CZ"/>
        </w:rPr>
        <w:footnoteReference w:id="21"/>
      </w:r>
      <w:r w:rsidRPr="00C76850">
        <w:rPr>
          <w:noProof/>
          <w:lang w:eastAsia="cs-CZ"/>
        </w:rPr>
        <w:t>, jelikož v prostředí internetu je možné tuto hazardní hru hrát de facto bez přerušení</w:t>
      </w:r>
      <w:r w:rsidR="00B130FE">
        <w:rPr>
          <w:noProof/>
          <w:lang w:eastAsia="cs-CZ"/>
        </w:rPr>
        <w:t>,</w:t>
      </w:r>
      <w:r w:rsidRPr="00C76850">
        <w:rPr>
          <w:noProof/>
          <w:lang w:eastAsia="cs-CZ"/>
        </w:rPr>
        <w:t xml:space="preserve"> </w:t>
      </w:r>
      <w:r w:rsidRPr="00C76850">
        <w:t>a parametr</w:t>
      </w:r>
      <w:r w:rsidRPr="00C76850">
        <w:rPr>
          <w:noProof/>
          <w:lang w:eastAsia="cs-CZ"/>
        </w:rPr>
        <w:t xml:space="preserve"> „dostupnost“, kter</w:t>
      </w:r>
      <w:r w:rsidR="00B130FE">
        <w:rPr>
          <w:noProof/>
          <w:lang w:eastAsia="cs-CZ"/>
        </w:rPr>
        <w:t>ý</w:t>
      </w:r>
      <w:r w:rsidRPr="00C76850">
        <w:rPr>
          <w:noProof/>
          <w:lang w:eastAsia="cs-CZ"/>
        </w:rPr>
        <w:t xml:space="preserve"> je zde totožn</w:t>
      </w:r>
      <w:r w:rsidR="00B130FE">
        <w:rPr>
          <w:noProof/>
          <w:lang w:eastAsia="cs-CZ"/>
        </w:rPr>
        <w:t>ý</w:t>
      </w:r>
      <w:r w:rsidRPr="00C76850">
        <w:rPr>
          <w:noProof/>
          <w:lang w:eastAsia="cs-CZ"/>
        </w:rPr>
        <w:t xml:space="preserve"> s ostatními internetovými hazardními hrami, neboť </w:t>
      </w:r>
      <w:r w:rsidR="00944F0B">
        <w:rPr>
          <w:noProof/>
          <w:lang w:eastAsia="cs-CZ"/>
        </w:rPr>
        <w:t xml:space="preserve">jsou </w:t>
      </w:r>
      <w:r w:rsidRPr="00C76850">
        <w:rPr>
          <w:noProof/>
          <w:lang w:eastAsia="cs-CZ"/>
        </w:rPr>
        <w:t xml:space="preserve">vzhledem k jejich provozu prostřednictvím internetu tyto hry poměrně snadno dostupné. Proti posuzované karetní hře </w:t>
      </w:r>
      <w:r w:rsidR="00A54E0F">
        <w:rPr>
          <w:noProof/>
          <w:lang w:eastAsia="cs-CZ"/>
        </w:rPr>
        <w:t xml:space="preserve">č. 2 </w:t>
      </w:r>
      <w:r w:rsidRPr="00C76850">
        <w:rPr>
          <w:noProof/>
          <w:lang w:eastAsia="cs-CZ"/>
        </w:rPr>
        <w:t>je uvedená hra rizikovější i</w:t>
      </w:r>
      <w:r w:rsidR="00DE6463">
        <w:rPr>
          <w:noProof/>
          <w:lang w:eastAsia="cs-CZ"/>
        </w:rPr>
        <w:t> </w:t>
      </w:r>
      <w:r w:rsidRPr="00C76850">
        <w:rPr>
          <w:noProof/>
          <w:lang w:eastAsia="cs-CZ"/>
        </w:rPr>
        <w:t>z důvodu naměřené hodnoty posuzovaného parametru „více možností hraní/sázek“</w:t>
      </w:r>
      <w:r w:rsidRPr="00C76850">
        <w:rPr>
          <w:rStyle w:val="Znakapoznpodarou"/>
          <w:noProof/>
          <w:lang w:eastAsia="cs-CZ"/>
        </w:rPr>
        <w:footnoteReference w:id="22"/>
      </w:r>
      <w:r w:rsidRPr="00C76850">
        <w:rPr>
          <w:noProof/>
          <w:lang w:eastAsia="cs-CZ"/>
        </w:rPr>
        <w:t>, jelikož</w:t>
      </w:r>
      <w:r w:rsidRPr="00C76850">
        <w:t xml:space="preserve"> pravidla hazardní hry nabízejí větší množství sázek (více druhů sázek).  </w:t>
      </w:r>
      <w:r w:rsidRPr="00C76850">
        <w:rPr>
          <w:noProof/>
          <w:lang w:eastAsia="cs-CZ"/>
        </w:rPr>
        <w:t>Další posuzovanou hazardní hrou je</w:t>
      </w:r>
      <w:r w:rsidR="007376C3">
        <w:rPr>
          <w:noProof/>
          <w:lang w:eastAsia="cs-CZ"/>
        </w:rPr>
        <w:t xml:space="preserve"> hra ruletového typu č. 4</w:t>
      </w:r>
      <w:r w:rsidRPr="00C76850">
        <w:t xml:space="preserve">, </w:t>
      </w:r>
      <w:r w:rsidRPr="00C76850">
        <w:rPr>
          <w:noProof/>
          <w:lang w:eastAsia="cs-CZ"/>
        </w:rPr>
        <w:t>u</w:t>
      </w:r>
      <w:r w:rsidR="00DE6463">
        <w:rPr>
          <w:noProof/>
          <w:lang w:eastAsia="cs-CZ"/>
        </w:rPr>
        <w:t> </w:t>
      </w:r>
      <w:r w:rsidRPr="00C76850">
        <w:rPr>
          <w:noProof/>
          <w:lang w:eastAsia="cs-CZ"/>
        </w:rPr>
        <w:t>které maximálního možného skóre dosáhly čtyři posuzované parametry</w:t>
      </w:r>
      <w:r w:rsidR="00944F0B">
        <w:rPr>
          <w:noProof/>
          <w:lang w:eastAsia="cs-CZ"/>
        </w:rPr>
        <w:t>.</w:t>
      </w:r>
      <w:r w:rsidRPr="00C76850">
        <w:rPr>
          <w:noProof/>
          <w:lang w:eastAsia="cs-CZ"/>
        </w:rPr>
        <w:t xml:space="preserve"> </w:t>
      </w:r>
      <w:r w:rsidR="00944F0B">
        <w:rPr>
          <w:noProof/>
          <w:lang w:eastAsia="cs-CZ"/>
        </w:rPr>
        <w:t>Z</w:t>
      </w:r>
      <w:r w:rsidRPr="00C76850">
        <w:rPr>
          <w:noProof/>
          <w:lang w:eastAsia="cs-CZ"/>
        </w:rPr>
        <w:t>e stejného důvodu jako u</w:t>
      </w:r>
      <w:r w:rsidR="00DE6463">
        <w:rPr>
          <w:noProof/>
          <w:lang w:eastAsia="cs-CZ"/>
        </w:rPr>
        <w:t> </w:t>
      </w:r>
      <w:r w:rsidRPr="00C76850">
        <w:rPr>
          <w:noProof/>
          <w:lang w:eastAsia="cs-CZ"/>
        </w:rPr>
        <w:t>předešlé hazardní</w:t>
      </w:r>
      <w:r w:rsidR="00944F0B">
        <w:rPr>
          <w:noProof/>
          <w:lang w:eastAsia="cs-CZ"/>
        </w:rPr>
        <w:t xml:space="preserve"> hry</w:t>
      </w:r>
      <w:r w:rsidRPr="00C76850">
        <w:rPr>
          <w:noProof/>
          <w:lang w:eastAsia="cs-CZ"/>
        </w:rPr>
        <w:t xml:space="preserve"> </w:t>
      </w:r>
      <w:r w:rsidR="00944F0B" w:rsidRPr="00C76850">
        <w:rPr>
          <w:noProof/>
          <w:lang w:eastAsia="cs-CZ"/>
        </w:rPr>
        <w:t xml:space="preserve">nese </w:t>
      </w:r>
      <w:r w:rsidRPr="00C76850">
        <w:rPr>
          <w:noProof/>
          <w:lang w:eastAsia="cs-CZ"/>
        </w:rPr>
        <w:t>nejvyšší hodnoty taktéž posuzovaný parametr „kontinuita hraní“ a</w:t>
      </w:r>
      <w:r w:rsidR="00DE6463">
        <w:rPr>
          <w:noProof/>
          <w:lang w:eastAsia="cs-CZ"/>
        </w:rPr>
        <w:t> </w:t>
      </w:r>
      <w:r w:rsidRPr="00C76850">
        <w:rPr>
          <w:noProof/>
          <w:lang w:eastAsia="cs-CZ"/>
        </w:rPr>
        <w:t xml:space="preserve">parametr „dostupnost“. </w:t>
      </w:r>
      <w:r w:rsidRPr="00C76850">
        <w:t>Zároveň potenciál rizikovosti u</w:t>
      </w:r>
      <w:r w:rsidR="00DE6463">
        <w:t> </w:t>
      </w:r>
      <w:r w:rsidR="00A54E0F">
        <w:t xml:space="preserve">karetní </w:t>
      </w:r>
      <w:r w:rsidRPr="00C76850">
        <w:t xml:space="preserve">hry </w:t>
      </w:r>
      <w:r w:rsidR="00A54E0F">
        <w:t>č. 2</w:t>
      </w:r>
      <w:r w:rsidR="007376C3">
        <w:t xml:space="preserve"> </w:t>
      </w:r>
      <w:r w:rsidRPr="00C76850">
        <w:t>významným způsobem snížil parametr „více možností hraní/sázek“</w:t>
      </w:r>
      <w:r w:rsidRPr="00C76850">
        <w:rPr>
          <w:rStyle w:val="Znakapoznpodarou"/>
        </w:rPr>
        <w:footnoteReference w:id="23"/>
      </w:r>
      <w:r w:rsidRPr="00C76850">
        <w:t>, jelikož pravidla hazardní hry nenabízejí v takovém rozsahu množství sázek (více druhů sázek), jako je tomu u</w:t>
      </w:r>
      <w:r w:rsidR="00DE6463">
        <w:t> </w:t>
      </w:r>
      <w:r w:rsidRPr="00C76850">
        <w:t>posuzované hazardní hry.</w:t>
      </w:r>
    </w:p>
    <w:p w14:paraId="74F69564"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0CFF94B5" w14:textId="4D473F55" w:rsidR="00EF2220" w:rsidRDefault="006B6318" w:rsidP="00EF2220">
      <w:pPr>
        <w:pStyle w:val="Titulek"/>
        <w:keepNext/>
        <w:rPr>
          <w:noProof/>
          <w:lang w:eastAsia="cs-CZ"/>
        </w:rPr>
      </w:pPr>
      <w:bookmarkStart w:id="22" w:name="_Toc73526785"/>
      <w:r>
        <w:t xml:space="preserve">Graf č. </w:t>
      </w:r>
      <w:fldSimple w:instr=" SEQ Graf_č._ \* ARABIC ">
        <w:r w:rsidR="00D65822">
          <w:rPr>
            <w:noProof/>
          </w:rPr>
          <w:t>9</w:t>
        </w:r>
      </w:fldSimple>
      <w:r w:rsidR="00EF2220">
        <w:t>:</w:t>
      </w:r>
      <w:r w:rsidR="00EF2220" w:rsidRPr="00EF2220">
        <w:t xml:space="preserve"> </w:t>
      </w:r>
      <w:r w:rsidR="00EF2220">
        <w:t>Znázornění živých her provozovaných</w:t>
      </w:r>
      <w:r w:rsidR="00EF2220" w:rsidRPr="006C1229">
        <w:t xml:space="preserve"> prostřednictvím in</w:t>
      </w:r>
      <w:r w:rsidR="00EF2220">
        <w:t>t</w:t>
      </w:r>
      <w:r w:rsidR="00EF2220" w:rsidRPr="006C1229">
        <w:t xml:space="preserve">ernetu </w:t>
      </w:r>
      <w:r w:rsidR="00EF2220" w:rsidRPr="00D73374">
        <w:rPr>
          <w:noProof/>
          <w:lang w:eastAsia="cs-CZ"/>
        </w:rPr>
        <w:t>podle procentuálního naplnění hodnotících parametrů</w:t>
      </w:r>
      <w:bookmarkEnd w:id="22"/>
    </w:p>
    <w:p w14:paraId="6F7CEEF3" w14:textId="26409CBC" w:rsidR="00EF2220" w:rsidRDefault="000E1F3B" w:rsidP="000E1F3B">
      <w:pPr>
        <w:rPr>
          <w:lang w:eastAsia="cs-CZ"/>
        </w:rPr>
      </w:pPr>
      <w:r>
        <w:rPr>
          <w:noProof/>
          <w:lang w:eastAsia="cs-CZ"/>
        </w:rPr>
        <w:drawing>
          <wp:inline distT="0" distB="0" distL="0" distR="0" wp14:anchorId="76D2CD02" wp14:editId="74B434F6">
            <wp:extent cx="8818880" cy="5162550"/>
            <wp:effectExtent l="0" t="0" r="127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21511" cy="5164090"/>
                    </a:xfrm>
                    <a:prstGeom prst="rect">
                      <a:avLst/>
                    </a:prstGeom>
                    <a:noFill/>
                  </pic:spPr>
                </pic:pic>
              </a:graphicData>
            </a:graphic>
          </wp:inline>
        </w:drawing>
      </w:r>
    </w:p>
    <w:p w14:paraId="4FE02C53" w14:textId="6E2E7CE4" w:rsidR="00EF2220" w:rsidRPr="006B6318" w:rsidRDefault="00EF2220" w:rsidP="00EF2220">
      <w:pPr>
        <w:pStyle w:val="Titulek"/>
        <w:rPr>
          <w:sz w:val="20"/>
        </w:rPr>
      </w:pPr>
      <w:r w:rsidRPr="006B6318">
        <w:rPr>
          <w:sz w:val="20"/>
        </w:rPr>
        <w:t>Zdroj: Ministerstvo financí</w:t>
      </w:r>
      <w:r w:rsidR="006B6318" w:rsidRPr="006B6318">
        <w:rPr>
          <w:sz w:val="20"/>
        </w:rPr>
        <w:t>.</w:t>
      </w:r>
      <w:r w:rsidRPr="006B6318">
        <w:rPr>
          <w:sz w:val="20"/>
        </w:rPr>
        <w:t xml:space="preserve"> </w:t>
      </w:r>
    </w:p>
    <w:p w14:paraId="47E45B81" w14:textId="77777777" w:rsidR="00EF2220" w:rsidRPr="004D29FF" w:rsidRDefault="00EF2220" w:rsidP="00846E09">
      <w:pPr>
        <w:pStyle w:val="Nadpis5"/>
      </w:pPr>
      <w:r w:rsidRPr="004D29FF">
        <w:t xml:space="preserve">Tombola provozovaná </w:t>
      </w:r>
      <w:r>
        <w:t>formou</w:t>
      </w:r>
      <w:r w:rsidRPr="004D29FF">
        <w:t xml:space="preserve"> land-based</w:t>
      </w:r>
    </w:p>
    <w:p w14:paraId="1E973B4F" w14:textId="62B7576D" w:rsidR="00EF2220" w:rsidRDefault="00EF2220" w:rsidP="00EF2220">
      <w:pPr>
        <w:rPr>
          <w:rFonts w:cs="Arial"/>
        </w:rPr>
      </w:pPr>
      <w:r>
        <w:rPr>
          <w:rFonts w:cs="Arial"/>
        </w:rPr>
        <w:t>Tombolu</w:t>
      </w:r>
      <w:r w:rsidRPr="004D29FF">
        <w:rPr>
          <w:rFonts w:cs="Arial"/>
        </w:rPr>
        <w:t xml:space="preserve"> lze podle zákon</w:t>
      </w:r>
      <w:r>
        <w:rPr>
          <w:rFonts w:cs="Arial"/>
        </w:rPr>
        <w:t xml:space="preserve">a o hazardních hrách provozovat </w:t>
      </w:r>
      <w:r w:rsidRPr="004D29FF">
        <w:rPr>
          <w:rFonts w:cs="Arial"/>
        </w:rPr>
        <w:t xml:space="preserve">pouze </w:t>
      </w:r>
      <w:r>
        <w:rPr>
          <w:rFonts w:cs="Arial"/>
        </w:rPr>
        <w:t>formou</w:t>
      </w:r>
      <w:r w:rsidRPr="004D29FF">
        <w:rPr>
          <w:rFonts w:cs="Arial"/>
        </w:rPr>
        <w:t xml:space="preserve"> land-based, </w:t>
      </w:r>
      <w:r>
        <w:rPr>
          <w:rFonts w:cs="Arial"/>
        </w:rPr>
        <w:t xml:space="preserve">z tohoto důvodu </w:t>
      </w:r>
      <w:r w:rsidRPr="004D29FF">
        <w:rPr>
          <w:rFonts w:cs="Arial"/>
        </w:rPr>
        <w:t>není možné tuto hazardní hru posuzovat v kontextu on</w:t>
      </w:r>
      <w:r>
        <w:rPr>
          <w:rFonts w:cs="Arial"/>
        </w:rPr>
        <w:t>-</w:t>
      </w:r>
      <w:r w:rsidRPr="004D29FF">
        <w:rPr>
          <w:rFonts w:cs="Arial"/>
        </w:rPr>
        <w:t>line prostředí</w:t>
      </w:r>
      <w:r>
        <w:rPr>
          <w:rFonts w:cs="Arial"/>
        </w:rPr>
        <w:t>. Posuzovaná hazardní hra vykazuje nejnižší stupeň rizikovosti ze všech posuzovaných hazardních her, jelikož z deseti posuzovaných parametrů vykazuje tato hazardní hra v pěti případech nulovou hodnotu. Maximálních hodnot dosáhla tato hazardní hra pouze u jednoho z deseti posuzovaných parametrů. Tímto parametrem je „</w:t>
      </w:r>
      <w:r w:rsidR="00DE6463">
        <w:rPr>
          <w:rFonts w:cs="Arial"/>
        </w:rPr>
        <w:t>š</w:t>
      </w:r>
      <w:r>
        <w:rPr>
          <w:rFonts w:cs="Arial"/>
        </w:rPr>
        <w:t>ance na získání zisku“</w:t>
      </w:r>
      <w:r>
        <w:rPr>
          <w:rStyle w:val="Znakapoznpodarou"/>
          <w:rFonts w:cs="Arial"/>
        </w:rPr>
        <w:footnoteReference w:id="24"/>
      </w:r>
      <w:r>
        <w:rPr>
          <w:rFonts w:cs="Arial"/>
        </w:rPr>
        <w:t>, a</w:t>
      </w:r>
      <w:r w:rsidR="00DE6463">
        <w:rPr>
          <w:rFonts w:cs="Arial"/>
        </w:rPr>
        <w:t> </w:t>
      </w:r>
      <w:r>
        <w:rPr>
          <w:rFonts w:cs="Arial"/>
        </w:rPr>
        <w:t xml:space="preserve"> to zejména kvůli možnosti zakoupení libovolného množství sázkových tiketů v rámci jedné hry hazardní hry. </w:t>
      </w:r>
    </w:p>
    <w:p w14:paraId="583FE7B7"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394D5212" w14:textId="78987301" w:rsidR="00EF2220" w:rsidRDefault="006B6318" w:rsidP="00EF2220">
      <w:pPr>
        <w:pStyle w:val="Titulek"/>
        <w:keepNext/>
      </w:pPr>
      <w:bookmarkStart w:id="23" w:name="_Toc73526786"/>
      <w:r>
        <w:t xml:space="preserve">Graf č. </w:t>
      </w:r>
      <w:fldSimple w:instr=" SEQ Graf_č._ \* ARABIC ">
        <w:r w:rsidR="00D65822">
          <w:rPr>
            <w:noProof/>
          </w:rPr>
          <w:t>10</w:t>
        </w:r>
      </w:fldSimple>
      <w:r w:rsidR="00EF2220">
        <w:t xml:space="preserve">: </w:t>
      </w:r>
      <w:r w:rsidR="00EF2220" w:rsidRPr="00FC65A7">
        <w:rPr>
          <w:i w:val="0"/>
        </w:rPr>
        <w:t xml:space="preserve">Znázornění tomboly </w:t>
      </w:r>
      <w:r w:rsidR="00EF2220" w:rsidRPr="00D73374">
        <w:rPr>
          <w:noProof/>
          <w:lang w:eastAsia="cs-CZ"/>
        </w:rPr>
        <w:t>podle procentuálního naplnění hodnotících parametrů</w:t>
      </w:r>
      <w:bookmarkEnd w:id="23"/>
    </w:p>
    <w:p w14:paraId="146243AE" w14:textId="77777777" w:rsidR="00EF2220" w:rsidRDefault="00EF2220" w:rsidP="00EF2220">
      <w:pPr>
        <w:keepNext/>
      </w:pPr>
      <w:r>
        <w:rPr>
          <w:rFonts w:cs="Arial"/>
          <w:noProof/>
          <w:u w:val="single"/>
          <w:lang w:eastAsia="cs-CZ"/>
        </w:rPr>
        <w:drawing>
          <wp:inline distT="0" distB="0" distL="0" distR="0" wp14:anchorId="29189874" wp14:editId="79B8DABE">
            <wp:extent cx="8820000" cy="3991258"/>
            <wp:effectExtent l="0" t="0" r="635" b="952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20000" cy="3991258"/>
                    </a:xfrm>
                    <a:prstGeom prst="rect">
                      <a:avLst/>
                    </a:prstGeom>
                    <a:noFill/>
                  </pic:spPr>
                </pic:pic>
              </a:graphicData>
            </a:graphic>
          </wp:inline>
        </w:drawing>
      </w:r>
    </w:p>
    <w:p w14:paraId="320654FB" w14:textId="7FE1CFDA" w:rsidR="00EF2220" w:rsidRPr="006B6318" w:rsidRDefault="00EF2220" w:rsidP="00EF2220">
      <w:pPr>
        <w:pStyle w:val="Titulek"/>
        <w:rPr>
          <w:sz w:val="20"/>
        </w:rPr>
      </w:pPr>
      <w:r w:rsidRPr="006B6318">
        <w:rPr>
          <w:sz w:val="20"/>
        </w:rPr>
        <w:t>Zdroj: Ministerstvo financí</w:t>
      </w:r>
      <w:r w:rsidR="006B6318" w:rsidRPr="006B6318">
        <w:rPr>
          <w:sz w:val="20"/>
        </w:rPr>
        <w:t>.</w:t>
      </w:r>
      <w:r w:rsidRPr="006B6318">
        <w:rPr>
          <w:sz w:val="20"/>
        </w:rPr>
        <w:t xml:space="preserve"> </w:t>
      </w:r>
    </w:p>
    <w:p w14:paraId="64DC32BE" w14:textId="77777777" w:rsidR="00EF2220" w:rsidRDefault="00EF2220" w:rsidP="00EF2220">
      <w:pPr>
        <w:sectPr w:rsidR="00EF2220" w:rsidSect="00F23084">
          <w:pgSz w:w="16838" w:h="11906" w:orient="landscape"/>
          <w:pgMar w:top="1417" w:right="1417" w:bottom="1417" w:left="1417" w:header="708" w:footer="708" w:gutter="0"/>
          <w:cols w:space="708"/>
          <w:docGrid w:linePitch="360"/>
        </w:sectPr>
      </w:pPr>
    </w:p>
    <w:p w14:paraId="6FD4FDC8" w14:textId="029DE67A" w:rsidR="003519E5" w:rsidRDefault="00205114" w:rsidP="00C44D1E">
      <w:pPr>
        <w:pStyle w:val="Nadpis4"/>
      </w:pPr>
      <w:bookmarkStart w:id="24" w:name="_Toc73604308"/>
      <w:r>
        <w:t>Posouzení dotčených parametrů</w:t>
      </w:r>
      <w:bookmarkEnd w:id="24"/>
    </w:p>
    <w:p w14:paraId="2D5986CC" w14:textId="78867D4E" w:rsidR="00E631EF" w:rsidRDefault="00E631EF" w:rsidP="00E631EF">
      <w:pPr>
        <w:sectPr w:rsidR="00E631EF" w:rsidSect="00E631EF">
          <w:headerReference w:type="default" r:id="rId20"/>
          <w:footerReference w:type="default" r:id="rId21"/>
          <w:pgSz w:w="11906" w:h="16838"/>
          <w:pgMar w:top="1417" w:right="1417" w:bottom="1417" w:left="1417" w:header="708" w:footer="708" w:gutter="0"/>
          <w:cols w:space="708"/>
          <w:docGrid w:linePitch="360"/>
        </w:sectPr>
      </w:pPr>
      <w:r>
        <w:t>U</w:t>
      </w:r>
      <w:r w:rsidR="004D5093">
        <w:t> </w:t>
      </w:r>
      <w:r>
        <w:t xml:space="preserve">zvolených zástupců jednotlivých hazardních her bylo posouzeno všech deset parametrů. Tyto parametry včetně dosažených hodnot zobrazují níže uvedené grafy. V každém grafu se </w:t>
      </w:r>
      <w:r w:rsidR="00944F0B">
        <w:t xml:space="preserve">nacházejí </w:t>
      </w:r>
      <w:r>
        <w:t>jednak konkrétní dosažené hodnoty zobrazené ve sloupcích a</w:t>
      </w:r>
      <w:r w:rsidR="004D5093">
        <w:t> </w:t>
      </w:r>
      <w:r>
        <w:t xml:space="preserve">jednak maximální možná hodnota, které daný parametr </w:t>
      </w:r>
      <w:r w:rsidR="00B63DD6">
        <w:t>může maximálně dosáhnout</w:t>
      </w:r>
      <w:r>
        <w:t>. Tato hodnota je vyjádřena pros</w:t>
      </w:r>
      <w:r w:rsidR="00B63DD6">
        <w:t>třednictvím spojnicových křivek (červená čára).</w:t>
      </w:r>
    </w:p>
    <w:p w14:paraId="7151E1C6" w14:textId="639F4635" w:rsidR="00E631EF" w:rsidRDefault="000F59A3" w:rsidP="00846E09">
      <w:pPr>
        <w:pStyle w:val="Nadpis5"/>
        <w:numPr>
          <w:ilvl w:val="0"/>
          <w:numId w:val="33"/>
        </w:numPr>
      </w:pPr>
      <w:r>
        <w:t xml:space="preserve"> </w:t>
      </w:r>
      <w:r w:rsidR="0058536D">
        <w:t xml:space="preserve">Parametr </w:t>
      </w:r>
      <w:r w:rsidR="00944F0B">
        <w:t>„</w:t>
      </w:r>
      <w:r w:rsidR="0058536D">
        <w:t>frekvence události</w:t>
      </w:r>
      <w:r w:rsidR="00944F0B">
        <w:t>“</w:t>
      </w:r>
    </w:p>
    <w:p w14:paraId="413E842D" w14:textId="13A59901" w:rsidR="006B6318" w:rsidRDefault="0058536D" w:rsidP="00411F03">
      <w:pPr>
        <w:spacing w:after="200" w:line="276" w:lineRule="auto"/>
        <w:jc w:val="left"/>
      </w:pPr>
      <w:r w:rsidRPr="0058536D">
        <w:t>Prvním ze sledovaných parametrů, který zobrazuje níže uvedený graf č.</w:t>
      </w:r>
      <w:r w:rsidR="004D5093">
        <w:t> </w:t>
      </w:r>
      <w:r w:rsidRPr="0058536D">
        <w:t>11 je „frekvence události“. Jedná se o</w:t>
      </w:r>
      <w:r w:rsidR="004D5093">
        <w:t> </w:t>
      </w:r>
      <w:r w:rsidRPr="0058536D">
        <w:t>časovou jednotku mezi sázkou, výsledkem hazardu a</w:t>
      </w:r>
      <w:r w:rsidR="004D5093">
        <w:t> </w:t>
      </w:r>
      <w:r w:rsidR="00411F03">
        <w:t xml:space="preserve">příští sázkou. </w:t>
      </w:r>
    </w:p>
    <w:p w14:paraId="6409BC00" w14:textId="0839E35C" w:rsidR="0058536D" w:rsidRDefault="006B6318" w:rsidP="0058536D">
      <w:pPr>
        <w:pStyle w:val="Titulek"/>
        <w:keepNext/>
        <w:rPr>
          <w:rFonts w:cs="Arial"/>
          <w:noProof/>
        </w:rPr>
      </w:pPr>
      <w:bookmarkStart w:id="25" w:name="_Toc73526787"/>
      <w:r>
        <w:t xml:space="preserve">Graf č. </w:t>
      </w:r>
      <w:fldSimple w:instr=" SEQ Graf_č._ \* ARABIC ">
        <w:r w:rsidR="00D65822">
          <w:rPr>
            <w:noProof/>
          </w:rPr>
          <w:t>11</w:t>
        </w:r>
      </w:fldSimple>
      <w:r w:rsidR="0058536D">
        <w:t>:</w:t>
      </w:r>
      <w:r w:rsidR="0058536D" w:rsidRPr="0058536D">
        <w:rPr>
          <w:rFonts w:cs="Arial"/>
          <w:i w:val="0"/>
          <w:noProof/>
        </w:rPr>
        <w:t xml:space="preserve"> </w:t>
      </w:r>
      <w:r w:rsidR="0058536D" w:rsidRPr="0058536D">
        <w:rPr>
          <w:rFonts w:cs="Arial"/>
          <w:noProof/>
        </w:rPr>
        <w:t xml:space="preserve">Znázornění parametru </w:t>
      </w:r>
      <w:r w:rsidR="004D5093">
        <w:rPr>
          <w:rFonts w:cs="Arial"/>
          <w:noProof/>
        </w:rPr>
        <w:t>„</w:t>
      </w:r>
      <w:r w:rsidR="0058536D" w:rsidRPr="0058536D">
        <w:rPr>
          <w:rFonts w:cs="Arial"/>
          <w:noProof/>
        </w:rPr>
        <w:t>frekvence události</w:t>
      </w:r>
      <w:r w:rsidR="004D5093">
        <w:rPr>
          <w:rFonts w:cs="Arial"/>
          <w:noProof/>
        </w:rPr>
        <w:t>“</w:t>
      </w:r>
      <w:r w:rsidR="0058536D" w:rsidRPr="0058536D">
        <w:rPr>
          <w:rFonts w:cs="Arial"/>
          <w:noProof/>
        </w:rPr>
        <w:t xml:space="preserve"> podle jednotlivých hazardních her</w:t>
      </w:r>
      <w:bookmarkEnd w:id="25"/>
    </w:p>
    <w:p w14:paraId="7B84515D" w14:textId="4B653F3B" w:rsidR="0058536D" w:rsidRDefault="00335F97" w:rsidP="00335F97">
      <w:r>
        <w:rPr>
          <w:noProof/>
          <w:lang w:eastAsia="cs-CZ"/>
        </w:rPr>
        <w:drawing>
          <wp:inline distT="0" distB="0" distL="0" distR="0" wp14:anchorId="026ED05E" wp14:editId="24083489">
            <wp:extent cx="8820000" cy="2952959"/>
            <wp:effectExtent l="0" t="0" r="635"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20000" cy="2952959"/>
                    </a:xfrm>
                    <a:prstGeom prst="rect">
                      <a:avLst/>
                    </a:prstGeom>
                    <a:noFill/>
                  </pic:spPr>
                </pic:pic>
              </a:graphicData>
            </a:graphic>
          </wp:inline>
        </w:drawing>
      </w:r>
    </w:p>
    <w:p w14:paraId="19E01658" w14:textId="0646EE62" w:rsidR="00E631EF" w:rsidRPr="006B6318" w:rsidRDefault="0058536D" w:rsidP="0058536D">
      <w:pPr>
        <w:pStyle w:val="Titulek"/>
        <w:rPr>
          <w:sz w:val="22"/>
        </w:rPr>
      </w:pPr>
      <w:r w:rsidRPr="006B6318">
        <w:rPr>
          <w:sz w:val="22"/>
        </w:rPr>
        <w:t>Zdroj: Ministerstvo financí</w:t>
      </w:r>
      <w:r w:rsidR="006B6318" w:rsidRPr="006B6318">
        <w:rPr>
          <w:sz w:val="22"/>
        </w:rPr>
        <w:t>.</w:t>
      </w:r>
      <w:r w:rsidRPr="006B6318">
        <w:rPr>
          <w:sz w:val="22"/>
        </w:rPr>
        <w:t xml:space="preserve"> </w:t>
      </w:r>
    </w:p>
    <w:p w14:paraId="44C5E8A3" w14:textId="3E22A6C8" w:rsidR="00E631EF" w:rsidRDefault="000F59A3" w:rsidP="00846E09">
      <w:pPr>
        <w:pStyle w:val="Nadpis5"/>
      </w:pPr>
      <w:r>
        <w:t xml:space="preserve"> </w:t>
      </w:r>
      <w:r w:rsidR="0058536D">
        <w:t xml:space="preserve">Parametr </w:t>
      </w:r>
      <w:r w:rsidR="00944F0B">
        <w:t>„</w:t>
      </w:r>
      <w:r w:rsidR="0058536D">
        <w:t>interval návratnosti</w:t>
      </w:r>
      <w:r w:rsidR="00944F0B">
        <w:t>“</w:t>
      </w:r>
    </w:p>
    <w:p w14:paraId="1C6FE637" w14:textId="7E209112" w:rsidR="006B6318" w:rsidRPr="00411F03" w:rsidRDefault="0058536D" w:rsidP="0058536D">
      <w:pPr>
        <w:pStyle w:val="Titulek"/>
        <w:keepNext/>
        <w:rPr>
          <w:i w:val="0"/>
        </w:rPr>
      </w:pPr>
      <w:r w:rsidRPr="0058536D">
        <w:rPr>
          <w:i w:val="0"/>
        </w:rPr>
        <w:t>Druhý posuzovaný parametr obsažený v grafu č.</w:t>
      </w:r>
      <w:r w:rsidR="004D5093">
        <w:rPr>
          <w:i w:val="0"/>
        </w:rPr>
        <w:t> </w:t>
      </w:r>
      <w:r>
        <w:rPr>
          <w:i w:val="0"/>
        </w:rPr>
        <w:t>1</w:t>
      </w:r>
      <w:r w:rsidRPr="0058536D">
        <w:rPr>
          <w:i w:val="0"/>
        </w:rPr>
        <w:t>2 sleduje „interval návratnosti“. „Interval návratnosti“ představuje období mezi výsledkem hazardu a</w:t>
      </w:r>
      <w:r w:rsidR="004D5093">
        <w:rPr>
          <w:i w:val="0"/>
        </w:rPr>
        <w:t> </w:t>
      </w:r>
      <w:r w:rsidRPr="0058536D">
        <w:rPr>
          <w:i w:val="0"/>
        </w:rPr>
        <w:t>oznámením platby neb</w:t>
      </w:r>
      <w:r w:rsidR="00411F03">
        <w:rPr>
          <w:i w:val="0"/>
        </w:rPr>
        <w:t xml:space="preserve">o skutečným přijetím platby. </w:t>
      </w:r>
    </w:p>
    <w:p w14:paraId="46E15234" w14:textId="080FB2EF" w:rsidR="0058536D" w:rsidRDefault="0058536D" w:rsidP="0058536D">
      <w:pPr>
        <w:pStyle w:val="Titulek"/>
        <w:keepNext/>
        <w:rPr>
          <w:rFonts w:cs="Arial"/>
          <w:noProof/>
        </w:rPr>
      </w:pPr>
      <w:bookmarkStart w:id="26" w:name="_Toc73526788"/>
      <w:r>
        <w:t xml:space="preserve">Graf </w:t>
      </w:r>
      <w:r w:rsidR="006B6318">
        <w:t xml:space="preserve">č. </w:t>
      </w:r>
      <w:fldSimple w:instr=" SEQ Graf_č._ \* ARABIC ">
        <w:r w:rsidR="00D65822">
          <w:rPr>
            <w:noProof/>
          </w:rPr>
          <w:t>12</w:t>
        </w:r>
      </w:fldSimple>
      <w:r w:rsidRPr="0058536D">
        <w:t xml:space="preserve">: </w:t>
      </w:r>
      <w:r w:rsidRPr="0058536D">
        <w:rPr>
          <w:rFonts w:cs="Arial"/>
          <w:noProof/>
        </w:rPr>
        <w:t xml:space="preserve">Znázornění parametru </w:t>
      </w:r>
      <w:r w:rsidR="004D5093">
        <w:rPr>
          <w:rFonts w:cs="Arial"/>
          <w:noProof/>
        </w:rPr>
        <w:t>„</w:t>
      </w:r>
      <w:r w:rsidRPr="0058536D">
        <w:rPr>
          <w:rFonts w:cs="Arial"/>
          <w:noProof/>
        </w:rPr>
        <w:t>interval návratnosti</w:t>
      </w:r>
      <w:r w:rsidR="004D5093">
        <w:rPr>
          <w:rFonts w:cs="Arial"/>
          <w:noProof/>
        </w:rPr>
        <w:t>“</w:t>
      </w:r>
      <w:r w:rsidRPr="0058536D">
        <w:rPr>
          <w:rFonts w:cs="Arial"/>
          <w:noProof/>
        </w:rPr>
        <w:t xml:space="preserve"> podle jednotlivých hazardních her</w:t>
      </w:r>
      <w:bookmarkEnd w:id="26"/>
    </w:p>
    <w:p w14:paraId="63EC89E5" w14:textId="358623BD" w:rsidR="0058536D" w:rsidRDefault="00335F97" w:rsidP="00335F97">
      <w:r>
        <w:rPr>
          <w:noProof/>
          <w:lang w:eastAsia="cs-CZ"/>
        </w:rPr>
        <w:drawing>
          <wp:inline distT="0" distB="0" distL="0" distR="0" wp14:anchorId="5FBD3AF6" wp14:editId="3DD00578">
            <wp:extent cx="8820000" cy="2770568"/>
            <wp:effectExtent l="0" t="0" r="635"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20000" cy="2770568"/>
                    </a:xfrm>
                    <a:prstGeom prst="rect">
                      <a:avLst/>
                    </a:prstGeom>
                    <a:noFill/>
                  </pic:spPr>
                </pic:pic>
              </a:graphicData>
            </a:graphic>
          </wp:inline>
        </w:drawing>
      </w:r>
    </w:p>
    <w:p w14:paraId="4FBF64E5" w14:textId="7C4E82AD" w:rsidR="0058536D" w:rsidRPr="006B6318" w:rsidRDefault="0058536D" w:rsidP="0058536D">
      <w:pPr>
        <w:pStyle w:val="Titulek"/>
        <w:rPr>
          <w:sz w:val="20"/>
        </w:rPr>
      </w:pPr>
      <w:r w:rsidRPr="006B6318">
        <w:rPr>
          <w:sz w:val="20"/>
        </w:rPr>
        <w:t>Zdroj: Ministerstvo financí</w:t>
      </w:r>
      <w:r w:rsidR="006B6318" w:rsidRPr="006B6318">
        <w:rPr>
          <w:sz w:val="20"/>
        </w:rPr>
        <w:t>.</w:t>
      </w:r>
      <w:r w:rsidRPr="006B6318">
        <w:rPr>
          <w:sz w:val="20"/>
        </w:rPr>
        <w:t xml:space="preserve"> </w:t>
      </w:r>
    </w:p>
    <w:p w14:paraId="192EDD2C" w14:textId="77777777" w:rsidR="0058536D" w:rsidRDefault="0058536D" w:rsidP="00E631EF">
      <w:pPr>
        <w:sectPr w:rsidR="0058536D" w:rsidSect="00F23084">
          <w:pgSz w:w="16838" w:h="11906" w:orient="landscape"/>
          <w:pgMar w:top="1417" w:right="1417" w:bottom="1417" w:left="1417" w:header="708" w:footer="708" w:gutter="0"/>
          <w:cols w:space="708"/>
          <w:docGrid w:linePitch="360"/>
        </w:sectPr>
      </w:pPr>
    </w:p>
    <w:p w14:paraId="7C8E7B5B" w14:textId="703A07CE" w:rsidR="0058536D" w:rsidRDefault="000F59A3" w:rsidP="00846E09">
      <w:pPr>
        <w:pStyle w:val="Nadpis5"/>
      </w:pPr>
      <w:r>
        <w:t xml:space="preserve"> </w:t>
      </w:r>
      <w:r w:rsidR="0058536D">
        <w:t xml:space="preserve">Parametr </w:t>
      </w:r>
      <w:r w:rsidR="00944F0B">
        <w:t>„</w:t>
      </w:r>
      <w:r w:rsidR="0058536D">
        <w:t>jackpot</w:t>
      </w:r>
      <w:r w:rsidR="00944F0B">
        <w:t>“</w:t>
      </w:r>
    </w:p>
    <w:p w14:paraId="47E71A58" w14:textId="79CA861C" w:rsidR="006B6318" w:rsidRDefault="0058536D" w:rsidP="00411F03">
      <w:r>
        <w:t xml:space="preserve">Graf č. 13 zobrazuje hodnoty dosažené v parametru </w:t>
      </w:r>
      <w:r w:rsidR="004D5093">
        <w:t>„</w:t>
      </w:r>
      <w:r>
        <w:t>jackpot</w:t>
      </w:r>
      <w:r w:rsidR="004D5093">
        <w:t>“</w:t>
      </w:r>
      <w:r>
        <w:t xml:space="preserve">. </w:t>
      </w:r>
      <w:r w:rsidR="004D5093">
        <w:t>„</w:t>
      </w:r>
      <w:r>
        <w:t>Jackpot</w:t>
      </w:r>
      <w:r w:rsidR="004D5093">
        <w:t>“</w:t>
      </w:r>
      <w:r>
        <w:t xml:space="preserve"> je mimořádná nejvyšší cena obvykle ve formě velkého množství peněz, které se vytvořilo nas</w:t>
      </w:r>
      <w:r w:rsidR="00411F03">
        <w:t xml:space="preserve">hromážděním předchozích sázek. </w:t>
      </w:r>
    </w:p>
    <w:p w14:paraId="2AC8836D" w14:textId="5E4CD7C5" w:rsidR="0058536D" w:rsidRDefault="006B6318" w:rsidP="00335F97">
      <w:pPr>
        <w:pStyle w:val="Titulek"/>
        <w:keepNext/>
        <w:jc w:val="left"/>
      </w:pPr>
      <w:bookmarkStart w:id="27" w:name="_Toc73526789"/>
      <w:r>
        <w:t xml:space="preserve">Graf č. </w:t>
      </w:r>
      <w:fldSimple w:instr=" SEQ Graf_č._ \* ARABIC ">
        <w:r w:rsidR="00D65822">
          <w:rPr>
            <w:noProof/>
          </w:rPr>
          <w:t>13</w:t>
        </w:r>
      </w:fldSimple>
      <w:r w:rsidR="0058536D" w:rsidRPr="0058536D">
        <w:t xml:space="preserve">: </w:t>
      </w:r>
      <w:r w:rsidR="0058536D" w:rsidRPr="00335F97">
        <w:rPr>
          <w:rFonts w:cs="Arial"/>
          <w:i w:val="0"/>
          <w:noProof/>
        </w:rPr>
        <w:t xml:space="preserve">Znázornění parametru </w:t>
      </w:r>
      <w:r w:rsidR="004D5093" w:rsidRPr="00335F97">
        <w:rPr>
          <w:rFonts w:cs="Arial"/>
          <w:i w:val="0"/>
          <w:noProof/>
        </w:rPr>
        <w:t>„</w:t>
      </w:r>
      <w:r w:rsidR="0058536D" w:rsidRPr="00335F97">
        <w:rPr>
          <w:rFonts w:cs="Arial"/>
          <w:i w:val="0"/>
          <w:noProof/>
        </w:rPr>
        <w:t>jackpot</w:t>
      </w:r>
      <w:r w:rsidR="004D5093" w:rsidRPr="00335F97">
        <w:rPr>
          <w:rFonts w:cs="Arial"/>
          <w:i w:val="0"/>
          <w:noProof/>
        </w:rPr>
        <w:t>“</w:t>
      </w:r>
      <w:r w:rsidR="0058536D" w:rsidRPr="00335F97">
        <w:rPr>
          <w:rFonts w:cs="Arial"/>
          <w:i w:val="0"/>
          <w:noProof/>
        </w:rPr>
        <w:t xml:space="preserve"> podle jednotlivých hazardních her</w:t>
      </w:r>
      <w:r w:rsidR="00335F97">
        <w:rPr>
          <w:rFonts w:cs="Arial"/>
          <w:noProof/>
          <w:lang w:eastAsia="cs-CZ"/>
        </w:rPr>
        <w:drawing>
          <wp:inline distT="0" distB="0" distL="0" distR="0" wp14:anchorId="6D4B4754" wp14:editId="35D35E17">
            <wp:extent cx="8820000" cy="2738408"/>
            <wp:effectExtent l="0" t="0" r="635" b="508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820000" cy="2738408"/>
                    </a:xfrm>
                    <a:prstGeom prst="rect">
                      <a:avLst/>
                    </a:prstGeom>
                    <a:noFill/>
                  </pic:spPr>
                </pic:pic>
              </a:graphicData>
            </a:graphic>
          </wp:inline>
        </w:drawing>
      </w:r>
      <w:bookmarkEnd w:id="27"/>
    </w:p>
    <w:p w14:paraId="7D65CA8D" w14:textId="2F7B6BD3" w:rsidR="0058536D" w:rsidRPr="006B6318" w:rsidRDefault="0058536D" w:rsidP="0058536D">
      <w:pPr>
        <w:pStyle w:val="Titulek"/>
        <w:rPr>
          <w:sz w:val="20"/>
        </w:rPr>
      </w:pPr>
      <w:r w:rsidRPr="006B6318">
        <w:rPr>
          <w:sz w:val="20"/>
        </w:rPr>
        <w:t>Zdroj: Ministerstvo financí</w:t>
      </w:r>
      <w:r w:rsidR="006B6318" w:rsidRPr="006B6318">
        <w:rPr>
          <w:sz w:val="20"/>
        </w:rPr>
        <w:t>.</w:t>
      </w:r>
      <w:r w:rsidRPr="006B6318">
        <w:rPr>
          <w:sz w:val="20"/>
        </w:rPr>
        <w:t xml:space="preserve"> </w:t>
      </w:r>
    </w:p>
    <w:p w14:paraId="76F50D4D" w14:textId="77777777" w:rsidR="0058536D" w:rsidRDefault="0058536D" w:rsidP="0058536D">
      <w:pPr>
        <w:rPr>
          <w:lang w:eastAsia="zh-CN"/>
        </w:rPr>
        <w:sectPr w:rsidR="0058536D" w:rsidSect="00F23084">
          <w:pgSz w:w="16838" w:h="11906" w:orient="landscape"/>
          <w:pgMar w:top="1417" w:right="1417" w:bottom="1417" w:left="1417" w:header="708" w:footer="708" w:gutter="0"/>
          <w:cols w:space="708"/>
          <w:docGrid w:linePitch="360"/>
        </w:sectPr>
      </w:pPr>
    </w:p>
    <w:p w14:paraId="145F9407" w14:textId="447A28AC" w:rsidR="0058536D" w:rsidRDefault="000F59A3" w:rsidP="00846E09">
      <w:pPr>
        <w:pStyle w:val="Nadpis5"/>
      </w:pPr>
      <w:r>
        <w:t xml:space="preserve"> </w:t>
      </w:r>
      <w:r w:rsidR="0058536D">
        <w:t xml:space="preserve">Parametr </w:t>
      </w:r>
      <w:r w:rsidR="00944F0B">
        <w:t>„</w:t>
      </w:r>
      <w:r w:rsidR="0058536D">
        <w:t>kontinuita hraní</w:t>
      </w:r>
      <w:r w:rsidR="00944F0B">
        <w:t>“</w:t>
      </w:r>
    </w:p>
    <w:p w14:paraId="2C6E490F" w14:textId="53208DE6" w:rsidR="006B6318" w:rsidRDefault="0058536D" w:rsidP="00411F03">
      <w:r>
        <w:t>Dalším posuzovaným parametrem je „</w:t>
      </w:r>
      <w:r w:rsidR="004D5093">
        <w:t>k</w:t>
      </w:r>
      <w:r>
        <w:t xml:space="preserve">ontinuita hraní“. Představuje období, během kterého je možné hrát bez přerušení. Tento </w:t>
      </w:r>
      <w:r w:rsidR="00411F03">
        <w:t xml:space="preserve">parametr zobrazuje graf č. 14. </w:t>
      </w:r>
    </w:p>
    <w:p w14:paraId="098C62C8" w14:textId="4430A465" w:rsidR="0058536D" w:rsidRDefault="006B6318" w:rsidP="0058536D">
      <w:pPr>
        <w:pStyle w:val="Titulek"/>
        <w:keepNext/>
        <w:rPr>
          <w:rFonts w:cs="Arial"/>
          <w:i w:val="0"/>
          <w:noProof/>
        </w:rPr>
      </w:pPr>
      <w:bookmarkStart w:id="28" w:name="_Toc73526790"/>
      <w:r>
        <w:t xml:space="preserve">Graf č. </w:t>
      </w:r>
      <w:fldSimple w:instr=" SEQ Graf_č._ \* ARABIC ">
        <w:r w:rsidR="00D65822">
          <w:rPr>
            <w:noProof/>
          </w:rPr>
          <w:t>14</w:t>
        </w:r>
      </w:fldSimple>
      <w:r w:rsidR="0058536D" w:rsidRPr="0058536D">
        <w:rPr>
          <w:i w:val="0"/>
        </w:rPr>
        <w:t xml:space="preserve">: </w:t>
      </w:r>
      <w:r w:rsidR="0058536D" w:rsidRPr="0058536D">
        <w:rPr>
          <w:rFonts w:cs="Arial"/>
          <w:i w:val="0"/>
          <w:noProof/>
        </w:rPr>
        <w:t xml:space="preserve">Znázornění parametru </w:t>
      </w:r>
      <w:r w:rsidR="004D5093">
        <w:rPr>
          <w:rFonts w:cs="Arial"/>
          <w:i w:val="0"/>
          <w:noProof/>
        </w:rPr>
        <w:t>„</w:t>
      </w:r>
      <w:r w:rsidR="0058536D" w:rsidRPr="0058536D">
        <w:rPr>
          <w:rFonts w:cs="Arial"/>
          <w:i w:val="0"/>
          <w:noProof/>
        </w:rPr>
        <w:t>kontinuita hraní</w:t>
      </w:r>
      <w:r w:rsidR="004D5093">
        <w:rPr>
          <w:rFonts w:cs="Arial"/>
          <w:i w:val="0"/>
          <w:noProof/>
        </w:rPr>
        <w:t>“</w:t>
      </w:r>
      <w:r w:rsidR="0058536D" w:rsidRPr="0058536D">
        <w:rPr>
          <w:rFonts w:cs="Arial"/>
          <w:i w:val="0"/>
          <w:noProof/>
        </w:rPr>
        <w:t xml:space="preserve"> podle jednotlivých hazardních her</w:t>
      </w:r>
      <w:bookmarkEnd w:id="28"/>
    </w:p>
    <w:p w14:paraId="3C4870AD" w14:textId="73A6C209" w:rsidR="0058536D" w:rsidRDefault="00BF2D82" w:rsidP="00BF2D82">
      <w:r>
        <w:rPr>
          <w:noProof/>
          <w:lang w:eastAsia="cs-CZ"/>
        </w:rPr>
        <w:drawing>
          <wp:inline distT="0" distB="0" distL="0" distR="0" wp14:anchorId="60301606" wp14:editId="656CA1F9">
            <wp:extent cx="8820000" cy="2984237"/>
            <wp:effectExtent l="0" t="0" r="635" b="6985"/>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20000" cy="2984237"/>
                    </a:xfrm>
                    <a:prstGeom prst="rect">
                      <a:avLst/>
                    </a:prstGeom>
                    <a:noFill/>
                  </pic:spPr>
                </pic:pic>
              </a:graphicData>
            </a:graphic>
          </wp:inline>
        </w:drawing>
      </w:r>
    </w:p>
    <w:p w14:paraId="1AE74D9E" w14:textId="561D62BD" w:rsidR="0058536D" w:rsidRDefault="0058536D" w:rsidP="0058536D">
      <w:pPr>
        <w:pStyle w:val="Titulek"/>
        <w:rPr>
          <w:sz w:val="20"/>
        </w:rPr>
      </w:pPr>
      <w:r w:rsidRPr="006B6318">
        <w:rPr>
          <w:sz w:val="20"/>
        </w:rPr>
        <w:t>Zdroj: Ministerstvo financí</w:t>
      </w:r>
      <w:r w:rsidR="006B6318" w:rsidRPr="006B6318">
        <w:rPr>
          <w:sz w:val="20"/>
        </w:rPr>
        <w:t>.</w:t>
      </w:r>
      <w:r w:rsidRPr="006B6318">
        <w:rPr>
          <w:sz w:val="20"/>
        </w:rPr>
        <w:t xml:space="preserve"> </w:t>
      </w:r>
    </w:p>
    <w:p w14:paraId="4061D808" w14:textId="6C8124FF" w:rsidR="00BF2D82" w:rsidRDefault="00BF2D82" w:rsidP="00BF2D82"/>
    <w:p w14:paraId="31753111" w14:textId="77777777" w:rsidR="00BF2D82" w:rsidRPr="00BF2D82" w:rsidRDefault="00BF2D82" w:rsidP="00BF2D82"/>
    <w:p w14:paraId="5F59EB08" w14:textId="77777777" w:rsidR="00411F03" w:rsidRDefault="00411F03">
      <w:pPr>
        <w:spacing w:line="259" w:lineRule="auto"/>
        <w:jc w:val="left"/>
        <w:rPr>
          <w:rFonts w:eastAsiaTheme="majorEastAsia" w:cstheme="majorBidi"/>
          <w:b/>
        </w:rPr>
      </w:pPr>
      <w:r>
        <w:br w:type="page"/>
      </w:r>
    </w:p>
    <w:p w14:paraId="0E489BF0" w14:textId="182F0830" w:rsidR="0058536D" w:rsidRDefault="0058536D" w:rsidP="00846E09">
      <w:pPr>
        <w:pStyle w:val="Nadpis5"/>
      </w:pPr>
      <w:r>
        <w:t xml:space="preserve">Parametr </w:t>
      </w:r>
      <w:r w:rsidR="00A12FA8">
        <w:t>„</w:t>
      </w:r>
      <w:r>
        <w:t>šance na získání zisku</w:t>
      </w:r>
      <w:r w:rsidR="00A12FA8">
        <w:t>“</w:t>
      </w:r>
    </w:p>
    <w:p w14:paraId="3A1C0E5D" w14:textId="3D937790" w:rsidR="0058536D" w:rsidRDefault="0058536D" w:rsidP="0058536D">
      <w:r>
        <w:t>Graf č. 15 zobrazuje hodnoty dosažené v parametru „šance na získání zisku“, přičemž se jedná o</w:t>
      </w:r>
      <w:r w:rsidR="004D5093">
        <w:t> </w:t>
      </w:r>
      <w:r>
        <w:t xml:space="preserve">zhodnocení pravděpodobnosti dosažení zisku v každé hře hazardní hry. </w:t>
      </w:r>
    </w:p>
    <w:p w14:paraId="0A58953D" w14:textId="77777777" w:rsidR="006B6318" w:rsidRDefault="006B6318" w:rsidP="0058536D">
      <w:pPr>
        <w:pStyle w:val="Titulek"/>
        <w:keepNext/>
      </w:pPr>
    </w:p>
    <w:p w14:paraId="23EE2FA9" w14:textId="7057EA1C" w:rsidR="0058536D" w:rsidRDefault="0058536D" w:rsidP="0058536D">
      <w:pPr>
        <w:pStyle w:val="Titulek"/>
        <w:keepNext/>
        <w:rPr>
          <w:rFonts w:cs="Arial"/>
          <w:noProof/>
        </w:rPr>
      </w:pPr>
      <w:bookmarkStart w:id="29" w:name="_Toc73526791"/>
      <w:r w:rsidRPr="0058536D">
        <w:t xml:space="preserve">Graf č. </w:t>
      </w:r>
      <w:fldSimple w:instr=" SEQ Graf_č._ \* ARABIC ">
        <w:r w:rsidR="00D65822">
          <w:rPr>
            <w:noProof/>
          </w:rPr>
          <w:t>15</w:t>
        </w:r>
      </w:fldSimple>
      <w:r w:rsidRPr="0058536D">
        <w:t xml:space="preserve">: </w:t>
      </w:r>
      <w:r w:rsidRPr="0058536D">
        <w:rPr>
          <w:rFonts w:cs="Arial"/>
          <w:noProof/>
        </w:rPr>
        <w:t xml:space="preserve">Znázornění parametru </w:t>
      </w:r>
      <w:r w:rsidR="004D5093">
        <w:rPr>
          <w:rFonts w:cs="Arial"/>
          <w:noProof/>
        </w:rPr>
        <w:t>„</w:t>
      </w:r>
      <w:r w:rsidRPr="0058536D">
        <w:rPr>
          <w:rFonts w:cs="Arial"/>
          <w:noProof/>
        </w:rPr>
        <w:t>šance na získání zisku</w:t>
      </w:r>
      <w:r w:rsidR="004D5093">
        <w:rPr>
          <w:rFonts w:cs="Arial"/>
          <w:noProof/>
        </w:rPr>
        <w:t>“</w:t>
      </w:r>
      <w:r w:rsidRPr="0058536D">
        <w:rPr>
          <w:rFonts w:cs="Arial"/>
          <w:noProof/>
        </w:rPr>
        <w:t xml:space="preserve"> podle jednotlivých hazardních her</w:t>
      </w:r>
      <w:bookmarkEnd w:id="29"/>
    </w:p>
    <w:p w14:paraId="23066C4F" w14:textId="14E68D06" w:rsidR="0058536D" w:rsidRDefault="00BF2D82" w:rsidP="00BF2D82">
      <w:r>
        <w:rPr>
          <w:noProof/>
          <w:lang w:eastAsia="cs-CZ"/>
        </w:rPr>
        <w:drawing>
          <wp:inline distT="0" distB="0" distL="0" distR="0" wp14:anchorId="2D3F1161" wp14:editId="65976B6E">
            <wp:extent cx="8820000" cy="2618351"/>
            <wp:effectExtent l="0" t="0" r="63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820000" cy="2618351"/>
                    </a:xfrm>
                    <a:prstGeom prst="rect">
                      <a:avLst/>
                    </a:prstGeom>
                    <a:noFill/>
                  </pic:spPr>
                </pic:pic>
              </a:graphicData>
            </a:graphic>
          </wp:inline>
        </w:drawing>
      </w:r>
    </w:p>
    <w:p w14:paraId="7676FFD0" w14:textId="27E8D2CB" w:rsidR="0058536D" w:rsidRPr="006B6318" w:rsidRDefault="0058536D" w:rsidP="0058536D">
      <w:pPr>
        <w:pStyle w:val="Titulek"/>
        <w:rPr>
          <w:sz w:val="20"/>
          <w:szCs w:val="20"/>
        </w:rPr>
      </w:pPr>
      <w:r w:rsidRPr="006B6318">
        <w:rPr>
          <w:sz w:val="20"/>
          <w:szCs w:val="20"/>
        </w:rPr>
        <w:t>Zdroj: Ministerstvo financí</w:t>
      </w:r>
      <w:r w:rsidR="006B6318" w:rsidRPr="006B6318">
        <w:rPr>
          <w:sz w:val="20"/>
          <w:szCs w:val="20"/>
        </w:rPr>
        <w:t>.</w:t>
      </w:r>
      <w:r w:rsidRPr="006B6318">
        <w:rPr>
          <w:sz w:val="20"/>
          <w:szCs w:val="20"/>
        </w:rPr>
        <w:t xml:space="preserve"> </w:t>
      </w:r>
    </w:p>
    <w:p w14:paraId="0DDEFA86" w14:textId="77777777" w:rsidR="0058536D" w:rsidRDefault="0058536D" w:rsidP="0058536D">
      <w:pPr>
        <w:rPr>
          <w:lang w:eastAsia="zh-CN"/>
        </w:rPr>
        <w:sectPr w:rsidR="0058536D" w:rsidSect="00F23084">
          <w:pgSz w:w="16838" w:h="11906" w:orient="landscape"/>
          <w:pgMar w:top="1417" w:right="1417" w:bottom="1417" w:left="1417" w:header="708" w:footer="708" w:gutter="0"/>
          <w:cols w:space="708"/>
          <w:docGrid w:linePitch="360"/>
        </w:sectPr>
      </w:pPr>
    </w:p>
    <w:p w14:paraId="575F868A" w14:textId="2694F84B" w:rsidR="0058536D" w:rsidRDefault="000F59A3" w:rsidP="00846E09">
      <w:pPr>
        <w:pStyle w:val="Nadpis5"/>
      </w:pPr>
      <w:r>
        <w:t xml:space="preserve"> </w:t>
      </w:r>
      <w:r w:rsidR="0058536D">
        <w:t xml:space="preserve">Parametr </w:t>
      </w:r>
      <w:r w:rsidR="00A12FA8">
        <w:t>„</w:t>
      </w:r>
      <w:r w:rsidR="0058536D">
        <w:t>dostupnost</w:t>
      </w:r>
      <w:r w:rsidR="00A12FA8">
        <w:t>“</w:t>
      </w:r>
    </w:p>
    <w:p w14:paraId="3D944E10" w14:textId="3C060C3E" w:rsidR="0058536D" w:rsidRDefault="0058536D" w:rsidP="0058536D">
      <w:r>
        <w:t>Šestý parametr, který má vliv na rizikovost hazardních her, představuje „dostupnost“. Jedná se o</w:t>
      </w:r>
      <w:r w:rsidR="00A020EE">
        <w:t> </w:t>
      </w:r>
      <w:r>
        <w:t xml:space="preserve">možnost přístupu k hazardním hrám. </w:t>
      </w:r>
    </w:p>
    <w:p w14:paraId="3DFC3ED4" w14:textId="3C6207A0" w:rsidR="0058536D" w:rsidRDefault="0058536D" w:rsidP="0058536D">
      <w:pPr>
        <w:pStyle w:val="Titulek"/>
        <w:keepNext/>
        <w:rPr>
          <w:rFonts w:cs="Arial"/>
          <w:noProof/>
        </w:rPr>
      </w:pPr>
      <w:bookmarkStart w:id="30" w:name="_Toc73526792"/>
      <w:r>
        <w:t xml:space="preserve">Graf č. </w:t>
      </w:r>
      <w:fldSimple w:instr=" SEQ Graf_č._ \* ARABIC ">
        <w:r w:rsidR="00D65822">
          <w:rPr>
            <w:noProof/>
          </w:rPr>
          <w:t>16</w:t>
        </w:r>
      </w:fldSimple>
      <w:r>
        <w:t xml:space="preserve">: </w:t>
      </w:r>
      <w:r w:rsidRPr="0058536D">
        <w:rPr>
          <w:rFonts w:cs="Arial"/>
          <w:noProof/>
        </w:rPr>
        <w:t xml:space="preserve">Znázornění parametru </w:t>
      </w:r>
      <w:r w:rsidR="00A020EE">
        <w:rPr>
          <w:rFonts w:cs="Arial"/>
          <w:noProof/>
        </w:rPr>
        <w:t>„</w:t>
      </w:r>
      <w:r w:rsidRPr="0058536D">
        <w:rPr>
          <w:rFonts w:cs="Arial"/>
          <w:noProof/>
        </w:rPr>
        <w:t>dostupnost</w:t>
      </w:r>
      <w:r w:rsidR="00A020EE">
        <w:rPr>
          <w:rFonts w:cs="Arial"/>
          <w:noProof/>
        </w:rPr>
        <w:t>“</w:t>
      </w:r>
      <w:r w:rsidRPr="0058536D">
        <w:rPr>
          <w:rFonts w:cs="Arial"/>
          <w:noProof/>
        </w:rPr>
        <w:t xml:space="preserve"> podle jednotlivých hazardních her</w:t>
      </w:r>
      <w:bookmarkEnd w:id="30"/>
    </w:p>
    <w:p w14:paraId="534108A4" w14:textId="5B091D95" w:rsidR="0058536D" w:rsidRDefault="00BF2D82" w:rsidP="00BF2D82">
      <w:r>
        <w:rPr>
          <w:noProof/>
          <w:lang w:eastAsia="cs-CZ"/>
        </w:rPr>
        <w:drawing>
          <wp:inline distT="0" distB="0" distL="0" distR="0" wp14:anchorId="73BCCB6C" wp14:editId="053D2597">
            <wp:extent cx="8890658" cy="2400300"/>
            <wp:effectExtent l="0" t="0" r="5715"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92115" cy="2400693"/>
                    </a:xfrm>
                    <a:prstGeom prst="rect">
                      <a:avLst/>
                    </a:prstGeom>
                    <a:noFill/>
                  </pic:spPr>
                </pic:pic>
              </a:graphicData>
            </a:graphic>
          </wp:inline>
        </w:drawing>
      </w:r>
    </w:p>
    <w:p w14:paraId="7D838BAF" w14:textId="72ACC40B" w:rsidR="0058536D" w:rsidRPr="006B6318" w:rsidRDefault="006B6318" w:rsidP="0058536D">
      <w:pPr>
        <w:pStyle w:val="Titulek"/>
        <w:rPr>
          <w:sz w:val="20"/>
          <w:lang w:eastAsia="zh-CN"/>
        </w:rPr>
      </w:pPr>
      <w:r w:rsidRPr="006B6318">
        <w:rPr>
          <w:sz w:val="20"/>
        </w:rPr>
        <w:t>Zdroj: Ministerstvo financí.</w:t>
      </w:r>
    </w:p>
    <w:p w14:paraId="245423DB" w14:textId="77777777" w:rsidR="0058536D" w:rsidRDefault="0058536D" w:rsidP="0058536D">
      <w:pPr>
        <w:rPr>
          <w:lang w:eastAsia="zh-CN"/>
        </w:rPr>
        <w:sectPr w:rsidR="0058536D" w:rsidSect="00F23084">
          <w:pgSz w:w="16838" w:h="11906" w:orient="landscape"/>
          <w:pgMar w:top="1417" w:right="1417" w:bottom="1417" w:left="1417" w:header="708" w:footer="708" w:gutter="0"/>
          <w:cols w:space="708"/>
          <w:docGrid w:linePitch="360"/>
        </w:sectPr>
      </w:pPr>
    </w:p>
    <w:p w14:paraId="3A92AA8A" w14:textId="7C6C7991" w:rsidR="0058536D" w:rsidRDefault="000F59A3" w:rsidP="00846E09">
      <w:pPr>
        <w:pStyle w:val="Nadpis5"/>
      </w:pPr>
      <w:r>
        <w:t xml:space="preserve"> </w:t>
      </w:r>
      <w:r w:rsidR="0058536D">
        <w:t xml:space="preserve">Parametr </w:t>
      </w:r>
      <w:r w:rsidR="00A12FA8">
        <w:t>„</w:t>
      </w:r>
      <w:r w:rsidR="0058536D">
        <w:t>více možností hraní/sázek</w:t>
      </w:r>
      <w:r w:rsidR="00A12FA8">
        <w:t>“</w:t>
      </w:r>
    </w:p>
    <w:p w14:paraId="572E8BD6" w14:textId="42F03AE5" w:rsidR="0058536D" w:rsidRPr="00A12FA8" w:rsidRDefault="0058536D" w:rsidP="0058536D">
      <w:pPr>
        <w:pStyle w:val="Titulek"/>
        <w:keepNext/>
        <w:rPr>
          <w:i w:val="0"/>
        </w:rPr>
      </w:pPr>
      <w:r>
        <w:rPr>
          <w:i w:val="0"/>
        </w:rPr>
        <w:t>Parametr „</w:t>
      </w:r>
      <w:r w:rsidR="007028E9">
        <w:rPr>
          <w:i w:val="0"/>
        </w:rPr>
        <w:t>v</w:t>
      </w:r>
      <w:r>
        <w:rPr>
          <w:i w:val="0"/>
        </w:rPr>
        <w:t>íce možností hraní/sázek“ je další z deseti zkoumaných parametrů, jehož hodnoty zobrazuje níže uvedený graf</w:t>
      </w:r>
      <w:r w:rsidR="007028E9">
        <w:rPr>
          <w:i w:val="0"/>
        </w:rPr>
        <w:t> </w:t>
      </w:r>
      <w:r>
        <w:rPr>
          <w:i w:val="0"/>
        </w:rPr>
        <w:t>č</w:t>
      </w:r>
      <w:r w:rsidRPr="00A12FA8">
        <w:rPr>
          <w:i w:val="0"/>
        </w:rPr>
        <w:t>.</w:t>
      </w:r>
      <w:r w:rsidR="007028E9" w:rsidRPr="00A12FA8">
        <w:rPr>
          <w:i w:val="0"/>
        </w:rPr>
        <w:t> </w:t>
      </w:r>
      <w:r w:rsidRPr="00A12FA8">
        <w:rPr>
          <w:i w:val="0"/>
        </w:rPr>
        <w:t>17.</w:t>
      </w:r>
      <w:r w:rsidR="007028E9" w:rsidRPr="00A12FA8">
        <w:rPr>
          <w:i w:val="0"/>
        </w:rPr>
        <w:t> </w:t>
      </w:r>
      <w:r w:rsidRPr="00A12FA8">
        <w:rPr>
          <w:i w:val="0"/>
        </w:rPr>
        <w:t>Jedná se o možnost hrát několik sázek současně (např. Sázet na několik čísel rulety) nebo se účastnit několika hazardních her současně (např. Hrát různé hrací automaty současně nebo hrát různé on</w:t>
      </w:r>
      <w:r w:rsidR="007028E9" w:rsidRPr="00A12FA8">
        <w:rPr>
          <w:i w:val="0"/>
        </w:rPr>
        <w:t>-</w:t>
      </w:r>
      <w:r w:rsidRPr="00A12FA8">
        <w:rPr>
          <w:i w:val="0"/>
        </w:rPr>
        <w:t xml:space="preserve">line pokerové stoly) na různých obrazovkách současně). </w:t>
      </w:r>
    </w:p>
    <w:p w14:paraId="23240849" w14:textId="5BD48183" w:rsidR="00290F9D" w:rsidRDefault="006B6318" w:rsidP="00290F9D">
      <w:pPr>
        <w:pStyle w:val="Titulek"/>
        <w:keepNext/>
        <w:rPr>
          <w:rFonts w:cs="Arial"/>
          <w:noProof/>
        </w:rPr>
      </w:pPr>
      <w:bookmarkStart w:id="31" w:name="_Toc73526793"/>
      <w:r>
        <w:t xml:space="preserve">Graf č. </w:t>
      </w:r>
      <w:fldSimple w:instr=" SEQ Graf_č._ \* ARABIC ">
        <w:r w:rsidR="00D65822">
          <w:rPr>
            <w:noProof/>
          </w:rPr>
          <w:t>17</w:t>
        </w:r>
      </w:fldSimple>
      <w:r w:rsidR="00290F9D">
        <w:t xml:space="preserve">: </w:t>
      </w:r>
      <w:r w:rsidR="00290F9D" w:rsidRPr="00290F9D">
        <w:rPr>
          <w:rFonts w:cs="Arial"/>
          <w:noProof/>
        </w:rPr>
        <w:t xml:space="preserve">Znázornění parametru </w:t>
      </w:r>
      <w:r w:rsidR="007028E9">
        <w:rPr>
          <w:rFonts w:cs="Arial"/>
          <w:noProof/>
        </w:rPr>
        <w:t>„</w:t>
      </w:r>
      <w:r w:rsidR="00290F9D" w:rsidRPr="00290F9D">
        <w:rPr>
          <w:rFonts w:cs="Arial"/>
          <w:noProof/>
        </w:rPr>
        <w:t>více možností hraní/sázek</w:t>
      </w:r>
      <w:r w:rsidR="007028E9">
        <w:rPr>
          <w:rFonts w:cs="Arial"/>
          <w:noProof/>
        </w:rPr>
        <w:t>“</w:t>
      </w:r>
      <w:r w:rsidR="00290F9D" w:rsidRPr="00290F9D">
        <w:rPr>
          <w:rFonts w:cs="Arial"/>
          <w:noProof/>
        </w:rPr>
        <w:t xml:space="preserve"> podle jednotlivých hazardních her</w:t>
      </w:r>
      <w:bookmarkEnd w:id="31"/>
    </w:p>
    <w:p w14:paraId="2A6E6428" w14:textId="49E252A1" w:rsidR="00290F9D" w:rsidRDefault="00BF2D82" w:rsidP="00BF2D82">
      <w:r>
        <w:rPr>
          <w:noProof/>
          <w:lang w:eastAsia="cs-CZ"/>
        </w:rPr>
        <w:drawing>
          <wp:inline distT="0" distB="0" distL="0" distR="0" wp14:anchorId="32274B17" wp14:editId="79D7A2D4">
            <wp:extent cx="8820000" cy="2257821"/>
            <wp:effectExtent l="0" t="0" r="635" b="95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20000" cy="2257821"/>
                    </a:xfrm>
                    <a:prstGeom prst="rect">
                      <a:avLst/>
                    </a:prstGeom>
                    <a:noFill/>
                  </pic:spPr>
                </pic:pic>
              </a:graphicData>
            </a:graphic>
          </wp:inline>
        </w:drawing>
      </w:r>
    </w:p>
    <w:p w14:paraId="2D9A041C" w14:textId="595B4D0D" w:rsidR="0058536D" w:rsidRDefault="00290F9D" w:rsidP="00290F9D">
      <w:pPr>
        <w:pStyle w:val="Titulek"/>
      </w:pPr>
      <w:r w:rsidRPr="006B6318">
        <w:rPr>
          <w:sz w:val="20"/>
        </w:rPr>
        <w:t>Zdroj: Ministerstvo financí</w:t>
      </w:r>
      <w:r w:rsidR="006B6318" w:rsidRPr="006B6318">
        <w:rPr>
          <w:sz w:val="20"/>
        </w:rPr>
        <w:t>.</w:t>
      </w:r>
      <w:r>
        <w:t xml:space="preserve"> </w:t>
      </w:r>
    </w:p>
    <w:p w14:paraId="4D3D864F" w14:textId="77777777" w:rsidR="00290F9D" w:rsidRDefault="00290F9D" w:rsidP="00290F9D">
      <w:pPr>
        <w:rPr>
          <w:lang w:eastAsia="zh-CN"/>
        </w:rPr>
        <w:sectPr w:rsidR="00290F9D" w:rsidSect="00F23084">
          <w:pgSz w:w="16838" w:h="11906" w:orient="landscape"/>
          <w:pgMar w:top="1417" w:right="1417" w:bottom="1417" w:left="1417" w:header="708" w:footer="708" w:gutter="0"/>
          <w:cols w:space="708"/>
          <w:docGrid w:linePitch="360"/>
        </w:sectPr>
      </w:pPr>
    </w:p>
    <w:p w14:paraId="68008FBA" w14:textId="013BE9B4" w:rsidR="00290F9D" w:rsidRDefault="000F59A3" w:rsidP="00846E09">
      <w:pPr>
        <w:pStyle w:val="Nadpis5"/>
      </w:pPr>
      <w:r>
        <w:t xml:space="preserve"> </w:t>
      </w:r>
      <w:r w:rsidR="00290F9D">
        <w:t xml:space="preserve">Parametr </w:t>
      </w:r>
      <w:r w:rsidR="00A12FA8">
        <w:t>„</w:t>
      </w:r>
      <w:r w:rsidR="00290F9D">
        <w:t>proměnlivá výše vkladu</w:t>
      </w:r>
      <w:r w:rsidR="00A12FA8">
        <w:t>“</w:t>
      </w:r>
    </w:p>
    <w:p w14:paraId="67FB7EAD" w14:textId="7F8C2BE8" w:rsidR="00290F9D" w:rsidRDefault="00290F9D" w:rsidP="00290F9D">
      <w:pPr>
        <w:pStyle w:val="Titulek"/>
        <w:keepNext/>
        <w:rPr>
          <w:i w:val="0"/>
        </w:rPr>
      </w:pPr>
      <w:r w:rsidRPr="00290F9D">
        <w:rPr>
          <w:i w:val="0"/>
        </w:rPr>
        <w:t>Další posuzovaný parametr je „</w:t>
      </w:r>
      <w:r w:rsidR="002F6E63">
        <w:rPr>
          <w:i w:val="0"/>
        </w:rPr>
        <w:t>p</w:t>
      </w:r>
      <w:r w:rsidRPr="00290F9D">
        <w:rPr>
          <w:i w:val="0"/>
        </w:rPr>
        <w:t xml:space="preserve">roměnlivá výše vkladu“, přičemž se jedná o posouzení míry, do které si </w:t>
      </w:r>
      <w:r w:rsidR="008A4EDE">
        <w:rPr>
          <w:i w:val="0"/>
        </w:rPr>
        <w:t>účastníci hazardní hry</w:t>
      </w:r>
      <w:r w:rsidRPr="00290F9D">
        <w:rPr>
          <w:i w:val="0"/>
        </w:rPr>
        <w:t xml:space="preserve"> mohou během hraní vybrat nebo upravit své sázky - viz graf č.</w:t>
      </w:r>
      <w:r w:rsidR="002F6E63">
        <w:rPr>
          <w:i w:val="0"/>
        </w:rPr>
        <w:t> </w:t>
      </w:r>
      <w:r>
        <w:rPr>
          <w:i w:val="0"/>
        </w:rPr>
        <w:t>1</w:t>
      </w:r>
      <w:r w:rsidRPr="00290F9D">
        <w:rPr>
          <w:i w:val="0"/>
        </w:rPr>
        <w:t xml:space="preserve">8. </w:t>
      </w:r>
    </w:p>
    <w:p w14:paraId="74D29EFB" w14:textId="323C9140" w:rsidR="00290F9D" w:rsidRDefault="006B6318" w:rsidP="00290F9D">
      <w:pPr>
        <w:pStyle w:val="Titulek"/>
        <w:keepNext/>
        <w:rPr>
          <w:rFonts w:cs="Arial"/>
          <w:noProof/>
        </w:rPr>
      </w:pPr>
      <w:bookmarkStart w:id="32" w:name="_Toc73526794"/>
      <w:r>
        <w:t xml:space="preserve">Graf č. </w:t>
      </w:r>
      <w:fldSimple w:instr=" SEQ Graf_č._ \* ARABIC ">
        <w:r w:rsidR="00D65822">
          <w:rPr>
            <w:noProof/>
          </w:rPr>
          <w:t>18</w:t>
        </w:r>
      </w:fldSimple>
      <w:r w:rsidR="00290F9D" w:rsidRPr="00290F9D">
        <w:t xml:space="preserve">: </w:t>
      </w:r>
      <w:r w:rsidR="00290F9D" w:rsidRPr="00290F9D">
        <w:rPr>
          <w:rFonts w:cs="Arial"/>
          <w:noProof/>
        </w:rPr>
        <w:t xml:space="preserve">Znázornění parametru </w:t>
      </w:r>
      <w:r w:rsidR="002F6E63">
        <w:rPr>
          <w:rFonts w:cs="Arial"/>
          <w:noProof/>
        </w:rPr>
        <w:t>„</w:t>
      </w:r>
      <w:r w:rsidR="00290F9D" w:rsidRPr="00290F9D">
        <w:rPr>
          <w:rFonts w:cs="Arial"/>
          <w:noProof/>
        </w:rPr>
        <w:t>proměnlivá výše vkladu</w:t>
      </w:r>
      <w:r w:rsidR="002F6E63">
        <w:rPr>
          <w:rFonts w:cs="Arial"/>
          <w:noProof/>
        </w:rPr>
        <w:t>“</w:t>
      </w:r>
      <w:r w:rsidR="00290F9D" w:rsidRPr="00290F9D">
        <w:rPr>
          <w:rFonts w:cs="Arial"/>
          <w:noProof/>
        </w:rPr>
        <w:t xml:space="preserve"> podle jednotlivých hazardních her</w:t>
      </w:r>
      <w:bookmarkEnd w:id="32"/>
    </w:p>
    <w:p w14:paraId="7456DAFF" w14:textId="075E88B6" w:rsidR="00290F9D" w:rsidRDefault="00BF2D82" w:rsidP="00BF2D82">
      <w:r>
        <w:rPr>
          <w:noProof/>
          <w:lang w:eastAsia="cs-CZ"/>
        </w:rPr>
        <w:drawing>
          <wp:inline distT="0" distB="0" distL="0" distR="0" wp14:anchorId="430E2290" wp14:editId="130B2AD0">
            <wp:extent cx="8819515" cy="2705100"/>
            <wp:effectExtent l="0" t="0" r="635"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20004" cy="2705250"/>
                    </a:xfrm>
                    <a:prstGeom prst="rect">
                      <a:avLst/>
                    </a:prstGeom>
                    <a:noFill/>
                  </pic:spPr>
                </pic:pic>
              </a:graphicData>
            </a:graphic>
          </wp:inline>
        </w:drawing>
      </w:r>
    </w:p>
    <w:p w14:paraId="534E3824" w14:textId="713F833B" w:rsidR="00290F9D" w:rsidRDefault="00290F9D" w:rsidP="00290F9D">
      <w:pPr>
        <w:pStyle w:val="Titulek"/>
      </w:pPr>
      <w:r w:rsidRPr="006B6318">
        <w:rPr>
          <w:sz w:val="20"/>
        </w:rPr>
        <w:t>Zdroj: Ministerstvo financí</w:t>
      </w:r>
      <w:r w:rsidR="006B6318" w:rsidRPr="006B6318">
        <w:rPr>
          <w:sz w:val="20"/>
        </w:rPr>
        <w:t>.</w:t>
      </w:r>
      <w:r>
        <w:t xml:space="preserve"> </w:t>
      </w:r>
    </w:p>
    <w:p w14:paraId="098B3D36" w14:textId="77777777" w:rsidR="00290F9D" w:rsidRDefault="00290F9D" w:rsidP="00290F9D">
      <w:pPr>
        <w:rPr>
          <w:lang w:eastAsia="zh-CN"/>
        </w:rPr>
        <w:sectPr w:rsidR="00290F9D" w:rsidSect="00F23084">
          <w:pgSz w:w="16838" w:h="11906" w:orient="landscape"/>
          <w:pgMar w:top="1417" w:right="1417" w:bottom="1417" w:left="1417" w:header="708" w:footer="708" w:gutter="0"/>
          <w:cols w:space="708"/>
          <w:docGrid w:linePitch="360"/>
        </w:sectPr>
      </w:pPr>
    </w:p>
    <w:p w14:paraId="210991F6" w14:textId="2C358DC3" w:rsidR="00290F9D" w:rsidRDefault="000F59A3" w:rsidP="00846E09">
      <w:pPr>
        <w:pStyle w:val="Nadpis5"/>
      </w:pPr>
      <w:r>
        <w:t xml:space="preserve"> </w:t>
      </w:r>
      <w:r w:rsidR="00290F9D">
        <w:t xml:space="preserve">Parametr </w:t>
      </w:r>
      <w:r w:rsidR="00A12FA8">
        <w:t>„</w:t>
      </w:r>
      <w:r w:rsidR="00290F9D">
        <w:t>smyslový design výrobku</w:t>
      </w:r>
      <w:r w:rsidR="00A12FA8">
        <w:t>“</w:t>
      </w:r>
    </w:p>
    <w:p w14:paraId="7C9BB3B3" w14:textId="29E9E7C4" w:rsidR="00290F9D" w:rsidRDefault="00290F9D" w:rsidP="00290F9D">
      <w:r>
        <w:t>Další parametr hodnotí „smyslový design výrobku“, v tomto případě se jedná o</w:t>
      </w:r>
      <w:r w:rsidR="002F6E63">
        <w:t> </w:t>
      </w:r>
      <w:r>
        <w:t>posouzení sluchových a</w:t>
      </w:r>
      <w:r w:rsidR="002F6E63">
        <w:t> </w:t>
      </w:r>
      <w:r>
        <w:t xml:space="preserve">vizuálních efektů dané hazardní hry.  </w:t>
      </w:r>
    </w:p>
    <w:p w14:paraId="56D3AEFC" w14:textId="44A92F24" w:rsidR="00290F9D" w:rsidRDefault="00290F9D" w:rsidP="00290F9D">
      <w:pPr>
        <w:pStyle w:val="Titulek"/>
        <w:keepNext/>
        <w:rPr>
          <w:rFonts w:cs="Arial"/>
          <w:noProof/>
        </w:rPr>
      </w:pPr>
      <w:bookmarkStart w:id="33" w:name="_Toc73526795"/>
      <w:r>
        <w:t xml:space="preserve">Graf č. </w:t>
      </w:r>
      <w:fldSimple w:instr=" SEQ Graf_č._ \* ARABIC ">
        <w:r w:rsidR="00D65822">
          <w:rPr>
            <w:noProof/>
          </w:rPr>
          <w:t>19</w:t>
        </w:r>
      </w:fldSimple>
      <w:r>
        <w:t xml:space="preserve">: </w:t>
      </w:r>
      <w:r w:rsidRPr="00290F9D">
        <w:rPr>
          <w:rFonts w:cs="Arial"/>
          <w:noProof/>
        </w:rPr>
        <w:t xml:space="preserve">Znázornění parametru </w:t>
      </w:r>
      <w:r w:rsidR="002F6E63">
        <w:rPr>
          <w:rFonts w:cs="Arial"/>
          <w:noProof/>
        </w:rPr>
        <w:t>„</w:t>
      </w:r>
      <w:r w:rsidRPr="00290F9D">
        <w:rPr>
          <w:rFonts w:cs="Arial"/>
          <w:noProof/>
        </w:rPr>
        <w:t>smyslový design výrobku</w:t>
      </w:r>
      <w:r w:rsidR="002F6E63">
        <w:rPr>
          <w:rFonts w:cs="Arial"/>
          <w:noProof/>
        </w:rPr>
        <w:t>“</w:t>
      </w:r>
      <w:r w:rsidRPr="00290F9D">
        <w:rPr>
          <w:rFonts w:cs="Arial"/>
          <w:noProof/>
        </w:rPr>
        <w:t xml:space="preserve"> podle jednotlivých hazardních her</w:t>
      </w:r>
      <w:bookmarkEnd w:id="33"/>
    </w:p>
    <w:p w14:paraId="4576DC28" w14:textId="1601A901" w:rsidR="00290F9D" w:rsidRDefault="00BF2D82" w:rsidP="00BF2D82">
      <w:r>
        <w:rPr>
          <w:noProof/>
          <w:lang w:eastAsia="cs-CZ"/>
        </w:rPr>
        <w:drawing>
          <wp:inline distT="0" distB="0" distL="0" distR="0" wp14:anchorId="0A59FA3C" wp14:editId="229E2F26">
            <wp:extent cx="8818474" cy="2609850"/>
            <wp:effectExtent l="0" t="0" r="190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21145" cy="2610641"/>
                    </a:xfrm>
                    <a:prstGeom prst="rect">
                      <a:avLst/>
                    </a:prstGeom>
                    <a:noFill/>
                  </pic:spPr>
                </pic:pic>
              </a:graphicData>
            </a:graphic>
          </wp:inline>
        </w:drawing>
      </w:r>
    </w:p>
    <w:p w14:paraId="53DFDC9E" w14:textId="4ED5B865" w:rsidR="00290F9D" w:rsidRDefault="00290F9D" w:rsidP="00290F9D">
      <w:pPr>
        <w:pStyle w:val="Titulek"/>
      </w:pPr>
      <w:r w:rsidRPr="006B6318">
        <w:rPr>
          <w:sz w:val="20"/>
        </w:rPr>
        <w:t>Zdroj: Ministerstvo financí</w:t>
      </w:r>
      <w:r w:rsidR="006B6318" w:rsidRPr="006B6318">
        <w:rPr>
          <w:sz w:val="20"/>
        </w:rPr>
        <w:t>.</w:t>
      </w:r>
      <w:r>
        <w:t xml:space="preserve"> </w:t>
      </w:r>
    </w:p>
    <w:p w14:paraId="10E62ADB" w14:textId="77777777" w:rsidR="00290F9D" w:rsidRDefault="00290F9D" w:rsidP="00290F9D">
      <w:pPr>
        <w:rPr>
          <w:lang w:eastAsia="zh-CN"/>
        </w:rPr>
        <w:sectPr w:rsidR="00290F9D" w:rsidSect="00F23084">
          <w:pgSz w:w="16838" w:h="11906" w:orient="landscape"/>
          <w:pgMar w:top="1417" w:right="1417" w:bottom="1417" w:left="1417" w:header="708" w:footer="708" w:gutter="0"/>
          <w:cols w:space="708"/>
          <w:docGrid w:linePitch="360"/>
        </w:sectPr>
      </w:pPr>
    </w:p>
    <w:p w14:paraId="0C850B83" w14:textId="7AF6D0FC" w:rsidR="00290F9D" w:rsidRDefault="000F59A3" w:rsidP="00846E09">
      <w:pPr>
        <w:pStyle w:val="Nadpis5"/>
      </w:pPr>
      <w:r>
        <w:t xml:space="preserve"> </w:t>
      </w:r>
      <w:r w:rsidR="00290F9D">
        <w:t xml:space="preserve">Parametr </w:t>
      </w:r>
      <w:r w:rsidR="00A12FA8">
        <w:t>„</w:t>
      </w:r>
      <w:r w:rsidR="00290F9D">
        <w:t>v blízkosti vítězství</w:t>
      </w:r>
      <w:r w:rsidR="00A12FA8">
        <w:t>“</w:t>
      </w:r>
    </w:p>
    <w:p w14:paraId="7A02564D" w14:textId="002AF0F4" w:rsidR="00290F9D" w:rsidRPr="00FF3898" w:rsidRDefault="00290F9D" w:rsidP="00290F9D">
      <w:pPr>
        <w:pStyle w:val="Titulek"/>
        <w:keepNext/>
        <w:rPr>
          <w:i w:val="0"/>
        </w:rPr>
      </w:pPr>
      <w:r>
        <w:rPr>
          <w:i w:val="0"/>
        </w:rPr>
        <w:t xml:space="preserve">Poslední sledovaný parametr nese název „v blízkosti vítězství“. Tento parametr hodnotí, v jaké míře hazardní hra obsahuje prvek napětí, kdy </w:t>
      </w:r>
      <w:r w:rsidR="00107B14">
        <w:rPr>
          <w:i w:val="0"/>
        </w:rPr>
        <w:t>účastník hazardní hry</w:t>
      </w:r>
      <w:r>
        <w:rPr>
          <w:i w:val="0"/>
        </w:rPr>
        <w:t xml:space="preserve"> předpokládá výhru, ta se ale nedostaví (tzv. těsná výhra). Hodnoty tohoto parametru vyjadřuje graf č.</w:t>
      </w:r>
      <w:r w:rsidR="002F6E63">
        <w:rPr>
          <w:i w:val="0"/>
        </w:rPr>
        <w:t> </w:t>
      </w:r>
      <w:r>
        <w:rPr>
          <w:i w:val="0"/>
        </w:rPr>
        <w:t>20.</w:t>
      </w:r>
    </w:p>
    <w:p w14:paraId="2A8BCA59" w14:textId="0216F512" w:rsidR="00290F9D" w:rsidRDefault="00290F9D" w:rsidP="00290F9D">
      <w:pPr>
        <w:pStyle w:val="Titulek"/>
        <w:keepNext/>
        <w:rPr>
          <w:rFonts w:cs="Arial"/>
          <w:noProof/>
        </w:rPr>
      </w:pPr>
      <w:bookmarkStart w:id="34" w:name="_Toc73526796"/>
      <w:r>
        <w:t xml:space="preserve">Graf č. </w:t>
      </w:r>
      <w:fldSimple w:instr=" SEQ Graf_č._ \* ARABIC ">
        <w:r w:rsidR="00D65822">
          <w:rPr>
            <w:noProof/>
          </w:rPr>
          <w:t>20</w:t>
        </w:r>
      </w:fldSimple>
      <w:r>
        <w:t>:</w:t>
      </w:r>
      <w:r w:rsidRPr="00290F9D">
        <w:t xml:space="preserve"> </w:t>
      </w:r>
      <w:r w:rsidRPr="00290F9D">
        <w:rPr>
          <w:rFonts w:cs="Arial"/>
          <w:noProof/>
        </w:rPr>
        <w:t xml:space="preserve">Znázornění parametru </w:t>
      </w:r>
      <w:r w:rsidR="002F6E63">
        <w:rPr>
          <w:rFonts w:cs="Arial"/>
          <w:noProof/>
        </w:rPr>
        <w:t>„</w:t>
      </w:r>
      <w:r w:rsidRPr="00290F9D">
        <w:rPr>
          <w:rFonts w:cs="Arial"/>
          <w:noProof/>
        </w:rPr>
        <w:t>v blízkosti vítězství</w:t>
      </w:r>
      <w:r w:rsidR="002F6E63">
        <w:rPr>
          <w:rFonts w:cs="Arial"/>
          <w:noProof/>
        </w:rPr>
        <w:t>“</w:t>
      </w:r>
      <w:r w:rsidRPr="00290F9D">
        <w:rPr>
          <w:rFonts w:cs="Arial"/>
          <w:noProof/>
        </w:rPr>
        <w:t xml:space="preserve"> podle jednotlivých hazardních her</w:t>
      </w:r>
      <w:bookmarkEnd w:id="34"/>
    </w:p>
    <w:p w14:paraId="6D736ACA" w14:textId="7F9F5C99" w:rsidR="00290F9D" w:rsidRDefault="00BF2D82" w:rsidP="00BF2D82">
      <w:r>
        <w:rPr>
          <w:noProof/>
          <w:lang w:eastAsia="cs-CZ"/>
        </w:rPr>
        <w:drawing>
          <wp:inline distT="0" distB="0" distL="0" distR="0" wp14:anchorId="7D8B64C3" wp14:editId="0CFB387B">
            <wp:extent cx="8819515" cy="2905125"/>
            <wp:effectExtent l="0" t="0" r="635" b="952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20001" cy="2905285"/>
                    </a:xfrm>
                    <a:prstGeom prst="rect">
                      <a:avLst/>
                    </a:prstGeom>
                    <a:noFill/>
                  </pic:spPr>
                </pic:pic>
              </a:graphicData>
            </a:graphic>
          </wp:inline>
        </w:drawing>
      </w:r>
    </w:p>
    <w:p w14:paraId="147ED6FB" w14:textId="4909D795" w:rsidR="00290F9D" w:rsidRPr="006B6318" w:rsidRDefault="00290F9D" w:rsidP="00290F9D">
      <w:pPr>
        <w:pStyle w:val="Titulek"/>
        <w:rPr>
          <w:sz w:val="20"/>
        </w:rPr>
      </w:pPr>
      <w:r w:rsidRPr="006B6318">
        <w:rPr>
          <w:sz w:val="20"/>
        </w:rPr>
        <w:t>Zdroj: Ministerstvo financí</w:t>
      </w:r>
      <w:r w:rsidR="006B6318" w:rsidRPr="006B6318">
        <w:rPr>
          <w:sz w:val="20"/>
        </w:rPr>
        <w:t>.</w:t>
      </w:r>
    </w:p>
    <w:p w14:paraId="3992D10A" w14:textId="77777777" w:rsidR="00290F9D" w:rsidRDefault="00290F9D" w:rsidP="00290F9D">
      <w:pPr>
        <w:rPr>
          <w:lang w:eastAsia="zh-CN"/>
        </w:rPr>
        <w:sectPr w:rsidR="00290F9D" w:rsidSect="00F23084">
          <w:pgSz w:w="16838" w:h="11906" w:orient="landscape"/>
          <w:pgMar w:top="1417" w:right="1417" w:bottom="1417" w:left="1417" w:header="708" w:footer="708" w:gutter="0"/>
          <w:cols w:space="708"/>
          <w:docGrid w:linePitch="360"/>
        </w:sectPr>
      </w:pPr>
    </w:p>
    <w:p w14:paraId="7C2B6804" w14:textId="0352BCA9" w:rsidR="000B58A2" w:rsidRDefault="00290F9D" w:rsidP="00C44D1E">
      <w:pPr>
        <w:pStyle w:val="Nadpis3"/>
      </w:pPr>
      <w:bookmarkStart w:id="35" w:name="_Toc73604309"/>
      <w:r>
        <w:t>Závěrečné hodnocení podle druhů hazardních her</w:t>
      </w:r>
      <w:bookmarkEnd w:id="35"/>
    </w:p>
    <w:p w14:paraId="1D2A1AA2" w14:textId="75C6A272" w:rsidR="00290F9D" w:rsidRDefault="00290F9D" w:rsidP="006B6318">
      <w:r w:rsidRPr="0092753A">
        <w:t>Výsledky</w:t>
      </w:r>
      <w:r w:rsidRPr="00A018F4">
        <w:t xml:space="preserve"> analýzy ukazují, že regulace zákona o</w:t>
      </w:r>
      <w:r w:rsidR="004B45BD">
        <w:t> </w:t>
      </w:r>
      <w:r w:rsidRPr="00A018F4">
        <w:t xml:space="preserve">hazardních hrách byla v některých ohledech úspěšná, v některých méně. Úspěšnost je přitom nutné vnímat ve dvou oblastech, </w:t>
      </w:r>
      <w:r>
        <w:t xml:space="preserve">jednak </w:t>
      </w:r>
      <w:r w:rsidRPr="00A018F4">
        <w:t>zaměření regulace na ne</w:t>
      </w:r>
      <w:r>
        <w:t>jvíce rizikové hazardní hry (např.</w:t>
      </w:r>
      <w:r w:rsidRPr="00A018F4">
        <w:t xml:space="preserve"> vytvoření přísnějších omezení </w:t>
      </w:r>
      <w:r>
        <w:t>pro technickou hru), jednak</w:t>
      </w:r>
      <w:r w:rsidRPr="00A018F4">
        <w:t xml:space="preserve"> vhodnost přísnější regulace ostatních her, které byly při vzniku právní úpravy považovány za méně rizikové. </w:t>
      </w:r>
    </w:p>
    <w:p w14:paraId="564C1F88" w14:textId="224AAD23" w:rsidR="00290F9D" w:rsidRPr="0004780D" w:rsidRDefault="00290F9D" w:rsidP="006B6318">
      <w:r w:rsidRPr="00A018F4">
        <w:t xml:space="preserve">Výsledné hodnoty uvedené </w:t>
      </w:r>
      <w:r>
        <w:t>v tabulce</w:t>
      </w:r>
      <w:r w:rsidRPr="00A018F4">
        <w:t xml:space="preserve"> č.</w:t>
      </w:r>
      <w:r w:rsidR="004B45BD">
        <w:t> </w:t>
      </w:r>
      <w:r w:rsidR="00FE6739">
        <w:t xml:space="preserve">2 </w:t>
      </w:r>
      <w:r w:rsidRPr="00A018F4">
        <w:t xml:space="preserve">napovídají, že hazardní hry provozované na našem území </w:t>
      </w:r>
      <w:r w:rsidRPr="00B63DD6">
        <w:rPr>
          <w:b/>
        </w:rPr>
        <w:t>nedosahují nejvyšších možných úrovní rizikovosti</w:t>
      </w:r>
      <w:r w:rsidRPr="0092753A">
        <w:t xml:space="preserve"> tak, jak </w:t>
      </w:r>
      <w:r>
        <w:t>s nimi pracuje metodika testu ASTERIG</w:t>
      </w:r>
      <w:r w:rsidRPr="0092753A">
        <w:t>.</w:t>
      </w:r>
      <w:r w:rsidRPr="00A018F4">
        <w:t xml:space="preserve"> Toto je zřejmé např. u</w:t>
      </w:r>
      <w:r w:rsidR="004B45BD">
        <w:t> </w:t>
      </w:r>
      <w:r w:rsidRPr="00A018F4">
        <w:t xml:space="preserve">výše zmíněné technické hry, nicméně v tomto </w:t>
      </w:r>
      <w:r w:rsidRPr="00441E75">
        <w:t xml:space="preserve">ohledu je nutné zdůraznit, že </w:t>
      </w:r>
      <w:r w:rsidRPr="00B63DD6">
        <w:rPr>
          <w:b/>
        </w:rPr>
        <w:t>faktory, které zeslabují rizikovost technické hry</w:t>
      </w:r>
      <w:r>
        <w:t>,</w:t>
      </w:r>
      <w:r w:rsidRPr="0004780D">
        <w:t xml:space="preserve"> jsou zároveň oblasti, na které se zaměřil v rámci </w:t>
      </w:r>
      <w:r w:rsidRPr="00B63DD6">
        <w:rPr>
          <w:b/>
        </w:rPr>
        <w:t>zodpovědného hraní i</w:t>
      </w:r>
      <w:r w:rsidR="004B45BD">
        <w:rPr>
          <w:b/>
        </w:rPr>
        <w:t> </w:t>
      </w:r>
      <w:r w:rsidRPr="00B63DD6">
        <w:rPr>
          <w:b/>
        </w:rPr>
        <w:t>zákon o</w:t>
      </w:r>
      <w:r w:rsidR="004B45BD">
        <w:rPr>
          <w:b/>
        </w:rPr>
        <w:t> </w:t>
      </w:r>
      <w:r w:rsidRPr="00B63DD6">
        <w:rPr>
          <w:b/>
        </w:rPr>
        <w:t>hazardních hrách</w:t>
      </w:r>
      <w:r w:rsidRPr="0004780D">
        <w:t xml:space="preserve"> (např. povinná přestávka, minimální délka hry atd</w:t>
      </w:r>
      <w:r>
        <w:t>.</w:t>
      </w:r>
      <w:r w:rsidRPr="0004780D">
        <w:t>).</w:t>
      </w:r>
    </w:p>
    <w:p w14:paraId="416282E4" w14:textId="164A77B6" w:rsidR="00290F9D" w:rsidRDefault="00A12FA8" w:rsidP="006B6318">
      <w:r>
        <w:t>V</w:t>
      </w:r>
      <w:r w:rsidR="00290F9D" w:rsidRPr="0092753A">
        <w:t xml:space="preserve">ýsledky částečně vyvracejí předchozí hypotézu, která poukazovala především na tři druhy hazardních her s nejvyšší společenskou </w:t>
      </w:r>
      <w:r w:rsidR="00290F9D" w:rsidRPr="00A018F4">
        <w:t>škodlivostí</w:t>
      </w:r>
      <w:r w:rsidR="00290F9D">
        <w:t xml:space="preserve"> (</w:t>
      </w:r>
      <w:r w:rsidR="00290F9D" w:rsidRPr="00A018F4">
        <w:t xml:space="preserve">bingo, technickou hru, živou hru provozované </w:t>
      </w:r>
      <w:r w:rsidR="004B45BD">
        <w:t>formou</w:t>
      </w:r>
      <w:r w:rsidR="004B45BD" w:rsidRPr="00A018F4">
        <w:t xml:space="preserve"> </w:t>
      </w:r>
      <w:r w:rsidR="00290F9D" w:rsidRPr="00A018F4">
        <w:t>land-based</w:t>
      </w:r>
      <w:r w:rsidR="00290F9D">
        <w:t>),</w:t>
      </w:r>
      <w:r>
        <w:t xml:space="preserve"> a</w:t>
      </w:r>
      <w:r w:rsidR="00290F9D" w:rsidRPr="00A018F4">
        <w:t xml:space="preserve"> </w:t>
      </w:r>
      <w:r w:rsidR="006B6318">
        <w:t>tím pádem i </w:t>
      </w:r>
      <w:r w:rsidR="00290F9D">
        <w:t>zvýšenou rizikovost</w:t>
      </w:r>
      <w:r>
        <w:t>í</w:t>
      </w:r>
      <w:r w:rsidR="00290F9D">
        <w:t xml:space="preserve"> pro účastníky hazardních her. Z</w:t>
      </w:r>
      <w:r w:rsidR="00290F9D" w:rsidRPr="00A018F4">
        <w:t xml:space="preserve"> výsledků </w:t>
      </w:r>
      <w:r w:rsidR="00290F9D">
        <w:t xml:space="preserve">analýzy ASTERIG je </w:t>
      </w:r>
      <w:r w:rsidR="00290F9D" w:rsidRPr="00A018F4">
        <w:t xml:space="preserve">zřetelné, že </w:t>
      </w:r>
      <w:r w:rsidR="00290F9D" w:rsidRPr="00B63DD6">
        <w:rPr>
          <w:b/>
        </w:rPr>
        <w:t>zvýšená rizikovost se váže zejména na hazardní hry provozované jako internetové hry</w:t>
      </w:r>
      <w:r w:rsidR="00290F9D">
        <w:t xml:space="preserve">, </w:t>
      </w:r>
      <w:r w:rsidR="00290F9D" w:rsidRPr="00A018F4">
        <w:t>v</w:t>
      </w:r>
      <w:r w:rsidR="00290F9D">
        <w:t> případě technických her je rizikovost u</w:t>
      </w:r>
      <w:r w:rsidR="004B45BD">
        <w:t> </w:t>
      </w:r>
      <w:r w:rsidR="00290F9D">
        <w:t>obou způsobů obdobná</w:t>
      </w:r>
      <w:r w:rsidR="00290F9D" w:rsidRPr="00A018F4">
        <w:t>, avšak v případě všech ostatních druhů hazardních her významně zvyšuje rizikovost (zejména rychlostí hry a</w:t>
      </w:r>
      <w:r w:rsidR="004B45BD">
        <w:t> </w:t>
      </w:r>
      <w:r w:rsidR="00290F9D" w:rsidRPr="00A018F4">
        <w:t>možností nepřerušené účasti</w:t>
      </w:r>
      <w:r w:rsidR="00290F9D" w:rsidRPr="00347CE7">
        <w:t xml:space="preserve">). </w:t>
      </w:r>
      <w:r>
        <w:t>A</w:t>
      </w:r>
      <w:r w:rsidR="00290F9D" w:rsidRPr="00347CE7">
        <w:t>čkoli</w:t>
      </w:r>
      <w:r w:rsidR="00290F9D">
        <w:t>v</w:t>
      </w:r>
      <w:r w:rsidR="00290F9D" w:rsidRPr="00347CE7">
        <w:t xml:space="preserve"> tyto hry byly vyhodnoceny jako hazardní hry s vyšší škodlivostí (nikoli nejvyšší), zákon o</w:t>
      </w:r>
      <w:r w:rsidR="004B45BD">
        <w:t> </w:t>
      </w:r>
      <w:r w:rsidR="00290F9D" w:rsidRPr="00347CE7">
        <w:t>hazardních hrách kromě částečné povinnosti zřízení uživatelského konta a</w:t>
      </w:r>
      <w:r w:rsidR="004B45BD">
        <w:t> </w:t>
      </w:r>
      <w:r w:rsidR="00290F9D" w:rsidRPr="00347CE7">
        <w:t>navazujících sebeomezujících opatření, neobsahuje další zvláštní nástroje zodpovědného hraní, které by mohly pozitivně ovlivnit rizikovost těchto hazardních her tak, jako se tomu stalo v případě technických her.</w:t>
      </w:r>
    </w:p>
    <w:p w14:paraId="332CA3E8" w14:textId="77777777" w:rsidR="00290F9D" w:rsidRDefault="00290F9D" w:rsidP="006B6318"/>
    <w:p w14:paraId="5E23577A" w14:textId="77777777" w:rsidR="00290F9D" w:rsidRDefault="00290F9D" w:rsidP="00290F9D">
      <w:pPr>
        <w:sectPr w:rsidR="00290F9D" w:rsidSect="00290F9D">
          <w:pgSz w:w="11906" w:h="16838"/>
          <w:pgMar w:top="1417" w:right="1417" w:bottom="1417" w:left="1417" w:header="708" w:footer="708" w:gutter="0"/>
          <w:cols w:space="708"/>
          <w:docGrid w:linePitch="360"/>
        </w:sectPr>
      </w:pPr>
    </w:p>
    <w:p w14:paraId="09D9C31C" w14:textId="20DA3440" w:rsidR="00B63DD6" w:rsidRDefault="006B6318" w:rsidP="00B63DD6">
      <w:pPr>
        <w:pStyle w:val="Titulek"/>
        <w:keepNext/>
      </w:pPr>
      <w:bookmarkStart w:id="36" w:name="_Toc73526752"/>
      <w:r>
        <w:t>Tabulka č.</w:t>
      </w:r>
      <w:r w:rsidR="00B63DD6">
        <w:t xml:space="preserve"> </w:t>
      </w:r>
      <w:fldSimple w:instr=" SEQ Tabulka_č._ \* ARABIC ">
        <w:r>
          <w:rPr>
            <w:noProof/>
          </w:rPr>
          <w:t>2</w:t>
        </w:r>
      </w:fldSimple>
      <w:r w:rsidR="00B63DD6" w:rsidRPr="00B63DD6">
        <w:t xml:space="preserve"> </w:t>
      </w:r>
      <w:r w:rsidR="00B63DD6">
        <w:t>:</w:t>
      </w:r>
      <w:r w:rsidR="00B63DD6" w:rsidRPr="00BB13DA">
        <w:t xml:space="preserve">Vyhodnocení potenciálního rizika </w:t>
      </w:r>
      <w:r w:rsidR="009217B9">
        <w:t xml:space="preserve">posuzovaných </w:t>
      </w:r>
      <w:r w:rsidR="00B63DD6" w:rsidRPr="00BB13DA">
        <w:t>hazardních her</w:t>
      </w:r>
      <w:bookmarkEnd w:id="36"/>
    </w:p>
    <w:tbl>
      <w:tblPr>
        <w:tblW w:w="9062" w:type="dxa"/>
        <w:tblInd w:w="80" w:type="dxa"/>
        <w:tblCellMar>
          <w:left w:w="70" w:type="dxa"/>
          <w:right w:w="70" w:type="dxa"/>
        </w:tblCellMar>
        <w:tblLook w:val="04A0" w:firstRow="1" w:lastRow="0" w:firstColumn="1" w:lastColumn="0" w:noHBand="0" w:noVBand="1"/>
      </w:tblPr>
      <w:tblGrid>
        <w:gridCol w:w="3755"/>
        <w:gridCol w:w="1920"/>
        <w:gridCol w:w="2000"/>
        <w:gridCol w:w="1387"/>
      </w:tblGrid>
      <w:tr w:rsidR="002A75C5" w:rsidRPr="002A75C5" w14:paraId="1CA8911C" w14:textId="77777777" w:rsidTr="002A75C5">
        <w:trPr>
          <w:trHeight w:val="540"/>
        </w:trPr>
        <w:tc>
          <w:tcPr>
            <w:tcW w:w="3920"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0F58DB32" w14:textId="77777777" w:rsidR="002A75C5" w:rsidRPr="002A75C5" w:rsidRDefault="002A75C5" w:rsidP="002A75C5">
            <w:pPr>
              <w:spacing w:after="0"/>
              <w:jc w:val="center"/>
              <w:rPr>
                <w:rFonts w:eastAsia="Times New Roman" w:cs="Arial"/>
                <w:b/>
                <w:bCs/>
                <w:sz w:val="20"/>
                <w:szCs w:val="20"/>
                <w:lang w:eastAsia="cs-CZ"/>
              </w:rPr>
            </w:pPr>
            <w:r w:rsidRPr="002A75C5">
              <w:rPr>
                <w:rFonts w:eastAsia="Times New Roman" w:cs="Arial"/>
                <w:b/>
                <w:bCs/>
                <w:sz w:val="20"/>
                <w:szCs w:val="20"/>
                <w:lang w:eastAsia="cs-CZ"/>
              </w:rPr>
              <w:t>Hazardní hry</w:t>
            </w:r>
          </w:p>
        </w:tc>
        <w:tc>
          <w:tcPr>
            <w:tcW w:w="1920" w:type="dxa"/>
            <w:tcBorders>
              <w:top w:val="single" w:sz="8" w:space="0" w:color="auto"/>
              <w:left w:val="nil"/>
              <w:bottom w:val="single" w:sz="4" w:space="0" w:color="auto"/>
              <w:right w:val="single" w:sz="4" w:space="0" w:color="auto"/>
            </w:tcBorders>
            <w:shd w:val="clear" w:color="000000" w:fill="D9D9D9"/>
            <w:vAlign w:val="center"/>
            <w:hideMark/>
          </w:tcPr>
          <w:p w14:paraId="5EDDD924" w14:textId="77777777" w:rsidR="002A75C5" w:rsidRPr="002A75C5" w:rsidRDefault="002A75C5" w:rsidP="002A75C5">
            <w:pPr>
              <w:spacing w:after="0"/>
              <w:jc w:val="center"/>
              <w:rPr>
                <w:rFonts w:eastAsia="Times New Roman" w:cs="Arial"/>
                <w:b/>
                <w:bCs/>
                <w:color w:val="000000"/>
                <w:sz w:val="22"/>
                <w:lang w:eastAsia="cs-CZ"/>
              </w:rPr>
            </w:pPr>
            <w:r w:rsidRPr="002A75C5">
              <w:rPr>
                <w:rFonts w:eastAsia="Times New Roman" w:cs="Arial"/>
                <w:b/>
                <w:bCs/>
                <w:color w:val="000000"/>
                <w:sz w:val="22"/>
                <w:lang w:eastAsia="cs-CZ"/>
              </w:rPr>
              <w:t>Score</w:t>
            </w:r>
          </w:p>
        </w:tc>
        <w:tc>
          <w:tcPr>
            <w:tcW w:w="2000" w:type="dxa"/>
            <w:tcBorders>
              <w:top w:val="single" w:sz="8" w:space="0" w:color="auto"/>
              <w:left w:val="nil"/>
              <w:bottom w:val="single" w:sz="4" w:space="0" w:color="auto"/>
              <w:right w:val="single" w:sz="4" w:space="0" w:color="auto"/>
            </w:tcBorders>
            <w:shd w:val="clear" w:color="000000" w:fill="D9D9D9"/>
            <w:vAlign w:val="center"/>
            <w:hideMark/>
          </w:tcPr>
          <w:p w14:paraId="7FE01AF5" w14:textId="77777777" w:rsidR="002A75C5" w:rsidRPr="002A75C5" w:rsidRDefault="002A75C5" w:rsidP="002A75C5">
            <w:pPr>
              <w:spacing w:after="0"/>
              <w:jc w:val="center"/>
              <w:rPr>
                <w:rFonts w:eastAsia="Times New Roman" w:cs="Arial"/>
                <w:b/>
                <w:bCs/>
                <w:color w:val="000000"/>
                <w:sz w:val="20"/>
                <w:szCs w:val="20"/>
                <w:lang w:eastAsia="cs-CZ"/>
              </w:rPr>
            </w:pPr>
            <w:r w:rsidRPr="002A75C5">
              <w:rPr>
                <w:rFonts w:eastAsia="Times New Roman" w:cs="Arial"/>
                <w:b/>
                <w:bCs/>
                <w:color w:val="000000"/>
                <w:sz w:val="20"/>
                <w:szCs w:val="20"/>
                <w:lang w:eastAsia="cs-CZ"/>
              </w:rPr>
              <w:t>Risk category</w:t>
            </w:r>
          </w:p>
        </w:tc>
        <w:tc>
          <w:tcPr>
            <w:tcW w:w="1222" w:type="dxa"/>
            <w:tcBorders>
              <w:top w:val="single" w:sz="8" w:space="0" w:color="auto"/>
              <w:left w:val="nil"/>
              <w:bottom w:val="single" w:sz="4" w:space="0" w:color="auto"/>
              <w:right w:val="single" w:sz="8" w:space="0" w:color="auto"/>
            </w:tcBorders>
            <w:shd w:val="clear" w:color="000000" w:fill="D9D9D9"/>
            <w:vAlign w:val="center"/>
            <w:hideMark/>
          </w:tcPr>
          <w:p w14:paraId="537723E3" w14:textId="77777777" w:rsidR="002A75C5" w:rsidRPr="002A75C5" w:rsidRDefault="002A75C5" w:rsidP="002A75C5">
            <w:pPr>
              <w:spacing w:after="0"/>
              <w:jc w:val="center"/>
              <w:rPr>
                <w:rFonts w:eastAsia="Times New Roman" w:cs="Arial"/>
                <w:b/>
                <w:bCs/>
                <w:color w:val="000000"/>
                <w:sz w:val="22"/>
                <w:lang w:eastAsia="cs-CZ"/>
              </w:rPr>
            </w:pPr>
            <w:r w:rsidRPr="002A75C5">
              <w:rPr>
                <w:rFonts w:eastAsia="Times New Roman" w:cs="Arial"/>
                <w:b/>
                <w:bCs/>
                <w:color w:val="000000"/>
                <w:sz w:val="22"/>
                <w:lang w:eastAsia="cs-CZ"/>
              </w:rPr>
              <w:t>Risk potential</w:t>
            </w:r>
          </w:p>
        </w:tc>
      </w:tr>
      <w:tr w:rsidR="002A75C5" w:rsidRPr="002A75C5" w14:paraId="25B8D375"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09D3AA41"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Pr="002A75C5">
              <w:rPr>
                <w:rFonts w:eastAsia="Times New Roman" w:cs="Arial"/>
                <w:color w:val="000000"/>
                <w:sz w:val="20"/>
                <w:szCs w:val="20"/>
                <w:lang w:eastAsia="cs-CZ"/>
              </w:rPr>
              <w:t>- číselná loterie č. 1</w:t>
            </w:r>
          </w:p>
        </w:tc>
        <w:tc>
          <w:tcPr>
            <w:tcW w:w="1920" w:type="dxa"/>
            <w:tcBorders>
              <w:top w:val="nil"/>
              <w:left w:val="nil"/>
              <w:bottom w:val="single" w:sz="4" w:space="0" w:color="auto"/>
              <w:right w:val="single" w:sz="4" w:space="0" w:color="auto"/>
            </w:tcBorders>
            <w:shd w:val="clear" w:color="000000" w:fill="F2F2F2"/>
            <w:noWrap/>
            <w:vAlign w:val="center"/>
            <w:hideMark/>
          </w:tcPr>
          <w:p w14:paraId="1837333E"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253,5</w:t>
            </w:r>
          </w:p>
        </w:tc>
        <w:tc>
          <w:tcPr>
            <w:tcW w:w="2000" w:type="dxa"/>
            <w:tcBorders>
              <w:top w:val="nil"/>
              <w:left w:val="nil"/>
              <w:bottom w:val="single" w:sz="4" w:space="0" w:color="auto"/>
              <w:right w:val="single" w:sz="4" w:space="0" w:color="auto"/>
            </w:tcBorders>
            <w:shd w:val="clear" w:color="000000" w:fill="FFC000"/>
            <w:noWrap/>
            <w:vAlign w:val="center"/>
            <w:hideMark/>
          </w:tcPr>
          <w:p w14:paraId="18B58AC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079978B8"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7898F95A"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3E94F437" w14:textId="63BB234F"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xml:space="preserve"> - číselná loterie č. 2</w:t>
            </w:r>
          </w:p>
        </w:tc>
        <w:tc>
          <w:tcPr>
            <w:tcW w:w="1920" w:type="dxa"/>
            <w:tcBorders>
              <w:top w:val="nil"/>
              <w:left w:val="nil"/>
              <w:bottom w:val="single" w:sz="4" w:space="0" w:color="auto"/>
              <w:right w:val="single" w:sz="4" w:space="0" w:color="auto"/>
            </w:tcBorders>
            <w:shd w:val="clear" w:color="000000" w:fill="F2F2F2"/>
            <w:noWrap/>
            <w:vAlign w:val="center"/>
            <w:hideMark/>
          </w:tcPr>
          <w:p w14:paraId="7369AB1C"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278,5</w:t>
            </w:r>
          </w:p>
        </w:tc>
        <w:tc>
          <w:tcPr>
            <w:tcW w:w="2000" w:type="dxa"/>
            <w:tcBorders>
              <w:top w:val="nil"/>
              <w:left w:val="nil"/>
              <w:bottom w:val="single" w:sz="4" w:space="0" w:color="auto"/>
              <w:right w:val="single" w:sz="4" w:space="0" w:color="auto"/>
            </w:tcBorders>
            <w:shd w:val="clear" w:color="000000" w:fill="FFC000"/>
            <w:noWrap/>
            <w:vAlign w:val="center"/>
            <w:hideMark/>
          </w:tcPr>
          <w:p w14:paraId="37D635C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2FDAD137"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3979F6F0"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1FA2F1C0"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OKAMŽITÁ LOTERIE </w:t>
            </w:r>
            <w:r w:rsidRPr="002A75C5">
              <w:rPr>
                <w:rFonts w:eastAsia="Times New Roman" w:cs="Arial"/>
                <w:color w:val="000000"/>
                <w:sz w:val="20"/>
                <w:szCs w:val="20"/>
                <w:lang w:eastAsia="cs-CZ"/>
              </w:rPr>
              <w:t>- stírací los č. 1</w:t>
            </w:r>
          </w:p>
        </w:tc>
        <w:tc>
          <w:tcPr>
            <w:tcW w:w="1920" w:type="dxa"/>
            <w:tcBorders>
              <w:top w:val="nil"/>
              <w:left w:val="nil"/>
              <w:bottom w:val="single" w:sz="4" w:space="0" w:color="auto"/>
              <w:right w:val="single" w:sz="4" w:space="0" w:color="auto"/>
            </w:tcBorders>
            <w:shd w:val="clear" w:color="000000" w:fill="F2F2F2"/>
            <w:noWrap/>
            <w:vAlign w:val="center"/>
            <w:hideMark/>
          </w:tcPr>
          <w:p w14:paraId="4921168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330</w:t>
            </w:r>
          </w:p>
        </w:tc>
        <w:tc>
          <w:tcPr>
            <w:tcW w:w="2000" w:type="dxa"/>
            <w:tcBorders>
              <w:top w:val="nil"/>
              <w:left w:val="nil"/>
              <w:bottom w:val="single" w:sz="4" w:space="0" w:color="auto"/>
              <w:right w:val="single" w:sz="4" w:space="0" w:color="auto"/>
            </w:tcBorders>
            <w:shd w:val="clear" w:color="000000" w:fill="FFC000"/>
            <w:noWrap/>
            <w:vAlign w:val="center"/>
            <w:hideMark/>
          </w:tcPr>
          <w:p w14:paraId="156B548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51976E9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38592EB3"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1703207E" w14:textId="615A54E8"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OKAMŽITÁ LOTERIE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xml:space="preserve"> - stírací los č. 2</w:t>
            </w:r>
          </w:p>
        </w:tc>
        <w:tc>
          <w:tcPr>
            <w:tcW w:w="1920" w:type="dxa"/>
            <w:tcBorders>
              <w:top w:val="nil"/>
              <w:left w:val="nil"/>
              <w:bottom w:val="single" w:sz="4" w:space="0" w:color="auto"/>
              <w:right w:val="single" w:sz="4" w:space="0" w:color="auto"/>
            </w:tcBorders>
            <w:shd w:val="clear" w:color="000000" w:fill="F2F2F2"/>
            <w:noWrap/>
            <w:vAlign w:val="center"/>
            <w:hideMark/>
          </w:tcPr>
          <w:p w14:paraId="6E024A4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400</w:t>
            </w:r>
          </w:p>
        </w:tc>
        <w:tc>
          <w:tcPr>
            <w:tcW w:w="2000" w:type="dxa"/>
            <w:tcBorders>
              <w:top w:val="nil"/>
              <w:left w:val="nil"/>
              <w:bottom w:val="single" w:sz="4" w:space="0" w:color="auto"/>
              <w:right w:val="single" w:sz="4" w:space="0" w:color="auto"/>
            </w:tcBorders>
            <w:shd w:val="clear" w:color="000000" w:fill="E26B0A"/>
            <w:noWrap/>
            <w:vAlign w:val="center"/>
            <w:hideMark/>
          </w:tcPr>
          <w:p w14:paraId="68E9659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5CEAD779"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76A93F2A"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50615887" w14:textId="356FC861"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LOTERIE - č</w:t>
            </w:r>
            <w:r w:rsidRPr="002A75C5">
              <w:rPr>
                <w:rFonts w:eastAsia="Times New Roman" w:cs="Arial"/>
                <w:color w:val="000000"/>
                <w:sz w:val="20"/>
                <w:szCs w:val="20"/>
                <w:lang w:eastAsia="cs-CZ"/>
              </w:rPr>
              <w:t>íselná loterie č.</w:t>
            </w:r>
            <w:r>
              <w:rPr>
                <w:rFonts w:eastAsia="Times New Roman" w:cs="Arial"/>
                <w:color w:val="000000"/>
                <w:sz w:val="20"/>
                <w:szCs w:val="20"/>
                <w:lang w:eastAsia="cs-CZ"/>
              </w:rPr>
              <w:t xml:space="preserve"> </w:t>
            </w:r>
            <w:r w:rsidRPr="002A75C5">
              <w:rPr>
                <w:rFonts w:eastAsia="Times New Roman" w:cs="Arial"/>
                <w:color w:val="000000"/>
                <w:sz w:val="20"/>
                <w:szCs w:val="20"/>
                <w:lang w:eastAsia="cs-CZ"/>
              </w:rPr>
              <w:t>3</w:t>
            </w:r>
          </w:p>
        </w:tc>
        <w:tc>
          <w:tcPr>
            <w:tcW w:w="1920" w:type="dxa"/>
            <w:tcBorders>
              <w:top w:val="nil"/>
              <w:left w:val="nil"/>
              <w:bottom w:val="single" w:sz="4" w:space="0" w:color="auto"/>
              <w:right w:val="single" w:sz="4" w:space="0" w:color="auto"/>
            </w:tcBorders>
            <w:shd w:val="clear" w:color="000000" w:fill="F2F2F2"/>
            <w:noWrap/>
            <w:vAlign w:val="center"/>
            <w:hideMark/>
          </w:tcPr>
          <w:p w14:paraId="418E022B"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330</w:t>
            </w:r>
          </w:p>
        </w:tc>
        <w:tc>
          <w:tcPr>
            <w:tcW w:w="2000" w:type="dxa"/>
            <w:tcBorders>
              <w:top w:val="nil"/>
              <w:left w:val="nil"/>
              <w:bottom w:val="single" w:sz="4" w:space="0" w:color="auto"/>
              <w:right w:val="single" w:sz="4" w:space="0" w:color="auto"/>
            </w:tcBorders>
            <w:shd w:val="clear" w:color="000000" w:fill="FFC000"/>
            <w:noWrap/>
            <w:vAlign w:val="center"/>
            <w:hideMark/>
          </w:tcPr>
          <w:p w14:paraId="7FF5FE4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1B285DF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5758176D"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55E9332E" w14:textId="6E65928A"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 - č</w:t>
            </w:r>
            <w:r w:rsidRPr="002A75C5">
              <w:rPr>
                <w:rFonts w:eastAsia="Times New Roman" w:cs="Arial"/>
                <w:color w:val="000000"/>
                <w:sz w:val="20"/>
                <w:szCs w:val="20"/>
                <w:lang w:eastAsia="cs-CZ"/>
              </w:rPr>
              <w:t xml:space="preserve">íselná loterie č. 4  </w:t>
            </w:r>
          </w:p>
        </w:tc>
        <w:tc>
          <w:tcPr>
            <w:tcW w:w="1920" w:type="dxa"/>
            <w:tcBorders>
              <w:top w:val="nil"/>
              <w:left w:val="nil"/>
              <w:bottom w:val="single" w:sz="4" w:space="0" w:color="auto"/>
              <w:right w:val="single" w:sz="4" w:space="0" w:color="auto"/>
            </w:tcBorders>
            <w:shd w:val="clear" w:color="000000" w:fill="F2F2F2"/>
            <w:noWrap/>
            <w:vAlign w:val="center"/>
            <w:hideMark/>
          </w:tcPr>
          <w:p w14:paraId="6E5D4E8A"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347,5</w:t>
            </w:r>
          </w:p>
        </w:tc>
        <w:tc>
          <w:tcPr>
            <w:tcW w:w="2000" w:type="dxa"/>
            <w:tcBorders>
              <w:top w:val="nil"/>
              <w:left w:val="nil"/>
              <w:bottom w:val="single" w:sz="4" w:space="0" w:color="auto"/>
              <w:right w:val="single" w:sz="4" w:space="0" w:color="auto"/>
            </w:tcBorders>
            <w:shd w:val="clear" w:color="000000" w:fill="FFC000"/>
            <w:noWrap/>
            <w:vAlign w:val="center"/>
            <w:hideMark/>
          </w:tcPr>
          <w:p w14:paraId="0C9AF461"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2F9DE49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2C1CB24D" w14:textId="77777777" w:rsidTr="002A75C5">
        <w:trPr>
          <w:trHeight w:val="480"/>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698799DF" w14:textId="30DE42EA"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 -</w:t>
            </w:r>
            <w:r w:rsidRPr="002A75C5">
              <w:rPr>
                <w:rFonts w:eastAsia="Times New Roman" w:cs="Arial"/>
                <w:color w:val="000000"/>
                <w:sz w:val="20"/>
                <w:szCs w:val="20"/>
                <w:lang w:eastAsia="cs-CZ"/>
              </w:rPr>
              <w:t xml:space="preserve"> č. 5</w:t>
            </w:r>
          </w:p>
        </w:tc>
        <w:tc>
          <w:tcPr>
            <w:tcW w:w="1920" w:type="dxa"/>
            <w:tcBorders>
              <w:top w:val="nil"/>
              <w:left w:val="nil"/>
              <w:bottom w:val="single" w:sz="12" w:space="0" w:color="auto"/>
              <w:right w:val="single" w:sz="4" w:space="0" w:color="auto"/>
            </w:tcBorders>
            <w:shd w:val="clear" w:color="000000" w:fill="F2F2F2"/>
            <w:noWrap/>
            <w:vAlign w:val="center"/>
            <w:hideMark/>
          </w:tcPr>
          <w:p w14:paraId="1226E1B9"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380</w:t>
            </w:r>
          </w:p>
        </w:tc>
        <w:tc>
          <w:tcPr>
            <w:tcW w:w="2000" w:type="dxa"/>
            <w:tcBorders>
              <w:top w:val="nil"/>
              <w:left w:val="nil"/>
              <w:bottom w:val="single" w:sz="12" w:space="0" w:color="auto"/>
              <w:right w:val="single" w:sz="4" w:space="0" w:color="auto"/>
            </w:tcBorders>
            <w:shd w:val="clear" w:color="000000" w:fill="E26B0A"/>
            <w:noWrap/>
            <w:vAlign w:val="center"/>
            <w:hideMark/>
          </w:tcPr>
          <w:p w14:paraId="78AE2449"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4BB2F98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51FA7D2F"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63F0F529"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KURSOVÁ SÁZKA</w:t>
            </w:r>
          </w:p>
        </w:tc>
        <w:tc>
          <w:tcPr>
            <w:tcW w:w="1920" w:type="dxa"/>
            <w:tcBorders>
              <w:top w:val="nil"/>
              <w:left w:val="nil"/>
              <w:bottom w:val="single" w:sz="4" w:space="0" w:color="auto"/>
              <w:right w:val="single" w:sz="4" w:space="0" w:color="auto"/>
            </w:tcBorders>
            <w:shd w:val="clear" w:color="000000" w:fill="FFFFFF"/>
            <w:noWrap/>
            <w:vAlign w:val="center"/>
            <w:hideMark/>
          </w:tcPr>
          <w:p w14:paraId="2DFA00C9"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297</w:t>
            </w:r>
          </w:p>
        </w:tc>
        <w:tc>
          <w:tcPr>
            <w:tcW w:w="2000" w:type="dxa"/>
            <w:tcBorders>
              <w:top w:val="nil"/>
              <w:left w:val="nil"/>
              <w:bottom w:val="single" w:sz="4" w:space="0" w:color="auto"/>
              <w:right w:val="single" w:sz="4" w:space="0" w:color="auto"/>
            </w:tcBorders>
            <w:shd w:val="clear" w:color="000000" w:fill="FFC000"/>
            <w:noWrap/>
            <w:vAlign w:val="center"/>
            <w:hideMark/>
          </w:tcPr>
          <w:p w14:paraId="6AFCDF28"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0209EDF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06691BDC"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11A16239" w14:textId="3360C1C6"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KURSOVÁ SÁZKA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4" w:space="0" w:color="auto"/>
              <w:right w:val="single" w:sz="4" w:space="0" w:color="auto"/>
            </w:tcBorders>
            <w:shd w:val="clear" w:color="000000" w:fill="FFFFFF"/>
            <w:noWrap/>
            <w:vAlign w:val="center"/>
            <w:hideMark/>
          </w:tcPr>
          <w:p w14:paraId="7741EFA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417,5</w:t>
            </w:r>
          </w:p>
        </w:tc>
        <w:tc>
          <w:tcPr>
            <w:tcW w:w="2000" w:type="dxa"/>
            <w:tcBorders>
              <w:top w:val="nil"/>
              <w:left w:val="nil"/>
              <w:bottom w:val="single" w:sz="4" w:space="0" w:color="auto"/>
              <w:right w:val="single" w:sz="4" w:space="0" w:color="auto"/>
            </w:tcBorders>
            <w:shd w:val="clear" w:color="000000" w:fill="E26B0A"/>
            <w:noWrap/>
            <w:vAlign w:val="center"/>
            <w:hideMark/>
          </w:tcPr>
          <w:p w14:paraId="37930C4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1F4A74A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1ADC18DC" w14:textId="77777777" w:rsidTr="002A75C5">
        <w:trPr>
          <w:trHeight w:val="480"/>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095E7275" w14:textId="21F6A518" w:rsidR="002A75C5" w:rsidRPr="002A75C5" w:rsidRDefault="002A75C5" w:rsidP="002A75C5">
            <w:pPr>
              <w:spacing w:after="0"/>
              <w:jc w:val="left"/>
              <w:rPr>
                <w:rFonts w:eastAsia="Times New Roman" w:cs="Arial"/>
                <w:b/>
                <w:bCs/>
                <w:sz w:val="20"/>
                <w:szCs w:val="20"/>
                <w:lang w:eastAsia="cs-CZ"/>
              </w:rPr>
            </w:pPr>
            <w:r w:rsidRPr="002A75C5">
              <w:rPr>
                <w:rFonts w:eastAsia="Times New Roman" w:cs="Arial"/>
                <w:b/>
                <w:bCs/>
                <w:sz w:val="20"/>
                <w:szCs w:val="20"/>
                <w:lang w:eastAsia="cs-CZ"/>
              </w:rPr>
              <w:t>KURSOVÁ SÁZKA -  ON</w:t>
            </w:r>
            <w:r w:rsidR="004E7D34">
              <w:rPr>
                <w:rFonts w:eastAsia="Times New Roman" w:cs="Arial"/>
                <w:b/>
                <w:bCs/>
                <w:sz w:val="20"/>
                <w:szCs w:val="20"/>
                <w:lang w:eastAsia="cs-CZ"/>
              </w:rPr>
              <w:t>-</w:t>
            </w:r>
            <w:r w:rsidRPr="002A75C5">
              <w:rPr>
                <w:rFonts w:eastAsia="Times New Roman" w:cs="Arial"/>
                <w:b/>
                <w:bCs/>
                <w:sz w:val="20"/>
                <w:szCs w:val="20"/>
                <w:lang w:eastAsia="cs-CZ"/>
              </w:rPr>
              <w:t>LINE -</w:t>
            </w:r>
            <w:r w:rsidRPr="002A75C5">
              <w:rPr>
                <w:rFonts w:eastAsia="Times New Roman" w:cs="Arial"/>
                <w:sz w:val="20"/>
                <w:szCs w:val="20"/>
                <w:lang w:eastAsia="cs-CZ"/>
              </w:rPr>
              <w:t xml:space="preserve"> LIVE</w:t>
            </w:r>
          </w:p>
        </w:tc>
        <w:tc>
          <w:tcPr>
            <w:tcW w:w="1920" w:type="dxa"/>
            <w:tcBorders>
              <w:top w:val="nil"/>
              <w:left w:val="nil"/>
              <w:bottom w:val="single" w:sz="12" w:space="0" w:color="auto"/>
              <w:right w:val="single" w:sz="4" w:space="0" w:color="auto"/>
            </w:tcBorders>
            <w:shd w:val="clear" w:color="000000" w:fill="FFFFFF"/>
            <w:noWrap/>
            <w:vAlign w:val="center"/>
            <w:hideMark/>
          </w:tcPr>
          <w:p w14:paraId="0759BA7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462,5</w:t>
            </w:r>
          </w:p>
        </w:tc>
        <w:tc>
          <w:tcPr>
            <w:tcW w:w="2000" w:type="dxa"/>
            <w:tcBorders>
              <w:top w:val="nil"/>
              <w:left w:val="nil"/>
              <w:bottom w:val="single" w:sz="12" w:space="0" w:color="auto"/>
              <w:right w:val="single" w:sz="4" w:space="0" w:color="auto"/>
            </w:tcBorders>
            <w:shd w:val="clear" w:color="000000" w:fill="E26B0A"/>
            <w:noWrap/>
            <w:vAlign w:val="center"/>
            <w:hideMark/>
          </w:tcPr>
          <w:p w14:paraId="18521C8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211E1A1A"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45CBFE16" w14:textId="77777777" w:rsidTr="002A75C5">
        <w:trPr>
          <w:trHeight w:val="315"/>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08B2795B" w14:textId="77777777"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TOTALIZÁTOROVÁ HRA</w:t>
            </w:r>
          </w:p>
        </w:tc>
        <w:tc>
          <w:tcPr>
            <w:tcW w:w="1920" w:type="dxa"/>
            <w:tcBorders>
              <w:top w:val="nil"/>
              <w:left w:val="nil"/>
              <w:bottom w:val="single" w:sz="4" w:space="0" w:color="auto"/>
              <w:right w:val="single" w:sz="4" w:space="0" w:color="auto"/>
            </w:tcBorders>
            <w:shd w:val="clear" w:color="000000" w:fill="F2F2F2"/>
            <w:noWrap/>
            <w:vAlign w:val="center"/>
            <w:hideMark/>
          </w:tcPr>
          <w:p w14:paraId="41E64BD6"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4" w:space="0" w:color="auto"/>
              <w:right w:val="single" w:sz="4" w:space="0" w:color="auto"/>
            </w:tcBorders>
            <w:shd w:val="clear" w:color="000000" w:fill="F2F2F2"/>
            <w:noWrap/>
            <w:vAlign w:val="center"/>
            <w:hideMark/>
          </w:tcPr>
          <w:p w14:paraId="3AF817E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4" w:space="0" w:color="auto"/>
              <w:right w:val="single" w:sz="8" w:space="0" w:color="auto"/>
            </w:tcBorders>
            <w:shd w:val="clear" w:color="000000" w:fill="F2F2F2"/>
            <w:noWrap/>
            <w:vAlign w:val="center"/>
            <w:hideMark/>
          </w:tcPr>
          <w:p w14:paraId="5ABAA80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2A75C5" w:rsidRPr="002A75C5" w14:paraId="6AB074C6" w14:textId="77777777" w:rsidTr="002A75C5">
        <w:trPr>
          <w:trHeight w:val="31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3DDF7606" w14:textId="79C507BB"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TOTALIZÁTOROVÁ HRA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2F2F2"/>
            <w:noWrap/>
            <w:vAlign w:val="center"/>
            <w:hideMark/>
          </w:tcPr>
          <w:p w14:paraId="40BF8A76"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2F2F2"/>
            <w:noWrap/>
            <w:vAlign w:val="center"/>
            <w:hideMark/>
          </w:tcPr>
          <w:p w14:paraId="0F2FB93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2F2F2"/>
            <w:noWrap/>
            <w:vAlign w:val="center"/>
            <w:hideMark/>
          </w:tcPr>
          <w:p w14:paraId="34E25A56"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2A75C5" w:rsidRPr="002A75C5" w14:paraId="07E81457"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0E7CC07A"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BINGO</w:t>
            </w:r>
          </w:p>
        </w:tc>
        <w:tc>
          <w:tcPr>
            <w:tcW w:w="1920" w:type="dxa"/>
            <w:tcBorders>
              <w:top w:val="nil"/>
              <w:left w:val="nil"/>
              <w:bottom w:val="single" w:sz="4" w:space="0" w:color="auto"/>
              <w:right w:val="single" w:sz="4" w:space="0" w:color="auto"/>
            </w:tcBorders>
            <w:shd w:val="clear" w:color="000000" w:fill="FFFFFF"/>
            <w:noWrap/>
            <w:vAlign w:val="center"/>
            <w:hideMark/>
          </w:tcPr>
          <w:p w14:paraId="62F0B50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212,5</w:t>
            </w:r>
          </w:p>
        </w:tc>
        <w:tc>
          <w:tcPr>
            <w:tcW w:w="2000" w:type="dxa"/>
            <w:tcBorders>
              <w:top w:val="nil"/>
              <w:left w:val="nil"/>
              <w:bottom w:val="single" w:sz="4" w:space="0" w:color="auto"/>
              <w:right w:val="single" w:sz="4" w:space="0" w:color="auto"/>
            </w:tcBorders>
            <w:shd w:val="clear" w:color="000000" w:fill="76933C"/>
            <w:noWrap/>
            <w:vAlign w:val="center"/>
            <w:hideMark/>
          </w:tcPr>
          <w:p w14:paraId="475E9E6C"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B</w:t>
            </w:r>
          </w:p>
        </w:tc>
        <w:tc>
          <w:tcPr>
            <w:tcW w:w="1222" w:type="dxa"/>
            <w:tcBorders>
              <w:top w:val="nil"/>
              <w:left w:val="nil"/>
              <w:bottom w:val="single" w:sz="4" w:space="0" w:color="auto"/>
              <w:right w:val="single" w:sz="8" w:space="0" w:color="auto"/>
            </w:tcBorders>
            <w:shd w:val="clear" w:color="000000" w:fill="76933C"/>
            <w:noWrap/>
            <w:vAlign w:val="center"/>
            <w:hideMark/>
          </w:tcPr>
          <w:p w14:paraId="13F061E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LOW</w:t>
            </w:r>
          </w:p>
        </w:tc>
      </w:tr>
      <w:tr w:rsidR="002A75C5" w:rsidRPr="002A75C5" w14:paraId="332835EB" w14:textId="77777777" w:rsidTr="002A75C5">
        <w:trPr>
          <w:trHeight w:val="255"/>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6D60FD08" w14:textId="550B0203"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BINGO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FFFFF"/>
            <w:noWrap/>
            <w:vAlign w:val="center"/>
            <w:hideMark/>
          </w:tcPr>
          <w:p w14:paraId="3CD81B49"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FFFFF"/>
            <w:noWrap/>
            <w:vAlign w:val="center"/>
            <w:hideMark/>
          </w:tcPr>
          <w:p w14:paraId="499B914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FFFFF"/>
            <w:noWrap/>
            <w:vAlign w:val="center"/>
            <w:hideMark/>
          </w:tcPr>
          <w:p w14:paraId="7020BE0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2A75C5" w:rsidRPr="002A75C5" w14:paraId="2E0B1518"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28A94493"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w:t>
            </w:r>
            <w:r w:rsidRPr="002A75C5">
              <w:rPr>
                <w:rFonts w:eastAsia="Times New Roman" w:cs="Arial"/>
                <w:color w:val="000000"/>
                <w:sz w:val="20"/>
                <w:szCs w:val="20"/>
                <w:lang w:eastAsia="cs-CZ"/>
              </w:rPr>
              <w:t xml:space="preserve"> válcová hra č. 1</w:t>
            </w:r>
          </w:p>
        </w:tc>
        <w:tc>
          <w:tcPr>
            <w:tcW w:w="1920" w:type="dxa"/>
            <w:tcBorders>
              <w:top w:val="nil"/>
              <w:left w:val="nil"/>
              <w:bottom w:val="single" w:sz="4" w:space="0" w:color="auto"/>
              <w:right w:val="single" w:sz="4" w:space="0" w:color="auto"/>
            </w:tcBorders>
            <w:shd w:val="clear" w:color="000000" w:fill="F2F2F2"/>
            <w:noWrap/>
            <w:vAlign w:val="center"/>
            <w:hideMark/>
          </w:tcPr>
          <w:p w14:paraId="00B88AD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417,5</w:t>
            </w:r>
          </w:p>
        </w:tc>
        <w:tc>
          <w:tcPr>
            <w:tcW w:w="2000" w:type="dxa"/>
            <w:tcBorders>
              <w:top w:val="nil"/>
              <w:left w:val="nil"/>
              <w:bottom w:val="single" w:sz="4" w:space="0" w:color="auto"/>
              <w:right w:val="single" w:sz="4" w:space="0" w:color="auto"/>
            </w:tcBorders>
            <w:shd w:val="clear" w:color="000000" w:fill="E26B0A"/>
            <w:noWrap/>
            <w:vAlign w:val="center"/>
            <w:hideMark/>
          </w:tcPr>
          <w:p w14:paraId="42B2AF2C"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5BF701C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0F482735"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7A34F43C"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w:t>
            </w:r>
            <w:r w:rsidRPr="002A75C5">
              <w:rPr>
                <w:rFonts w:eastAsia="Times New Roman" w:cs="Arial"/>
                <w:color w:val="000000"/>
                <w:sz w:val="20"/>
                <w:szCs w:val="20"/>
                <w:lang w:eastAsia="cs-CZ"/>
              </w:rPr>
              <w:t xml:space="preserve"> elektromechanická ruleta č. 1</w:t>
            </w:r>
          </w:p>
        </w:tc>
        <w:tc>
          <w:tcPr>
            <w:tcW w:w="1920" w:type="dxa"/>
            <w:tcBorders>
              <w:top w:val="nil"/>
              <w:left w:val="nil"/>
              <w:bottom w:val="single" w:sz="4" w:space="0" w:color="auto"/>
              <w:right w:val="single" w:sz="4" w:space="0" w:color="auto"/>
            </w:tcBorders>
            <w:shd w:val="clear" w:color="000000" w:fill="F2F2F2"/>
            <w:noWrap/>
            <w:vAlign w:val="center"/>
            <w:hideMark/>
          </w:tcPr>
          <w:p w14:paraId="5C8A9CAE"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377,5</w:t>
            </w:r>
          </w:p>
        </w:tc>
        <w:tc>
          <w:tcPr>
            <w:tcW w:w="2000" w:type="dxa"/>
            <w:tcBorders>
              <w:top w:val="nil"/>
              <w:left w:val="nil"/>
              <w:bottom w:val="single" w:sz="4" w:space="0" w:color="auto"/>
              <w:right w:val="single" w:sz="4" w:space="0" w:color="auto"/>
            </w:tcBorders>
            <w:shd w:val="clear" w:color="000000" w:fill="E26B0A"/>
            <w:noWrap/>
            <w:vAlign w:val="center"/>
            <w:hideMark/>
          </w:tcPr>
          <w:p w14:paraId="4CA994DB"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20C060A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2A26EAC8" w14:textId="77777777" w:rsidTr="002A75C5">
        <w:trPr>
          <w:trHeight w:val="675"/>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5E14D57F" w14:textId="08473859"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TECHNICKÁ HRA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válcová hra č. 2</w:t>
            </w:r>
          </w:p>
        </w:tc>
        <w:tc>
          <w:tcPr>
            <w:tcW w:w="1920" w:type="dxa"/>
            <w:tcBorders>
              <w:top w:val="nil"/>
              <w:left w:val="nil"/>
              <w:bottom w:val="single" w:sz="4" w:space="0" w:color="auto"/>
              <w:right w:val="single" w:sz="4" w:space="0" w:color="auto"/>
            </w:tcBorders>
            <w:shd w:val="clear" w:color="000000" w:fill="F2F2F2"/>
            <w:noWrap/>
            <w:vAlign w:val="center"/>
            <w:hideMark/>
          </w:tcPr>
          <w:p w14:paraId="604F60A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435</w:t>
            </w:r>
          </w:p>
        </w:tc>
        <w:tc>
          <w:tcPr>
            <w:tcW w:w="2000" w:type="dxa"/>
            <w:tcBorders>
              <w:top w:val="nil"/>
              <w:left w:val="nil"/>
              <w:bottom w:val="single" w:sz="4" w:space="0" w:color="auto"/>
              <w:right w:val="single" w:sz="4" w:space="0" w:color="auto"/>
            </w:tcBorders>
            <w:shd w:val="clear" w:color="000000" w:fill="E26B0A"/>
            <w:noWrap/>
            <w:vAlign w:val="center"/>
            <w:hideMark/>
          </w:tcPr>
          <w:p w14:paraId="603B8F47"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67F481D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1F044B98" w14:textId="77777777" w:rsidTr="002A75C5">
        <w:trPr>
          <w:trHeight w:val="58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3209B8EC" w14:textId="2F4959A4"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hra</w:t>
            </w:r>
            <w:r w:rsidRPr="002A75C5">
              <w:rPr>
                <w:rFonts w:eastAsia="Times New Roman" w:cs="Arial"/>
                <w:color w:val="000000"/>
                <w:sz w:val="20"/>
                <w:szCs w:val="20"/>
                <w:lang w:eastAsia="cs-CZ"/>
              </w:rPr>
              <w:t xml:space="preserve"> ruletového typu č. 2</w:t>
            </w:r>
          </w:p>
        </w:tc>
        <w:tc>
          <w:tcPr>
            <w:tcW w:w="1920" w:type="dxa"/>
            <w:tcBorders>
              <w:top w:val="nil"/>
              <w:left w:val="nil"/>
              <w:bottom w:val="single" w:sz="12" w:space="0" w:color="auto"/>
              <w:right w:val="single" w:sz="4" w:space="0" w:color="auto"/>
            </w:tcBorders>
            <w:shd w:val="clear" w:color="000000" w:fill="F2F2F2"/>
            <w:noWrap/>
            <w:vAlign w:val="center"/>
            <w:hideMark/>
          </w:tcPr>
          <w:p w14:paraId="3A080D67"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442,5</w:t>
            </w:r>
          </w:p>
        </w:tc>
        <w:tc>
          <w:tcPr>
            <w:tcW w:w="2000" w:type="dxa"/>
            <w:tcBorders>
              <w:top w:val="nil"/>
              <w:left w:val="nil"/>
              <w:bottom w:val="single" w:sz="12" w:space="0" w:color="auto"/>
              <w:right w:val="single" w:sz="4" w:space="0" w:color="auto"/>
            </w:tcBorders>
            <w:shd w:val="clear" w:color="000000" w:fill="E26B0A"/>
            <w:noWrap/>
            <w:vAlign w:val="center"/>
            <w:hideMark/>
          </w:tcPr>
          <w:p w14:paraId="61F6EFD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595B4F76"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32480809"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02D4C503"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Pr="00CF1F9F">
              <w:rPr>
                <w:rFonts w:eastAsia="Times New Roman" w:cs="Arial"/>
                <w:bCs/>
                <w:color w:val="000000"/>
                <w:sz w:val="20"/>
                <w:szCs w:val="20"/>
                <w:lang w:eastAsia="cs-CZ"/>
              </w:rPr>
              <w:t>- hra ruletového typu č. 3</w:t>
            </w:r>
          </w:p>
        </w:tc>
        <w:tc>
          <w:tcPr>
            <w:tcW w:w="1920" w:type="dxa"/>
            <w:tcBorders>
              <w:top w:val="nil"/>
              <w:left w:val="nil"/>
              <w:bottom w:val="single" w:sz="4" w:space="0" w:color="auto"/>
              <w:right w:val="single" w:sz="4" w:space="0" w:color="auto"/>
            </w:tcBorders>
            <w:shd w:val="clear" w:color="000000" w:fill="FFFFFF"/>
            <w:noWrap/>
            <w:vAlign w:val="center"/>
            <w:hideMark/>
          </w:tcPr>
          <w:p w14:paraId="3796BFC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369,5</w:t>
            </w:r>
          </w:p>
        </w:tc>
        <w:tc>
          <w:tcPr>
            <w:tcW w:w="2000" w:type="dxa"/>
            <w:tcBorders>
              <w:top w:val="nil"/>
              <w:left w:val="nil"/>
              <w:bottom w:val="single" w:sz="4" w:space="0" w:color="auto"/>
              <w:right w:val="single" w:sz="4" w:space="0" w:color="auto"/>
            </w:tcBorders>
            <w:shd w:val="clear" w:color="000000" w:fill="FFC000"/>
            <w:noWrap/>
            <w:vAlign w:val="center"/>
            <w:hideMark/>
          </w:tcPr>
          <w:p w14:paraId="2D49392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6D2151B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078D932B"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10690A2E"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Pr="00CF1F9F">
              <w:rPr>
                <w:rFonts w:eastAsia="Times New Roman" w:cs="Arial"/>
                <w:bCs/>
                <w:color w:val="000000"/>
                <w:sz w:val="20"/>
                <w:szCs w:val="20"/>
                <w:lang w:eastAsia="cs-CZ"/>
              </w:rPr>
              <w:t>- karetní hra č. 1</w:t>
            </w:r>
          </w:p>
        </w:tc>
        <w:tc>
          <w:tcPr>
            <w:tcW w:w="1920" w:type="dxa"/>
            <w:tcBorders>
              <w:top w:val="nil"/>
              <w:left w:val="nil"/>
              <w:bottom w:val="single" w:sz="4" w:space="0" w:color="auto"/>
              <w:right w:val="single" w:sz="4" w:space="0" w:color="auto"/>
            </w:tcBorders>
            <w:shd w:val="clear" w:color="000000" w:fill="FFFFFF"/>
            <w:noWrap/>
            <w:vAlign w:val="center"/>
            <w:hideMark/>
          </w:tcPr>
          <w:p w14:paraId="28B8301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364,5</w:t>
            </w:r>
          </w:p>
        </w:tc>
        <w:tc>
          <w:tcPr>
            <w:tcW w:w="2000" w:type="dxa"/>
            <w:tcBorders>
              <w:top w:val="nil"/>
              <w:left w:val="nil"/>
              <w:bottom w:val="single" w:sz="4" w:space="0" w:color="auto"/>
              <w:right w:val="single" w:sz="4" w:space="0" w:color="auto"/>
            </w:tcBorders>
            <w:shd w:val="clear" w:color="000000" w:fill="FFC000"/>
            <w:noWrap/>
            <w:vAlign w:val="center"/>
            <w:hideMark/>
          </w:tcPr>
          <w:p w14:paraId="3D19069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041DD55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2A75C5" w:rsidRPr="002A75C5" w14:paraId="2CB2ADE8"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5D538D12" w14:textId="0124B68C"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hra ruletového typu č. 4</w:t>
            </w:r>
          </w:p>
        </w:tc>
        <w:tc>
          <w:tcPr>
            <w:tcW w:w="1920" w:type="dxa"/>
            <w:tcBorders>
              <w:top w:val="nil"/>
              <w:left w:val="nil"/>
              <w:bottom w:val="single" w:sz="4" w:space="0" w:color="auto"/>
              <w:right w:val="single" w:sz="4" w:space="0" w:color="auto"/>
            </w:tcBorders>
            <w:shd w:val="clear" w:color="000000" w:fill="FFFFFF"/>
            <w:noWrap/>
            <w:vAlign w:val="center"/>
            <w:hideMark/>
          </w:tcPr>
          <w:p w14:paraId="6957CB1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432,5</w:t>
            </w:r>
          </w:p>
        </w:tc>
        <w:tc>
          <w:tcPr>
            <w:tcW w:w="2000" w:type="dxa"/>
            <w:tcBorders>
              <w:top w:val="nil"/>
              <w:left w:val="nil"/>
              <w:bottom w:val="single" w:sz="4" w:space="0" w:color="auto"/>
              <w:right w:val="single" w:sz="4" w:space="0" w:color="auto"/>
            </w:tcBorders>
            <w:shd w:val="clear" w:color="000000" w:fill="E26B0A"/>
            <w:noWrap/>
            <w:vAlign w:val="center"/>
            <w:hideMark/>
          </w:tcPr>
          <w:p w14:paraId="6816621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3DBD92BA"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5614F710" w14:textId="77777777" w:rsidTr="002A75C5">
        <w:trPr>
          <w:trHeight w:val="480"/>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5DC669EE" w14:textId="462B003D"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karetní hra č. 2</w:t>
            </w:r>
          </w:p>
        </w:tc>
        <w:tc>
          <w:tcPr>
            <w:tcW w:w="1920" w:type="dxa"/>
            <w:tcBorders>
              <w:top w:val="nil"/>
              <w:left w:val="nil"/>
              <w:bottom w:val="single" w:sz="12" w:space="0" w:color="auto"/>
              <w:right w:val="single" w:sz="4" w:space="0" w:color="auto"/>
            </w:tcBorders>
            <w:shd w:val="clear" w:color="000000" w:fill="FFFFFF"/>
            <w:noWrap/>
            <w:vAlign w:val="center"/>
            <w:hideMark/>
          </w:tcPr>
          <w:p w14:paraId="1FDAC8B2"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410</w:t>
            </w:r>
          </w:p>
        </w:tc>
        <w:tc>
          <w:tcPr>
            <w:tcW w:w="2000" w:type="dxa"/>
            <w:tcBorders>
              <w:top w:val="nil"/>
              <w:left w:val="nil"/>
              <w:bottom w:val="single" w:sz="12" w:space="0" w:color="auto"/>
              <w:right w:val="single" w:sz="4" w:space="0" w:color="auto"/>
            </w:tcBorders>
            <w:shd w:val="clear" w:color="000000" w:fill="E26B0A"/>
            <w:noWrap/>
            <w:vAlign w:val="center"/>
            <w:hideMark/>
          </w:tcPr>
          <w:p w14:paraId="27522A75"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1633A386"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2A75C5" w:rsidRPr="002A75C5" w14:paraId="727FBD07" w14:textId="77777777" w:rsidTr="002A75C5">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7D57012B" w14:textId="77777777" w:rsidR="002A75C5" w:rsidRPr="002A75C5" w:rsidRDefault="002A75C5" w:rsidP="002A75C5">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TOMBOLA  </w:t>
            </w:r>
          </w:p>
        </w:tc>
        <w:tc>
          <w:tcPr>
            <w:tcW w:w="1920" w:type="dxa"/>
            <w:tcBorders>
              <w:top w:val="nil"/>
              <w:left w:val="nil"/>
              <w:bottom w:val="single" w:sz="4" w:space="0" w:color="auto"/>
              <w:right w:val="single" w:sz="4" w:space="0" w:color="auto"/>
            </w:tcBorders>
            <w:shd w:val="clear" w:color="000000" w:fill="F2F2F2"/>
            <w:noWrap/>
            <w:vAlign w:val="center"/>
            <w:hideMark/>
          </w:tcPr>
          <w:p w14:paraId="0DD4BF18"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158</w:t>
            </w:r>
          </w:p>
        </w:tc>
        <w:tc>
          <w:tcPr>
            <w:tcW w:w="2000" w:type="dxa"/>
            <w:tcBorders>
              <w:top w:val="nil"/>
              <w:left w:val="nil"/>
              <w:bottom w:val="single" w:sz="4" w:space="0" w:color="auto"/>
              <w:right w:val="single" w:sz="4" w:space="0" w:color="auto"/>
            </w:tcBorders>
            <w:shd w:val="clear" w:color="000000" w:fill="76933C"/>
            <w:noWrap/>
            <w:vAlign w:val="center"/>
            <w:hideMark/>
          </w:tcPr>
          <w:p w14:paraId="35B3A18F"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B</w:t>
            </w:r>
          </w:p>
        </w:tc>
        <w:tc>
          <w:tcPr>
            <w:tcW w:w="1222" w:type="dxa"/>
            <w:tcBorders>
              <w:top w:val="nil"/>
              <w:left w:val="nil"/>
              <w:bottom w:val="single" w:sz="4" w:space="0" w:color="auto"/>
              <w:right w:val="single" w:sz="8" w:space="0" w:color="auto"/>
            </w:tcBorders>
            <w:shd w:val="clear" w:color="000000" w:fill="76933C"/>
            <w:noWrap/>
            <w:vAlign w:val="center"/>
            <w:hideMark/>
          </w:tcPr>
          <w:p w14:paraId="4749BA6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LOW</w:t>
            </w:r>
          </w:p>
        </w:tc>
      </w:tr>
      <w:tr w:rsidR="002A75C5" w:rsidRPr="002A75C5" w14:paraId="7931AAE8" w14:textId="77777777" w:rsidTr="002A75C5">
        <w:trPr>
          <w:trHeight w:val="37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2983B2AD" w14:textId="37C97E6F"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TOMBOLA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2F2F2"/>
            <w:noWrap/>
            <w:vAlign w:val="center"/>
            <w:hideMark/>
          </w:tcPr>
          <w:p w14:paraId="3C6A578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2F2F2"/>
            <w:noWrap/>
            <w:vAlign w:val="center"/>
            <w:hideMark/>
          </w:tcPr>
          <w:p w14:paraId="56AC0D10"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2F2F2"/>
            <w:noWrap/>
            <w:vAlign w:val="center"/>
            <w:hideMark/>
          </w:tcPr>
          <w:p w14:paraId="217DFBC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2A75C5" w:rsidRPr="002A75C5" w14:paraId="4456A375" w14:textId="77777777" w:rsidTr="002A75C5">
        <w:trPr>
          <w:trHeight w:val="225"/>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01767268" w14:textId="77777777"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TURNAJ MALÉHO ROZSAHU</w:t>
            </w:r>
          </w:p>
        </w:tc>
        <w:tc>
          <w:tcPr>
            <w:tcW w:w="1920" w:type="dxa"/>
            <w:tcBorders>
              <w:top w:val="nil"/>
              <w:left w:val="nil"/>
              <w:bottom w:val="single" w:sz="4" w:space="0" w:color="auto"/>
              <w:right w:val="single" w:sz="4" w:space="0" w:color="auto"/>
            </w:tcBorders>
            <w:shd w:val="clear" w:color="000000" w:fill="FFFFFF"/>
            <w:noWrap/>
            <w:vAlign w:val="center"/>
            <w:hideMark/>
          </w:tcPr>
          <w:p w14:paraId="380FB77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4" w:space="0" w:color="auto"/>
              <w:right w:val="single" w:sz="4" w:space="0" w:color="auto"/>
            </w:tcBorders>
            <w:shd w:val="clear" w:color="000000" w:fill="FFFFFF"/>
            <w:noWrap/>
            <w:vAlign w:val="center"/>
            <w:hideMark/>
          </w:tcPr>
          <w:p w14:paraId="4DFDB568"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4" w:space="0" w:color="auto"/>
              <w:right w:val="single" w:sz="8" w:space="0" w:color="auto"/>
            </w:tcBorders>
            <w:shd w:val="clear" w:color="000000" w:fill="FFFFFF"/>
            <w:noWrap/>
            <w:vAlign w:val="center"/>
            <w:hideMark/>
          </w:tcPr>
          <w:p w14:paraId="19253B0A"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2A75C5" w:rsidRPr="002A75C5" w14:paraId="22D54D3F" w14:textId="77777777" w:rsidTr="002A75C5">
        <w:trPr>
          <w:trHeight w:val="300"/>
        </w:trPr>
        <w:tc>
          <w:tcPr>
            <w:tcW w:w="3920" w:type="dxa"/>
            <w:tcBorders>
              <w:top w:val="nil"/>
              <w:left w:val="single" w:sz="8" w:space="0" w:color="auto"/>
              <w:bottom w:val="single" w:sz="8" w:space="0" w:color="auto"/>
              <w:right w:val="single" w:sz="4" w:space="0" w:color="auto"/>
            </w:tcBorders>
            <w:shd w:val="clear" w:color="000000" w:fill="FFFFFF"/>
            <w:vAlign w:val="center"/>
            <w:hideMark/>
          </w:tcPr>
          <w:p w14:paraId="4AC99B84" w14:textId="09EF6E0F" w:rsidR="002A75C5" w:rsidRPr="002A75C5" w:rsidRDefault="002A75C5" w:rsidP="002A75C5">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TURNAJ MALÉHO ROZSAHU </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4E7D34">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8" w:space="0" w:color="auto"/>
              <w:right w:val="single" w:sz="4" w:space="0" w:color="auto"/>
            </w:tcBorders>
            <w:shd w:val="clear" w:color="000000" w:fill="FFFFFF"/>
            <w:noWrap/>
            <w:vAlign w:val="center"/>
            <w:hideMark/>
          </w:tcPr>
          <w:p w14:paraId="335FF2E4"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8" w:space="0" w:color="auto"/>
              <w:right w:val="single" w:sz="4" w:space="0" w:color="auto"/>
            </w:tcBorders>
            <w:shd w:val="clear" w:color="000000" w:fill="FFFFFF"/>
            <w:noWrap/>
            <w:vAlign w:val="center"/>
            <w:hideMark/>
          </w:tcPr>
          <w:p w14:paraId="02F5E9CD"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8" w:space="0" w:color="auto"/>
              <w:right w:val="single" w:sz="8" w:space="0" w:color="auto"/>
            </w:tcBorders>
            <w:shd w:val="clear" w:color="000000" w:fill="FFFFFF"/>
            <w:noWrap/>
            <w:vAlign w:val="center"/>
            <w:hideMark/>
          </w:tcPr>
          <w:p w14:paraId="2F171033" w14:textId="77777777" w:rsidR="002A75C5" w:rsidRPr="002A75C5" w:rsidRDefault="002A75C5" w:rsidP="002A75C5">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bl>
    <w:p w14:paraId="5298BF17" w14:textId="54CDE0D7" w:rsidR="00290F9D" w:rsidRPr="006B6318" w:rsidRDefault="00D65822" w:rsidP="00D65822">
      <w:pPr>
        <w:pStyle w:val="Titulek"/>
        <w:rPr>
          <w:sz w:val="20"/>
        </w:rPr>
      </w:pPr>
      <w:r w:rsidRPr="006B6318">
        <w:rPr>
          <w:sz w:val="20"/>
        </w:rPr>
        <w:t>Zdroj: Ministerstvo financí</w:t>
      </w:r>
      <w:r w:rsidR="006B6318" w:rsidRPr="006B6318">
        <w:rPr>
          <w:sz w:val="20"/>
        </w:rPr>
        <w:t>.</w:t>
      </w:r>
      <w:r w:rsidRPr="006B6318">
        <w:rPr>
          <w:sz w:val="20"/>
        </w:rPr>
        <w:t xml:space="preserve"> </w:t>
      </w:r>
    </w:p>
    <w:p w14:paraId="680332F8" w14:textId="77777777" w:rsidR="00D65822" w:rsidRDefault="00D65822" w:rsidP="00290F9D">
      <w:pPr>
        <w:sectPr w:rsidR="00D65822" w:rsidSect="00290F9D">
          <w:pgSz w:w="11906" w:h="16838"/>
          <w:pgMar w:top="1417" w:right="1417" w:bottom="1417" w:left="1417" w:header="708" w:footer="708" w:gutter="0"/>
          <w:cols w:space="708"/>
          <w:docGrid w:linePitch="360"/>
        </w:sectPr>
      </w:pPr>
    </w:p>
    <w:p w14:paraId="13060495" w14:textId="5F9458E1" w:rsidR="00D65822" w:rsidRDefault="006B6318" w:rsidP="00D65822">
      <w:pPr>
        <w:pStyle w:val="Titulek"/>
        <w:keepNext/>
      </w:pPr>
      <w:bookmarkStart w:id="37" w:name="_Toc73526753"/>
      <w:r>
        <w:t>Tabulka č.</w:t>
      </w:r>
      <w:r w:rsidR="00D65822">
        <w:t xml:space="preserve"> </w:t>
      </w:r>
      <w:fldSimple w:instr=" SEQ Tabulka_č._ \* ARABIC ">
        <w:r>
          <w:rPr>
            <w:noProof/>
          </w:rPr>
          <w:t>3</w:t>
        </w:r>
      </w:fldSimple>
      <w:r w:rsidR="00D65822">
        <w:t xml:space="preserve">: </w:t>
      </w:r>
      <w:r w:rsidR="005A25DA">
        <w:t>Kategorie hodnocení rizikovosti</w:t>
      </w:r>
      <w:bookmarkEnd w:id="37"/>
    </w:p>
    <w:tbl>
      <w:tblPr>
        <w:tblW w:w="5000" w:type="pct"/>
        <w:tblCellMar>
          <w:left w:w="70" w:type="dxa"/>
          <w:right w:w="70" w:type="dxa"/>
        </w:tblCellMar>
        <w:tblLook w:val="04A0" w:firstRow="1" w:lastRow="0" w:firstColumn="1" w:lastColumn="0" w:noHBand="0" w:noVBand="1"/>
      </w:tblPr>
      <w:tblGrid>
        <w:gridCol w:w="1914"/>
        <w:gridCol w:w="1883"/>
        <w:gridCol w:w="2596"/>
        <w:gridCol w:w="2659"/>
      </w:tblGrid>
      <w:tr w:rsidR="00D65822" w:rsidRPr="00D65822" w14:paraId="1BF18B6C" w14:textId="77777777" w:rsidTr="00517D31">
        <w:trPr>
          <w:trHeight w:val="480"/>
        </w:trPr>
        <w:tc>
          <w:tcPr>
            <w:tcW w:w="105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A6BF9F7" w14:textId="77777777" w:rsidR="00D65822" w:rsidRPr="00D65822" w:rsidRDefault="00D65822" w:rsidP="00D65822">
            <w:pPr>
              <w:spacing w:after="0"/>
              <w:jc w:val="center"/>
              <w:rPr>
                <w:rFonts w:eastAsia="Times New Roman" w:cs="Arial"/>
                <w:b/>
                <w:color w:val="000000"/>
                <w:sz w:val="22"/>
                <w:lang w:eastAsia="cs-CZ"/>
              </w:rPr>
            </w:pPr>
            <w:r w:rsidRPr="00D65822">
              <w:rPr>
                <w:rFonts w:eastAsia="Times New Roman" w:cs="Arial"/>
                <w:b/>
                <w:color w:val="000000"/>
                <w:sz w:val="22"/>
                <w:lang w:eastAsia="cs-CZ"/>
              </w:rPr>
              <w:t>Result</w:t>
            </w:r>
          </w:p>
        </w:tc>
        <w:tc>
          <w:tcPr>
            <w:tcW w:w="1040" w:type="pct"/>
            <w:tcBorders>
              <w:top w:val="single" w:sz="8" w:space="0" w:color="auto"/>
              <w:left w:val="nil"/>
              <w:bottom w:val="single" w:sz="4" w:space="0" w:color="auto"/>
              <w:right w:val="single" w:sz="4" w:space="0" w:color="auto"/>
            </w:tcBorders>
            <w:shd w:val="clear" w:color="auto" w:fill="auto"/>
            <w:noWrap/>
            <w:vAlign w:val="center"/>
            <w:hideMark/>
          </w:tcPr>
          <w:p w14:paraId="1B617D0E" w14:textId="77777777" w:rsidR="00D65822" w:rsidRPr="00D65822" w:rsidRDefault="00D65822" w:rsidP="00D65822">
            <w:pPr>
              <w:spacing w:after="0"/>
              <w:jc w:val="center"/>
              <w:rPr>
                <w:rFonts w:eastAsia="Times New Roman" w:cs="Arial"/>
                <w:b/>
                <w:color w:val="000000"/>
                <w:sz w:val="22"/>
                <w:lang w:eastAsia="cs-CZ"/>
              </w:rPr>
            </w:pPr>
            <w:r w:rsidRPr="00D65822">
              <w:rPr>
                <w:rFonts w:eastAsia="Times New Roman" w:cs="Arial"/>
                <w:b/>
                <w:color w:val="000000"/>
                <w:sz w:val="22"/>
                <w:lang w:eastAsia="cs-CZ"/>
              </w:rPr>
              <w:t>Score</w:t>
            </w:r>
          </w:p>
        </w:tc>
        <w:tc>
          <w:tcPr>
            <w:tcW w:w="1434" w:type="pct"/>
            <w:tcBorders>
              <w:top w:val="single" w:sz="8" w:space="0" w:color="auto"/>
              <w:left w:val="nil"/>
              <w:bottom w:val="single" w:sz="4" w:space="0" w:color="auto"/>
              <w:right w:val="single" w:sz="4" w:space="0" w:color="auto"/>
            </w:tcBorders>
            <w:shd w:val="clear" w:color="auto" w:fill="auto"/>
            <w:noWrap/>
            <w:vAlign w:val="center"/>
            <w:hideMark/>
          </w:tcPr>
          <w:p w14:paraId="06075363" w14:textId="77777777" w:rsidR="00D65822" w:rsidRPr="00D65822" w:rsidRDefault="00D65822" w:rsidP="00D65822">
            <w:pPr>
              <w:spacing w:after="0"/>
              <w:jc w:val="center"/>
              <w:rPr>
                <w:rFonts w:eastAsia="Times New Roman" w:cs="Arial"/>
                <w:b/>
                <w:color w:val="000000"/>
                <w:sz w:val="22"/>
                <w:lang w:eastAsia="cs-CZ"/>
              </w:rPr>
            </w:pPr>
            <w:r w:rsidRPr="00D65822">
              <w:rPr>
                <w:rFonts w:eastAsia="Times New Roman" w:cs="Arial"/>
                <w:b/>
                <w:color w:val="000000"/>
                <w:sz w:val="22"/>
                <w:lang w:eastAsia="cs-CZ"/>
              </w:rPr>
              <w:t>Risk category</w:t>
            </w:r>
          </w:p>
        </w:tc>
        <w:tc>
          <w:tcPr>
            <w:tcW w:w="1469" w:type="pct"/>
            <w:tcBorders>
              <w:top w:val="single" w:sz="8" w:space="0" w:color="auto"/>
              <w:left w:val="nil"/>
              <w:bottom w:val="single" w:sz="4" w:space="0" w:color="auto"/>
              <w:right w:val="single" w:sz="8" w:space="0" w:color="auto"/>
            </w:tcBorders>
            <w:shd w:val="clear" w:color="auto" w:fill="auto"/>
            <w:noWrap/>
            <w:vAlign w:val="center"/>
            <w:hideMark/>
          </w:tcPr>
          <w:p w14:paraId="6216B383" w14:textId="77777777" w:rsidR="00D65822" w:rsidRPr="00D65822" w:rsidRDefault="00D65822" w:rsidP="00D65822">
            <w:pPr>
              <w:spacing w:after="0"/>
              <w:jc w:val="center"/>
              <w:rPr>
                <w:rFonts w:eastAsia="Times New Roman" w:cs="Arial"/>
                <w:b/>
                <w:color w:val="000000"/>
                <w:sz w:val="22"/>
                <w:lang w:eastAsia="cs-CZ"/>
              </w:rPr>
            </w:pPr>
            <w:r w:rsidRPr="00D65822">
              <w:rPr>
                <w:rFonts w:eastAsia="Times New Roman" w:cs="Arial"/>
                <w:b/>
                <w:color w:val="000000"/>
                <w:sz w:val="22"/>
                <w:lang w:eastAsia="cs-CZ"/>
              </w:rPr>
              <w:t>Risk potential</w:t>
            </w:r>
          </w:p>
        </w:tc>
      </w:tr>
      <w:tr w:rsidR="00D65822" w:rsidRPr="00D65822" w14:paraId="1C6DD99E" w14:textId="77777777" w:rsidTr="00517D31">
        <w:trPr>
          <w:trHeight w:val="480"/>
        </w:trPr>
        <w:tc>
          <w:tcPr>
            <w:tcW w:w="1057" w:type="pct"/>
            <w:tcBorders>
              <w:top w:val="nil"/>
              <w:left w:val="single" w:sz="8" w:space="0" w:color="auto"/>
              <w:bottom w:val="single" w:sz="4" w:space="0" w:color="auto"/>
              <w:right w:val="single" w:sz="4" w:space="0" w:color="auto"/>
            </w:tcBorders>
            <w:shd w:val="clear" w:color="000000" w:fill="92D050"/>
            <w:noWrap/>
            <w:vAlign w:val="center"/>
            <w:hideMark/>
          </w:tcPr>
          <w:p w14:paraId="1C7E781E"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1 - 124</w:t>
            </w:r>
          </w:p>
        </w:tc>
        <w:tc>
          <w:tcPr>
            <w:tcW w:w="1040" w:type="pct"/>
            <w:tcBorders>
              <w:top w:val="nil"/>
              <w:left w:val="nil"/>
              <w:bottom w:val="single" w:sz="4" w:space="0" w:color="auto"/>
              <w:right w:val="single" w:sz="4" w:space="0" w:color="auto"/>
            </w:tcBorders>
            <w:shd w:val="clear" w:color="000000" w:fill="92D050"/>
            <w:noWrap/>
            <w:vAlign w:val="center"/>
            <w:hideMark/>
          </w:tcPr>
          <w:p w14:paraId="3AD2CE1F"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&gt; 0 - ≤ 2</w:t>
            </w:r>
          </w:p>
        </w:tc>
        <w:tc>
          <w:tcPr>
            <w:tcW w:w="1434" w:type="pct"/>
            <w:tcBorders>
              <w:top w:val="nil"/>
              <w:left w:val="nil"/>
              <w:bottom w:val="single" w:sz="4" w:space="0" w:color="auto"/>
              <w:right w:val="single" w:sz="4" w:space="0" w:color="auto"/>
            </w:tcBorders>
            <w:shd w:val="clear" w:color="000000" w:fill="92D050"/>
            <w:noWrap/>
            <w:vAlign w:val="center"/>
            <w:hideMark/>
          </w:tcPr>
          <w:p w14:paraId="443A5015"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A</w:t>
            </w:r>
          </w:p>
        </w:tc>
        <w:tc>
          <w:tcPr>
            <w:tcW w:w="1469" w:type="pct"/>
            <w:tcBorders>
              <w:top w:val="nil"/>
              <w:left w:val="nil"/>
              <w:bottom w:val="single" w:sz="4" w:space="0" w:color="auto"/>
              <w:right w:val="single" w:sz="8" w:space="0" w:color="auto"/>
            </w:tcBorders>
            <w:shd w:val="clear" w:color="000000" w:fill="92D050"/>
            <w:noWrap/>
            <w:vAlign w:val="center"/>
            <w:hideMark/>
          </w:tcPr>
          <w:p w14:paraId="0C1F00C9"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lowest</w:t>
            </w:r>
          </w:p>
        </w:tc>
      </w:tr>
      <w:tr w:rsidR="00D65822" w:rsidRPr="00D65822" w14:paraId="04E1ECB2" w14:textId="77777777" w:rsidTr="00517D31">
        <w:trPr>
          <w:trHeight w:val="480"/>
        </w:trPr>
        <w:tc>
          <w:tcPr>
            <w:tcW w:w="1057" w:type="pct"/>
            <w:tcBorders>
              <w:top w:val="nil"/>
              <w:left w:val="single" w:sz="8" w:space="0" w:color="auto"/>
              <w:bottom w:val="single" w:sz="4" w:space="0" w:color="auto"/>
              <w:right w:val="single" w:sz="4" w:space="0" w:color="auto"/>
            </w:tcBorders>
            <w:shd w:val="clear" w:color="000000" w:fill="76933C"/>
            <w:noWrap/>
            <w:vAlign w:val="center"/>
            <w:hideMark/>
          </w:tcPr>
          <w:p w14:paraId="3D423786"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125 - 248</w:t>
            </w:r>
          </w:p>
        </w:tc>
        <w:tc>
          <w:tcPr>
            <w:tcW w:w="1040" w:type="pct"/>
            <w:tcBorders>
              <w:top w:val="nil"/>
              <w:left w:val="nil"/>
              <w:bottom w:val="single" w:sz="4" w:space="0" w:color="auto"/>
              <w:right w:val="single" w:sz="4" w:space="0" w:color="auto"/>
            </w:tcBorders>
            <w:shd w:val="clear" w:color="000000" w:fill="76933C"/>
            <w:noWrap/>
            <w:vAlign w:val="center"/>
            <w:hideMark/>
          </w:tcPr>
          <w:p w14:paraId="3058E134"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&gt; 2 - ≤ 4</w:t>
            </w:r>
          </w:p>
        </w:tc>
        <w:tc>
          <w:tcPr>
            <w:tcW w:w="1434" w:type="pct"/>
            <w:tcBorders>
              <w:top w:val="nil"/>
              <w:left w:val="nil"/>
              <w:bottom w:val="single" w:sz="4" w:space="0" w:color="auto"/>
              <w:right w:val="single" w:sz="4" w:space="0" w:color="auto"/>
            </w:tcBorders>
            <w:shd w:val="clear" w:color="000000" w:fill="76933C"/>
            <w:noWrap/>
            <w:vAlign w:val="center"/>
            <w:hideMark/>
          </w:tcPr>
          <w:p w14:paraId="5CC45358"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B</w:t>
            </w:r>
          </w:p>
        </w:tc>
        <w:tc>
          <w:tcPr>
            <w:tcW w:w="1469" w:type="pct"/>
            <w:tcBorders>
              <w:top w:val="nil"/>
              <w:left w:val="nil"/>
              <w:bottom w:val="single" w:sz="4" w:space="0" w:color="auto"/>
              <w:right w:val="single" w:sz="8" w:space="0" w:color="auto"/>
            </w:tcBorders>
            <w:shd w:val="clear" w:color="000000" w:fill="76933C"/>
            <w:noWrap/>
            <w:vAlign w:val="center"/>
            <w:hideMark/>
          </w:tcPr>
          <w:p w14:paraId="72BE2D6F"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lowest</w:t>
            </w:r>
          </w:p>
        </w:tc>
      </w:tr>
      <w:tr w:rsidR="00D65822" w:rsidRPr="00D65822" w14:paraId="1B940CE2" w14:textId="77777777" w:rsidTr="00517D31">
        <w:trPr>
          <w:trHeight w:val="480"/>
        </w:trPr>
        <w:tc>
          <w:tcPr>
            <w:tcW w:w="1057" w:type="pct"/>
            <w:tcBorders>
              <w:top w:val="nil"/>
              <w:left w:val="single" w:sz="8" w:space="0" w:color="auto"/>
              <w:bottom w:val="single" w:sz="4" w:space="0" w:color="auto"/>
              <w:right w:val="single" w:sz="4" w:space="0" w:color="auto"/>
            </w:tcBorders>
            <w:shd w:val="clear" w:color="000000" w:fill="FFC000"/>
            <w:noWrap/>
            <w:vAlign w:val="center"/>
            <w:hideMark/>
          </w:tcPr>
          <w:p w14:paraId="6A421565"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249 - 372</w:t>
            </w:r>
          </w:p>
        </w:tc>
        <w:tc>
          <w:tcPr>
            <w:tcW w:w="1040" w:type="pct"/>
            <w:tcBorders>
              <w:top w:val="nil"/>
              <w:left w:val="nil"/>
              <w:bottom w:val="single" w:sz="4" w:space="0" w:color="auto"/>
              <w:right w:val="single" w:sz="4" w:space="0" w:color="auto"/>
            </w:tcBorders>
            <w:shd w:val="clear" w:color="000000" w:fill="FFC000"/>
            <w:noWrap/>
            <w:vAlign w:val="center"/>
            <w:hideMark/>
          </w:tcPr>
          <w:p w14:paraId="043BAE65"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&gt; 4 - ≤ 6</w:t>
            </w:r>
          </w:p>
        </w:tc>
        <w:tc>
          <w:tcPr>
            <w:tcW w:w="1434" w:type="pct"/>
            <w:tcBorders>
              <w:top w:val="nil"/>
              <w:left w:val="nil"/>
              <w:bottom w:val="single" w:sz="4" w:space="0" w:color="auto"/>
              <w:right w:val="single" w:sz="4" w:space="0" w:color="auto"/>
            </w:tcBorders>
            <w:shd w:val="clear" w:color="000000" w:fill="FFC000"/>
            <w:noWrap/>
            <w:vAlign w:val="center"/>
            <w:hideMark/>
          </w:tcPr>
          <w:p w14:paraId="009DFEFC"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C</w:t>
            </w:r>
          </w:p>
        </w:tc>
        <w:tc>
          <w:tcPr>
            <w:tcW w:w="1469" w:type="pct"/>
            <w:tcBorders>
              <w:top w:val="nil"/>
              <w:left w:val="nil"/>
              <w:bottom w:val="single" w:sz="4" w:space="0" w:color="auto"/>
              <w:right w:val="single" w:sz="8" w:space="0" w:color="auto"/>
            </w:tcBorders>
            <w:shd w:val="clear" w:color="000000" w:fill="FFC000"/>
            <w:noWrap/>
            <w:vAlign w:val="center"/>
            <w:hideMark/>
          </w:tcPr>
          <w:p w14:paraId="484BB60E"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moderate</w:t>
            </w:r>
          </w:p>
        </w:tc>
      </w:tr>
      <w:tr w:rsidR="00D65822" w:rsidRPr="00D65822" w14:paraId="008246ED" w14:textId="77777777" w:rsidTr="00517D31">
        <w:trPr>
          <w:trHeight w:val="480"/>
        </w:trPr>
        <w:tc>
          <w:tcPr>
            <w:tcW w:w="1057" w:type="pct"/>
            <w:tcBorders>
              <w:top w:val="nil"/>
              <w:left w:val="single" w:sz="8" w:space="0" w:color="auto"/>
              <w:bottom w:val="single" w:sz="4" w:space="0" w:color="auto"/>
              <w:right w:val="single" w:sz="4" w:space="0" w:color="auto"/>
            </w:tcBorders>
            <w:shd w:val="clear" w:color="000000" w:fill="E26B0A"/>
            <w:noWrap/>
            <w:vAlign w:val="center"/>
            <w:hideMark/>
          </w:tcPr>
          <w:p w14:paraId="19BEF838"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373 - 496</w:t>
            </w:r>
          </w:p>
        </w:tc>
        <w:tc>
          <w:tcPr>
            <w:tcW w:w="1040" w:type="pct"/>
            <w:tcBorders>
              <w:top w:val="nil"/>
              <w:left w:val="nil"/>
              <w:bottom w:val="single" w:sz="4" w:space="0" w:color="auto"/>
              <w:right w:val="single" w:sz="4" w:space="0" w:color="auto"/>
            </w:tcBorders>
            <w:shd w:val="clear" w:color="000000" w:fill="E26B0A"/>
            <w:noWrap/>
            <w:vAlign w:val="center"/>
            <w:hideMark/>
          </w:tcPr>
          <w:p w14:paraId="4E454613"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&gt; 6 - ≤ 8</w:t>
            </w:r>
          </w:p>
        </w:tc>
        <w:tc>
          <w:tcPr>
            <w:tcW w:w="1434" w:type="pct"/>
            <w:tcBorders>
              <w:top w:val="nil"/>
              <w:left w:val="nil"/>
              <w:bottom w:val="single" w:sz="4" w:space="0" w:color="auto"/>
              <w:right w:val="single" w:sz="4" w:space="0" w:color="auto"/>
            </w:tcBorders>
            <w:shd w:val="clear" w:color="000000" w:fill="E26B0A"/>
            <w:noWrap/>
            <w:vAlign w:val="center"/>
            <w:hideMark/>
          </w:tcPr>
          <w:p w14:paraId="529E168D"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D</w:t>
            </w:r>
          </w:p>
        </w:tc>
        <w:tc>
          <w:tcPr>
            <w:tcW w:w="1469" w:type="pct"/>
            <w:tcBorders>
              <w:top w:val="nil"/>
              <w:left w:val="nil"/>
              <w:bottom w:val="single" w:sz="4" w:space="0" w:color="auto"/>
              <w:right w:val="single" w:sz="8" w:space="0" w:color="auto"/>
            </w:tcBorders>
            <w:shd w:val="clear" w:color="000000" w:fill="E26B0A"/>
            <w:noWrap/>
            <w:vAlign w:val="center"/>
            <w:hideMark/>
          </w:tcPr>
          <w:p w14:paraId="15D3FC49"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high</w:t>
            </w:r>
          </w:p>
        </w:tc>
      </w:tr>
      <w:tr w:rsidR="00D65822" w:rsidRPr="00D65822" w14:paraId="78E98F9A" w14:textId="77777777" w:rsidTr="00517D31">
        <w:trPr>
          <w:trHeight w:val="480"/>
        </w:trPr>
        <w:tc>
          <w:tcPr>
            <w:tcW w:w="1057" w:type="pct"/>
            <w:tcBorders>
              <w:top w:val="nil"/>
              <w:left w:val="single" w:sz="8" w:space="0" w:color="auto"/>
              <w:bottom w:val="single" w:sz="8" w:space="0" w:color="auto"/>
              <w:right w:val="single" w:sz="4" w:space="0" w:color="auto"/>
            </w:tcBorders>
            <w:shd w:val="clear" w:color="000000" w:fill="FF0000"/>
            <w:noWrap/>
            <w:vAlign w:val="center"/>
            <w:hideMark/>
          </w:tcPr>
          <w:p w14:paraId="20E7B3BD"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497 - 620</w:t>
            </w:r>
          </w:p>
        </w:tc>
        <w:tc>
          <w:tcPr>
            <w:tcW w:w="1040" w:type="pct"/>
            <w:tcBorders>
              <w:top w:val="nil"/>
              <w:left w:val="nil"/>
              <w:bottom w:val="single" w:sz="8" w:space="0" w:color="auto"/>
              <w:right w:val="single" w:sz="4" w:space="0" w:color="auto"/>
            </w:tcBorders>
            <w:shd w:val="clear" w:color="000000" w:fill="FF0000"/>
            <w:noWrap/>
            <w:vAlign w:val="center"/>
            <w:hideMark/>
          </w:tcPr>
          <w:p w14:paraId="73E711A1"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&gt; 8 - ≤ 10</w:t>
            </w:r>
          </w:p>
        </w:tc>
        <w:tc>
          <w:tcPr>
            <w:tcW w:w="1434" w:type="pct"/>
            <w:tcBorders>
              <w:top w:val="nil"/>
              <w:left w:val="nil"/>
              <w:bottom w:val="single" w:sz="8" w:space="0" w:color="auto"/>
              <w:right w:val="single" w:sz="4" w:space="0" w:color="auto"/>
            </w:tcBorders>
            <w:shd w:val="clear" w:color="000000" w:fill="FF0000"/>
            <w:noWrap/>
            <w:vAlign w:val="center"/>
            <w:hideMark/>
          </w:tcPr>
          <w:p w14:paraId="029C4D22" w14:textId="77777777" w:rsidR="00D65822" w:rsidRPr="00D65822" w:rsidRDefault="00D65822" w:rsidP="00D65822">
            <w:pPr>
              <w:spacing w:after="0"/>
              <w:jc w:val="center"/>
              <w:rPr>
                <w:rFonts w:eastAsia="Times New Roman" w:cs="Arial"/>
                <w:color w:val="000000"/>
                <w:sz w:val="22"/>
                <w:lang w:eastAsia="cs-CZ"/>
              </w:rPr>
            </w:pPr>
            <w:r w:rsidRPr="00D65822">
              <w:rPr>
                <w:rFonts w:eastAsia="Times New Roman" w:cs="Arial"/>
                <w:color w:val="000000"/>
                <w:sz w:val="22"/>
                <w:lang w:eastAsia="cs-CZ"/>
              </w:rPr>
              <w:t>E</w:t>
            </w:r>
          </w:p>
        </w:tc>
        <w:tc>
          <w:tcPr>
            <w:tcW w:w="1469" w:type="pct"/>
            <w:tcBorders>
              <w:top w:val="nil"/>
              <w:left w:val="nil"/>
              <w:bottom w:val="single" w:sz="8" w:space="0" w:color="auto"/>
              <w:right w:val="single" w:sz="8" w:space="0" w:color="auto"/>
            </w:tcBorders>
            <w:shd w:val="clear" w:color="000000" w:fill="FF0000"/>
            <w:noWrap/>
            <w:vAlign w:val="center"/>
            <w:hideMark/>
          </w:tcPr>
          <w:p w14:paraId="4147C1FB" w14:textId="77777777" w:rsidR="00D65822" w:rsidRPr="00D65822" w:rsidRDefault="00D65822" w:rsidP="00D65822">
            <w:pPr>
              <w:keepNext/>
              <w:spacing w:after="0"/>
              <w:jc w:val="center"/>
              <w:rPr>
                <w:rFonts w:eastAsia="Times New Roman" w:cs="Arial"/>
                <w:color w:val="000000"/>
                <w:sz w:val="22"/>
                <w:lang w:eastAsia="cs-CZ"/>
              </w:rPr>
            </w:pPr>
            <w:r w:rsidRPr="00D65822">
              <w:rPr>
                <w:rFonts w:eastAsia="Times New Roman" w:cs="Arial"/>
                <w:color w:val="000000"/>
                <w:sz w:val="22"/>
                <w:lang w:eastAsia="cs-CZ"/>
              </w:rPr>
              <w:t>highest</w:t>
            </w:r>
          </w:p>
        </w:tc>
      </w:tr>
    </w:tbl>
    <w:p w14:paraId="48E7BDF5" w14:textId="0982DCE8" w:rsidR="00290F9D" w:rsidRPr="006B6318" w:rsidRDefault="00D65822" w:rsidP="00D65822">
      <w:pPr>
        <w:pStyle w:val="Titulek"/>
        <w:rPr>
          <w:sz w:val="20"/>
        </w:rPr>
      </w:pPr>
      <w:r w:rsidRPr="006B6318">
        <w:rPr>
          <w:sz w:val="20"/>
        </w:rPr>
        <w:t>Zdroj: Ministerstvo financí</w:t>
      </w:r>
      <w:r w:rsidR="006B6318" w:rsidRPr="006B6318">
        <w:rPr>
          <w:sz w:val="20"/>
        </w:rPr>
        <w:t>.</w:t>
      </w:r>
    </w:p>
    <w:p w14:paraId="31B6E362" w14:textId="15561EAE" w:rsidR="00D65822" w:rsidRDefault="00D65822" w:rsidP="00D65822">
      <w:pPr>
        <w:spacing w:after="200"/>
        <w:contextualSpacing/>
        <w:rPr>
          <w:rFonts w:cs="Arial"/>
        </w:rPr>
      </w:pPr>
      <w:r w:rsidRPr="00A018F4">
        <w:rPr>
          <w:rFonts w:cs="Arial"/>
        </w:rPr>
        <w:t>Při porovnání výsledků hazardních her podle jejich způsobu provozování došlo Ministerstvo</w:t>
      </w:r>
      <w:r>
        <w:rPr>
          <w:rFonts w:cs="Arial"/>
        </w:rPr>
        <w:t xml:space="preserve"> financí</w:t>
      </w:r>
      <w:r w:rsidRPr="00A018F4">
        <w:rPr>
          <w:rFonts w:cs="Arial"/>
        </w:rPr>
        <w:t xml:space="preserve"> k závěru, že </w:t>
      </w:r>
      <w:r>
        <w:rPr>
          <w:rFonts w:cs="Arial"/>
        </w:rPr>
        <w:t xml:space="preserve">ve </w:t>
      </w:r>
      <w:r w:rsidRPr="004C2C0C">
        <w:rPr>
          <w:rFonts w:cs="Arial"/>
        </w:rPr>
        <w:t xml:space="preserve">většině případů, kdy bylo možné posoudit konkrétní </w:t>
      </w:r>
      <w:r>
        <w:rPr>
          <w:rFonts w:cs="Arial"/>
        </w:rPr>
        <w:t xml:space="preserve">hazardní </w:t>
      </w:r>
      <w:r w:rsidRPr="004C2C0C">
        <w:rPr>
          <w:rFonts w:cs="Arial"/>
        </w:rPr>
        <w:t>hru v  land-bas</w:t>
      </w:r>
      <w:r>
        <w:rPr>
          <w:rFonts w:cs="Arial"/>
        </w:rPr>
        <w:t xml:space="preserve">ed prostředí i on-line, </w:t>
      </w:r>
      <w:r w:rsidRPr="008F77C4">
        <w:rPr>
          <w:rFonts w:cs="Arial"/>
        </w:rPr>
        <w:t xml:space="preserve">vykazovala taková hazardní hra v případě provozování </w:t>
      </w:r>
      <w:r w:rsidR="004B45BD">
        <w:rPr>
          <w:rFonts w:cs="Arial"/>
        </w:rPr>
        <w:t>formou</w:t>
      </w:r>
      <w:r w:rsidR="004B45BD" w:rsidRPr="008F77C4">
        <w:rPr>
          <w:rFonts w:cs="Arial"/>
        </w:rPr>
        <w:t xml:space="preserve"> </w:t>
      </w:r>
      <w:r w:rsidRPr="008F77C4">
        <w:rPr>
          <w:rFonts w:cs="Arial"/>
        </w:rPr>
        <w:t>on</w:t>
      </w:r>
      <w:r>
        <w:rPr>
          <w:rFonts w:cs="Arial"/>
        </w:rPr>
        <w:t>-</w:t>
      </w:r>
      <w:r w:rsidRPr="008F77C4">
        <w:rPr>
          <w:rFonts w:cs="Arial"/>
        </w:rPr>
        <w:t>line vyšší rizikovost, viz graf č.</w:t>
      </w:r>
      <w:r w:rsidR="004B45BD">
        <w:rPr>
          <w:rFonts w:cs="Arial"/>
        </w:rPr>
        <w:t> </w:t>
      </w:r>
      <w:r>
        <w:rPr>
          <w:rFonts w:cs="Arial"/>
        </w:rPr>
        <w:t>2</w:t>
      </w:r>
      <w:r w:rsidRPr="008F77C4">
        <w:rPr>
          <w:rFonts w:cs="Arial"/>
        </w:rPr>
        <w:t>1.</w:t>
      </w:r>
    </w:p>
    <w:p w14:paraId="7D6F295B" w14:textId="77777777" w:rsidR="00290F9D" w:rsidRDefault="00290F9D" w:rsidP="00290F9D"/>
    <w:p w14:paraId="697C24D2" w14:textId="77777777" w:rsidR="00D65822" w:rsidRDefault="00D65822" w:rsidP="00290F9D">
      <w:pPr>
        <w:sectPr w:rsidR="00D65822" w:rsidSect="00290F9D">
          <w:pgSz w:w="11906" w:h="16838"/>
          <w:pgMar w:top="1417" w:right="1417" w:bottom="1417" w:left="1417" w:header="708" w:footer="708" w:gutter="0"/>
          <w:cols w:space="708"/>
          <w:docGrid w:linePitch="360"/>
        </w:sectPr>
      </w:pPr>
    </w:p>
    <w:p w14:paraId="441B1757" w14:textId="3E6D1D30" w:rsidR="00D65822" w:rsidRDefault="006B6318" w:rsidP="00D65822">
      <w:pPr>
        <w:pStyle w:val="Titulek"/>
        <w:keepNext/>
        <w:rPr>
          <w:rFonts w:cs="Arial"/>
        </w:rPr>
      </w:pPr>
      <w:bookmarkStart w:id="38" w:name="_Toc73526797"/>
      <w:r>
        <w:t xml:space="preserve">Graf č. </w:t>
      </w:r>
      <w:fldSimple w:instr=" SEQ Graf_č._ \* ARABIC ">
        <w:r w:rsidR="00D65822">
          <w:rPr>
            <w:noProof/>
          </w:rPr>
          <w:t>21</w:t>
        </w:r>
      </w:fldSimple>
      <w:r w:rsidR="00D65822">
        <w:t xml:space="preserve">: </w:t>
      </w:r>
      <w:r w:rsidR="00D65822" w:rsidRPr="00D65822">
        <w:rPr>
          <w:rFonts w:cs="Arial"/>
        </w:rPr>
        <w:t>Vyhodnocení potenciálního rizika jednotlivých druhů hazardních her</w:t>
      </w:r>
      <w:bookmarkEnd w:id="38"/>
    </w:p>
    <w:p w14:paraId="76CF3637" w14:textId="0F698D18" w:rsidR="00D65822" w:rsidRDefault="009954CC" w:rsidP="009954CC">
      <w:r>
        <w:rPr>
          <w:noProof/>
          <w:lang w:eastAsia="cs-CZ"/>
        </w:rPr>
        <w:drawing>
          <wp:inline distT="0" distB="0" distL="0" distR="0" wp14:anchorId="5954F3A3" wp14:editId="5BB4A0A1">
            <wp:extent cx="8820000" cy="3502946"/>
            <wp:effectExtent l="0" t="0" r="635" b="254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20000" cy="3502946"/>
                    </a:xfrm>
                    <a:prstGeom prst="rect">
                      <a:avLst/>
                    </a:prstGeom>
                    <a:noFill/>
                  </pic:spPr>
                </pic:pic>
              </a:graphicData>
            </a:graphic>
          </wp:inline>
        </w:drawing>
      </w:r>
    </w:p>
    <w:p w14:paraId="503DF7C0" w14:textId="661058EF" w:rsidR="00D65822" w:rsidRDefault="00D65822" w:rsidP="00D65822">
      <w:pPr>
        <w:pStyle w:val="Titulek"/>
      </w:pPr>
      <w:r w:rsidRPr="006B6318">
        <w:rPr>
          <w:sz w:val="20"/>
        </w:rPr>
        <w:t>Zdroj: Ministerstvo financí</w:t>
      </w:r>
      <w:r w:rsidR="006B6318" w:rsidRPr="006B6318">
        <w:rPr>
          <w:sz w:val="20"/>
        </w:rPr>
        <w:t>.</w:t>
      </w:r>
    </w:p>
    <w:p w14:paraId="5015B205" w14:textId="77777777" w:rsidR="00D65822" w:rsidRDefault="00D65822" w:rsidP="00290F9D">
      <w:pPr>
        <w:sectPr w:rsidR="00D65822" w:rsidSect="00D65822">
          <w:pgSz w:w="16838" w:h="11906" w:orient="landscape"/>
          <w:pgMar w:top="1417" w:right="1417" w:bottom="1417" w:left="1417" w:header="708" w:footer="708" w:gutter="0"/>
          <w:cols w:space="708"/>
          <w:docGrid w:linePitch="360"/>
        </w:sectPr>
      </w:pPr>
    </w:p>
    <w:p w14:paraId="729AC8DE" w14:textId="16FBAF37" w:rsidR="0014110D" w:rsidRDefault="0014110D" w:rsidP="006B6318">
      <w:pPr>
        <w:rPr>
          <w:lang w:eastAsia="cs-CZ"/>
        </w:rPr>
      </w:pPr>
      <w:r w:rsidRPr="00A018F4">
        <w:rPr>
          <w:lang w:eastAsia="cs-CZ"/>
        </w:rPr>
        <w:t>Na základě informací dostupných z dozorové činnosti je zřejmé, že účast na internetové hře se stává velmi atraktivní jak pro účastníky hazardních her, tak i</w:t>
      </w:r>
      <w:r w:rsidR="005C5E58">
        <w:rPr>
          <w:lang w:eastAsia="cs-CZ"/>
        </w:rPr>
        <w:t> </w:t>
      </w:r>
      <w:r w:rsidRPr="00A018F4">
        <w:rPr>
          <w:lang w:eastAsia="cs-CZ"/>
        </w:rPr>
        <w:t>pro provozovatele hazardních her</w:t>
      </w:r>
      <w:r w:rsidR="0036158E">
        <w:rPr>
          <w:lang w:eastAsia="cs-CZ"/>
        </w:rPr>
        <w:t>.</w:t>
      </w:r>
      <w:r w:rsidRPr="00A018F4">
        <w:rPr>
          <w:lang w:eastAsia="cs-CZ"/>
        </w:rPr>
        <w:t xml:space="preserve"> </w:t>
      </w:r>
      <w:r w:rsidR="0036158E">
        <w:rPr>
          <w:lang w:eastAsia="cs-CZ"/>
        </w:rPr>
        <w:t>T</w:t>
      </w:r>
      <w:r w:rsidRPr="00A018F4">
        <w:rPr>
          <w:lang w:eastAsia="cs-CZ"/>
        </w:rPr>
        <w:t xml:space="preserve">uto skutečnost potvrzuje i </w:t>
      </w:r>
      <w:r>
        <w:rPr>
          <w:lang w:eastAsia="cs-CZ"/>
        </w:rPr>
        <w:t xml:space="preserve">např. </w:t>
      </w:r>
      <w:r w:rsidRPr="00A018F4">
        <w:rPr>
          <w:lang w:eastAsia="cs-CZ"/>
        </w:rPr>
        <w:t>Úřad vlády</w:t>
      </w:r>
      <w:r>
        <w:rPr>
          <w:lang w:eastAsia="cs-CZ"/>
        </w:rPr>
        <w:t xml:space="preserve"> a zahraniční odborná veřejnost</w:t>
      </w:r>
      <w:r w:rsidRPr="00A018F4">
        <w:rPr>
          <w:lang w:eastAsia="cs-CZ"/>
        </w:rPr>
        <w:t>.</w:t>
      </w:r>
      <w:r w:rsidRPr="00A018F4">
        <w:rPr>
          <w:vertAlign w:val="superscript"/>
          <w:lang w:eastAsia="cs-CZ"/>
        </w:rPr>
        <w:footnoteReference w:id="25"/>
      </w:r>
      <w:r w:rsidRPr="00A018F4">
        <w:rPr>
          <w:lang w:eastAsia="cs-CZ"/>
        </w:rPr>
        <w:t xml:space="preserve"> Na základě výsledků analýzy, společně s dalšími aktuálními studiemi a poznatky odborníků věnujících se problematice hazardního hráčství, je zřejmé, že na fenoménu on</w:t>
      </w:r>
      <w:r>
        <w:rPr>
          <w:lang w:eastAsia="cs-CZ"/>
        </w:rPr>
        <w:t>-</w:t>
      </w:r>
      <w:r w:rsidRPr="00A018F4">
        <w:rPr>
          <w:lang w:eastAsia="cs-CZ"/>
        </w:rPr>
        <w:t>line hazardního hraní se podílí zejména určitá anonymita, dostupnos</w:t>
      </w:r>
      <w:r>
        <w:rPr>
          <w:lang w:eastAsia="cs-CZ"/>
        </w:rPr>
        <w:t>t hazardních her (jak časov</w:t>
      </w:r>
      <w:r w:rsidR="0036158E">
        <w:rPr>
          <w:lang w:eastAsia="cs-CZ"/>
        </w:rPr>
        <w:t>á</w:t>
      </w:r>
      <w:r>
        <w:rPr>
          <w:lang w:eastAsia="cs-CZ"/>
        </w:rPr>
        <w:t xml:space="preserve"> – </w:t>
      </w:r>
      <w:r w:rsidRPr="00A018F4">
        <w:rPr>
          <w:lang w:eastAsia="cs-CZ"/>
        </w:rPr>
        <w:t>24</w:t>
      </w:r>
      <w:r w:rsidR="009666D9">
        <w:rPr>
          <w:lang w:eastAsia="cs-CZ"/>
        </w:rPr>
        <w:t> </w:t>
      </w:r>
      <w:r w:rsidRPr="00A018F4">
        <w:rPr>
          <w:lang w:eastAsia="cs-CZ"/>
        </w:rPr>
        <w:t>hodin denně, tak vzdálenostní – doma/v práci</w:t>
      </w:r>
      <w:r>
        <w:rPr>
          <w:lang w:eastAsia="cs-CZ"/>
        </w:rPr>
        <w:t xml:space="preserve">) </w:t>
      </w:r>
      <w:r w:rsidRPr="00A018F4">
        <w:rPr>
          <w:lang w:eastAsia="cs-CZ"/>
        </w:rPr>
        <w:t xml:space="preserve">nespočet příležitostí ke hře, </w:t>
      </w:r>
      <w:r>
        <w:rPr>
          <w:lang w:eastAsia="cs-CZ"/>
        </w:rPr>
        <w:t xml:space="preserve">téměř </w:t>
      </w:r>
      <w:r w:rsidRPr="00A018F4">
        <w:rPr>
          <w:lang w:eastAsia="cs-CZ"/>
        </w:rPr>
        <w:t>neomezený výběr her, nebo okamžitý přístup k finančním prostředkům přes internetové bankovni</w:t>
      </w:r>
      <w:r>
        <w:rPr>
          <w:lang w:eastAsia="cs-CZ"/>
        </w:rPr>
        <w:t>ctví a další faktory, které čin</w:t>
      </w:r>
      <w:r w:rsidRPr="00A018F4">
        <w:rPr>
          <w:lang w:eastAsia="cs-CZ"/>
        </w:rPr>
        <w:t>í z</w:t>
      </w:r>
      <w:r>
        <w:rPr>
          <w:lang w:eastAsia="cs-CZ"/>
        </w:rPr>
        <w:t> </w:t>
      </w:r>
      <w:r w:rsidRPr="00A018F4">
        <w:rPr>
          <w:lang w:eastAsia="cs-CZ"/>
        </w:rPr>
        <w:t>on</w:t>
      </w:r>
      <w:r>
        <w:rPr>
          <w:lang w:eastAsia="cs-CZ"/>
        </w:rPr>
        <w:t>-</w:t>
      </w:r>
      <w:r w:rsidRPr="00A018F4">
        <w:rPr>
          <w:lang w:eastAsia="cs-CZ"/>
        </w:rPr>
        <w:t>line hazardního hraní atraktivn</w:t>
      </w:r>
      <w:r>
        <w:rPr>
          <w:lang w:eastAsia="cs-CZ"/>
        </w:rPr>
        <w:t>ější formu hraní hazardních her.</w:t>
      </w:r>
      <w:r w:rsidRPr="00A018F4">
        <w:rPr>
          <w:lang w:eastAsia="cs-CZ"/>
        </w:rPr>
        <w:t xml:space="preserve"> </w:t>
      </w:r>
      <w:r>
        <w:rPr>
          <w:lang w:eastAsia="cs-CZ"/>
        </w:rPr>
        <w:t>J</w:t>
      </w:r>
      <w:r w:rsidRPr="00A018F4">
        <w:rPr>
          <w:lang w:eastAsia="cs-CZ"/>
        </w:rPr>
        <w:t xml:space="preserve">inými slovy řečeno - z tohoto důvodu </w:t>
      </w:r>
      <w:r w:rsidRPr="00830502">
        <w:rPr>
          <w:b/>
          <w:lang w:eastAsia="cs-CZ"/>
        </w:rPr>
        <w:t>prostředí internetu do značné míry posiluje rizikový potenciál hazardních her</w:t>
      </w:r>
      <w:r w:rsidRPr="00A018F4">
        <w:rPr>
          <w:lang w:eastAsia="cs-CZ"/>
        </w:rPr>
        <w:t>, čímž zvyšuje jejich rizikovost</w:t>
      </w:r>
      <w:r w:rsidRPr="00A018F4">
        <w:rPr>
          <w:vertAlign w:val="superscript"/>
          <w:lang w:eastAsia="cs-CZ"/>
        </w:rPr>
        <w:footnoteReference w:id="26"/>
      </w:r>
      <w:r>
        <w:rPr>
          <w:lang w:eastAsia="cs-CZ"/>
        </w:rPr>
        <w:t>, a to i </w:t>
      </w:r>
      <w:r w:rsidRPr="00A018F4">
        <w:rPr>
          <w:lang w:eastAsia="cs-CZ"/>
        </w:rPr>
        <w:t>přes významná současná zákonná omezení tohoto způsobu provozování hazardních her.</w:t>
      </w:r>
    </w:p>
    <w:p w14:paraId="3718DDF1" w14:textId="25F1D030" w:rsidR="0014110D" w:rsidRPr="00622CFB" w:rsidRDefault="0014110D" w:rsidP="006B6318">
      <w:pPr>
        <w:rPr>
          <w:szCs w:val="24"/>
        </w:rPr>
      </w:pPr>
      <w:r w:rsidRPr="00830502">
        <w:rPr>
          <w:b/>
          <w:szCs w:val="24"/>
        </w:rPr>
        <w:t>Vyšší míru rizikovosti internetových hazardních her proti hazardním hrám provozovaným formou land-based</w:t>
      </w:r>
      <w:r w:rsidRPr="00622CFB">
        <w:rPr>
          <w:szCs w:val="24"/>
        </w:rPr>
        <w:t xml:space="preserve"> významným způsobem ovlivnil posuzovaný parametr „dostupnost“, tedy přístup k hazardním hrám. Tento jev je možné demonstrovat např. na </w:t>
      </w:r>
      <w:r w:rsidR="005F0B5D">
        <w:rPr>
          <w:szCs w:val="24"/>
        </w:rPr>
        <w:t xml:space="preserve">obrázku </w:t>
      </w:r>
      <w:r>
        <w:rPr>
          <w:szCs w:val="24"/>
        </w:rPr>
        <w:t>č.</w:t>
      </w:r>
      <w:r w:rsidR="009666D9">
        <w:rPr>
          <w:szCs w:val="24"/>
        </w:rPr>
        <w:t> </w:t>
      </w:r>
      <w:r>
        <w:rPr>
          <w:szCs w:val="24"/>
        </w:rPr>
        <w:t>1</w:t>
      </w:r>
      <w:r w:rsidRPr="00622CFB">
        <w:rPr>
          <w:szCs w:val="24"/>
        </w:rPr>
        <w:t xml:space="preserve"> herní prostory v České republice, </w:t>
      </w:r>
      <w:r w:rsidR="0036158E" w:rsidRPr="00622CFB">
        <w:rPr>
          <w:szCs w:val="24"/>
        </w:rPr>
        <w:t>k</w:t>
      </w:r>
      <w:r w:rsidR="0036158E">
        <w:rPr>
          <w:szCs w:val="24"/>
        </w:rPr>
        <w:t>terý</w:t>
      </w:r>
      <w:r w:rsidR="0036158E" w:rsidRPr="00622CFB">
        <w:rPr>
          <w:szCs w:val="24"/>
        </w:rPr>
        <w:t xml:space="preserve"> </w:t>
      </w:r>
      <w:r w:rsidRPr="00622CFB">
        <w:rPr>
          <w:szCs w:val="24"/>
        </w:rPr>
        <w:t>je vizuálně znázor</w:t>
      </w:r>
      <w:r w:rsidR="0036158E">
        <w:rPr>
          <w:szCs w:val="24"/>
        </w:rPr>
        <w:t>ňuje</w:t>
      </w:r>
      <w:r w:rsidRPr="00622CFB">
        <w:rPr>
          <w:szCs w:val="24"/>
        </w:rPr>
        <w:t xml:space="preserve"> počet kasin a</w:t>
      </w:r>
      <w:r w:rsidR="009666D9">
        <w:rPr>
          <w:szCs w:val="24"/>
        </w:rPr>
        <w:t> </w:t>
      </w:r>
      <w:r w:rsidRPr="00622CFB">
        <w:rPr>
          <w:szCs w:val="24"/>
        </w:rPr>
        <w:t xml:space="preserve">heren na území České republiky, kde počty herních prostorů v jednotlivých okresech dosahují nanejvýš desítkových hodnot. Proti </w:t>
      </w:r>
      <w:r w:rsidRPr="000B406A">
        <w:rPr>
          <w:szCs w:val="24"/>
        </w:rPr>
        <w:t xml:space="preserve">tomu </w:t>
      </w:r>
      <w:r w:rsidR="005F0B5D">
        <w:rPr>
          <w:szCs w:val="24"/>
        </w:rPr>
        <w:t>obráz</w:t>
      </w:r>
      <w:r w:rsidR="009666D9">
        <w:rPr>
          <w:szCs w:val="24"/>
        </w:rPr>
        <w:t>e</w:t>
      </w:r>
      <w:r w:rsidR="005F0B5D">
        <w:rPr>
          <w:szCs w:val="24"/>
        </w:rPr>
        <w:t>k</w:t>
      </w:r>
      <w:r w:rsidRPr="000B406A">
        <w:rPr>
          <w:szCs w:val="24"/>
        </w:rPr>
        <w:t xml:space="preserve"> č.</w:t>
      </w:r>
      <w:r w:rsidR="009666D9">
        <w:rPr>
          <w:szCs w:val="24"/>
        </w:rPr>
        <w:t> </w:t>
      </w:r>
      <w:r w:rsidRPr="000B406A">
        <w:rPr>
          <w:szCs w:val="24"/>
        </w:rPr>
        <w:t xml:space="preserve">2 </w:t>
      </w:r>
      <w:r w:rsidRPr="00622CFB">
        <w:rPr>
          <w:szCs w:val="24"/>
        </w:rPr>
        <w:t>znázorňuje pokrytí České republiky mobilním internetovým signálem</w:t>
      </w:r>
      <w:r w:rsidRPr="00622CFB">
        <w:rPr>
          <w:rStyle w:val="Znakapoznpodarou"/>
          <w:rFonts w:cs="Arial"/>
        </w:rPr>
        <w:footnoteReference w:id="27"/>
      </w:r>
      <w:r w:rsidRPr="00622CFB">
        <w:rPr>
          <w:szCs w:val="24"/>
        </w:rPr>
        <w:t xml:space="preserve">, </w:t>
      </w:r>
      <w:r w:rsidR="009666D9">
        <w:rPr>
          <w:szCs w:val="24"/>
        </w:rPr>
        <w:t>jímž</w:t>
      </w:r>
      <w:r w:rsidR="009666D9" w:rsidRPr="00622CFB">
        <w:rPr>
          <w:szCs w:val="24"/>
        </w:rPr>
        <w:t xml:space="preserve"> </w:t>
      </w:r>
      <w:r w:rsidRPr="00622CFB">
        <w:rPr>
          <w:szCs w:val="24"/>
        </w:rPr>
        <w:t>je až 99</w:t>
      </w:r>
      <w:r>
        <w:rPr>
          <w:szCs w:val="24"/>
        </w:rPr>
        <w:t> </w:t>
      </w:r>
      <w:r w:rsidRPr="00622CFB">
        <w:rPr>
          <w:szCs w:val="24"/>
        </w:rPr>
        <w:t>% území České republiky pokryto. Jinými slovy, valná</w:t>
      </w:r>
      <w:r>
        <w:rPr>
          <w:szCs w:val="24"/>
        </w:rPr>
        <w:t xml:space="preserve"> většina dospělé populace má 24 </w:t>
      </w:r>
      <w:r w:rsidRPr="00622CFB">
        <w:rPr>
          <w:szCs w:val="24"/>
        </w:rPr>
        <w:t>hodin denně neomezený přístup k internetovým hazardním hrám</w:t>
      </w:r>
      <w:r w:rsidRPr="00622CFB">
        <w:rPr>
          <w:rStyle w:val="Znakapoznpodarou"/>
          <w:rFonts w:cs="Arial"/>
        </w:rPr>
        <w:footnoteReference w:id="28"/>
      </w:r>
      <w:r w:rsidRPr="00622CFB">
        <w:rPr>
          <w:szCs w:val="24"/>
        </w:rPr>
        <w:t>.</w:t>
      </w:r>
    </w:p>
    <w:p w14:paraId="2C928198" w14:textId="07F5D11F" w:rsidR="00290F9D" w:rsidRDefault="00290F9D" w:rsidP="006B6318"/>
    <w:p w14:paraId="2C12B940" w14:textId="7A4CD4C6" w:rsidR="0014110D" w:rsidRDefault="006B6318" w:rsidP="0014110D">
      <w:pPr>
        <w:pStyle w:val="Titulek"/>
        <w:keepNext/>
      </w:pPr>
      <w:bookmarkStart w:id="39" w:name="_Toc73526768"/>
      <w:r>
        <w:t>Obrázek č.</w:t>
      </w:r>
      <w:r w:rsidR="0014110D">
        <w:t xml:space="preserve"> </w:t>
      </w:r>
      <w:fldSimple w:instr=" SEQ Obrázek_č._ \* ARABIC ">
        <w:r>
          <w:rPr>
            <w:noProof/>
          </w:rPr>
          <w:t>1</w:t>
        </w:r>
      </w:fldSimple>
      <w:r w:rsidR="0014110D">
        <w:t xml:space="preserve">: </w:t>
      </w:r>
      <w:r w:rsidR="0014110D" w:rsidRPr="00CA4930">
        <w:t>Herní prostory v České republice (stav 3.</w:t>
      </w:r>
      <w:r w:rsidR="009666D9">
        <w:t> </w:t>
      </w:r>
      <w:r w:rsidR="0014110D" w:rsidRPr="00CA4930">
        <w:t>čtvrtletí</w:t>
      </w:r>
      <w:r w:rsidR="009666D9">
        <w:t> </w:t>
      </w:r>
      <w:r w:rsidR="0014110D" w:rsidRPr="00CA4930">
        <w:t>2020)</w:t>
      </w:r>
      <w:bookmarkEnd w:id="39"/>
    </w:p>
    <w:p w14:paraId="148C6525" w14:textId="77777777" w:rsidR="0014110D" w:rsidRDefault="0014110D" w:rsidP="0014110D">
      <w:pPr>
        <w:keepNext/>
      </w:pPr>
      <w:r>
        <w:rPr>
          <w:noProof/>
          <w:lang w:eastAsia="cs-CZ"/>
        </w:rPr>
        <w:drawing>
          <wp:inline distT="0" distB="0" distL="0" distR="0" wp14:anchorId="6499E9A0" wp14:editId="0E324E1B">
            <wp:extent cx="5220000" cy="3258472"/>
            <wp:effectExtent l="19050" t="19050" r="19050" b="18415"/>
            <wp:docPr id="72"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220000" cy="3258472"/>
                    </a:xfrm>
                    <a:prstGeom prst="rect">
                      <a:avLst/>
                    </a:prstGeom>
                    <a:ln w="3175">
                      <a:solidFill>
                        <a:schemeClr val="tx1"/>
                      </a:solidFill>
                    </a:ln>
                  </pic:spPr>
                </pic:pic>
              </a:graphicData>
            </a:graphic>
          </wp:inline>
        </w:drawing>
      </w:r>
    </w:p>
    <w:p w14:paraId="58E02517" w14:textId="2D5E1B6C" w:rsidR="0014110D" w:rsidRPr="006B6318" w:rsidRDefault="0014110D" w:rsidP="0014110D">
      <w:pPr>
        <w:pStyle w:val="Titulek"/>
        <w:rPr>
          <w:rFonts w:cs="Arial"/>
          <w:i w:val="0"/>
          <w:sz w:val="16"/>
          <w:szCs w:val="20"/>
        </w:rPr>
      </w:pPr>
      <w:r w:rsidRPr="006B6318">
        <w:rPr>
          <w:sz w:val="20"/>
        </w:rPr>
        <w:t xml:space="preserve">Zdroj: Ministerstvo </w:t>
      </w:r>
      <w:r w:rsidRPr="006B6318">
        <w:rPr>
          <w:sz w:val="20"/>
          <w:szCs w:val="24"/>
        </w:rPr>
        <w:t xml:space="preserve">financí </w:t>
      </w:r>
      <w:r w:rsidRPr="006B6318">
        <w:rPr>
          <w:rFonts w:cs="Arial"/>
          <w:sz w:val="20"/>
          <w:szCs w:val="24"/>
        </w:rPr>
        <w:t xml:space="preserve">– </w:t>
      </w:r>
      <w:r w:rsidR="0092683A">
        <w:rPr>
          <w:rFonts w:cs="Arial"/>
          <w:sz w:val="20"/>
          <w:szCs w:val="24"/>
        </w:rPr>
        <w:t>IS</w:t>
      </w:r>
      <w:r w:rsidRPr="006B6318">
        <w:rPr>
          <w:rFonts w:cs="Arial"/>
          <w:sz w:val="20"/>
          <w:szCs w:val="24"/>
        </w:rPr>
        <w:t xml:space="preserve"> SDSL</w:t>
      </w:r>
      <w:r w:rsidR="006B6318" w:rsidRPr="006B6318">
        <w:rPr>
          <w:rFonts w:cs="Arial"/>
          <w:sz w:val="20"/>
          <w:szCs w:val="24"/>
        </w:rPr>
        <w:t>.</w:t>
      </w:r>
    </w:p>
    <w:p w14:paraId="3759E442" w14:textId="77777777" w:rsidR="006B6318" w:rsidRDefault="006B6318" w:rsidP="0014110D">
      <w:pPr>
        <w:pStyle w:val="Titulek"/>
        <w:keepNext/>
      </w:pPr>
    </w:p>
    <w:p w14:paraId="5C9D6CA5" w14:textId="47E2B93D" w:rsidR="0014110D" w:rsidRDefault="006B6318" w:rsidP="0014110D">
      <w:pPr>
        <w:pStyle w:val="Titulek"/>
        <w:keepNext/>
      </w:pPr>
      <w:bookmarkStart w:id="40" w:name="_Toc73526769"/>
      <w:r>
        <w:t>Obrázek č.</w:t>
      </w:r>
      <w:r w:rsidR="009666D9">
        <w:t> </w:t>
      </w:r>
      <w:fldSimple w:instr=" SEQ Obrázek_č._ \* ARABIC ">
        <w:r w:rsidR="0014110D">
          <w:rPr>
            <w:noProof/>
          </w:rPr>
          <w:t>2</w:t>
        </w:r>
      </w:fldSimple>
      <w:r>
        <w:rPr>
          <w:noProof/>
        </w:rPr>
        <w:t>:</w:t>
      </w:r>
      <w:r w:rsidR="0014110D" w:rsidRPr="0014110D">
        <w:t xml:space="preserve"> </w:t>
      </w:r>
      <w:r w:rsidR="0014110D" w:rsidRPr="008F14B0">
        <w:t>Mobilní internetové pokrytí České republiky – Vodafone (k 6.</w:t>
      </w:r>
      <w:r w:rsidR="009666D9">
        <w:t> </w:t>
      </w:r>
      <w:r w:rsidR="0014110D" w:rsidRPr="008F14B0">
        <w:t>5.</w:t>
      </w:r>
      <w:r w:rsidR="009666D9">
        <w:t> </w:t>
      </w:r>
      <w:r w:rsidR="0014110D" w:rsidRPr="008F14B0">
        <w:t>2021)</w:t>
      </w:r>
      <w:bookmarkEnd w:id="40"/>
    </w:p>
    <w:p w14:paraId="0924C5FF" w14:textId="77777777" w:rsidR="0014110D" w:rsidRDefault="0014110D" w:rsidP="0014110D">
      <w:pPr>
        <w:keepNext/>
      </w:pPr>
      <w:r>
        <w:rPr>
          <w:noProof/>
          <w:lang w:eastAsia="cs-CZ"/>
        </w:rPr>
        <w:drawing>
          <wp:inline distT="0" distB="0" distL="0" distR="0" wp14:anchorId="0C1A5EA8" wp14:editId="243B533C">
            <wp:extent cx="5188688" cy="3253563"/>
            <wp:effectExtent l="19050" t="19050" r="12065" b="23495"/>
            <wp:docPr id="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22933" cy="3275036"/>
                    </a:xfrm>
                    <a:prstGeom prst="rect">
                      <a:avLst/>
                    </a:prstGeom>
                    <a:noFill/>
                    <a:ln w="12700">
                      <a:solidFill>
                        <a:schemeClr val="tx1"/>
                      </a:solidFill>
                    </a:ln>
                  </pic:spPr>
                </pic:pic>
              </a:graphicData>
            </a:graphic>
          </wp:inline>
        </w:drawing>
      </w:r>
    </w:p>
    <w:p w14:paraId="29FBCC08" w14:textId="649485B0" w:rsidR="0014110D" w:rsidRPr="006B6318" w:rsidRDefault="0014110D" w:rsidP="0014110D">
      <w:pPr>
        <w:pStyle w:val="Titulek"/>
        <w:rPr>
          <w:sz w:val="20"/>
        </w:rPr>
      </w:pPr>
      <w:r w:rsidRPr="006B6318">
        <w:rPr>
          <w:sz w:val="20"/>
        </w:rPr>
        <w:t xml:space="preserve">Zdroj: </w:t>
      </w:r>
      <w:r w:rsidRPr="006B6318">
        <w:rPr>
          <w:rFonts w:cs="Arial"/>
          <w:sz w:val="20"/>
          <w:szCs w:val="24"/>
        </w:rPr>
        <w:t>https://www.vodafone.cz/mapa-pokryti/</w:t>
      </w:r>
      <w:r w:rsidR="006B6318" w:rsidRPr="006B6318">
        <w:rPr>
          <w:rFonts w:cs="Arial"/>
          <w:sz w:val="20"/>
          <w:szCs w:val="24"/>
        </w:rPr>
        <w:t>.</w:t>
      </w:r>
    </w:p>
    <w:p w14:paraId="1775C108" w14:textId="77777777" w:rsidR="0014110D" w:rsidRDefault="0014110D" w:rsidP="00290F9D">
      <w:pPr>
        <w:sectPr w:rsidR="0014110D" w:rsidSect="00D65822">
          <w:pgSz w:w="11906" w:h="16838"/>
          <w:pgMar w:top="1417" w:right="1417" w:bottom="1417" w:left="1417" w:header="708" w:footer="708" w:gutter="0"/>
          <w:cols w:space="708"/>
          <w:docGrid w:linePitch="360"/>
        </w:sectPr>
      </w:pPr>
    </w:p>
    <w:p w14:paraId="3EC7261A" w14:textId="43128A62" w:rsidR="0014110D" w:rsidRDefault="0014110D" w:rsidP="0014110D">
      <w:r w:rsidRPr="000B406A">
        <w:rPr>
          <w:b/>
        </w:rPr>
        <w:t>Z </w:t>
      </w:r>
      <w:r w:rsidRPr="0049745A">
        <w:rPr>
          <w:b/>
        </w:rPr>
        <w:t>výsledků analýzy ASTERIG je zřetelné, že zvýšená rizikovost se váže zejména na hazardní hry provozované jako internetové hry</w:t>
      </w:r>
      <w:r w:rsidR="0036158E">
        <w:rPr>
          <w:b/>
        </w:rPr>
        <w:t>.</w:t>
      </w:r>
      <w:r w:rsidRPr="0049745A">
        <w:rPr>
          <w:b/>
        </w:rPr>
        <w:t xml:space="preserve"> </w:t>
      </w:r>
      <w:r w:rsidR="0036158E">
        <w:rPr>
          <w:b/>
        </w:rPr>
        <w:t>V</w:t>
      </w:r>
      <w:r w:rsidRPr="0049745A">
        <w:rPr>
          <w:b/>
        </w:rPr>
        <w:t> případě technických her je rizikovost u</w:t>
      </w:r>
      <w:r w:rsidR="009666D9">
        <w:rPr>
          <w:b/>
        </w:rPr>
        <w:t> </w:t>
      </w:r>
      <w:r w:rsidRPr="0049745A">
        <w:rPr>
          <w:b/>
        </w:rPr>
        <w:t>obou způsobů</w:t>
      </w:r>
      <w:r>
        <w:rPr>
          <w:b/>
        </w:rPr>
        <w:t xml:space="preserve"> provozování</w:t>
      </w:r>
      <w:r w:rsidRPr="0049745A">
        <w:rPr>
          <w:b/>
        </w:rPr>
        <w:t xml:space="preserve"> obdobná, avšak v případě všech ostatních druhů hazardních her </w:t>
      </w:r>
      <w:r>
        <w:rPr>
          <w:b/>
        </w:rPr>
        <w:t xml:space="preserve">se </w:t>
      </w:r>
      <w:r w:rsidRPr="0049745A">
        <w:rPr>
          <w:b/>
        </w:rPr>
        <w:t>významně zvyšuje rizikovost</w:t>
      </w:r>
      <w:r>
        <w:rPr>
          <w:b/>
        </w:rPr>
        <w:t xml:space="preserve"> právě při provozování prostřednictvím internetu, což je dáno zejména rychlostí hry a </w:t>
      </w:r>
      <w:r w:rsidRPr="0049745A">
        <w:rPr>
          <w:b/>
        </w:rPr>
        <w:t>možností nepřerušené účasti</w:t>
      </w:r>
      <w:r w:rsidRPr="00347CE7">
        <w:t>. Zároveň je však třeba doplnit, že ačkoli tyto hry byly vyhodnoceny jako hazardní hry s vyšší škodliv</w:t>
      </w:r>
      <w:r>
        <w:t>ostí (nikoli nejvyšší), zákon o </w:t>
      </w:r>
      <w:r w:rsidRPr="00347CE7">
        <w:t>hazardních hrách kromě částečné povinnost</w:t>
      </w:r>
      <w:r>
        <w:t>i zřízení uživatelského konta a </w:t>
      </w:r>
      <w:r w:rsidRPr="00347CE7">
        <w:t>navazujících sebeomezujících opatření, neobsahuje další zvláštní nástroje zodpovědného hraní, které by mohly pozitivně ovlivnit rizikovost těchto hazardních her tak, jako se tomu stalo v případě technických her.</w:t>
      </w:r>
      <w:r>
        <w:t xml:space="preserve"> Z tohoto pohledu </w:t>
      </w:r>
      <w:r w:rsidRPr="002E0DEB">
        <w:rPr>
          <w:b/>
        </w:rPr>
        <w:t>by bylo za účelem zajištění ochrany sázejících vhodné, aby v budoucnu právní úprava reagovala případným zajištěním dalších či úpravou stávajících opatření zodpovědného hraní.</w:t>
      </w:r>
      <w:r>
        <w:t xml:space="preserve"> </w:t>
      </w:r>
    </w:p>
    <w:p w14:paraId="148542A4" w14:textId="77777777" w:rsidR="0014110D" w:rsidRDefault="0014110D" w:rsidP="00290F9D">
      <w:pPr>
        <w:sectPr w:rsidR="0014110D" w:rsidSect="00D65822">
          <w:pgSz w:w="11906" w:h="16838"/>
          <w:pgMar w:top="1417" w:right="1417" w:bottom="1417" w:left="1417" w:header="708" w:footer="708" w:gutter="0"/>
          <w:cols w:space="708"/>
          <w:docGrid w:linePitch="360"/>
        </w:sectPr>
      </w:pPr>
    </w:p>
    <w:p w14:paraId="4C22441A" w14:textId="090C53E0" w:rsidR="006C6138" w:rsidRPr="009F6E49" w:rsidRDefault="0014110D" w:rsidP="00C44D1E">
      <w:pPr>
        <w:pStyle w:val="Nadpis3"/>
      </w:pPr>
      <w:bookmarkStart w:id="41" w:name="_Toc73604310"/>
      <w:r>
        <w:t xml:space="preserve">Seznam tabulek, </w:t>
      </w:r>
      <w:r w:rsidR="00C911FC">
        <w:t>obrázků a grafů</w:t>
      </w:r>
      <w:bookmarkEnd w:id="41"/>
    </w:p>
    <w:p w14:paraId="21EE638F" w14:textId="77777777" w:rsidR="00C911FC" w:rsidRDefault="00C911FC" w:rsidP="00C911FC">
      <w:pPr>
        <w:pStyle w:val="Nadpis4"/>
      </w:pPr>
      <w:bookmarkStart w:id="42" w:name="_Toc73604311"/>
      <w:r>
        <w:t>Tabulky</w:t>
      </w:r>
      <w:bookmarkEnd w:id="42"/>
    </w:p>
    <w:p w14:paraId="7F22065F" w14:textId="5DFD1E22" w:rsidR="00C911FC" w:rsidRPr="00C911FC" w:rsidRDefault="00C911FC">
      <w:pPr>
        <w:pStyle w:val="Seznamobrzk"/>
        <w:tabs>
          <w:tab w:val="right" w:leader="dot" w:pos="9062"/>
        </w:tabs>
        <w:rPr>
          <w:rFonts w:asciiTheme="minorHAnsi" w:eastAsiaTheme="minorEastAsia" w:hAnsiTheme="minorHAnsi"/>
          <w:noProof/>
          <w:sz w:val="22"/>
          <w:lang w:eastAsia="cs-CZ"/>
        </w:rPr>
      </w:pPr>
      <w:r w:rsidRPr="006B6318">
        <w:fldChar w:fldCharType="begin"/>
      </w:r>
      <w:r w:rsidRPr="006B6318">
        <w:instrText xml:space="preserve"> TOC \h \z \c "Tabulka č. " </w:instrText>
      </w:r>
      <w:r w:rsidRPr="006B6318">
        <w:fldChar w:fldCharType="separate"/>
      </w:r>
      <w:hyperlink w:anchor="_Toc73526751" w:history="1">
        <w:r w:rsidRPr="00C911FC">
          <w:rPr>
            <w:rStyle w:val="Hypertextovodkaz"/>
            <w:noProof/>
          </w:rPr>
          <w:t>Tabulka č. 1: Parametry a jejich hodnoty</w:t>
        </w:r>
        <w:r w:rsidRPr="00C911FC">
          <w:rPr>
            <w:noProof/>
            <w:webHidden/>
          </w:rPr>
          <w:tab/>
        </w:r>
        <w:r w:rsidRPr="00C911FC">
          <w:rPr>
            <w:noProof/>
            <w:webHidden/>
          </w:rPr>
          <w:fldChar w:fldCharType="begin"/>
        </w:r>
        <w:r w:rsidRPr="00C911FC">
          <w:rPr>
            <w:noProof/>
            <w:webHidden/>
          </w:rPr>
          <w:instrText xml:space="preserve"> PAGEREF _Toc73526751 \h </w:instrText>
        </w:r>
        <w:r w:rsidRPr="00C911FC">
          <w:rPr>
            <w:noProof/>
            <w:webHidden/>
          </w:rPr>
        </w:r>
        <w:r w:rsidRPr="00C911FC">
          <w:rPr>
            <w:noProof/>
            <w:webHidden/>
          </w:rPr>
          <w:fldChar w:fldCharType="separate"/>
        </w:r>
        <w:r w:rsidRPr="00C911FC">
          <w:rPr>
            <w:noProof/>
            <w:webHidden/>
          </w:rPr>
          <w:t>1</w:t>
        </w:r>
        <w:r w:rsidRPr="00C911FC">
          <w:rPr>
            <w:noProof/>
            <w:webHidden/>
          </w:rPr>
          <w:fldChar w:fldCharType="end"/>
        </w:r>
      </w:hyperlink>
    </w:p>
    <w:p w14:paraId="575B6611" w14:textId="23889E61" w:rsidR="00C911FC" w:rsidRPr="00C911FC" w:rsidRDefault="00980ED2">
      <w:pPr>
        <w:pStyle w:val="Seznamobrzk"/>
        <w:tabs>
          <w:tab w:val="right" w:leader="dot" w:pos="9062"/>
        </w:tabs>
        <w:rPr>
          <w:rFonts w:asciiTheme="minorHAnsi" w:eastAsiaTheme="minorEastAsia" w:hAnsiTheme="minorHAnsi"/>
          <w:noProof/>
          <w:sz w:val="22"/>
          <w:lang w:eastAsia="cs-CZ"/>
        </w:rPr>
      </w:pPr>
      <w:hyperlink w:anchor="_Toc73526752" w:history="1">
        <w:r w:rsidR="00C911FC" w:rsidRPr="00C911FC">
          <w:rPr>
            <w:rStyle w:val="Hypertextovodkaz"/>
            <w:noProof/>
          </w:rPr>
          <w:t>Tabulka č. 2 :Vyhodnocení potenciálního rizika posuzovaných hazardních her</w:t>
        </w:r>
        <w:r w:rsidR="00C911FC" w:rsidRPr="00C911FC">
          <w:rPr>
            <w:noProof/>
            <w:webHidden/>
          </w:rPr>
          <w:tab/>
        </w:r>
        <w:r w:rsidR="00C911FC" w:rsidRPr="00C911FC">
          <w:rPr>
            <w:noProof/>
            <w:webHidden/>
          </w:rPr>
          <w:fldChar w:fldCharType="begin"/>
        </w:r>
        <w:r w:rsidR="00C911FC" w:rsidRPr="00C911FC">
          <w:rPr>
            <w:noProof/>
            <w:webHidden/>
          </w:rPr>
          <w:instrText xml:space="preserve"> PAGEREF _Toc73526752 \h </w:instrText>
        </w:r>
        <w:r w:rsidR="00C911FC" w:rsidRPr="00C911FC">
          <w:rPr>
            <w:noProof/>
            <w:webHidden/>
          </w:rPr>
        </w:r>
        <w:r w:rsidR="00C911FC" w:rsidRPr="00C911FC">
          <w:rPr>
            <w:noProof/>
            <w:webHidden/>
          </w:rPr>
          <w:fldChar w:fldCharType="separate"/>
        </w:r>
        <w:r w:rsidR="00C911FC" w:rsidRPr="00C911FC">
          <w:rPr>
            <w:noProof/>
            <w:webHidden/>
          </w:rPr>
          <w:t>35</w:t>
        </w:r>
        <w:r w:rsidR="00C911FC" w:rsidRPr="00C911FC">
          <w:rPr>
            <w:noProof/>
            <w:webHidden/>
          </w:rPr>
          <w:fldChar w:fldCharType="end"/>
        </w:r>
      </w:hyperlink>
    </w:p>
    <w:p w14:paraId="6867883E" w14:textId="2539E442" w:rsidR="00C911FC" w:rsidRDefault="00980ED2">
      <w:pPr>
        <w:pStyle w:val="Seznamobrzk"/>
        <w:tabs>
          <w:tab w:val="right" w:leader="dot" w:pos="9062"/>
        </w:tabs>
        <w:rPr>
          <w:rFonts w:asciiTheme="minorHAnsi" w:eastAsiaTheme="minorEastAsia" w:hAnsiTheme="minorHAnsi"/>
          <w:noProof/>
          <w:sz w:val="22"/>
          <w:lang w:eastAsia="cs-CZ"/>
        </w:rPr>
      </w:pPr>
      <w:hyperlink w:anchor="_Toc73526753" w:history="1">
        <w:r w:rsidR="00C911FC" w:rsidRPr="00C911FC">
          <w:rPr>
            <w:rStyle w:val="Hypertextovodkaz"/>
            <w:noProof/>
          </w:rPr>
          <w:t>Tabulka č. 3: Kategorie hodnocení rizikovosti</w:t>
        </w:r>
        <w:r w:rsidR="00C911FC" w:rsidRPr="00C911FC">
          <w:rPr>
            <w:noProof/>
            <w:webHidden/>
          </w:rPr>
          <w:tab/>
        </w:r>
        <w:r w:rsidR="00C911FC" w:rsidRPr="00C911FC">
          <w:rPr>
            <w:noProof/>
            <w:webHidden/>
          </w:rPr>
          <w:fldChar w:fldCharType="begin"/>
        </w:r>
        <w:r w:rsidR="00C911FC" w:rsidRPr="00C911FC">
          <w:rPr>
            <w:noProof/>
            <w:webHidden/>
          </w:rPr>
          <w:instrText xml:space="preserve"> PAGEREF _Toc73526753 \h </w:instrText>
        </w:r>
        <w:r w:rsidR="00C911FC" w:rsidRPr="00C911FC">
          <w:rPr>
            <w:noProof/>
            <w:webHidden/>
          </w:rPr>
        </w:r>
        <w:r w:rsidR="00C911FC" w:rsidRPr="00C911FC">
          <w:rPr>
            <w:noProof/>
            <w:webHidden/>
          </w:rPr>
          <w:fldChar w:fldCharType="separate"/>
        </w:r>
        <w:r w:rsidR="00C911FC" w:rsidRPr="00C911FC">
          <w:rPr>
            <w:noProof/>
            <w:webHidden/>
          </w:rPr>
          <w:t>36</w:t>
        </w:r>
        <w:r w:rsidR="00C911FC" w:rsidRPr="00C911FC">
          <w:rPr>
            <w:noProof/>
            <w:webHidden/>
          </w:rPr>
          <w:fldChar w:fldCharType="end"/>
        </w:r>
      </w:hyperlink>
    </w:p>
    <w:p w14:paraId="4E4EC8C8" w14:textId="70A82F0D" w:rsidR="00C911FC" w:rsidRDefault="00C911FC" w:rsidP="00C911FC">
      <w:pPr>
        <w:pStyle w:val="Nadpis4"/>
      </w:pPr>
      <w:r w:rsidRPr="006B6318">
        <w:fldChar w:fldCharType="end"/>
      </w:r>
      <w:r w:rsidRPr="00C911FC">
        <w:t xml:space="preserve"> </w:t>
      </w:r>
      <w:bookmarkStart w:id="43" w:name="_Toc73604312"/>
      <w:r>
        <w:t>Obrázky</w:t>
      </w:r>
      <w:bookmarkEnd w:id="43"/>
    </w:p>
    <w:p w14:paraId="69BEA96E" w14:textId="0DA2D042" w:rsidR="00C911FC" w:rsidRPr="00C911FC" w:rsidRDefault="00C911FC">
      <w:pPr>
        <w:pStyle w:val="Seznamobrzk"/>
        <w:tabs>
          <w:tab w:val="right" w:leader="dot" w:pos="9062"/>
        </w:tabs>
        <w:rPr>
          <w:rFonts w:asciiTheme="minorHAnsi" w:eastAsiaTheme="minorEastAsia" w:hAnsiTheme="minorHAnsi"/>
          <w:noProof/>
          <w:sz w:val="22"/>
          <w:lang w:eastAsia="cs-CZ"/>
        </w:rPr>
      </w:pPr>
      <w:r w:rsidRPr="00C911FC">
        <w:fldChar w:fldCharType="begin"/>
      </w:r>
      <w:r w:rsidRPr="00C911FC">
        <w:instrText xml:space="preserve"> TOC \h \z \c "Obrázek č. " </w:instrText>
      </w:r>
      <w:r w:rsidRPr="00C911FC">
        <w:fldChar w:fldCharType="separate"/>
      </w:r>
      <w:hyperlink w:anchor="_Toc73526768" w:history="1">
        <w:r w:rsidRPr="00C911FC">
          <w:rPr>
            <w:rStyle w:val="Hypertextovodkaz"/>
            <w:noProof/>
          </w:rPr>
          <w:t>Obrázek č. 1: Herní prostory v České republice (stav 3. čtvrtletí 2020)</w:t>
        </w:r>
        <w:r w:rsidRPr="00C911FC">
          <w:rPr>
            <w:noProof/>
            <w:webHidden/>
          </w:rPr>
          <w:tab/>
        </w:r>
        <w:r w:rsidRPr="00C911FC">
          <w:rPr>
            <w:noProof/>
            <w:webHidden/>
          </w:rPr>
          <w:fldChar w:fldCharType="begin"/>
        </w:r>
        <w:r w:rsidRPr="00C911FC">
          <w:rPr>
            <w:noProof/>
            <w:webHidden/>
          </w:rPr>
          <w:instrText xml:space="preserve"> PAGEREF _Toc73526768 \h </w:instrText>
        </w:r>
        <w:r w:rsidRPr="00C911FC">
          <w:rPr>
            <w:noProof/>
            <w:webHidden/>
          </w:rPr>
        </w:r>
        <w:r w:rsidRPr="00C911FC">
          <w:rPr>
            <w:noProof/>
            <w:webHidden/>
          </w:rPr>
          <w:fldChar w:fldCharType="separate"/>
        </w:r>
        <w:r w:rsidRPr="00C911FC">
          <w:rPr>
            <w:noProof/>
            <w:webHidden/>
          </w:rPr>
          <w:t>39</w:t>
        </w:r>
        <w:r w:rsidRPr="00C911FC">
          <w:rPr>
            <w:noProof/>
            <w:webHidden/>
          </w:rPr>
          <w:fldChar w:fldCharType="end"/>
        </w:r>
      </w:hyperlink>
    </w:p>
    <w:p w14:paraId="5276D879" w14:textId="51FE65BD" w:rsidR="00C911FC" w:rsidRPr="00C911FC" w:rsidRDefault="00980ED2">
      <w:pPr>
        <w:pStyle w:val="Seznamobrzk"/>
        <w:tabs>
          <w:tab w:val="right" w:leader="dot" w:pos="9062"/>
        </w:tabs>
        <w:rPr>
          <w:rFonts w:asciiTheme="minorHAnsi" w:eastAsiaTheme="minorEastAsia" w:hAnsiTheme="minorHAnsi"/>
          <w:noProof/>
          <w:sz w:val="22"/>
          <w:lang w:eastAsia="cs-CZ"/>
        </w:rPr>
      </w:pPr>
      <w:hyperlink w:anchor="_Toc73526769" w:history="1">
        <w:r w:rsidR="00C911FC" w:rsidRPr="00C911FC">
          <w:rPr>
            <w:rStyle w:val="Hypertextovodkaz"/>
            <w:noProof/>
          </w:rPr>
          <w:t>Obrázek č. 2: Mobilní internetové pokrytí České republiky – Vodafone (k 6. 5. 2021)</w:t>
        </w:r>
        <w:r w:rsidR="00C911FC" w:rsidRPr="00C911FC">
          <w:rPr>
            <w:noProof/>
            <w:webHidden/>
          </w:rPr>
          <w:tab/>
        </w:r>
        <w:r w:rsidR="00C911FC" w:rsidRPr="00C911FC">
          <w:rPr>
            <w:noProof/>
            <w:webHidden/>
          </w:rPr>
          <w:fldChar w:fldCharType="begin"/>
        </w:r>
        <w:r w:rsidR="00C911FC" w:rsidRPr="00C911FC">
          <w:rPr>
            <w:noProof/>
            <w:webHidden/>
          </w:rPr>
          <w:instrText xml:space="preserve"> PAGEREF _Toc73526769 \h </w:instrText>
        </w:r>
        <w:r w:rsidR="00C911FC" w:rsidRPr="00C911FC">
          <w:rPr>
            <w:noProof/>
            <w:webHidden/>
          </w:rPr>
        </w:r>
        <w:r w:rsidR="00C911FC" w:rsidRPr="00C911FC">
          <w:rPr>
            <w:noProof/>
            <w:webHidden/>
          </w:rPr>
          <w:fldChar w:fldCharType="separate"/>
        </w:r>
        <w:r w:rsidR="00C911FC" w:rsidRPr="00C911FC">
          <w:rPr>
            <w:noProof/>
            <w:webHidden/>
          </w:rPr>
          <w:t>39</w:t>
        </w:r>
        <w:r w:rsidR="00C911FC" w:rsidRPr="00C911FC">
          <w:rPr>
            <w:noProof/>
            <w:webHidden/>
          </w:rPr>
          <w:fldChar w:fldCharType="end"/>
        </w:r>
      </w:hyperlink>
    </w:p>
    <w:p w14:paraId="4FA1D31A" w14:textId="73AA5CFF" w:rsidR="00890908" w:rsidRDefault="00C911FC" w:rsidP="00C911FC">
      <w:pPr>
        <w:pStyle w:val="Nadpis4"/>
      </w:pPr>
      <w:r w:rsidRPr="00C911FC">
        <w:fldChar w:fldCharType="end"/>
      </w:r>
      <w:bookmarkStart w:id="44" w:name="_Toc73604313"/>
      <w:r w:rsidR="0014110D">
        <w:t>Grafy</w:t>
      </w:r>
      <w:bookmarkEnd w:id="44"/>
    </w:p>
    <w:p w14:paraId="1CAAB1F2" w14:textId="59BBE3F8" w:rsidR="00C911FC" w:rsidRDefault="0014110D">
      <w:pPr>
        <w:pStyle w:val="Seznamobrzk"/>
        <w:tabs>
          <w:tab w:val="right" w:leader="dot" w:pos="9062"/>
        </w:tabs>
        <w:rPr>
          <w:rFonts w:asciiTheme="minorHAnsi" w:eastAsiaTheme="minorEastAsia" w:hAnsiTheme="minorHAnsi"/>
          <w:noProof/>
          <w:sz w:val="22"/>
          <w:lang w:eastAsia="cs-CZ"/>
        </w:rPr>
      </w:pPr>
      <w:r>
        <w:fldChar w:fldCharType="begin"/>
      </w:r>
      <w:r>
        <w:instrText xml:space="preserve"> TOC \h \z \c "Graf č. " </w:instrText>
      </w:r>
      <w:r>
        <w:fldChar w:fldCharType="separate"/>
      </w:r>
      <w:hyperlink w:anchor="_Toc73526777" w:history="1">
        <w:r w:rsidR="00C911FC" w:rsidRPr="00EA5790">
          <w:rPr>
            <w:rStyle w:val="Hypertextovodkaz"/>
            <w:noProof/>
          </w:rPr>
          <w:t>Graf č. 1</w:t>
        </w:r>
        <w:r w:rsidR="00C911FC" w:rsidRPr="00EA5790">
          <w:rPr>
            <w:rStyle w:val="Hypertextovodkaz"/>
            <w:rFonts w:cs="Arial"/>
            <w:noProof/>
          </w:rPr>
          <w:t xml:space="preserve">: Znázornění loterií </w:t>
        </w:r>
        <w:r w:rsidR="00C911FC" w:rsidRPr="00EA5790">
          <w:rPr>
            <w:rStyle w:val="Hypertextovodkaz"/>
            <w:noProof/>
            <w:lang w:eastAsia="cs-CZ"/>
          </w:rPr>
          <w:t>provozovaných formou land-based 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_Toc73526777 \h </w:instrText>
        </w:r>
        <w:r w:rsidR="00C911FC">
          <w:rPr>
            <w:noProof/>
            <w:webHidden/>
          </w:rPr>
        </w:r>
        <w:r w:rsidR="00C911FC">
          <w:rPr>
            <w:noProof/>
            <w:webHidden/>
          </w:rPr>
          <w:fldChar w:fldCharType="separate"/>
        </w:r>
        <w:r w:rsidR="00C911FC">
          <w:rPr>
            <w:noProof/>
            <w:webHidden/>
          </w:rPr>
          <w:t>4</w:t>
        </w:r>
        <w:r w:rsidR="00C911FC">
          <w:rPr>
            <w:noProof/>
            <w:webHidden/>
          </w:rPr>
          <w:fldChar w:fldCharType="end"/>
        </w:r>
      </w:hyperlink>
    </w:p>
    <w:p w14:paraId="5B794F54" w14:textId="5F1FD1D8" w:rsidR="00C911FC" w:rsidRDefault="00980ED2">
      <w:pPr>
        <w:pStyle w:val="Seznamobrzk"/>
        <w:tabs>
          <w:tab w:val="right" w:leader="dot" w:pos="9062"/>
        </w:tabs>
        <w:rPr>
          <w:rFonts w:asciiTheme="minorHAnsi" w:eastAsiaTheme="minorEastAsia" w:hAnsiTheme="minorHAnsi"/>
          <w:noProof/>
          <w:sz w:val="22"/>
          <w:lang w:eastAsia="cs-CZ"/>
        </w:rPr>
      </w:pPr>
      <w:hyperlink w:anchor="_Toc73526778" w:history="1">
        <w:r w:rsidR="00C911FC" w:rsidRPr="00EA5790">
          <w:rPr>
            <w:rStyle w:val="Hypertextovodkaz"/>
            <w:noProof/>
          </w:rPr>
          <w:t>Graf č. 2</w:t>
        </w:r>
        <w:r w:rsidR="00C911FC" w:rsidRPr="00EA5790">
          <w:rPr>
            <w:rStyle w:val="Hypertextovodkaz"/>
            <w:rFonts w:cs="Arial"/>
            <w:noProof/>
          </w:rPr>
          <w:t xml:space="preserve">: Znázornění loterií </w:t>
        </w:r>
        <w:r w:rsidR="00C911FC" w:rsidRPr="00EA5790">
          <w:rPr>
            <w:rStyle w:val="Hypertextovodkaz"/>
            <w:noProof/>
            <w:lang w:eastAsia="cs-CZ"/>
          </w:rPr>
          <w:t>provozovaných prostřednictvím internetu 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_Toc73526778 \h </w:instrText>
        </w:r>
        <w:r w:rsidR="00C911FC">
          <w:rPr>
            <w:noProof/>
            <w:webHidden/>
          </w:rPr>
        </w:r>
        <w:r w:rsidR="00C911FC">
          <w:rPr>
            <w:noProof/>
            <w:webHidden/>
          </w:rPr>
          <w:fldChar w:fldCharType="separate"/>
        </w:r>
        <w:r w:rsidR="00C911FC">
          <w:rPr>
            <w:noProof/>
            <w:webHidden/>
          </w:rPr>
          <w:t>6</w:t>
        </w:r>
        <w:r w:rsidR="00C911FC">
          <w:rPr>
            <w:noProof/>
            <w:webHidden/>
          </w:rPr>
          <w:fldChar w:fldCharType="end"/>
        </w:r>
      </w:hyperlink>
    </w:p>
    <w:p w14:paraId="57E52F1E" w14:textId="728810CA" w:rsidR="00C911FC" w:rsidRDefault="00980ED2">
      <w:pPr>
        <w:pStyle w:val="Seznamobrzk"/>
        <w:tabs>
          <w:tab w:val="right" w:leader="dot" w:pos="9062"/>
        </w:tabs>
        <w:rPr>
          <w:rFonts w:asciiTheme="minorHAnsi" w:eastAsiaTheme="minorEastAsia" w:hAnsiTheme="minorHAnsi"/>
          <w:noProof/>
          <w:sz w:val="22"/>
          <w:lang w:eastAsia="cs-CZ"/>
        </w:rPr>
      </w:pPr>
      <w:hyperlink w:anchor="_Toc73526779" w:history="1">
        <w:r w:rsidR="00C911FC" w:rsidRPr="00EA5790">
          <w:rPr>
            <w:rStyle w:val="Hypertextovodkaz"/>
            <w:noProof/>
          </w:rPr>
          <w:t>Graf č. 3</w:t>
        </w:r>
        <w:r w:rsidR="00C911FC" w:rsidRPr="00EA5790">
          <w:rPr>
            <w:rStyle w:val="Hypertextovodkaz"/>
            <w:rFonts w:cs="Arial"/>
            <w:noProof/>
          </w:rPr>
          <w:t xml:space="preserve">: Znázornění kursové sázky </w:t>
        </w:r>
        <w:r w:rsidR="00C911FC" w:rsidRPr="00EA5790">
          <w:rPr>
            <w:rStyle w:val="Hypertextovodkaz"/>
            <w:noProof/>
            <w:lang w:eastAsia="cs-CZ"/>
          </w:rPr>
          <w:t>provozované formou land-based 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_Toc73526779 \h </w:instrText>
        </w:r>
        <w:r w:rsidR="00C911FC">
          <w:rPr>
            <w:noProof/>
            <w:webHidden/>
          </w:rPr>
        </w:r>
        <w:r w:rsidR="00C911FC">
          <w:rPr>
            <w:noProof/>
            <w:webHidden/>
          </w:rPr>
          <w:fldChar w:fldCharType="separate"/>
        </w:r>
        <w:r w:rsidR="00C911FC">
          <w:rPr>
            <w:noProof/>
            <w:webHidden/>
          </w:rPr>
          <w:t>8</w:t>
        </w:r>
        <w:r w:rsidR="00C911FC">
          <w:rPr>
            <w:noProof/>
            <w:webHidden/>
          </w:rPr>
          <w:fldChar w:fldCharType="end"/>
        </w:r>
      </w:hyperlink>
    </w:p>
    <w:p w14:paraId="0E4D776E" w14:textId="67BE92E4" w:rsidR="00C911FC" w:rsidRDefault="00980ED2">
      <w:pPr>
        <w:pStyle w:val="Seznamobrzk"/>
        <w:tabs>
          <w:tab w:val="right" w:leader="dot" w:pos="9062"/>
        </w:tabs>
        <w:rPr>
          <w:rFonts w:asciiTheme="minorHAnsi" w:eastAsiaTheme="minorEastAsia" w:hAnsiTheme="minorHAnsi"/>
          <w:noProof/>
          <w:sz w:val="22"/>
          <w:lang w:eastAsia="cs-CZ"/>
        </w:rPr>
      </w:pPr>
      <w:hyperlink w:anchor="_Toc73526780" w:history="1">
        <w:r w:rsidR="00C911FC" w:rsidRPr="00EA5790">
          <w:rPr>
            <w:rStyle w:val="Hypertextovodkaz"/>
            <w:noProof/>
          </w:rPr>
          <w:t xml:space="preserve">Graf č. 4: </w:t>
        </w:r>
        <w:r w:rsidR="00C911FC" w:rsidRPr="00EA5790">
          <w:rPr>
            <w:rStyle w:val="Hypertextovodkaz"/>
            <w:rFonts w:cs="Arial"/>
            <w:noProof/>
          </w:rPr>
          <w:t xml:space="preserve">Znázornění kursových sázek </w:t>
        </w:r>
        <w:r w:rsidR="00C911FC" w:rsidRPr="00EA5790">
          <w:rPr>
            <w:rStyle w:val="Hypertextovodkaz"/>
            <w:noProof/>
            <w:lang w:eastAsia="cs-CZ"/>
          </w:rPr>
          <w:t>provozovaných prostřednictvím internetu 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_Toc73526780 \h </w:instrText>
        </w:r>
        <w:r w:rsidR="00C911FC">
          <w:rPr>
            <w:noProof/>
            <w:webHidden/>
          </w:rPr>
        </w:r>
        <w:r w:rsidR="00C911FC">
          <w:rPr>
            <w:noProof/>
            <w:webHidden/>
          </w:rPr>
          <w:fldChar w:fldCharType="separate"/>
        </w:r>
        <w:r w:rsidR="00C911FC">
          <w:rPr>
            <w:noProof/>
            <w:webHidden/>
          </w:rPr>
          <w:t>10</w:t>
        </w:r>
        <w:r w:rsidR="00C911FC">
          <w:rPr>
            <w:noProof/>
            <w:webHidden/>
          </w:rPr>
          <w:fldChar w:fldCharType="end"/>
        </w:r>
      </w:hyperlink>
    </w:p>
    <w:p w14:paraId="4CEB6F28" w14:textId="1C7A1F81" w:rsidR="00C911FC" w:rsidRDefault="00980ED2">
      <w:pPr>
        <w:pStyle w:val="Seznamobrzk"/>
        <w:tabs>
          <w:tab w:val="right" w:leader="dot" w:pos="9062"/>
        </w:tabs>
        <w:rPr>
          <w:rFonts w:asciiTheme="minorHAnsi" w:eastAsiaTheme="minorEastAsia" w:hAnsiTheme="minorHAnsi"/>
          <w:noProof/>
          <w:sz w:val="22"/>
          <w:lang w:eastAsia="cs-CZ"/>
        </w:rPr>
      </w:pPr>
      <w:hyperlink w:anchor="_Toc73526781" w:history="1">
        <w:r w:rsidR="00C911FC" w:rsidRPr="00EA5790">
          <w:rPr>
            <w:rStyle w:val="Hypertextovodkaz"/>
            <w:noProof/>
          </w:rPr>
          <w:t xml:space="preserve">Graf č. 5: Znázornění binga provozovaného formou land-based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_Toc73526781 \h </w:instrText>
        </w:r>
        <w:r w:rsidR="00C911FC">
          <w:rPr>
            <w:noProof/>
            <w:webHidden/>
          </w:rPr>
        </w:r>
        <w:r w:rsidR="00C911FC">
          <w:rPr>
            <w:noProof/>
            <w:webHidden/>
          </w:rPr>
          <w:fldChar w:fldCharType="separate"/>
        </w:r>
        <w:r w:rsidR="00C911FC">
          <w:rPr>
            <w:noProof/>
            <w:webHidden/>
          </w:rPr>
          <w:t>12</w:t>
        </w:r>
        <w:r w:rsidR="00C911FC">
          <w:rPr>
            <w:noProof/>
            <w:webHidden/>
          </w:rPr>
          <w:fldChar w:fldCharType="end"/>
        </w:r>
      </w:hyperlink>
    </w:p>
    <w:p w14:paraId="7F143435" w14:textId="60638DAA" w:rsidR="00C911FC" w:rsidRDefault="00980ED2">
      <w:pPr>
        <w:pStyle w:val="Seznamobrzk"/>
        <w:tabs>
          <w:tab w:val="right" w:leader="dot" w:pos="9062"/>
        </w:tabs>
        <w:rPr>
          <w:rFonts w:asciiTheme="minorHAnsi" w:eastAsiaTheme="minorEastAsia" w:hAnsiTheme="minorHAnsi"/>
          <w:noProof/>
          <w:sz w:val="22"/>
          <w:lang w:eastAsia="cs-CZ"/>
        </w:rPr>
      </w:pPr>
      <w:hyperlink w:anchor="_Toc73526782" w:history="1">
        <w:r w:rsidR="00C911FC" w:rsidRPr="00EA5790">
          <w:rPr>
            <w:rStyle w:val="Hypertextovodkaz"/>
            <w:noProof/>
          </w:rPr>
          <w:t xml:space="preserve">Graf č. 6: Znázornění technické hry provozované formou land-based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_Toc73526782 \h </w:instrText>
        </w:r>
        <w:r w:rsidR="00C911FC">
          <w:rPr>
            <w:noProof/>
            <w:webHidden/>
          </w:rPr>
        </w:r>
        <w:r w:rsidR="00C911FC">
          <w:rPr>
            <w:noProof/>
            <w:webHidden/>
          </w:rPr>
          <w:fldChar w:fldCharType="separate"/>
        </w:r>
        <w:r w:rsidR="00C911FC">
          <w:rPr>
            <w:noProof/>
            <w:webHidden/>
          </w:rPr>
          <w:t>14</w:t>
        </w:r>
        <w:r w:rsidR="00C911FC">
          <w:rPr>
            <w:noProof/>
            <w:webHidden/>
          </w:rPr>
          <w:fldChar w:fldCharType="end"/>
        </w:r>
      </w:hyperlink>
    </w:p>
    <w:p w14:paraId="4523DDEC" w14:textId="61134921" w:rsidR="00C911FC" w:rsidRDefault="00980ED2">
      <w:pPr>
        <w:pStyle w:val="Seznamobrzk"/>
        <w:tabs>
          <w:tab w:val="right" w:leader="dot" w:pos="9062"/>
        </w:tabs>
        <w:rPr>
          <w:rFonts w:asciiTheme="minorHAnsi" w:eastAsiaTheme="minorEastAsia" w:hAnsiTheme="minorHAnsi"/>
          <w:noProof/>
          <w:sz w:val="22"/>
          <w:lang w:eastAsia="cs-CZ"/>
        </w:rPr>
      </w:pPr>
      <w:hyperlink w:anchor="_Toc73526783" w:history="1">
        <w:r w:rsidR="00C911FC" w:rsidRPr="00EA5790">
          <w:rPr>
            <w:rStyle w:val="Hypertextovodkaz"/>
            <w:noProof/>
          </w:rPr>
          <w:t xml:space="preserve">Graf č. 7: Znázornění technických her provozovaných prostřednictvím internetu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_Toc73526783 \h </w:instrText>
        </w:r>
        <w:r w:rsidR="00C911FC">
          <w:rPr>
            <w:noProof/>
            <w:webHidden/>
          </w:rPr>
        </w:r>
        <w:r w:rsidR="00C911FC">
          <w:rPr>
            <w:noProof/>
            <w:webHidden/>
          </w:rPr>
          <w:fldChar w:fldCharType="separate"/>
        </w:r>
        <w:r w:rsidR="00C911FC">
          <w:rPr>
            <w:noProof/>
            <w:webHidden/>
          </w:rPr>
          <w:t>16</w:t>
        </w:r>
        <w:r w:rsidR="00C911FC">
          <w:rPr>
            <w:noProof/>
            <w:webHidden/>
          </w:rPr>
          <w:fldChar w:fldCharType="end"/>
        </w:r>
      </w:hyperlink>
    </w:p>
    <w:p w14:paraId="0C058C91" w14:textId="3D07A17B" w:rsidR="00C911FC" w:rsidRDefault="00980ED2">
      <w:pPr>
        <w:pStyle w:val="Seznamobrzk"/>
        <w:tabs>
          <w:tab w:val="right" w:leader="dot" w:pos="9062"/>
        </w:tabs>
        <w:rPr>
          <w:rFonts w:asciiTheme="minorHAnsi" w:eastAsiaTheme="minorEastAsia" w:hAnsiTheme="minorHAnsi"/>
          <w:noProof/>
          <w:sz w:val="22"/>
          <w:lang w:eastAsia="cs-CZ"/>
        </w:rPr>
      </w:pPr>
      <w:hyperlink w:anchor="_Toc73526784" w:history="1">
        <w:r w:rsidR="00C911FC" w:rsidRPr="00EA5790">
          <w:rPr>
            <w:rStyle w:val="Hypertextovodkaz"/>
            <w:noProof/>
          </w:rPr>
          <w:t xml:space="preserve">Graf č. 8: Znázornění živých her provozovaných formou land-based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_Toc73526784 \h </w:instrText>
        </w:r>
        <w:r w:rsidR="00C911FC">
          <w:rPr>
            <w:noProof/>
            <w:webHidden/>
          </w:rPr>
        </w:r>
        <w:r w:rsidR="00C911FC">
          <w:rPr>
            <w:noProof/>
            <w:webHidden/>
          </w:rPr>
          <w:fldChar w:fldCharType="separate"/>
        </w:r>
        <w:r w:rsidR="00C911FC">
          <w:rPr>
            <w:noProof/>
            <w:webHidden/>
          </w:rPr>
          <w:t>18</w:t>
        </w:r>
        <w:r w:rsidR="00C911FC">
          <w:rPr>
            <w:noProof/>
            <w:webHidden/>
          </w:rPr>
          <w:fldChar w:fldCharType="end"/>
        </w:r>
      </w:hyperlink>
    </w:p>
    <w:p w14:paraId="4BEE4462" w14:textId="36278FC8" w:rsidR="00C911FC" w:rsidRDefault="00980ED2">
      <w:pPr>
        <w:pStyle w:val="Seznamobrzk"/>
        <w:tabs>
          <w:tab w:val="right" w:leader="dot" w:pos="9062"/>
        </w:tabs>
        <w:rPr>
          <w:rFonts w:asciiTheme="minorHAnsi" w:eastAsiaTheme="minorEastAsia" w:hAnsiTheme="minorHAnsi"/>
          <w:noProof/>
          <w:sz w:val="22"/>
          <w:lang w:eastAsia="cs-CZ"/>
        </w:rPr>
      </w:pPr>
      <w:hyperlink w:anchor="_Toc73526785" w:history="1">
        <w:r w:rsidR="00C911FC" w:rsidRPr="00EA5790">
          <w:rPr>
            <w:rStyle w:val="Hypertextovodkaz"/>
            <w:noProof/>
          </w:rPr>
          <w:t xml:space="preserve">Graf č. 9: Znázornění živých her provozovaných prostřednictvím internetu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_Toc73526785 \h </w:instrText>
        </w:r>
        <w:r w:rsidR="00C911FC">
          <w:rPr>
            <w:noProof/>
            <w:webHidden/>
          </w:rPr>
        </w:r>
        <w:r w:rsidR="00C911FC">
          <w:rPr>
            <w:noProof/>
            <w:webHidden/>
          </w:rPr>
          <w:fldChar w:fldCharType="separate"/>
        </w:r>
        <w:r w:rsidR="00C911FC">
          <w:rPr>
            <w:noProof/>
            <w:webHidden/>
          </w:rPr>
          <w:t>20</w:t>
        </w:r>
        <w:r w:rsidR="00C911FC">
          <w:rPr>
            <w:noProof/>
            <w:webHidden/>
          </w:rPr>
          <w:fldChar w:fldCharType="end"/>
        </w:r>
      </w:hyperlink>
    </w:p>
    <w:p w14:paraId="0EC235CD" w14:textId="605F6BCB" w:rsidR="00C911FC" w:rsidRDefault="00980ED2">
      <w:pPr>
        <w:pStyle w:val="Seznamobrzk"/>
        <w:tabs>
          <w:tab w:val="right" w:leader="dot" w:pos="9062"/>
        </w:tabs>
        <w:rPr>
          <w:rFonts w:asciiTheme="minorHAnsi" w:eastAsiaTheme="minorEastAsia" w:hAnsiTheme="minorHAnsi"/>
          <w:noProof/>
          <w:sz w:val="22"/>
          <w:lang w:eastAsia="cs-CZ"/>
        </w:rPr>
      </w:pPr>
      <w:hyperlink w:anchor="_Toc73526786" w:history="1">
        <w:r w:rsidR="00C911FC" w:rsidRPr="00EA5790">
          <w:rPr>
            <w:rStyle w:val="Hypertextovodkaz"/>
            <w:noProof/>
          </w:rPr>
          <w:t xml:space="preserve">Graf č. 10: Znázornění tomboly </w:t>
        </w:r>
        <w:r w:rsidR="00C911FC" w:rsidRPr="00EA5790">
          <w:rPr>
            <w:rStyle w:val="Hypertextovodkaz"/>
            <w:noProof/>
            <w:lang w:eastAsia="cs-CZ"/>
          </w:rPr>
          <w:t>podle procentuálního naplnění hodnotících parametrů</w:t>
        </w:r>
        <w:r w:rsidR="00C911FC">
          <w:rPr>
            <w:noProof/>
            <w:webHidden/>
          </w:rPr>
          <w:tab/>
        </w:r>
        <w:r w:rsidR="00C911FC">
          <w:rPr>
            <w:noProof/>
            <w:webHidden/>
          </w:rPr>
          <w:fldChar w:fldCharType="begin"/>
        </w:r>
        <w:r w:rsidR="00C911FC">
          <w:rPr>
            <w:noProof/>
            <w:webHidden/>
          </w:rPr>
          <w:instrText xml:space="preserve"> PAGEREF _Toc73526786 \h </w:instrText>
        </w:r>
        <w:r w:rsidR="00C911FC">
          <w:rPr>
            <w:noProof/>
            <w:webHidden/>
          </w:rPr>
        </w:r>
        <w:r w:rsidR="00C911FC">
          <w:rPr>
            <w:noProof/>
            <w:webHidden/>
          </w:rPr>
          <w:fldChar w:fldCharType="separate"/>
        </w:r>
        <w:r w:rsidR="00C911FC">
          <w:rPr>
            <w:noProof/>
            <w:webHidden/>
          </w:rPr>
          <w:t>22</w:t>
        </w:r>
        <w:r w:rsidR="00C911FC">
          <w:rPr>
            <w:noProof/>
            <w:webHidden/>
          </w:rPr>
          <w:fldChar w:fldCharType="end"/>
        </w:r>
      </w:hyperlink>
    </w:p>
    <w:p w14:paraId="4B96B6EA" w14:textId="04CAAC4C" w:rsidR="00C911FC" w:rsidRDefault="00980ED2">
      <w:pPr>
        <w:pStyle w:val="Seznamobrzk"/>
        <w:tabs>
          <w:tab w:val="right" w:leader="dot" w:pos="9062"/>
        </w:tabs>
        <w:rPr>
          <w:rFonts w:asciiTheme="minorHAnsi" w:eastAsiaTheme="minorEastAsia" w:hAnsiTheme="minorHAnsi"/>
          <w:noProof/>
          <w:sz w:val="22"/>
          <w:lang w:eastAsia="cs-CZ"/>
        </w:rPr>
      </w:pPr>
      <w:hyperlink w:anchor="_Toc73526787" w:history="1">
        <w:r w:rsidR="00C911FC" w:rsidRPr="00EA5790">
          <w:rPr>
            <w:rStyle w:val="Hypertextovodkaz"/>
            <w:noProof/>
          </w:rPr>
          <w:t>Graf č. 11:</w:t>
        </w:r>
        <w:r w:rsidR="00C911FC" w:rsidRPr="00EA5790">
          <w:rPr>
            <w:rStyle w:val="Hypertextovodkaz"/>
            <w:rFonts w:cs="Arial"/>
            <w:noProof/>
          </w:rPr>
          <w:t xml:space="preserve"> Znázornění parametru „frekvence události“ podle jednotlivých hazardních her</w:t>
        </w:r>
        <w:r w:rsidR="00C911FC">
          <w:rPr>
            <w:noProof/>
            <w:webHidden/>
          </w:rPr>
          <w:tab/>
        </w:r>
        <w:r w:rsidR="00C911FC">
          <w:rPr>
            <w:noProof/>
            <w:webHidden/>
          </w:rPr>
          <w:fldChar w:fldCharType="begin"/>
        </w:r>
        <w:r w:rsidR="00C911FC">
          <w:rPr>
            <w:noProof/>
            <w:webHidden/>
          </w:rPr>
          <w:instrText xml:space="preserve"> PAGEREF _Toc73526787 \h </w:instrText>
        </w:r>
        <w:r w:rsidR="00C911FC">
          <w:rPr>
            <w:noProof/>
            <w:webHidden/>
          </w:rPr>
        </w:r>
        <w:r w:rsidR="00C911FC">
          <w:rPr>
            <w:noProof/>
            <w:webHidden/>
          </w:rPr>
          <w:fldChar w:fldCharType="separate"/>
        </w:r>
        <w:r w:rsidR="00C911FC">
          <w:rPr>
            <w:noProof/>
            <w:webHidden/>
          </w:rPr>
          <w:t>24</w:t>
        </w:r>
        <w:r w:rsidR="00C911FC">
          <w:rPr>
            <w:noProof/>
            <w:webHidden/>
          </w:rPr>
          <w:fldChar w:fldCharType="end"/>
        </w:r>
      </w:hyperlink>
    </w:p>
    <w:p w14:paraId="6FF406BF" w14:textId="731FB044" w:rsidR="00C911FC" w:rsidRDefault="00980ED2">
      <w:pPr>
        <w:pStyle w:val="Seznamobrzk"/>
        <w:tabs>
          <w:tab w:val="right" w:leader="dot" w:pos="9062"/>
        </w:tabs>
        <w:rPr>
          <w:rFonts w:asciiTheme="minorHAnsi" w:eastAsiaTheme="minorEastAsia" w:hAnsiTheme="minorHAnsi"/>
          <w:noProof/>
          <w:sz w:val="22"/>
          <w:lang w:eastAsia="cs-CZ"/>
        </w:rPr>
      </w:pPr>
      <w:hyperlink w:anchor="_Toc73526788" w:history="1">
        <w:r w:rsidR="00C911FC" w:rsidRPr="00EA5790">
          <w:rPr>
            <w:rStyle w:val="Hypertextovodkaz"/>
            <w:noProof/>
          </w:rPr>
          <w:t xml:space="preserve">Graf č. 12: </w:t>
        </w:r>
        <w:r w:rsidR="00C911FC" w:rsidRPr="00EA5790">
          <w:rPr>
            <w:rStyle w:val="Hypertextovodkaz"/>
            <w:rFonts w:cs="Arial"/>
            <w:noProof/>
          </w:rPr>
          <w:t>Znázornění parametru „interval návratnosti“ podle jednotlivých hazardních her</w:t>
        </w:r>
        <w:r w:rsidR="00C911FC">
          <w:rPr>
            <w:noProof/>
            <w:webHidden/>
          </w:rPr>
          <w:tab/>
        </w:r>
        <w:r w:rsidR="00C911FC">
          <w:rPr>
            <w:noProof/>
            <w:webHidden/>
          </w:rPr>
          <w:fldChar w:fldCharType="begin"/>
        </w:r>
        <w:r w:rsidR="00C911FC">
          <w:rPr>
            <w:noProof/>
            <w:webHidden/>
          </w:rPr>
          <w:instrText xml:space="preserve"> PAGEREF _Toc73526788 \h </w:instrText>
        </w:r>
        <w:r w:rsidR="00C911FC">
          <w:rPr>
            <w:noProof/>
            <w:webHidden/>
          </w:rPr>
        </w:r>
        <w:r w:rsidR="00C911FC">
          <w:rPr>
            <w:noProof/>
            <w:webHidden/>
          </w:rPr>
          <w:fldChar w:fldCharType="separate"/>
        </w:r>
        <w:r w:rsidR="00C911FC">
          <w:rPr>
            <w:noProof/>
            <w:webHidden/>
          </w:rPr>
          <w:t>25</w:t>
        </w:r>
        <w:r w:rsidR="00C911FC">
          <w:rPr>
            <w:noProof/>
            <w:webHidden/>
          </w:rPr>
          <w:fldChar w:fldCharType="end"/>
        </w:r>
      </w:hyperlink>
    </w:p>
    <w:p w14:paraId="7FB3C21F" w14:textId="75797F88" w:rsidR="00C911FC" w:rsidRDefault="00980ED2">
      <w:pPr>
        <w:pStyle w:val="Seznamobrzk"/>
        <w:tabs>
          <w:tab w:val="right" w:leader="dot" w:pos="9062"/>
        </w:tabs>
        <w:rPr>
          <w:rFonts w:asciiTheme="minorHAnsi" w:eastAsiaTheme="minorEastAsia" w:hAnsiTheme="minorHAnsi"/>
          <w:noProof/>
          <w:sz w:val="22"/>
          <w:lang w:eastAsia="cs-CZ"/>
        </w:rPr>
      </w:pPr>
      <w:hyperlink w:anchor="_Toc73526789" w:history="1">
        <w:r w:rsidR="00C911FC" w:rsidRPr="00EA5790">
          <w:rPr>
            <w:rStyle w:val="Hypertextovodkaz"/>
            <w:noProof/>
          </w:rPr>
          <w:t xml:space="preserve">Graf č. 13: </w:t>
        </w:r>
        <w:r w:rsidR="00C911FC" w:rsidRPr="00EA5790">
          <w:rPr>
            <w:rStyle w:val="Hypertextovodkaz"/>
            <w:rFonts w:cs="Arial"/>
            <w:noProof/>
          </w:rPr>
          <w:t>Znázornění parametru „jackpot“ podle jednotlivých hazardních her</w:t>
        </w:r>
        <w:r w:rsidR="00C911FC">
          <w:rPr>
            <w:noProof/>
            <w:webHidden/>
          </w:rPr>
          <w:tab/>
        </w:r>
        <w:r w:rsidR="00C911FC">
          <w:rPr>
            <w:noProof/>
            <w:webHidden/>
          </w:rPr>
          <w:fldChar w:fldCharType="begin"/>
        </w:r>
        <w:r w:rsidR="00C911FC">
          <w:rPr>
            <w:noProof/>
            <w:webHidden/>
          </w:rPr>
          <w:instrText xml:space="preserve"> PAGEREF _Toc73526789 \h </w:instrText>
        </w:r>
        <w:r w:rsidR="00C911FC">
          <w:rPr>
            <w:noProof/>
            <w:webHidden/>
          </w:rPr>
        </w:r>
        <w:r w:rsidR="00C911FC">
          <w:rPr>
            <w:noProof/>
            <w:webHidden/>
          </w:rPr>
          <w:fldChar w:fldCharType="separate"/>
        </w:r>
        <w:r w:rsidR="00C911FC">
          <w:rPr>
            <w:noProof/>
            <w:webHidden/>
          </w:rPr>
          <w:t>26</w:t>
        </w:r>
        <w:r w:rsidR="00C911FC">
          <w:rPr>
            <w:noProof/>
            <w:webHidden/>
          </w:rPr>
          <w:fldChar w:fldCharType="end"/>
        </w:r>
      </w:hyperlink>
    </w:p>
    <w:p w14:paraId="2E2B1F77" w14:textId="35BE9A00" w:rsidR="00C911FC" w:rsidRDefault="00980ED2">
      <w:pPr>
        <w:pStyle w:val="Seznamobrzk"/>
        <w:tabs>
          <w:tab w:val="right" w:leader="dot" w:pos="9062"/>
        </w:tabs>
        <w:rPr>
          <w:rFonts w:asciiTheme="minorHAnsi" w:eastAsiaTheme="minorEastAsia" w:hAnsiTheme="minorHAnsi"/>
          <w:noProof/>
          <w:sz w:val="22"/>
          <w:lang w:eastAsia="cs-CZ"/>
        </w:rPr>
      </w:pPr>
      <w:hyperlink w:anchor="_Toc73526790" w:history="1">
        <w:r w:rsidR="00C911FC" w:rsidRPr="00EA5790">
          <w:rPr>
            <w:rStyle w:val="Hypertextovodkaz"/>
            <w:noProof/>
          </w:rPr>
          <w:t xml:space="preserve">Graf č. 14: </w:t>
        </w:r>
        <w:r w:rsidR="00C911FC" w:rsidRPr="00EA5790">
          <w:rPr>
            <w:rStyle w:val="Hypertextovodkaz"/>
            <w:rFonts w:cs="Arial"/>
            <w:noProof/>
          </w:rPr>
          <w:t>Znázornění parametru „kontinuita hraní“ podle jednotlivých hazardních her</w:t>
        </w:r>
        <w:r w:rsidR="00C911FC">
          <w:rPr>
            <w:noProof/>
            <w:webHidden/>
          </w:rPr>
          <w:tab/>
        </w:r>
        <w:r w:rsidR="00C911FC">
          <w:rPr>
            <w:noProof/>
            <w:webHidden/>
          </w:rPr>
          <w:fldChar w:fldCharType="begin"/>
        </w:r>
        <w:r w:rsidR="00C911FC">
          <w:rPr>
            <w:noProof/>
            <w:webHidden/>
          </w:rPr>
          <w:instrText xml:space="preserve"> PAGEREF _Toc73526790 \h </w:instrText>
        </w:r>
        <w:r w:rsidR="00C911FC">
          <w:rPr>
            <w:noProof/>
            <w:webHidden/>
          </w:rPr>
        </w:r>
        <w:r w:rsidR="00C911FC">
          <w:rPr>
            <w:noProof/>
            <w:webHidden/>
          </w:rPr>
          <w:fldChar w:fldCharType="separate"/>
        </w:r>
        <w:r w:rsidR="00C911FC">
          <w:rPr>
            <w:noProof/>
            <w:webHidden/>
          </w:rPr>
          <w:t>27</w:t>
        </w:r>
        <w:r w:rsidR="00C911FC">
          <w:rPr>
            <w:noProof/>
            <w:webHidden/>
          </w:rPr>
          <w:fldChar w:fldCharType="end"/>
        </w:r>
      </w:hyperlink>
    </w:p>
    <w:p w14:paraId="4762E9FA" w14:textId="5607DF81" w:rsidR="00C911FC" w:rsidRDefault="00980ED2">
      <w:pPr>
        <w:pStyle w:val="Seznamobrzk"/>
        <w:tabs>
          <w:tab w:val="right" w:leader="dot" w:pos="9062"/>
        </w:tabs>
        <w:rPr>
          <w:rFonts w:asciiTheme="minorHAnsi" w:eastAsiaTheme="minorEastAsia" w:hAnsiTheme="minorHAnsi"/>
          <w:noProof/>
          <w:sz w:val="22"/>
          <w:lang w:eastAsia="cs-CZ"/>
        </w:rPr>
      </w:pPr>
      <w:hyperlink w:anchor="_Toc73526791" w:history="1">
        <w:r w:rsidR="00C911FC" w:rsidRPr="00EA5790">
          <w:rPr>
            <w:rStyle w:val="Hypertextovodkaz"/>
            <w:noProof/>
          </w:rPr>
          <w:t xml:space="preserve">Graf č. 15: </w:t>
        </w:r>
        <w:r w:rsidR="00C911FC" w:rsidRPr="00EA5790">
          <w:rPr>
            <w:rStyle w:val="Hypertextovodkaz"/>
            <w:rFonts w:cs="Arial"/>
            <w:noProof/>
          </w:rPr>
          <w:t>Znázornění parametru „šance na získání zisku“ podle jednotlivých hazardních her</w:t>
        </w:r>
        <w:r w:rsidR="00C911FC">
          <w:rPr>
            <w:noProof/>
            <w:webHidden/>
          </w:rPr>
          <w:tab/>
        </w:r>
        <w:r w:rsidR="00C911FC">
          <w:rPr>
            <w:noProof/>
            <w:webHidden/>
          </w:rPr>
          <w:fldChar w:fldCharType="begin"/>
        </w:r>
        <w:r w:rsidR="00C911FC">
          <w:rPr>
            <w:noProof/>
            <w:webHidden/>
          </w:rPr>
          <w:instrText xml:space="preserve"> PAGEREF _Toc73526791 \h </w:instrText>
        </w:r>
        <w:r w:rsidR="00C911FC">
          <w:rPr>
            <w:noProof/>
            <w:webHidden/>
          </w:rPr>
        </w:r>
        <w:r w:rsidR="00C911FC">
          <w:rPr>
            <w:noProof/>
            <w:webHidden/>
          </w:rPr>
          <w:fldChar w:fldCharType="separate"/>
        </w:r>
        <w:r w:rsidR="00C911FC">
          <w:rPr>
            <w:noProof/>
            <w:webHidden/>
          </w:rPr>
          <w:t>28</w:t>
        </w:r>
        <w:r w:rsidR="00C911FC">
          <w:rPr>
            <w:noProof/>
            <w:webHidden/>
          </w:rPr>
          <w:fldChar w:fldCharType="end"/>
        </w:r>
      </w:hyperlink>
    </w:p>
    <w:p w14:paraId="38B6FC2E" w14:textId="37044335" w:rsidR="00C911FC" w:rsidRDefault="00980ED2">
      <w:pPr>
        <w:pStyle w:val="Seznamobrzk"/>
        <w:tabs>
          <w:tab w:val="right" w:leader="dot" w:pos="9062"/>
        </w:tabs>
        <w:rPr>
          <w:rFonts w:asciiTheme="minorHAnsi" w:eastAsiaTheme="minorEastAsia" w:hAnsiTheme="minorHAnsi"/>
          <w:noProof/>
          <w:sz w:val="22"/>
          <w:lang w:eastAsia="cs-CZ"/>
        </w:rPr>
      </w:pPr>
      <w:hyperlink w:anchor="_Toc73526792" w:history="1">
        <w:r w:rsidR="00C911FC" w:rsidRPr="00EA5790">
          <w:rPr>
            <w:rStyle w:val="Hypertextovodkaz"/>
            <w:noProof/>
          </w:rPr>
          <w:t xml:space="preserve">Graf č. 16: </w:t>
        </w:r>
        <w:r w:rsidR="00C911FC" w:rsidRPr="00EA5790">
          <w:rPr>
            <w:rStyle w:val="Hypertextovodkaz"/>
            <w:rFonts w:cs="Arial"/>
            <w:noProof/>
          </w:rPr>
          <w:t>Znázornění parametru „dostupnost“ podle jednotlivých hazardních her</w:t>
        </w:r>
        <w:r w:rsidR="00C911FC">
          <w:rPr>
            <w:noProof/>
            <w:webHidden/>
          </w:rPr>
          <w:tab/>
        </w:r>
        <w:r w:rsidR="00C911FC">
          <w:rPr>
            <w:noProof/>
            <w:webHidden/>
          </w:rPr>
          <w:fldChar w:fldCharType="begin"/>
        </w:r>
        <w:r w:rsidR="00C911FC">
          <w:rPr>
            <w:noProof/>
            <w:webHidden/>
          </w:rPr>
          <w:instrText xml:space="preserve"> PAGEREF _Toc73526792 \h </w:instrText>
        </w:r>
        <w:r w:rsidR="00C911FC">
          <w:rPr>
            <w:noProof/>
            <w:webHidden/>
          </w:rPr>
        </w:r>
        <w:r w:rsidR="00C911FC">
          <w:rPr>
            <w:noProof/>
            <w:webHidden/>
          </w:rPr>
          <w:fldChar w:fldCharType="separate"/>
        </w:r>
        <w:r w:rsidR="00C911FC">
          <w:rPr>
            <w:noProof/>
            <w:webHidden/>
          </w:rPr>
          <w:t>29</w:t>
        </w:r>
        <w:r w:rsidR="00C911FC">
          <w:rPr>
            <w:noProof/>
            <w:webHidden/>
          </w:rPr>
          <w:fldChar w:fldCharType="end"/>
        </w:r>
      </w:hyperlink>
    </w:p>
    <w:p w14:paraId="5EF53AD0" w14:textId="023EFD27" w:rsidR="00C911FC" w:rsidRDefault="00980ED2">
      <w:pPr>
        <w:pStyle w:val="Seznamobrzk"/>
        <w:tabs>
          <w:tab w:val="right" w:leader="dot" w:pos="9062"/>
        </w:tabs>
        <w:rPr>
          <w:rFonts w:asciiTheme="minorHAnsi" w:eastAsiaTheme="minorEastAsia" w:hAnsiTheme="minorHAnsi"/>
          <w:noProof/>
          <w:sz w:val="22"/>
          <w:lang w:eastAsia="cs-CZ"/>
        </w:rPr>
      </w:pPr>
      <w:hyperlink w:anchor="_Toc73526793" w:history="1">
        <w:r w:rsidR="00C911FC" w:rsidRPr="00EA5790">
          <w:rPr>
            <w:rStyle w:val="Hypertextovodkaz"/>
            <w:noProof/>
          </w:rPr>
          <w:t xml:space="preserve">Graf č. 17: </w:t>
        </w:r>
        <w:r w:rsidR="00C911FC" w:rsidRPr="00EA5790">
          <w:rPr>
            <w:rStyle w:val="Hypertextovodkaz"/>
            <w:rFonts w:cs="Arial"/>
            <w:noProof/>
          </w:rPr>
          <w:t>Znázornění parametru „více možností hraní/sázek“ podle jednotlivých hazardních her</w:t>
        </w:r>
        <w:r w:rsidR="00C911FC">
          <w:rPr>
            <w:noProof/>
            <w:webHidden/>
          </w:rPr>
          <w:tab/>
        </w:r>
        <w:r w:rsidR="00C911FC">
          <w:rPr>
            <w:noProof/>
            <w:webHidden/>
          </w:rPr>
          <w:fldChar w:fldCharType="begin"/>
        </w:r>
        <w:r w:rsidR="00C911FC">
          <w:rPr>
            <w:noProof/>
            <w:webHidden/>
          </w:rPr>
          <w:instrText xml:space="preserve"> PAGEREF _Toc73526793 \h </w:instrText>
        </w:r>
        <w:r w:rsidR="00C911FC">
          <w:rPr>
            <w:noProof/>
            <w:webHidden/>
          </w:rPr>
        </w:r>
        <w:r w:rsidR="00C911FC">
          <w:rPr>
            <w:noProof/>
            <w:webHidden/>
          </w:rPr>
          <w:fldChar w:fldCharType="separate"/>
        </w:r>
        <w:r w:rsidR="00C911FC">
          <w:rPr>
            <w:noProof/>
            <w:webHidden/>
          </w:rPr>
          <w:t>30</w:t>
        </w:r>
        <w:r w:rsidR="00C911FC">
          <w:rPr>
            <w:noProof/>
            <w:webHidden/>
          </w:rPr>
          <w:fldChar w:fldCharType="end"/>
        </w:r>
      </w:hyperlink>
    </w:p>
    <w:p w14:paraId="00DE300F" w14:textId="29E9399C" w:rsidR="00C911FC" w:rsidRDefault="00980ED2">
      <w:pPr>
        <w:pStyle w:val="Seznamobrzk"/>
        <w:tabs>
          <w:tab w:val="right" w:leader="dot" w:pos="9062"/>
        </w:tabs>
        <w:rPr>
          <w:rFonts w:asciiTheme="minorHAnsi" w:eastAsiaTheme="minorEastAsia" w:hAnsiTheme="minorHAnsi"/>
          <w:noProof/>
          <w:sz w:val="22"/>
          <w:lang w:eastAsia="cs-CZ"/>
        </w:rPr>
      </w:pPr>
      <w:hyperlink w:anchor="_Toc73526794" w:history="1">
        <w:r w:rsidR="00C911FC" w:rsidRPr="00EA5790">
          <w:rPr>
            <w:rStyle w:val="Hypertextovodkaz"/>
            <w:noProof/>
          </w:rPr>
          <w:t xml:space="preserve">Graf č. 18: </w:t>
        </w:r>
        <w:r w:rsidR="00C911FC" w:rsidRPr="00EA5790">
          <w:rPr>
            <w:rStyle w:val="Hypertextovodkaz"/>
            <w:rFonts w:cs="Arial"/>
            <w:noProof/>
          </w:rPr>
          <w:t>Znázornění parametru „proměnlivá výše vkladu“ podle jednotlivých hazardních her</w:t>
        </w:r>
        <w:r w:rsidR="00C911FC">
          <w:rPr>
            <w:noProof/>
            <w:webHidden/>
          </w:rPr>
          <w:tab/>
        </w:r>
        <w:r w:rsidR="00C911FC">
          <w:rPr>
            <w:noProof/>
            <w:webHidden/>
          </w:rPr>
          <w:fldChar w:fldCharType="begin"/>
        </w:r>
        <w:r w:rsidR="00C911FC">
          <w:rPr>
            <w:noProof/>
            <w:webHidden/>
          </w:rPr>
          <w:instrText xml:space="preserve"> PAGEREF _Toc73526794 \h </w:instrText>
        </w:r>
        <w:r w:rsidR="00C911FC">
          <w:rPr>
            <w:noProof/>
            <w:webHidden/>
          </w:rPr>
        </w:r>
        <w:r w:rsidR="00C911FC">
          <w:rPr>
            <w:noProof/>
            <w:webHidden/>
          </w:rPr>
          <w:fldChar w:fldCharType="separate"/>
        </w:r>
        <w:r w:rsidR="00C911FC">
          <w:rPr>
            <w:noProof/>
            <w:webHidden/>
          </w:rPr>
          <w:t>31</w:t>
        </w:r>
        <w:r w:rsidR="00C911FC">
          <w:rPr>
            <w:noProof/>
            <w:webHidden/>
          </w:rPr>
          <w:fldChar w:fldCharType="end"/>
        </w:r>
      </w:hyperlink>
    </w:p>
    <w:p w14:paraId="66E6518A" w14:textId="65D343A7" w:rsidR="00C911FC" w:rsidRDefault="00980ED2">
      <w:pPr>
        <w:pStyle w:val="Seznamobrzk"/>
        <w:tabs>
          <w:tab w:val="right" w:leader="dot" w:pos="9062"/>
        </w:tabs>
        <w:rPr>
          <w:rFonts w:asciiTheme="minorHAnsi" w:eastAsiaTheme="minorEastAsia" w:hAnsiTheme="minorHAnsi"/>
          <w:noProof/>
          <w:sz w:val="22"/>
          <w:lang w:eastAsia="cs-CZ"/>
        </w:rPr>
      </w:pPr>
      <w:hyperlink w:anchor="_Toc73526795" w:history="1">
        <w:r w:rsidR="00C911FC" w:rsidRPr="00EA5790">
          <w:rPr>
            <w:rStyle w:val="Hypertextovodkaz"/>
            <w:noProof/>
          </w:rPr>
          <w:t xml:space="preserve">Graf č. 19: </w:t>
        </w:r>
        <w:r w:rsidR="00C911FC" w:rsidRPr="00EA5790">
          <w:rPr>
            <w:rStyle w:val="Hypertextovodkaz"/>
            <w:rFonts w:cs="Arial"/>
            <w:noProof/>
          </w:rPr>
          <w:t>Znázornění parametru „smyslový design výrobku“ podle jednotlivých hazardních her</w:t>
        </w:r>
        <w:r w:rsidR="00C911FC">
          <w:rPr>
            <w:noProof/>
            <w:webHidden/>
          </w:rPr>
          <w:tab/>
        </w:r>
        <w:r w:rsidR="00C911FC">
          <w:rPr>
            <w:noProof/>
            <w:webHidden/>
          </w:rPr>
          <w:fldChar w:fldCharType="begin"/>
        </w:r>
        <w:r w:rsidR="00C911FC">
          <w:rPr>
            <w:noProof/>
            <w:webHidden/>
          </w:rPr>
          <w:instrText xml:space="preserve"> PAGEREF _Toc73526795 \h </w:instrText>
        </w:r>
        <w:r w:rsidR="00C911FC">
          <w:rPr>
            <w:noProof/>
            <w:webHidden/>
          </w:rPr>
        </w:r>
        <w:r w:rsidR="00C911FC">
          <w:rPr>
            <w:noProof/>
            <w:webHidden/>
          </w:rPr>
          <w:fldChar w:fldCharType="separate"/>
        </w:r>
        <w:r w:rsidR="00C911FC">
          <w:rPr>
            <w:noProof/>
            <w:webHidden/>
          </w:rPr>
          <w:t>32</w:t>
        </w:r>
        <w:r w:rsidR="00C911FC">
          <w:rPr>
            <w:noProof/>
            <w:webHidden/>
          </w:rPr>
          <w:fldChar w:fldCharType="end"/>
        </w:r>
      </w:hyperlink>
    </w:p>
    <w:p w14:paraId="2CD30DC7" w14:textId="6BAD0DFA" w:rsidR="00C911FC" w:rsidRDefault="00980ED2">
      <w:pPr>
        <w:pStyle w:val="Seznamobrzk"/>
        <w:tabs>
          <w:tab w:val="right" w:leader="dot" w:pos="9062"/>
        </w:tabs>
        <w:rPr>
          <w:rFonts w:asciiTheme="minorHAnsi" w:eastAsiaTheme="minorEastAsia" w:hAnsiTheme="minorHAnsi"/>
          <w:noProof/>
          <w:sz w:val="22"/>
          <w:lang w:eastAsia="cs-CZ"/>
        </w:rPr>
      </w:pPr>
      <w:hyperlink w:anchor="_Toc73526796" w:history="1">
        <w:r w:rsidR="00C911FC" w:rsidRPr="00EA5790">
          <w:rPr>
            <w:rStyle w:val="Hypertextovodkaz"/>
            <w:noProof/>
          </w:rPr>
          <w:t xml:space="preserve">Graf č. 20: </w:t>
        </w:r>
        <w:r w:rsidR="00C911FC" w:rsidRPr="00EA5790">
          <w:rPr>
            <w:rStyle w:val="Hypertextovodkaz"/>
            <w:rFonts w:cs="Arial"/>
            <w:noProof/>
          </w:rPr>
          <w:t>Znázornění parametru „v blízkosti vítězství“ podle jednotlivých hazardních her</w:t>
        </w:r>
        <w:r w:rsidR="00C911FC">
          <w:rPr>
            <w:noProof/>
            <w:webHidden/>
          </w:rPr>
          <w:tab/>
        </w:r>
        <w:r w:rsidR="00C911FC">
          <w:rPr>
            <w:noProof/>
            <w:webHidden/>
          </w:rPr>
          <w:fldChar w:fldCharType="begin"/>
        </w:r>
        <w:r w:rsidR="00C911FC">
          <w:rPr>
            <w:noProof/>
            <w:webHidden/>
          </w:rPr>
          <w:instrText xml:space="preserve"> PAGEREF _Toc73526796 \h </w:instrText>
        </w:r>
        <w:r w:rsidR="00C911FC">
          <w:rPr>
            <w:noProof/>
            <w:webHidden/>
          </w:rPr>
        </w:r>
        <w:r w:rsidR="00C911FC">
          <w:rPr>
            <w:noProof/>
            <w:webHidden/>
          </w:rPr>
          <w:fldChar w:fldCharType="separate"/>
        </w:r>
        <w:r w:rsidR="00C911FC">
          <w:rPr>
            <w:noProof/>
            <w:webHidden/>
          </w:rPr>
          <w:t>33</w:t>
        </w:r>
        <w:r w:rsidR="00C911FC">
          <w:rPr>
            <w:noProof/>
            <w:webHidden/>
          </w:rPr>
          <w:fldChar w:fldCharType="end"/>
        </w:r>
      </w:hyperlink>
    </w:p>
    <w:p w14:paraId="37C446C9" w14:textId="6D5F00CD" w:rsidR="00C911FC" w:rsidRDefault="00980ED2">
      <w:pPr>
        <w:pStyle w:val="Seznamobrzk"/>
        <w:tabs>
          <w:tab w:val="right" w:leader="dot" w:pos="9062"/>
        </w:tabs>
        <w:rPr>
          <w:rFonts w:asciiTheme="minorHAnsi" w:eastAsiaTheme="minorEastAsia" w:hAnsiTheme="minorHAnsi"/>
          <w:noProof/>
          <w:sz w:val="22"/>
          <w:lang w:eastAsia="cs-CZ"/>
        </w:rPr>
      </w:pPr>
      <w:hyperlink w:anchor="_Toc73526797" w:history="1">
        <w:r w:rsidR="00C911FC" w:rsidRPr="00EA5790">
          <w:rPr>
            <w:rStyle w:val="Hypertextovodkaz"/>
            <w:noProof/>
          </w:rPr>
          <w:t xml:space="preserve">Graf č. 21: </w:t>
        </w:r>
        <w:r w:rsidR="00C911FC" w:rsidRPr="00EA5790">
          <w:rPr>
            <w:rStyle w:val="Hypertextovodkaz"/>
            <w:rFonts w:cs="Arial"/>
            <w:noProof/>
          </w:rPr>
          <w:t>Vyhodnocení potenciálního rizika jednotlivých druhů hazardních her</w:t>
        </w:r>
        <w:r w:rsidR="00C911FC">
          <w:rPr>
            <w:noProof/>
            <w:webHidden/>
          </w:rPr>
          <w:tab/>
        </w:r>
        <w:r w:rsidR="00C911FC">
          <w:rPr>
            <w:noProof/>
            <w:webHidden/>
          </w:rPr>
          <w:fldChar w:fldCharType="begin"/>
        </w:r>
        <w:r w:rsidR="00C911FC">
          <w:rPr>
            <w:noProof/>
            <w:webHidden/>
          </w:rPr>
          <w:instrText xml:space="preserve"> PAGEREF _Toc73526797 \h </w:instrText>
        </w:r>
        <w:r w:rsidR="00C911FC">
          <w:rPr>
            <w:noProof/>
            <w:webHidden/>
          </w:rPr>
        </w:r>
        <w:r w:rsidR="00C911FC">
          <w:rPr>
            <w:noProof/>
            <w:webHidden/>
          </w:rPr>
          <w:fldChar w:fldCharType="separate"/>
        </w:r>
        <w:r w:rsidR="00C911FC">
          <w:rPr>
            <w:noProof/>
            <w:webHidden/>
          </w:rPr>
          <w:t>37</w:t>
        </w:r>
        <w:r w:rsidR="00C911FC">
          <w:rPr>
            <w:noProof/>
            <w:webHidden/>
          </w:rPr>
          <w:fldChar w:fldCharType="end"/>
        </w:r>
      </w:hyperlink>
    </w:p>
    <w:p w14:paraId="4DB58519" w14:textId="5C39FA5E" w:rsidR="009A22BE" w:rsidRDefault="0014110D" w:rsidP="006B6318">
      <w:r>
        <w:fldChar w:fldCharType="end"/>
      </w:r>
    </w:p>
    <w:p w14:paraId="7D007CBB" w14:textId="77777777" w:rsidR="003F3CCB" w:rsidRDefault="008D2E2D" w:rsidP="00AD3869">
      <w:pPr>
        <w:pStyle w:val="Nadpis3"/>
        <w:rPr>
          <w:noProof/>
        </w:rPr>
      </w:pPr>
      <w:bookmarkStart w:id="45" w:name="_Toc73604314"/>
      <w:r w:rsidRPr="008D2E2D">
        <w:t>Obsah</w:t>
      </w:r>
      <w:bookmarkEnd w:id="45"/>
      <w:r w:rsidR="00AD3869">
        <w:fldChar w:fldCharType="begin"/>
      </w:r>
      <w:r w:rsidR="00AD3869">
        <w:instrText xml:space="preserve"> TOC \o "1-4" \h \z \u </w:instrText>
      </w:r>
      <w:r w:rsidR="00AD3869">
        <w:fldChar w:fldCharType="separate"/>
      </w:r>
    </w:p>
    <w:p w14:paraId="161DCB34" w14:textId="46DDA301" w:rsidR="003F3CCB" w:rsidRDefault="00980ED2">
      <w:pPr>
        <w:pStyle w:val="Obsah3"/>
        <w:tabs>
          <w:tab w:val="left" w:pos="1100"/>
          <w:tab w:val="right" w:leader="dot" w:pos="9062"/>
        </w:tabs>
        <w:rPr>
          <w:rFonts w:asciiTheme="minorHAnsi" w:eastAsiaTheme="minorEastAsia" w:hAnsiTheme="minorHAnsi"/>
          <w:noProof/>
          <w:sz w:val="22"/>
          <w:lang w:eastAsia="cs-CZ"/>
        </w:rPr>
      </w:pPr>
      <w:hyperlink w:anchor="_Toc73604305" w:history="1">
        <w:r w:rsidR="003F3CCB" w:rsidRPr="00CD2D1D">
          <w:rPr>
            <w:rStyle w:val="Hypertextovodkaz"/>
            <w:noProof/>
            <w:lang w:eastAsia="zh-CN"/>
          </w:rPr>
          <w:t>1.1</w:t>
        </w:r>
        <w:r w:rsidR="003F3CCB">
          <w:rPr>
            <w:rFonts w:asciiTheme="minorHAnsi" w:eastAsiaTheme="minorEastAsia" w:hAnsiTheme="minorHAnsi"/>
            <w:noProof/>
            <w:sz w:val="22"/>
            <w:lang w:eastAsia="cs-CZ"/>
          </w:rPr>
          <w:tab/>
        </w:r>
        <w:r w:rsidR="003F3CCB" w:rsidRPr="00CD2D1D">
          <w:rPr>
            <w:rStyle w:val="Hypertextovodkaz"/>
            <w:noProof/>
            <w:lang w:eastAsia="zh-CN"/>
          </w:rPr>
          <w:t>Stručný popis metodiky testu ASTERIG</w:t>
        </w:r>
        <w:r w:rsidR="003F3CCB">
          <w:rPr>
            <w:noProof/>
            <w:webHidden/>
          </w:rPr>
          <w:tab/>
        </w:r>
        <w:r w:rsidR="003F3CCB">
          <w:rPr>
            <w:noProof/>
            <w:webHidden/>
          </w:rPr>
          <w:fldChar w:fldCharType="begin"/>
        </w:r>
        <w:r w:rsidR="003F3CCB">
          <w:rPr>
            <w:noProof/>
            <w:webHidden/>
          </w:rPr>
          <w:instrText xml:space="preserve"> PAGEREF _Toc73604305 \h </w:instrText>
        </w:r>
        <w:r w:rsidR="003F3CCB">
          <w:rPr>
            <w:noProof/>
            <w:webHidden/>
          </w:rPr>
        </w:r>
        <w:r w:rsidR="003F3CCB">
          <w:rPr>
            <w:noProof/>
            <w:webHidden/>
          </w:rPr>
          <w:fldChar w:fldCharType="separate"/>
        </w:r>
        <w:r w:rsidR="003F3CCB">
          <w:rPr>
            <w:noProof/>
            <w:webHidden/>
          </w:rPr>
          <w:t>1</w:t>
        </w:r>
        <w:r w:rsidR="003F3CCB">
          <w:rPr>
            <w:noProof/>
            <w:webHidden/>
          </w:rPr>
          <w:fldChar w:fldCharType="end"/>
        </w:r>
      </w:hyperlink>
    </w:p>
    <w:p w14:paraId="10095054" w14:textId="7B561B4B" w:rsidR="003F3CCB" w:rsidRDefault="00980ED2">
      <w:pPr>
        <w:pStyle w:val="Obsah3"/>
        <w:tabs>
          <w:tab w:val="left" w:pos="1100"/>
          <w:tab w:val="right" w:leader="dot" w:pos="9062"/>
        </w:tabs>
        <w:rPr>
          <w:rFonts w:asciiTheme="minorHAnsi" w:eastAsiaTheme="minorEastAsia" w:hAnsiTheme="minorHAnsi"/>
          <w:noProof/>
          <w:sz w:val="22"/>
          <w:lang w:eastAsia="cs-CZ"/>
        </w:rPr>
      </w:pPr>
      <w:hyperlink w:anchor="_Toc73604306" w:history="1">
        <w:r w:rsidR="003F3CCB" w:rsidRPr="00CD2D1D">
          <w:rPr>
            <w:rStyle w:val="Hypertextovodkaz"/>
            <w:noProof/>
            <w:lang w:eastAsia="zh-CN"/>
          </w:rPr>
          <w:t>1.2</w:t>
        </w:r>
        <w:r w:rsidR="003F3CCB">
          <w:rPr>
            <w:rFonts w:asciiTheme="minorHAnsi" w:eastAsiaTheme="minorEastAsia" w:hAnsiTheme="minorHAnsi"/>
            <w:noProof/>
            <w:sz w:val="22"/>
            <w:lang w:eastAsia="cs-CZ"/>
          </w:rPr>
          <w:tab/>
        </w:r>
        <w:r w:rsidR="003F3CCB" w:rsidRPr="00CD2D1D">
          <w:rPr>
            <w:rStyle w:val="Hypertextovodkaz"/>
            <w:noProof/>
            <w:lang w:eastAsia="zh-CN"/>
          </w:rPr>
          <w:t>Posouzení jednotlivých zástupců v rámci druhů hazardních her a způsobů jejich provozování</w:t>
        </w:r>
        <w:r w:rsidR="003F3CCB">
          <w:rPr>
            <w:noProof/>
            <w:webHidden/>
          </w:rPr>
          <w:tab/>
        </w:r>
        <w:r w:rsidR="003F3CCB">
          <w:rPr>
            <w:noProof/>
            <w:webHidden/>
          </w:rPr>
          <w:fldChar w:fldCharType="begin"/>
        </w:r>
        <w:r w:rsidR="003F3CCB">
          <w:rPr>
            <w:noProof/>
            <w:webHidden/>
          </w:rPr>
          <w:instrText xml:space="preserve"> PAGEREF _Toc73604306 \h </w:instrText>
        </w:r>
        <w:r w:rsidR="003F3CCB">
          <w:rPr>
            <w:noProof/>
            <w:webHidden/>
          </w:rPr>
        </w:r>
        <w:r w:rsidR="003F3CCB">
          <w:rPr>
            <w:noProof/>
            <w:webHidden/>
          </w:rPr>
          <w:fldChar w:fldCharType="separate"/>
        </w:r>
        <w:r w:rsidR="003F3CCB">
          <w:rPr>
            <w:noProof/>
            <w:webHidden/>
          </w:rPr>
          <w:t>2</w:t>
        </w:r>
        <w:r w:rsidR="003F3CCB">
          <w:rPr>
            <w:noProof/>
            <w:webHidden/>
          </w:rPr>
          <w:fldChar w:fldCharType="end"/>
        </w:r>
      </w:hyperlink>
    </w:p>
    <w:p w14:paraId="505B501A" w14:textId="3D709E10" w:rsidR="003F3CCB" w:rsidRDefault="00980ED2">
      <w:pPr>
        <w:pStyle w:val="Obsah4"/>
        <w:tabs>
          <w:tab w:val="left" w:pos="1540"/>
          <w:tab w:val="right" w:leader="dot" w:pos="9062"/>
        </w:tabs>
        <w:rPr>
          <w:rFonts w:asciiTheme="minorHAnsi" w:eastAsiaTheme="minorEastAsia" w:hAnsiTheme="minorHAnsi"/>
          <w:noProof/>
          <w:sz w:val="22"/>
          <w:lang w:eastAsia="cs-CZ"/>
        </w:rPr>
      </w:pPr>
      <w:hyperlink w:anchor="_Toc73604307" w:history="1">
        <w:r w:rsidR="003F3CCB" w:rsidRPr="00CD2D1D">
          <w:rPr>
            <w:rStyle w:val="Hypertextovodkaz"/>
            <w:noProof/>
          </w:rPr>
          <w:t>1.2.1</w:t>
        </w:r>
        <w:r w:rsidR="003F3CCB">
          <w:rPr>
            <w:rFonts w:asciiTheme="minorHAnsi" w:eastAsiaTheme="minorEastAsia" w:hAnsiTheme="minorHAnsi"/>
            <w:noProof/>
            <w:sz w:val="22"/>
            <w:lang w:eastAsia="cs-CZ"/>
          </w:rPr>
          <w:tab/>
        </w:r>
        <w:r w:rsidR="003F3CCB" w:rsidRPr="00CD2D1D">
          <w:rPr>
            <w:rStyle w:val="Hypertextovodkaz"/>
            <w:noProof/>
          </w:rPr>
          <w:t>Znázornění jednotlivých druhů hazardních her podle procentuálního naplnění hodnotících parametrů</w:t>
        </w:r>
        <w:r w:rsidR="003F3CCB">
          <w:rPr>
            <w:noProof/>
            <w:webHidden/>
          </w:rPr>
          <w:tab/>
        </w:r>
        <w:r w:rsidR="003F3CCB">
          <w:rPr>
            <w:noProof/>
            <w:webHidden/>
          </w:rPr>
          <w:fldChar w:fldCharType="begin"/>
        </w:r>
        <w:r w:rsidR="003F3CCB">
          <w:rPr>
            <w:noProof/>
            <w:webHidden/>
          </w:rPr>
          <w:instrText xml:space="preserve"> PAGEREF _Toc73604307 \h </w:instrText>
        </w:r>
        <w:r w:rsidR="003F3CCB">
          <w:rPr>
            <w:noProof/>
            <w:webHidden/>
          </w:rPr>
        </w:r>
        <w:r w:rsidR="003F3CCB">
          <w:rPr>
            <w:noProof/>
            <w:webHidden/>
          </w:rPr>
          <w:fldChar w:fldCharType="separate"/>
        </w:r>
        <w:r w:rsidR="003F3CCB">
          <w:rPr>
            <w:noProof/>
            <w:webHidden/>
          </w:rPr>
          <w:t>2</w:t>
        </w:r>
        <w:r w:rsidR="003F3CCB">
          <w:rPr>
            <w:noProof/>
            <w:webHidden/>
          </w:rPr>
          <w:fldChar w:fldCharType="end"/>
        </w:r>
      </w:hyperlink>
    </w:p>
    <w:p w14:paraId="5A1CC804" w14:textId="6B64DDB8" w:rsidR="003F3CCB" w:rsidRDefault="00980ED2">
      <w:pPr>
        <w:pStyle w:val="Obsah4"/>
        <w:tabs>
          <w:tab w:val="left" w:pos="1540"/>
          <w:tab w:val="right" w:leader="dot" w:pos="9062"/>
        </w:tabs>
        <w:rPr>
          <w:rFonts w:asciiTheme="minorHAnsi" w:eastAsiaTheme="minorEastAsia" w:hAnsiTheme="minorHAnsi"/>
          <w:noProof/>
          <w:sz w:val="22"/>
          <w:lang w:eastAsia="cs-CZ"/>
        </w:rPr>
      </w:pPr>
      <w:hyperlink w:anchor="_Toc73604308" w:history="1">
        <w:r w:rsidR="003F3CCB" w:rsidRPr="00CD2D1D">
          <w:rPr>
            <w:rStyle w:val="Hypertextovodkaz"/>
            <w:noProof/>
          </w:rPr>
          <w:t>1.2.2</w:t>
        </w:r>
        <w:r w:rsidR="003F3CCB">
          <w:rPr>
            <w:rFonts w:asciiTheme="minorHAnsi" w:eastAsiaTheme="minorEastAsia" w:hAnsiTheme="minorHAnsi"/>
            <w:noProof/>
            <w:sz w:val="22"/>
            <w:lang w:eastAsia="cs-CZ"/>
          </w:rPr>
          <w:tab/>
        </w:r>
        <w:r w:rsidR="003F3CCB" w:rsidRPr="00CD2D1D">
          <w:rPr>
            <w:rStyle w:val="Hypertextovodkaz"/>
            <w:noProof/>
          </w:rPr>
          <w:t>Posouzení dotčených parametrů</w:t>
        </w:r>
        <w:r w:rsidR="003F3CCB">
          <w:rPr>
            <w:noProof/>
            <w:webHidden/>
          </w:rPr>
          <w:tab/>
        </w:r>
        <w:r w:rsidR="003F3CCB">
          <w:rPr>
            <w:noProof/>
            <w:webHidden/>
          </w:rPr>
          <w:fldChar w:fldCharType="begin"/>
        </w:r>
        <w:r w:rsidR="003F3CCB">
          <w:rPr>
            <w:noProof/>
            <w:webHidden/>
          </w:rPr>
          <w:instrText xml:space="preserve"> PAGEREF _Toc73604308 \h </w:instrText>
        </w:r>
        <w:r w:rsidR="003F3CCB">
          <w:rPr>
            <w:noProof/>
            <w:webHidden/>
          </w:rPr>
        </w:r>
        <w:r w:rsidR="003F3CCB">
          <w:rPr>
            <w:noProof/>
            <w:webHidden/>
          </w:rPr>
          <w:fldChar w:fldCharType="separate"/>
        </w:r>
        <w:r w:rsidR="003F3CCB">
          <w:rPr>
            <w:noProof/>
            <w:webHidden/>
          </w:rPr>
          <w:t>23</w:t>
        </w:r>
        <w:r w:rsidR="003F3CCB">
          <w:rPr>
            <w:noProof/>
            <w:webHidden/>
          </w:rPr>
          <w:fldChar w:fldCharType="end"/>
        </w:r>
      </w:hyperlink>
    </w:p>
    <w:p w14:paraId="1D3221BD" w14:textId="39AEE6DB" w:rsidR="003F3CCB" w:rsidRDefault="00980ED2">
      <w:pPr>
        <w:pStyle w:val="Obsah3"/>
        <w:tabs>
          <w:tab w:val="left" w:pos="1100"/>
          <w:tab w:val="right" w:leader="dot" w:pos="9062"/>
        </w:tabs>
        <w:rPr>
          <w:rFonts w:asciiTheme="minorHAnsi" w:eastAsiaTheme="minorEastAsia" w:hAnsiTheme="minorHAnsi"/>
          <w:noProof/>
          <w:sz w:val="22"/>
          <w:lang w:eastAsia="cs-CZ"/>
        </w:rPr>
      </w:pPr>
      <w:hyperlink w:anchor="_Toc73604309" w:history="1">
        <w:r w:rsidR="003F3CCB" w:rsidRPr="00CD2D1D">
          <w:rPr>
            <w:rStyle w:val="Hypertextovodkaz"/>
            <w:noProof/>
          </w:rPr>
          <w:t>1.3</w:t>
        </w:r>
        <w:r w:rsidR="003F3CCB">
          <w:rPr>
            <w:rFonts w:asciiTheme="minorHAnsi" w:eastAsiaTheme="minorEastAsia" w:hAnsiTheme="minorHAnsi"/>
            <w:noProof/>
            <w:sz w:val="22"/>
            <w:lang w:eastAsia="cs-CZ"/>
          </w:rPr>
          <w:tab/>
        </w:r>
        <w:r w:rsidR="003F3CCB" w:rsidRPr="00CD2D1D">
          <w:rPr>
            <w:rStyle w:val="Hypertextovodkaz"/>
            <w:noProof/>
          </w:rPr>
          <w:t>Závěrečné hodnocení podle druhů hazardních her</w:t>
        </w:r>
        <w:r w:rsidR="003F3CCB">
          <w:rPr>
            <w:noProof/>
            <w:webHidden/>
          </w:rPr>
          <w:tab/>
        </w:r>
        <w:r w:rsidR="003F3CCB">
          <w:rPr>
            <w:noProof/>
            <w:webHidden/>
          </w:rPr>
          <w:fldChar w:fldCharType="begin"/>
        </w:r>
        <w:r w:rsidR="003F3CCB">
          <w:rPr>
            <w:noProof/>
            <w:webHidden/>
          </w:rPr>
          <w:instrText xml:space="preserve"> PAGEREF _Toc73604309 \h </w:instrText>
        </w:r>
        <w:r w:rsidR="003F3CCB">
          <w:rPr>
            <w:noProof/>
            <w:webHidden/>
          </w:rPr>
        </w:r>
        <w:r w:rsidR="003F3CCB">
          <w:rPr>
            <w:noProof/>
            <w:webHidden/>
          </w:rPr>
          <w:fldChar w:fldCharType="separate"/>
        </w:r>
        <w:r w:rsidR="003F3CCB">
          <w:rPr>
            <w:noProof/>
            <w:webHidden/>
          </w:rPr>
          <w:t>34</w:t>
        </w:r>
        <w:r w:rsidR="003F3CCB">
          <w:rPr>
            <w:noProof/>
            <w:webHidden/>
          </w:rPr>
          <w:fldChar w:fldCharType="end"/>
        </w:r>
      </w:hyperlink>
    </w:p>
    <w:p w14:paraId="274512CC" w14:textId="404B591F" w:rsidR="003F3CCB" w:rsidRDefault="00980ED2">
      <w:pPr>
        <w:pStyle w:val="Obsah3"/>
        <w:tabs>
          <w:tab w:val="left" w:pos="1100"/>
          <w:tab w:val="right" w:leader="dot" w:pos="9062"/>
        </w:tabs>
        <w:rPr>
          <w:rFonts w:asciiTheme="minorHAnsi" w:eastAsiaTheme="minorEastAsia" w:hAnsiTheme="minorHAnsi"/>
          <w:noProof/>
          <w:sz w:val="22"/>
          <w:lang w:eastAsia="cs-CZ"/>
        </w:rPr>
      </w:pPr>
      <w:hyperlink w:anchor="_Toc73604310" w:history="1">
        <w:r w:rsidR="003F3CCB" w:rsidRPr="00CD2D1D">
          <w:rPr>
            <w:rStyle w:val="Hypertextovodkaz"/>
            <w:noProof/>
          </w:rPr>
          <w:t>1.4</w:t>
        </w:r>
        <w:r w:rsidR="003F3CCB">
          <w:rPr>
            <w:rFonts w:asciiTheme="minorHAnsi" w:eastAsiaTheme="minorEastAsia" w:hAnsiTheme="minorHAnsi"/>
            <w:noProof/>
            <w:sz w:val="22"/>
            <w:lang w:eastAsia="cs-CZ"/>
          </w:rPr>
          <w:tab/>
        </w:r>
        <w:r w:rsidR="003F3CCB" w:rsidRPr="00CD2D1D">
          <w:rPr>
            <w:rStyle w:val="Hypertextovodkaz"/>
            <w:noProof/>
          </w:rPr>
          <w:t>Seznam tabulek, obrázků a grafů</w:t>
        </w:r>
        <w:r w:rsidR="003F3CCB">
          <w:rPr>
            <w:noProof/>
            <w:webHidden/>
          </w:rPr>
          <w:tab/>
        </w:r>
        <w:r w:rsidR="003F3CCB">
          <w:rPr>
            <w:noProof/>
            <w:webHidden/>
          </w:rPr>
          <w:fldChar w:fldCharType="begin"/>
        </w:r>
        <w:r w:rsidR="003F3CCB">
          <w:rPr>
            <w:noProof/>
            <w:webHidden/>
          </w:rPr>
          <w:instrText xml:space="preserve"> PAGEREF _Toc73604310 \h </w:instrText>
        </w:r>
        <w:r w:rsidR="003F3CCB">
          <w:rPr>
            <w:noProof/>
            <w:webHidden/>
          </w:rPr>
        </w:r>
        <w:r w:rsidR="003F3CCB">
          <w:rPr>
            <w:noProof/>
            <w:webHidden/>
          </w:rPr>
          <w:fldChar w:fldCharType="separate"/>
        </w:r>
        <w:r w:rsidR="003F3CCB">
          <w:rPr>
            <w:noProof/>
            <w:webHidden/>
          </w:rPr>
          <w:t>41</w:t>
        </w:r>
        <w:r w:rsidR="003F3CCB">
          <w:rPr>
            <w:noProof/>
            <w:webHidden/>
          </w:rPr>
          <w:fldChar w:fldCharType="end"/>
        </w:r>
      </w:hyperlink>
    </w:p>
    <w:p w14:paraId="1FEEEC5C" w14:textId="54067F81" w:rsidR="003F3CCB" w:rsidRDefault="00980ED2">
      <w:pPr>
        <w:pStyle w:val="Obsah4"/>
        <w:tabs>
          <w:tab w:val="left" w:pos="1540"/>
          <w:tab w:val="right" w:leader="dot" w:pos="9062"/>
        </w:tabs>
        <w:rPr>
          <w:rFonts w:asciiTheme="minorHAnsi" w:eastAsiaTheme="minorEastAsia" w:hAnsiTheme="minorHAnsi"/>
          <w:noProof/>
          <w:sz w:val="22"/>
          <w:lang w:eastAsia="cs-CZ"/>
        </w:rPr>
      </w:pPr>
      <w:hyperlink w:anchor="_Toc73604311" w:history="1">
        <w:r w:rsidR="003F3CCB" w:rsidRPr="00CD2D1D">
          <w:rPr>
            <w:rStyle w:val="Hypertextovodkaz"/>
            <w:noProof/>
          </w:rPr>
          <w:t>1.4.1</w:t>
        </w:r>
        <w:r w:rsidR="003F3CCB">
          <w:rPr>
            <w:rFonts w:asciiTheme="minorHAnsi" w:eastAsiaTheme="minorEastAsia" w:hAnsiTheme="minorHAnsi"/>
            <w:noProof/>
            <w:sz w:val="22"/>
            <w:lang w:eastAsia="cs-CZ"/>
          </w:rPr>
          <w:tab/>
        </w:r>
        <w:r w:rsidR="003F3CCB" w:rsidRPr="00CD2D1D">
          <w:rPr>
            <w:rStyle w:val="Hypertextovodkaz"/>
            <w:noProof/>
          </w:rPr>
          <w:t>Tabulky</w:t>
        </w:r>
        <w:r w:rsidR="003F3CCB">
          <w:rPr>
            <w:noProof/>
            <w:webHidden/>
          </w:rPr>
          <w:tab/>
        </w:r>
        <w:r w:rsidR="003F3CCB">
          <w:rPr>
            <w:noProof/>
            <w:webHidden/>
          </w:rPr>
          <w:fldChar w:fldCharType="begin"/>
        </w:r>
        <w:r w:rsidR="003F3CCB">
          <w:rPr>
            <w:noProof/>
            <w:webHidden/>
          </w:rPr>
          <w:instrText xml:space="preserve"> PAGEREF _Toc73604311 \h </w:instrText>
        </w:r>
        <w:r w:rsidR="003F3CCB">
          <w:rPr>
            <w:noProof/>
            <w:webHidden/>
          </w:rPr>
        </w:r>
        <w:r w:rsidR="003F3CCB">
          <w:rPr>
            <w:noProof/>
            <w:webHidden/>
          </w:rPr>
          <w:fldChar w:fldCharType="separate"/>
        </w:r>
        <w:r w:rsidR="003F3CCB">
          <w:rPr>
            <w:noProof/>
            <w:webHidden/>
          </w:rPr>
          <w:t>41</w:t>
        </w:r>
        <w:r w:rsidR="003F3CCB">
          <w:rPr>
            <w:noProof/>
            <w:webHidden/>
          </w:rPr>
          <w:fldChar w:fldCharType="end"/>
        </w:r>
      </w:hyperlink>
    </w:p>
    <w:p w14:paraId="2BEE4D81" w14:textId="62958FCC" w:rsidR="003F3CCB" w:rsidRDefault="00980ED2">
      <w:pPr>
        <w:pStyle w:val="Obsah4"/>
        <w:tabs>
          <w:tab w:val="left" w:pos="1540"/>
          <w:tab w:val="right" w:leader="dot" w:pos="9062"/>
        </w:tabs>
        <w:rPr>
          <w:rFonts w:asciiTheme="minorHAnsi" w:eastAsiaTheme="minorEastAsia" w:hAnsiTheme="minorHAnsi"/>
          <w:noProof/>
          <w:sz w:val="22"/>
          <w:lang w:eastAsia="cs-CZ"/>
        </w:rPr>
      </w:pPr>
      <w:hyperlink w:anchor="_Toc73604312" w:history="1">
        <w:r w:rsidR="003F3CCB" w:rsidRPr="00CD2D1D">
          <w:rPr>
            <w:rStyle w:val="Hypertextovodkaz"/>
            <w:noProof/>
          </w:rPr>
          <w:t>1.4.2</w:t>
        </w:r>
        <w:r w:rsidR="003F3CCB">
          <w:rPr>
            <w:rFonts w:asciiTheme="minorHAnsi" w:eastAsiaTheme="minorEastAsia" w:hAnsiTheme="minorHAnsi"/>
            <w:noProof/>
            <w:sz w:val="22"/>
            <w:lang w:eastAsia="cs-CZ"/>
          </w:rPr>
          <w:tab/>
        </w:r>
        <w:r w:rsidR="003F3CCB" w:rsidRPr="00CD2D1D">
          <w:rPr>
            <w:rStyle w:val="Hypertextovodkaz"/>
            <w:noProof/>
          </w:rPr>
          <w:t>Obrázky</w:t>
        </w:r>
        <w:r w:rsidR="003F3CCB">
          <w:rPr>
            <w:noProof/>
            <w:webHidden/>
          </w:rPr>
          <w:tab/>
        </w:r>
        <w:r w:rsidR="003F3CCB">
          <w:rPr>
            <w:noProof/>
            <w:webHidden/>
          </w:rPr>
          <w:fldChar w:fldCharType="begin"/>
        </w:r>
        <w:r w:rsidR="003F3CCB">
          <w:rPr>
            <w:noProof/>
            <w:webHidden/>
          </w:rPr>
          <w:instrText xml:space="preserve"> PAGEREF _Toc73604312 \h </w:instrText>
        </w:r>
        <w:r w:rsidR="003F3CCB">
          <w:rPr>
            <w:noProof/>
            <w:webHidden/>
          </w:rPr>
        </w:r>
        <w:r w:rsidR="003F3CCB">
          <w:rPr>
            <w:noProof/>
            <w:webHidden/>
          </w:rPr>
          <w:fldChar w:fldCharType="separate"/>
        </w:r>
        <w:r w:rsidR="003F3CCB">
          <w:rPr>
            <w:noProof/>
            <w:webHidden/>
          </w:rPr>
          <w:t>41</w:t>
        </w:r>
        <w:r w:rsidR="003F3CCB">
          <w:rPr>
            <w:noProof/>
            <w:webHidden/>
          </w:rPr>
          <w:fldChar w:fldCharType="end"/>
        </w:r>
      </w:hyperlink>
    </w:p>
    <w:p w14:paraId="70201DA9" w14:textId="03792B02" w:rsidR="003F3CCB" w:rsidRDefault="00980ED2">
      <w:pPr>
        <w:pStyle w:val="Obsah4"/>
        <w:tabs>
          <w:tab w:val="left" w:pos="1540"/>
          <w:tab w:val="right" w:leader="dot" w:pos="9062"/>
        </w:tabs>
        <w:rPr>
          <w:rFonts w:asciiTheme="minorHAnsi" w:eastAsiaTheme="minorEastAsia" w:hAnsiTheme="minorHAnsi"/>
          <w:noProof/>
          <w:sz w:val="22"/>
          <w:lang w:eastAsia="cs-CZ"/>
        </w:rPr>
      </w:pPr>
      <w:hyperlink w:anchor="_Toc73604313" w:history="1">
        <w:r w:rsidR="003F3CCB" w:rsidRPr="00CD2D1D">
          <w:rPr>
            <w:rStyle w:val="Hypertextovodkaz"/>
            <w:noProof/>
          </w:rPr>
          <w:t>1.4.3</w:t>
        </w:r>
        <w:r w:rsidR="003F3CCB">
          <w:rPr>
            <w:rFonts w:asciiTheme="minorHAnsi" w:eastAsiaTheme="minorEastAsia" w:hAnsiTheme="minorHAnsi"/>
            <w:noProof/>
            <w:sz w:val="22"/>
            <w:lang w:eastAsia="cs-CZ"/>
          </w:rPr>
          <w:tab/>
        </w:r>
        <w:r w:rsidR="003F3CCB" w:rsidRPr="00CD2D1D">
          <w:rPr>
            <w:rStyle w:val="Hypertextovodkaz"/>
            <w:noProof/>
          </w:rPr>
          <w:t>Grafy</w:t>
        </w:r>
        <w:r w:rsidR="003F3CCB">
          <w:rPr>
            <w:noProof/>
            <w:webHidden/>
          </w:rPr>
          <w:tab/>
        </w:r>
        <w:r w:rsidR="003F3CCB">
          <w:rPr>
            <w:noProof/>
            <w:webHidden/>
          </w:rPr>
          <w:fldChar w:fldCharType="begin"/>
        </w:r>
        <w:r w:rsidR="003F3CCB">
          <w:rPr>
            <w:noProof/>
            <w:webHidden/>
          </w:rPr>
          <w:instrText xml:space="preserve"> PAGEREF _Toc73604313 \h </w:instrText>
        </w:r>
        <w:r w:rsidR="003F3CCB">
          <w:rPr>
            <w:noProof/>
            <w:webHidden/>
          </w:rPr>
        </w:r>
        <w:r w:rsidR="003F3CCB">
          <w:rPr>
            <w:noProof/>
            <w:webHidden/>
          </w:rPr>
          <w:fldChar w:fldCharType="separate"/>
        </w:r>
        <w:r w:rsidR="003F3CCB">
          <w:rPr>
            <w:noProof/>
            <w:webHidden/>
          </w:rPr>
          <w:t>41</w:t>
        </w:r>
        <w:r w:rsidR="003F3CCB">
          <w:rPr>
            <w:noProof/>
            <w:webHidden/>
          </w:rPr>
          <w:fldChar w:fldCharType="end"/>
        </w:r>
      </w:hyperlink>
    </w:p>
    <w:p w14:paraId="1B1EC765" w14:textId="7229BA41" w:rsidR="003F3CCB" w:rsidRDefault="00980ED2">
      <w:pPr>
        <w:pStyle w:val="Obsah3"/>
        <w:tabs>
          <w:tab w:val="left" w:pos="1100"/>
          <w:tab w:val="right" w:leader="dot" w:pos="9062"/>
        </w:tabs>
        <w:rPr>
          <w:rFonts w:asciiTheme="minorHAnsi" w:eastAsiaTheme="minorEastAsia" w:hAnsiTheme="minorHAnsi"/>
          <w:noProof/>
          <w:sz w:val="22"/>
          <w:lang w:eastAsia="cs-CZ"/>
        </w:rPr>
      </w:pPr>
      <w:hyperlink w:anchor="_Toc73604314" w:history="1">
        <w:r w:rsidR="003F3CCB" w:rsidRPr="00CD2D1D">
          <w:rPr>
            <w:rStyle w:val="Hypertextovodkaz"/>
            <w:noProof/>
          </w:rPr>
          <w:t>1.5</w:t>
        </w:r>
        <w:r w:rsidR="003F3CCB">
          <w:rPr>
            <w:rFonts w:asciiTheme="minorHAnsi" w:eastAsiaTheme="minorEastAsia" w:hAnsiTheme="minorHAnsi"/>
            <w:noProof/>
            <w:sz w:val="22"/>
            <w:lang w:eastAsia="cs-CZ"/>
          </w:rPr>
          <w:tab/>
        </w:r>
        <w:r w:rsidR="003F3CCB" w:rsidRPr="00CD2D1D">
          <w:rPr>
            <w:rStyle w:val="Hypertextovodkaz"/>
            <w:noProof/>
          </w:rPr>
          <w:t>Obsah</w:t>
        </w:r>
        <w:r w:rsidR="003F3CCB">
          <w:rPr>
            <w:noProof/>
            <w:webHidden/>
          </w:rPr>
          <w:tab/>
        </w:r>
        <w:r w:rsidR="003F3CCB">
          <w:rPr>
            <w:noProof/>
            <w:webHidden/>
          </w:rPr>
          <w:fldChar w:fldCharType="begin"/>
        </w:r>
        <w:r w:rsidR="003F3CCB">
          <w:rPr>
            <w:noProof/>
            <w:webHidden/>
          </w:rPr>
          <w:instrText xml:space="preserve"> PAGEREF _Toc73604314 \h </w:instrText>
        </w:r>
        <w:r w:rsidR="003F3CCB">
          <w:rPr>
            <w:noProof/>
            <w:webHidden/>
          </w:rPr>
        </w:r>
        <w:r w:rsidR="003F3CCB">
          <w:rPr>
            <w:noProof/>
            <w:webHidden/>
          </w:rPr>
          <w:fldChar w:fldCharType="separate"/>
        </w:r>
        <w:r w:rsidR="003F3CCB">
          <w:rPr>
            <w:noProof/>
            <w:webHidden/>
          </w:rPr>
          <w:t>42</w:t>
        </w:r>
        <w:r w:rsidR="003F3CCB">
          <w:rPr>
            <w:noProof/>
            <w:webHidden/>
          </w:rPr>
          <w:fldChar w:fldCharType="end"/>
        </w:r>
      </w:hyperlink>
    </w:p>
    <w:p w14:paraId="57A411C5" w14:textId="41486BF2" w:rsidR="00C911FC" w:rsidRPr="006B6318" w:rsidRDefault="00AD3869" w:rsidP="00AD3869">
      <w:pPr>
        <w:pStyle w:val="Nadpis3"/>
        <w:numPr>
          <w:ilvl w:val="0"/>
          <w:numId w:val="0"/>
        </w:numPr>
        <w:ind w:left="720" w:hanging="720"/>
      </w:pPr>
      <w:r>
        <w:fldChar w:fldCharType="end"/>
      </w:r>
      <w:bookmarkStart w:id="46" w:name="_Toc73529273"/>
      <w:bookmarkEnd w:id="46"/>
    </w:p>
    <w:sectPr w:rsidR="00C911FC" w:rsidRPr="006B6318" w:rsidSect="00D658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B3A41" w14:textId="77777777" w:rsidR="00316B97" w:rsidRDefault="00316B97" w:rsidP="000B15C0">
      <w:pPr>
        <w:spacing w:after="0"/>
      </w:pPr>
      <w:r>
        <w:separator/>
      </w:r>
    </w:p>
  </w:endnote>
  <w:endnote w:type="continuationSeparator" w:id="0">
    <w:p w14:paraId="4F03F3F8" w14:textId="77777777" w:rsidR="00316B97" w:rsidRDefault="00316B97" w:rsidP="000B15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954015"/>
      <w:docPartObj>
        <w:docPartGallery w:val="Page Numbers (Bottom of Page)"/>
        <w:docPartUnique/>
      </w:docPartObj>
    </w:sdtPr>
    <w:sdtEndPr/>
    <w:sdtContent>
      <w:p w14:paraId="2FC70D84" w14:textId="416489A7" w:rsidR="00316B97" w:rsidRDefault="00316B97">
        <w:pPr>
          <w:pStyle w:val="Zpat"/>
          <w:jc w:val="right"/>
        </w:pPr>
        <w:r>
          <w:fldChar w:fldCharType="begin"/>
        </w:r>
        <w:r>
          <w:instrText>PAGE   \* MERGEFORMAT</w:instrText>
        </w:r>
        <w:r>
          <w:fldChar w:fldCharType="separate"/>
        </w:r>
        <w:r w:rsidR="00980ED2">
          <w:rPr>
            <w:noProof/>
          </w:rPr>
          <w:t>15</w:t>
        </w:r>
        <w:r>
          <w:fldChar w:fldCharType="end"/>
        </w:r>
      </w:p>
    </w:sdtContent>
  </w:sdt>
  <w:p w14:paraId="4169847C" w14:textId="77777777" w:rsidR="00316B97" w:rsidRDefault="00316B9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751621"/>
      <w:docPartObj>
        <w:docPartGallery w:val="Page Numbers (Bottom of Page)"/>
        <w:docPartUnique/>
      </w:docPartObj>
    </w:sdtPr>
    <w:sdtEndPr/>
    <w:sdtContent>
      <w:p w14:paraId="07C22F8F" w14:textId="61EA88C8" w:rsidR="003F3CCB" w:rsidRDefault="003F3CCB">
        <w:pPr>
          <w:pStyle w:val="Zpat"/>
          <w:jc w:val="right"/>
        </w:pPr>
        <w:r>
          <w:fldChar w:fldCharType="begin"/>
        </w:r>
        <w:r>
          <w:instrText>PAGE   \* MERGEFORMAT</w:instrText>
        </w:r>
        <w:r>
          <w:fldChar w:fldCharType="separate"/>
        </w:r>
        <w:r w:rsidR="00BA2612">
          <w:rPr>
            <w:noProof/>
          </w:rPr>
          <w:t>26</w:t>
        </w:r>
        <w:r>
          <w:fldChar w:fldCharType="end"/>
        </w:r>
      </w:p>
    </w:sdtContent>
  </w:sdt>
  <w:p w14:paraId="484E91F7" w14:textId="77777777" w:rsidR="00316B97" w:rsidRDefault="00316B9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85AB7" w14:textId="77777777" w:rsidR="00316B97" w:rsidRDefault="00316B97" w:rsidP="000B15C0">
      <w:pPr>
        <w:spacing w:after="0"/>
      </w:pPr>
      <w:r>
        <w:separator/>
      </w:r>
    </w:p>
  </w:footnote>
  <w:footnote w:type="continuationSeparator" w:id="0">
    <w:p w14:paraId="4D23FA72" w14:textId="77777777" w:rsidR="00316B97" w:rsidRDefault="00316B97" w:rsidP="000B15C0">
      <w:pPr>
        <w:spacing w:after="0"/>
      </w:pPr>
      <w:r>
        <w:continuationSeparator/>
      </w:r>
    </w:p>
  </w:footnote>
  <w:footnote w:id="1">
    <w:p w14:paraId="654288EB" w14:textId="3FFE14B6"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Podrobnosti k danému nástroj</w:t>
      </w:r>
      <w:r>
        <w:rPr>
          <w:rFonts w:ascii="Arial" w:hAnsi="Arial" w:cs="Arial"/>
        </w:rPr>
        <w:t>i</w:t>
      </w:r>
      <w:r w:rsidRPr="006B6318">
        <w:rPr>
          <w:rFonts w:ascii="Arial" w:hAnsi="Arial" w:cs="Arial"/>
        </w:rPr>
        <w:t xml:space="preserve"> a metodám hodnocení na http://asterig.org/.</w:t>
      </w:r>
    </w:p>
  </w:footnote>
  <w:footnote w:id="2">
    <w:p w14:paraId="385F1FA4" w14:textId="77777777" w:rsidR="00316B97" w:rsidRPr="00D638C2" w:rsidRDefault="00316B97" w:rsidP="00F23084">
      <w:pPr>
        <w:pStyle w:val="Textpoznpodarou"/>
        <w:jc w:val="both"/>
        <w:rPr>
          <w:rFonts w:ascii="Arial" w:hAnsi="Arial" w:cs="Arial"/>
          <w:sz w:val="18"/>
          <w:szCs w:val="18"/>
        </w:rPr>
      </w:pPr>
      <w:r w:rsidRPr="00B9149C">
        <w:rPr>
          <w:rStyle w:val="Znakapoznpodarou"/>
          <w:rFonts w:ascii="Arial" w:hAnsi="Arial" w:cs="Arial"/>
        </w:rPr>
        <w:footnoteRef/>
      </w:r>
      <w:r w:rsidRPr="00B9149C">
        <w:rPr>
          <w:rFonts w:ascii="Arial" w:hAnsi="Arial" w:cs="Arial"/>
        </w:rPr>
        <w:t xml:space="preserve"> Test ASTERIG nelze použít na obecné hodnocení rizikovosti druhu hazardní hry, jde pouze zobecnit a interpretovat zjištění z konkrétní hry hazardní hry.</w:t>
      </w:r>
    </w:p>
  </w:footnote>
  <w:footnote w:id="3">
    <w:p w14:paraId="51A6901F"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období, během kterého je možné hrát hazardní hru bez přerušení.</w:t>
      </w:r>
    </w:p>
  </w:footnote>
  <w:footnote w:id="4">
    <w:p w14:paraId="7DF3DAA3" w14:textId="33CDD0EC"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w:t>
      </w:r>
      <w:r w:rsidRPr="006B6318">
        <w:rPr>
          <w:rFonts w:ascii="Arial" w:hAnsi="Arial" w:cs="Arial"/>
          <w:noProof/>
          <w:lang w:eastAsia="cs-CZ"/>
        </w:rPr>
        <w:t xml:space="preserve">Okamžitá loterie </w:t>
      </w:r>
      <w:r>
        <w:rPr>
          <w:rFonts w:ascii="Arial" w:hAnsi="Arial" w:cs="Arial"/>
          <w:noProof/>
          <w:lang w:eastAsia="cs-CZ"/>
        </w:rPr>
        <w:t>– stírací los č. 1,</w:t>
      </w:r>
      <w:r w:rsidRPr="006B6318">
        <w:rPr>
          <w:rFonts w:ascii="Arial" w:hAnsi="Arial" w:cs="Arial"/>
          <w:noProof/>
          <w:lang w:eastAsia="cs-CZ"/>
        </w:rPr>
        <w:t>stejně jako ostatní druhy okamžité loterie v land-based prostředí</w:t>
      </w:r>
      <w:r>
        <w:rPr>
          <w:rFonts w:ascii="Arial" w:hAnsi="Arial" w:cs="Arial"/>
          <w:noProof/>
          <w:lang w:eastAsia="cs-CZ"/>
        </w:rPr>
        <w:t>,</w:t>
      </w:r>
      <w:r w:rsidRPr="006B6318">
        <w:rPr>
          <w:rFonts w:ascii="Arial" w:hAnsi="Arial" w:cs="Arial"/>
          <w:noProof/>
          <w:lang w:eastAsia="cs-CZ"/>
        </w:rPr>
        <w:t xml:space="preserve"> umožňuje sázejícímu hru v zásadě bez jakékoliv omezení v podobě limitu počtu nakoupených losů.</w:t>
      </w:r>
    </w:p>
  </w:footnote>
  <w:footnote w:id="5">
    <w:p w14:paraId="0F179634"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o pravděpodobnost dosažení jakéhokoliv zisku z každého losu.</w:t>
      </w:r>
    </w:p>
  </w:footnote>
  <w:footnote w:id="6">
    <w:p w14:paraId="112CE53C"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časový úsek mezi sázkou, výsledkem hazardní hry a příští sázkou.</w:t>
      </w:r>
    </w:p>
  </w:footnote>
  <w:footnote w:id="7">
    <w:p w14:paraId="0262DF6E"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o období, během kterého je možné hrát hazardní hru bez přerušení.</w:t>
      </w:r>
    </w:p>
  </w:footnote>
  <w:footnote w:id="8">
    <w:p w14:paraId="72CA4E67"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možnost vsadit více sázek současně.</w:t>
      </w:r>
    </w:p>
  </w:footnote>
  <w:footnote w:id="9">
    <w:p w14:paraId="562EBA01"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pravděpodobnost dosažení jakéhokoliv zisku v jedné hře hazardní hry.</w:t>
      </w:r>
    </w:p>
  </w:footnote>
  <w:footnote w:id="10">
    <w:p w14:paraId="59A2AA7A"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posouzení míry sluchových a vizuálních efektů.</w:t>
      </w:r>
    </w:p>
  </w:footnote>
  <w:footnote w:id="11">
    <w:p w14:paraId="798D3F4A"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w:t>
      </w:r>
      <w:r w:rsidRPr="006B6318">
        <w:rPr>
          <w:rFonts w:ascii="Arial" w:hAnsi="Arial" w:cs="Arial"/>
          <w:noProof/>
          <w:lang w:eastAsia="cs-CZ"/>
        </w:rPr>
        <w:t>Jedná se o období, během kterého je možné hrát hazardní hru bez přerušení.</w:t>
      </w:r>
    </w:p>
  </w:footnote>
  <w:footnote w:id="12">
    <w:p w14:paraId="16331831"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mimořádné výhry, jejíž výše se odvíjí od uzavřených předešlých sázek.</w:t>
      </w:r>
    </w:p>
  </w:footnote>
  <w:footnote w:id="13">
    <w:p w14:paraId="0936179E"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časový úsek mezi sázkou, výsledkem hazardní hry a příští sázkou.</w:t>
      </w:r>
    </w:p>
  </w:footnote>
  <w:footnote w:id="14">
    <w:p w14:paraId="7B34B820"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časový úsek mezi výsledkem hazardní hry a přijetím výhry.</w:t>
      </w:r>
    </w:p>
  </w:footnote>
  <w:footnote w:id="15">
    <w:p w14:paraId="30889884"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w:t>
      </w:r>
      <w:r w:rsidRPr="006B6318">
        <w:rPr>
          <w:rFonts w:ascii="Arial" w:hAnsi="Arial" w:cs="Arial"/>
          <w:noProof/>
          <w:lang w:eastAsia="cs-CZ"/>
        </w:rPr>
        <w:t>Jedná se o  období, během kterého je možné hrát hazardní hru bez přerušení.</w:t>
      </w:r>
    </w:p>
  </w:footnote>
  <w:footnote w:id="16">
    <w:p w14:paraId="034FC138"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o možnost vsadit více sázek současně.</w:t>
      </w:r>
    </w:p>
  </w:footnote>
  <w:footnote w:id="17">
    <w:p w14:paraId="0837C794" w14:textId="6A5E491A"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časový úsek mezi sázkou, výsledkem hazardní hry a příští sázkou.</w:t>
      </w:r>
    </w:p>
  </w:footnote>
  <w:footnote w:id="18">
    <w:p w14:paraId="7B509031"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období, během kterého je možné hrát hazardní hru bez přerušení.</w:t>
      </w:r>
    </w:p>
  </w:footnote>
  <w:footnote w:id="19">
    <w:p w14:paraId="5CB892A6"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pravděpodobnost, se kterou je možné dosáhnout jakéhokoliv zisku v jednotlivé hře hazardní hry.</w:t>
      </w:r>
    </w:p>
  </w:footnote>
  <w:footnote w:id="20">
    <w:p w14:paraId="2FDEC4E5"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o možnost vsadit více sázek současně.</w:t>
      </w:r>
    </w:p>
  </w:footnote>
  <w:footnote w:id="21">
    <w:p w14:paraId="3882D6C1"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období, během kterého je možné hrát hazardní hru bez přerušení.</w:t>
      </w:r>
    </w:p>
  </w:footnote>
  <w:footnote w:id="22">
    <w:p w14:paraId="0E757472"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možnost vsadit více sázek současně.</w:t>
      </w:r>
    </w:p>
  </w:footnote>
  <w:footnote w:id="23">
    <w:p w14:paraId="4B00F415" w14:textId="77777777" w:rsidR="00316B97" w:rsidRDefault="00316B97" w:rsidP="006B6318">
      <w:pPr>
        <w:pStyle w:val="Textpoznpodarou"/>
        <w:jc w:val="both"/>
      </w:pPr>
      <w:r w:rsidRPr="006B6318">
        <w:rPr>
          <w:rStyle w:val="Znakapoznpodarou"/>
          <w:rFonts w:ascii="Arial" w:hAnsi="Arial" w:cs="Arial"/>
        </w:rPr>
        <w:footnoteRef/>
      </w:r>
      <w:r w:rsidRPr="006B6318">
        <w:rPr>
          <w:rFonts w:ascii="Arial" w:hAnsi="Arial" w:cs="Arial"/>
        </w:rPr>
        <w:t xml:space="preserve"> Jedná se o možnost vsadit více sázek současně.</w:t>
      </w:r>
    </w:p>
  </w:footnote>
  <w:footnote w:id="24">
    <w:p w14:paraId="2ACAF834" w14:textId="7777777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Jedná se o pravděpodobnost, se kterou je možné dosáhnout jakéhokoliv zisku v jednotlivé hře hazardní hry.</w:t>
      </w:r>
    </w:p>
    <w:p w14:paraId="47A0A6B3" w14:textId="77777777" w:rsidR="00316B97" w:rsidRDefault="00316B97" w:rsidP="00EF2220">
      <w:pPr>
        <w:pStyle w:val="Textpoznpodarou"/>
      </w:pPr>
    </w:p>
    <w:p w14:paraId="792809A0" w14:textId="77777777" w:rsidR="00316B97" w:rsidRDefault="00316B97" w:rsidP="00EF2220">
      <w:pPr>
        <w:pStyle w:val="Textpoznpodarou"/>
      </w:pPr>
    </w:p>
  </w:footnote>
  <w:footnote w:id="25">
    <w:p w14:paraId="7C644C41" w14:textId="36B73998" w:rsidR="00316B97" w:rsidRPr="006B6318" w:rsidRDefault="00316B97" w:rsidP="00316B97">
      <w:pPr>
        <w:pStyle w:val="Textpoznpodarou"/>
        <w:jc w:val="both"/>
        <w:rPr>
          <w:rFonts w:ascii="Arial" w:hAnsi="Arial" w:cs="Arial"/>
          <w:sz w:val="18"/>
          <w:szCs w:val="18"/>
        </w:rPr>
      </w:pPr>
      <w:r w:rsidRPr="006B6318">
        <w:rPr>
          <w:rStyle w:val="Znakapoznpodarou"/>
          <w:rFonts w:ascii="Arial" w:hAnsi="Arial" w:cs="Arial"/>
          <w:szCs w:val="18"/>
        </w:rPr>
        <w:footnoteRef/>
      </w:r>
      <w:r w:rsidRPr="006B6318">
        <w:rPr>
          <w:rFonts w:ascii="Arial" w:hAnsi="Arial" w:cs="Arial"/>
          <w:szCs w:val="18"/>
        </w:rPr>
        <w:t xml:space="preserve"> </w:t>
      </w:r>
      <w:r w:rsidRPr="006B6318">
        <w:rPr>
          <w:rFonts w:ascii="Arial" w:hAnsi="Arial" w:cs="Arial"/>
          <w:szCs w:val="18"/>
          <w:shd w:val="clear" w:color="auto" w:fill="FFFFFF"/>
        </w:rPr>
        <w:t xml:space="preserve">Roste podíl on-line her na trhu, do těch byla </w:t>
      </w:r>
      <w:r>
        <w:rPr>
          <w:rFonts w:ascii="Arial" w:hAnsi="Arial" w:cs="Arial"/>
          <w:szCs w:val="18"/>
          <w:shd w:val="clear" w:color="auto" w:fill="FFFFFF"/>
        </w:rPr>
        <w:t>účastníky hazardní hry</w:t>
      </w:r>
      <w:r w:rsidRPr="006B6318">
        <w:rPr>
          <w:rFonts w:ascii="Arial" w:hAnsi="Arial" w:cs="Arial"/>
          <w:szCs w:val="18"/>
          <w:shd w:val="clear" w:color="auto" w:fill="FFFFFF"/>
        </w:rPr>
        <w:t xml:space="preserve"> vložena třetina celkové částky vložené</w:t>
      </w:r>
      <w:r>
        <w:rPr>
          <w:rFonts w:ascii="Arial" w:hAnsi="Arial" w:cs="Arial"/>
          <w:szCs w:val="18"/>
          <w:shd w:val="clear" w:color="auto" w:fill="FFFFFF"/>
        </w:rPr>
        <w:t xml:space="preserve"> do hazardních her v roce 2017 - </w:t>
      </w:r>
      <w:r w:rsidRPr="00316B97">
        <w:rPr>
          <w:rFonts w:ascii="Arial" w:hAnsi="Arial" w:cs="Arial"/>
          <w:szCs w:val="18"/>
          <w:shd w:val="clear" w:color="auto" w:fill="FFFFFF"/>
        </w:rPr>
        <w:t>MRAVČÍK, V.,</w:t>
      </w:r>
      <w:r w:rsidR="00411894">
        <w:rPr>
          <w:rFonts w:ascii="Arial" w:hAnsi="Arial" w:cs="Arial"/>
          <w:szCs w:val="18"/>
          <w:shd w:val="clear" w:color="auto" w:fill="FFFFFF"/>
        </w:rPr>
        <w:t xml:space="preserve"> a kol.</w:t>
      </w:r>
      <w:r w:rsidRPr="00316B97">
        <w:rPr>
          <w:rFonts w:ascii="Arial" w:hAnsi="Arial" w:cs="Arial"/>
          <w:szCs w:val="18"/>
          <w:shd w:val="clear" w:color="auto" w:fill="FFFFFF"/>
        </w:rPr>
        <w:t xml:space="preserve"> Výroční zpráva o stavu ve věcech drog v České republice v roce 2017</w:t>
      </w:r>
      <w:r w:rsidR="00411894">
        <w:rPr>
          <w:rFonts w:ascii="Arial" w:hAnsi="Arial" w:cs="Arial"/>
          <w:szCs w:val="18"/>
          <w:shd w:val="clear" w:color="auto" w:fill="FFFFFF"/>
        </w:rPr>
        <w:t>.</w:t>
      </w:r>
    </w:p>
  </w:footnote>
  <w:footnote w:id="26">
    <w:p w14:paraId="5007329A" w14:textId="33CAAD58" w:rsidR="00316B97" w:rsidRPr="006B6318" w:rsidRDefault="00316B97" w:rsidP="006B6318">
      <w:pPr>
        <w:pStyle w:val="Textpoznpodarou"/>
        <w:jc w:val="both"/>
        <w:rPr>
          <w:rFonts w:ascii="Arial" w:hAnsi="Arial" w:cs="Arial"/>
          <w:szCs w:val="18"/>
        </w:rPr>
      </w:pPr>
      <w:r w:rsidRPr="006B6318">
        <w:rPr>
          <w:rStyle w:val="Znakapoznpodarou"/>
          <w:rFonts w:ascii="Arial" w:hAnsi="Arial" w:cs="Arial"/>
          <w:szCs w:val="18"/>
        </w:rPr>
        <w:footnoteRef/>
      </w:r>
      <w:r w:rsidRPr="006B6318">
        <w:rPr>
          <w:rFonts w:ascii="Arial" w:hAnsi="Arial" w:cs="Arial"/>
          <w:szCs w:val="18"/>
        </w:rPr>
        <w:t xml:space="preserve"> Podle Griffithse</w:t>
      </w:r>
      <w:r w:rsidR="00411894">
        <w:rPr>
          <w:rFonts w:ascii="Arial" w:hAnsi="Arial" w:cs="Arial"/>
          <w:szCs w:val="18"/>
        </w:rPr>
        <w:t xml:space="preserve"> </w:t>
      </w:r>
      <w:r w:rsidRPr="006B6318">
        <w:rPr>
          <w:rFonts w:ascii="Arial" w:hAnsi="Arial" w:cs="Arial"/>
          <w:szCs w:val="18"/>
        </w:rPr>
        <w:t>jsou hazardní hry úzce svázány s moderními technologiemi, které jim propůjčují zajímavou formu, čímž mohou být pro mnoho lidí mnohem lákavější, než principiálně stejné, avšak všední a okoukané formy her. S nástupem internetu se navíc zcela mění prostředí, v</w:t>
      </w:r>
      <w:r>
        <w:rPr>
          <w:rFonts w:ascii="Arial" w:hAnsi="Arial" w:cs="Arial"/>
          <w:szCs w:val="18"/>
        </w:rPr>
        <w:t> </w:t>
      </w:r>
      <w:r w:rsidRPr="006B6318">
        <w:rPr>
          <w:rFonts w:ascii="Arial" w:hAnsi="Arial" w:cs="Arial"/>
          <w:szCs w:val="18"/>
        </w:rPr>
        <w:t xml:space="preserve">němž se člověk nachází a kde se zpravidla častěji setkává s možností věnovat se hazardní hře. Mění se také povaha hazardních her, především tím že z nich v mnohých případech mizí sociální aspekt. </w:t>
      </w:r>
      <w:r>
        <w:rPr>
          <w:rFonts w:ascii="Arial" w:hAnsi="Arial" w:cs="Arial"/>
          <w:szCs w:val="18"/>
        </w:rPr>
        <w:t>Účastníci hazardní hry</w:t>
      </w:r>
      <w:r w:rsidRPr="006B6318">
        <w:rPr>
          <w:rFonts w:ascii="Arial" w:hAnsi="Arial" w:cs="Arial"/>
          <w:szCs w:val="18"/>
        </w:rPr>
        <w:t xml:space="preserve"> se nesetkávají tváří v tvář, ale sedí u obrazovek svých počítačů.</w:t>
      </w:r>
      <w:r w:rsidR="00411894">
        <w:rPr>
          <w:rFonts w:ascii="Arial" w:hAnsi="Arial" w:cs="Arial"/>
          <w:szCs w:val="18"/>
        </w:rPr>
        <w:t xml:space="preserve"> -</w:t>
      </w:r>
      <w:r w:rsidR="00411894">
        <w:rPr>
          <w:rFonts w:ascii="Arial" w:hAnsi="Arial" w:cs="Arial"/>
          <w:szCs w:val="18"/>
        </w:rPr>
        <w:tab/>
        <w:t>GRIFFITHS, Mark a </w:t>
      </w:r>
      <w:r w:rsidR="00411894" w:rsidRPr="00411894">
        <w:rPr>
          <w:rFonts w:ascii="Arial" w:hAnsi="Arial" w:cs="Arial"/>
          <w:szCs w:val="18"/>
        </w:rPr>
        <w:t>Richard WOOD. The psychology of lottery gambling. International Gambling Studie</w:t>
      </w:r>
      <w:r w:rsidR="00411894">
        <w:rPr>
          <w:rFonts w:ascii="Arial" w:hAnsi="Arial" w:cs="Arial"/>
          <w:szCs w:val="18"/>
        </w:rPr>
        <w:t>, s. 266.</w:t>
      </w:r>
    </w:p>
    <w:p w14:paraId="3F2D25CC" w14:textId="6C678771" w:rsidR="00316B97" w:rsidRPr="006B6318" w:rsidRDefault="00316B97" w:rsidP="006B6318">
      <w:pPr>
        <w:pStyle w:val="Default"/>
        <w:jc w:val="both"/>
        <w:rPr>
          <w:rFonts w:ascii="Arial" w:hAnsi="Arial" w:cs="Arial"/>
          <w:sz w:val="20"/>
          <w:szCs w:val="20"/>
        </w:rPr>
      </w:pPr>
      <w:r w:rsidRPr="006B6318">
        <w:rPr>
          <w:rFonts w:ascii="Arial" w:hAnsi="Arial" w:cs="Arial"/>
          <w:color w:val="auto"/>
          <w:sz w:val="20"/>
          <w:szCs w:val="18"/>
        </w:rPr>
        <w:t>Markoff poukazuje na fakt, že technologie dávají člověku nové možnosti, např. v</w:t>
      </w:r>
      <w:r>
        <w:rPr>
          <w:rFonts w:ascii="Arial" w:hAnsi="Arial" w:cs="Arial"/>
          <w:color w:val="auto"/>
          <w:sz w:val="20"/>
          <w:szCs w:val="18"/>
        </w:rPr>
        <w:t> </w:t>
      </w:r>
      <w:r w:rsidRPr="006B6318">
        <w:rPr>
          <w:rFonts w:ascii="Arial" w:hAnsi="Arial" w:cs="Arial"/>
          <w:color w:val="auto"/>
          <w:sz w:val="20"/>
          <w:szCs w:val="18"/>
        </w:rPr>
        <w:t>pracovním životě. Práce z domova není v dnešní době nic neobvyklého. Ke komunikaci se zaměstnavatelem stačí připojení k internetu. Interakce s dalšími lidmi tak probíhá ve formě neosobní komunikace. Využívání internetu a s ním spojených technologií, jako prostředku k interakci s dalšími lidmi, může být pro některé jedince zajímavější než běžný rozhovor tváří v tvář.</w:t>
      </w:r>
      <w:r w:rsidRPr="006B6318">
        <w:rPr>
          <w:rFonts w:ascii="Arial" w:hAnsi="Arial" w:cs="Arial"/>
          <w:color w:val="auto"/>
          <w:szCs w:val="23"/>
        </w:rPr>
        <w:t xml:space="preserve"> </w:t>
      </w:r>
      <w:r w:rsidR="00AE21CD" w:rsidRPr="00AE21CD">
        <w:rPr>
          <w:rFonts w:ascii="Arial" w:hAnsi="Arial" w:cs="Arial"/>
          <w:color w:val="auto"/>
          <w:sz w:val="20"/>
          <w:szCs w:val="18"/>
        </w:rPr>
        <w:t>MARKOFF, John. Internet Breeds Social Isolation Those Online Spend Less Time With Others [online]. 2000 [cit. 20</w:t>
      </w:r>
      <w:r w:rsidR="00AE21CD">
        <w:rPr>
          <w:rFonts w:ascii="Arial" w:hAnsi="Arial" w:cs="Arial"/>
          <w:color w:val="auto"/>
          <w:sz w:val="20"/>
          <w:szCs w:val="18"/>
        </w:rPr>
        <w:t>21</w:t>
      </w:r>
      <w:r w:rsidR="00AE21CD" w:rsidRPr="00AE21CD">
        <w:rPr>
          <w:rFonts w:ascii="Arial" w:hAnsi="Arial" w:cs="Arial"/>
          <w:color w:val="auto"/>
          <w:sz w:val="20"/>
          <w:szCs w:val="18"/>
        </w:rPr>
        <w:t>-10-02]. Dostupné z: http://search.proquest.com/docview/391369237?accountid=14623</w:t>
      </w:r>
    </w:p>
  </w:footnote>
  <w:footnote w:id="27">
    <w:p w14:paraId="420FD382" w14:textId="415DB7E7" w:rsidR="00316B97" w:rsidRPr="00C97D24"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w:t>
      </w:r>
      <w:r w:rsidR="00411894">
        <w:rPr>
          <w:rFonts w:ascii="Arial" w:hAnsi="Arial" w:cs="Arial"/>
        </w:rPr>
        <w:t>Mapa pokrytí. Vodafone</w:t>
      </w:r>
      <w:r w:rsidRPr="00C97D24">
        <w:rPr>
          <w:rFonts w:ascii="Arial" w:hAnsi="Arial" w:cs="Arial"/>
        </w:rPr>
        <w:t xml:space="preserve"> [online]. [cit. 2021-6-2]. Dostupné z: https://www.vodafone.cz/mapa-pokryti/</w:t>
      </w:r>
    </w:p>
  </w:footnote>
  <w:footnote w:id="28">
    <w:p w14:paraId="7431F83E" w14:textId="5BCAB287" w:rsidR="00316B97" w:rsidRPr="006B6318" w:rsidRDefault="00316B97" w:rsidP="006B6318">
      <w:pPr>
        <w:pStyle w:val="Textpoznpodarou"/>
        <w:jc w:val="both"/>
        <w:rPr>
          <w:rFonts w:ascii="Arial" w:hAnsi="Arial" w:cs="Arial"/>
        </w:rPr>
      </w:pPr>
      <w:r w:rsidRPr="006B6318">
        <w:rPr>
          <w:rStyle w:val="Znakapoznpodarou"/>
          <w:rFonts w:ascii="Arial" w:hAnsi="Arial" w:cs="Arial"/>
        </w:rPr>
        <w:footnoteRef/>
      </w:r>
      <w:r w:rsidRPr="006B6318">
        <w:rPr>
          <w:rFonts w:ascii="Arial" w:hAnsi="Arial" w:cs="Arial"/>
        </w:rPr>
        <w:t xml:space="preserve"> Podle Griffithse je internetový hazard mnohem rizikovější než hazard běžný. Přístupnost je prakticky neomezená a vše se odehrává rychleji. U </w:t>
      </w:r>
      <w:r>
        <w:rPr>
          <w:rFonts w:ascii="Arial" w:hAnsi="Arial" w:cs="Arial"/>
        </w:rPr>
        <w:t>účastníků hazardní hry</w:t>
      </w:r>
      <w:r w:rsidRPr="006B6318">
        <w:rPr>
          <w:rFonts w:ascii="Arial" w:hAnsi="Arial" w:cs="Arial"/>
        </w:rPr>
        <w:t xml:space="preserve"> byla posílena schopnost zapomenout prohru a  soustředit se na další hraní. Tyto faktory mohou přispět ke zvýšení počtu případů patologického hráčství.</w:t>
      </w:r>
      <w:r w:rsidR="00AE21CD" w:rsidRPr="00AE21CD">
        <w:t xml:space="preserve"> </w:t>
      </w:r>
      <w:r w:rsidR="00AE21CD" w:rsidRPr="00AE21CD">
        <w:rPr>
          <w:rFonts w:ascii="Arial" w:hAnsi="Arial" w:cs="Arial"/>
        </w:rPr>
        <w:t>GRIFFITHS, Mark a Richard WOOD. The psychology of lottery gambling. International Gambling Studie</w:t>
      </w:r>
      <w:r w:rsidR="00AE21CD">
        <w:rPr>
          <w:rFonts w:ascii="Arial" w:hAnsi="Arial" w:cs="Arial"/>
        </w:rPr>
        <w:t>.</w:t>
      </w:r>
      <w:r w:rsidR="00AE21CD" w:rsidRPr="00AE21CD">
        <w:rPr>
          <w:rFonts w:ascii="Arial" w:hAnsi="Arial" w:cs="Arial"/>
        </w:rPr>
        <w:t>.</w:t>
      </w:r>
    </w:p>
    <w:p w14:paraId="3C0D5072" w14:textId="77777777" w:rsidR="00316B97" w:rsidRDefault="00316B97" w:rsidP="0014110D">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6911E" w14:textId="6C13DDA4" w:rsidR="00316B97" w:rsidRPr="00980ED2" w:rsidRDefault="00BA2612" w:rsidP="00BA2612">
    <w:pPr>
      <w:pStyle w:val="Zhlav"/>
      <w:jc w:val="right"/>
      <w:rPr>
        <w:sz w:val="20"/>
      </w:rPr>
    </w:pPr>
    <w:r w:rsidRPr="00980ED2">
      <w:rPr>
        <w:sz w:val="20"/>
      </w:rPr>
      <w:t>Příloha č. 1 Hodnocení dopadů regulace zákona o hazardních hrách a souvisejících právních předpisů</w:t>
    </w:r>
  </w:p>
  <w:p w14:paraId="7885F1BE" w14:textId="77777777" w:rsidR="00316B97" w:rsidRDefault="00316B9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146D" w14:textId="77777777" w:rsidR="00316B97" w:rsidRDefault="00316B97" w:rsidP="00D65822">
    <w:pPr>
      <w:pStyle w:val="Zhlav"/>
      <w:jc w:val="right"/>
    </w:pPr>
    <w:r>
      <w:t>Příloha č. 1 Zprávy z ex post hodnocení dopadů regulace (RIA)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B39"/>
    <w:multiLevelType w:val="hybridMultilevel"/>
    <w:tmpl w:val="3C8426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3B6307"/>
    <w:multiLevelType w:val="hybridMultilevel"/>
    <w:tmpl w:val="9F003C40"/>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773337"/>
    <w:multiLevelType w:val="multilevel"/>
    <w:tmpl w:val="E7E60862"/>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5DE2BE3"/>
    <w:multiLevelType w:val="hybridMultilevel"/>
    <w:tmpl w:val="A60E03A8"/>
    <w:lvl w:ilvl="0" w:tplc="FFAE3A26">
      <w:start w:val="1"/>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3B5FB1"/>
    <w:multiLevelType w:val="hybridMultilevel"/>
    <w:tmpl w:val="80ACABEC"/>
    <w:lvl w:ilvl="0" w:tplc="2D9C066E">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3B01C2F"/>
    <w:multiLevelType w:val="hybridMultilevel"/>
    <w:tmpl w:val="D206CAA8"/>
    <w:lvl w:ilvl="0" w:tplc="837481D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3D81AA4"/>
    <w:multiLevelType w:val="hybridMultilevel"/>
    <w:tmpl w:val="332C77D2"/>
    <w:lvl w:ilvl="0" w:tplc="42AAD64E">
      <w:start w:val="1"/>
      <w:numFmt w:val="decimal"/>
      <w:pStyle w:val="slovanodstavec"/>
      <w:suff w:val="space"/>
      <w:lvlText w:val="[%1]"/>
      <w:lvlJc w:val="left"/>
      <w:pPr>
        <w:ind w:left="284" w:firstLine="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B37378D"/>
    <w:multiLevelType w:val="hybridMultilevel"/>
    <w:tmpl w:val="6374B19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D5D3487"/>
    <w:multiLevelType w:val="hybridMultilevel"/>
    <w:tmpl w:val="AF0873F4"/>
    <w:lvl w:ilvl="0" w:tplc="02FE04F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5A5735A"/>
    <w:multiLevelType w:val="hybridMultilevel"/>
    <w:tmpl w:val="9DE870C2"/>
    <w:lvl w:ilvl="0" w:tplc="837481D0">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8737E6B"/>
    <w:multiLevelType w:val="hybridMultilevel"/>
    <w:tmpl w:val="62A834B2"/>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F3A0050"/>
    <w:multiLevelType w:val="multilevel"/>
    <w:tmpl w:val="11CAAEF8"/>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3" w15:restartNumberingAfterBreak="0">
    <w:nsid w:val="5FB31189"/>
    <w:multiLevelType w:val="hybridMultilevel"/>
    <w:tmpl w:val="E3305550"/>
    <w:lvl w:ilvl="0" w:tplc="2FD0CF84">
      <w:start w:val="1"/>
      <w:numFmt w:val="bullet"/>
      <w:lvlText w:val=""/>
      <w:lvlJc w:val="left"/>
      <w:pPr>
        <w:tabs>
          <w:tab w:val="num" w:pos="720"/>
        </w:tabs>
        <w:ind w:left="720" w:hanging="360"/>
      </w:pPr>
      <w:rPr>
        <w:rFonts w:ascii="Wingdings" w:hAnsi="Wingdings" w:hint="default"/>
      </w:rPr>
    </w:lvl>
    <w:lvl w:ilvl="1" w:tplc="929AC2D0">
      <w:start w:val="1185"/>
      <w:numFmt w:val="bullet"/>
      <w:lvlText w:val=""/>
      <w:lvlJc w:val="left"/>
      <w:pPr>
        <w:tabs>
          <w:tab w:val="num" w:pos="1440"/>
        </w:tabs>
        <w:ind w:left="1440" w:hanging="360"/>
      </w:pPr>
      <w:rPr>
        <w:rFonts w:ascii="Wingdings" w:hAnsi="Wingdings" w:hint="default"/>
      </w:rPr>
    </w:lvl>
    <w:lvl w:ilvl="2" w:tplc="2F8ED8B8" w:tentative="1">
      <w:start w:val="1"/>
      <w:numFmt w:val="bullet"/>
      <w:lvlText w:val=""/>
      <w:lvlJc w:val="left"/>
      <w:pPr>
        <w:tabs>
          <w:tab w:val="num" w:pos="2160"/>
        </w:tabs>
        <w:ind w:left="2160" w:hanging="360"/>
      </w:pPr>
      <w:rPr>
        <w:rFonts w:ascii="Wingdings" w:hAnsi="Wingdings" w:hint="default"/>
      </w:rPr>
    </w:lvl>
    <w:lvl w:ilvl="3" w:tplc="C78E17EE" w:tentative="1">
      <w:start w:val="1"/>
      <w:numFmt w:val="bullet"/>
      <w:lvlText w:val=""/>
      <w:lvlJc w:val="left"/>
      <w:pPr>
        <w:tabs>
          <w:tab w:val="num" w:pos="2880"/>
        </w:tabs>
        <w:ind w:left="2880" w:hanging="360"/>
      </w:pPr>
      <w:rPr>
        <w:rFonts w:ascii="Wingdings" w:hAnsi="Wingdings" w:hint="default"/>
      </w:rPr>
    </w:lvl>
    <w:lvl w:ilvl="4" w:tplc="4976CC22" w:tentative="1">
      <w:start w:val="1"/>
      <w:numFmt w:val="bullet"/>
      <w:lvlText w:val=""/>
      <w:lvlJc w:val="left"/>
      <w:pPr>
        <w:tabs>
          <w:tab w:val="num" w:pos="3600"/>
        </w:tabs>
        <w:ind w:left="3600" w:hanging="360"/>
      </w:pPr>
      <w:rPr>
        <w:rFonts w:ascii="Wingdings" w:hAnsi="Wingdings" w:hint="default"/>
      </w:rPr>
    </w:lvl>
    <w:lvl w:ilvl="5" w:tplc="C91CAEA8" w:tentative="1">
      <w:start w:val="1"/>
      <w:numFmt w:val="bullet"/>
      <w:lvlText w:val=""/>
      <w:lvlJc w:val="left"/>
      <w:pPr>
        <w:tabs>
          <w:tab w:val="num" w:pos="4320"/>
        </w:tabs>
        <w:ind w:left="4320" w:hanging="360"/>
      </w:pPr>
      <w:rPr>
        <w:rFonts w:ascii="Wingdings" w:hAnsi="Wingdings" w:hint="default"/>
      </w:rPr>
    </w:lvl>
    <w:lvl w:ilvl="6" w:tplc="EE1C3262" w:tentative="1">
      <w:start w:val="1"/>
      <w:numFmt w:val="bullet"/>
      <w:lvlText w:val=""/>
      <w:lvlJc w:val="left"/>
      <w:pPr>
        <w:tabs>
          <w:tab w:val="num" w:pos="5040"/>
        </w:tabs>
        <w:ind w:left="5040" w:hanging="360"/>
      </w:pPr>
      <w:rPr>
        <w:rFonts w:ascii="Wingdings" w:hAnsi="Wingdings" w:hint="default"/>
      </w:rPr>
    </w:lvl>
    <w:lvl w:ilvl="7" w:tplc="582C0C76" w:tentative="1">
      <w:start w:val="1"/>
      <w:numFmt w:val="bullet"/>
      <w:lvlText w:val=""/>
      <w:lvlJc w:val="left"/>
      <w:pPr>
        <w:tabs>
          <w:tab w:val="num" w:pos="5760"/>
        </w:tabs>
        <w:ind w:left="5760" w:hanging="360"/>
      </w:pPr>
      <w:rPr>
        <w:rFonts w:ascii="Wingdings" w:hAnsi="Wingdings" w:hint="default"/>
      </w:rPr>
    </w:lvl>
    <w:lvl w:ilvl="8" w:tplc="50180F4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64487B67"/>
    <w:multiLevelType w:val="hybridMultilevel"/>
    <w:tmpl w:val="23CE00A6"/>
    <w:lvl w:ilvl="0" w:tplc="EE561E98">
      <w:start w:val="2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7B85B7E"/>
    <w:multiLevelType w:val="hybridMultilevel"/>
    <w:tmpl w:val="84E2315A"/>
    <w:lvl w:ilvl="0" w:tplc="02FE04F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BF26585"/>
    <w:multiLevelType w:val="hybridMultilevel"/>
    <w:tmpl w:val="21FAF0FA"/>
    <w:lvl w:ilvl="0" w:tplc="061E03B6">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02475CD"/>
    <w:multiLevelType w:val="multilevel"/>
    <w:tmpl w:val="11006D40"/>
    <w:lvl w:ilvl="0">
      <w:start w:val="2"/>
      <w:numFmt w:val="decimal"/>
      <w:lvlText w:val="%1.2."/>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75EE6D69"/>
    <w:multiLevelType w:val="multilevel"/>
    <w:tmpl w:val="6CC64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43314B"/>
    <w:multiLevelType w:val="hybridMultilevel"/>
    <w:tmpl w:val="34A4D480"/>
    <w:lvl w:ilvl="0" w:tplc="B9C08566">
      <w:numFmt w:val="bullet"/>
      <w:lvlText w:val="-"/>
      <w:lvlJc w:val="left"/>
      <w:pPr>
        <w:ind w:left="360" w:hanging="360"/>
      </w:pPr>
      <w:rPr>
        <w:rFonts w:ascii="Arial" w:eastAsia="Calibri" w:hAnsi="Arial" w:cs="Arial" w:hint="default"/>
        <w:sz w:val="24"/>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1" w15:restartNumberingAfterBreak="0">
    <w:nsid w:val="7E1841AB"/>
    <w:multiLevelType w:val="hybridMultilevel"/>
    <w:tmpl w:val="14566C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num>
  <w:num w:numId="2">
    <w:abstractNumId w:val="17"/>
  </w:num>
  <w:num w:numId="3">
    <w:abstractNumId w:val="4"/>
  </w:num>
  <w:num w:numId="4">
    <w:abstractNumId w:val="4"/>
    <w:lvlOverride w:ilvl="0">
      <w:startOverride w:val="1"/>
    </w:lvlOverride>
  </w:num>
  <w:num w:numId="5">
    <w:abstractNumId w:val="20"/>
  </w:num>
  <w:num w:numId="6">
    <w:abstractNumId w:val="11"/>
  </w:num>
  <w:num w:numId="7">
    <w:abstractNumId w:val="17"/>
    <w:lvlOverride w:ilvl="0">
      <w:lvl w:ilvl="0" w:tplc="061E03B6">
        <w:start w:val="1"/>
        <w:numFmt w:val="decimal"/>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tplc="04050019">
        <w:start w:val="1"/>
        <w:numFmt w:val="lowerLetter"/>
        <w:lvlText w:val="%2."/>
        <w:lvlJc w:val="left"/>
        <w:pPr>
          <w:ind w:left="1440" w:hanging="360"/>
        </w:pPr>
        <w:rPr>
          <w:rFonts w:hint="default"/>
        </w:rPr>
      </w:lvl>
    </w:lvlOverride>
    <w:lvlOverride w:ilvl="2">
      <w:lvl w:ilvl="2" w:tplc="0405001B">
        <w:start w:val="1"/>
        <w:numFmt w:val="lowerRoman"/>
        <w:lvlText w:val="%3."/>
        <w:lvlJc w:val="right"/>
        <w:pPr>
          <w:ind w:left="2160" w:hanging="180"/>
        </w:pPr>
        <w:rPr>
          <w:rFonts w:hint="default"/>
        </w:rPr>
      </w:lvl>
    </w:lvlOverride>
    <w:lvlOverride w:ilvl="3">
      <w:lvl w:ilvl="3" w:tplc="0405000F">
        <w:start w:val="1"/>
        <w:numFmt w:val="decimal"/>
        <w:lvlText w:val="%4."/>
        <w:lvlJc w:val="left"/>
        <w:pPr>
          <w:ind w:left="2880" w:hanging="360"/>
        </w:pPr>
        <w:rPr>
          <w:rFonts w:hint="default"/>
        </w:rPr>
      </w:lvl>
    </w:lvlOverride>
    <w:lvlOverride w:ilvl="4">
      <w:lvl w:ilvl="4" w:tplc="04050019">
        <w:start w:val="1"/>
        <w:numFmt w:val="decimal"/>
        <w:lvlText w:val="%5."/>
        <w:lvlJc w:val="left"/>
        <w:pPr>
          <w:ind w:left="3600" w:hanging="360"/>
        </w:pPr>
        <w:rPr>
          <w:rFonts w:hint="default"/>
        </w:rPr>
      </w:lvl>
    </w:lvlOverride>
    <w:lvlOverride w:ilvl="5">
      <w:lvl w:ilvl="5" w:tplc="0405001B">
        <w:start w:val="1"/>
        <w:numFmt w:val="lowerRoman"/>
        <w:lvlText w:val="%6."/>
        <w:lvlJc w:val="right"/>
        <w:pPr>
          <w:ind w:left="4320" w:hanging="180"/>
        </w:pPr>
        <w:rPr>
          <w:rFonts w:hint="default"/>
        </w:rPr>
      </w:lvl>
    </w:lvlOverride>
    <w:lvlOverride w:ilvl="6">
      <w:lvl w:ilvl="6" w:tplc="0405000F">
        <w:start w:val="1"/>
        <w:numFmt w:val="decimal"/>
        <w:lvlText w:val="%7."/>
        <w:lvlJc w:val="left"/>
        <w:pPr>
          <w:ind w:left="5040" w:hanging="360"/>
        </w:pPr>
        <w:rPr>
          <w:rFonts w:hint="default"/>
        </w:rPr>
      </w:lvl>
    </w:lvlOverride>
    <w:lvlOverride w:ilvl="7">
      <w:lvl w:ilvl="7" w:tplc="04050019">
        <w:start w:val="1"/>
        <w:numFmt w:val="lowerLetter"/>
        <w:lvlText w:val="%8."/>
        <w:lvlJc w:val="left"/>
        <w:pPr>
          <w:ind w:left="5760" w:hanging="360"/>
        </w:pPr>
        <w:rPr>
          <w:rFonts w:hint="default"/>
        </w:rPr>
      </w:lvl>
    </w:lvlOverride>
    <w:lvlOverride w:ilvl="8">
      <w:lvl w:ilvl="8" w:tplc="0405001B">
        <w:start w:val="1"/>
        <w:numFmt w:val="lowerRoman"/>
        <w:lvlText w:val="%9."/>
        <w:lvlJc w:val="right"/>
        <w:pPr>
          <w:ind w:left="6480" w:hanging="180"/>
        </w:pPr>
        <w:rPr>
          <w:rFonts w:hint="default"/>
        </w:rPr>
      </w:lvl>
    </w:lvlOverride>
  </w:num>
  <w:num w:numId="8">
    <w:abstractNumId w:val="2"/>
  </w:num>
  <w:num w:numId="9">
    <w:abstractNumId w:val="2"/>
    <w:lvlOverride w:ilvl="0">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decimal"/>
        <w:isLgl/>
        <w:lvlText w:val="%5.9.1.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abstractNumId w:val="10"/>
  </w:num>
  <w:num w:numId="11">
    <w:abstractNumId w:val="5"/>
  </w:num>
  <w:num w:numId="12">
    <w:abstractNumId w:val="3"/>
  </w:num>
  <w:num w:numId="13">
    <w:abstractNumId w:val="19"/>
  </w:num>
  <w:num w:numId="14">
    <w:abstractNumId w:val="4"/>
    <w:lvlOverride w:ilvl="0">
      <w:startOverride w:val="1"/>
    </w:lvlOverride>
  </w:num>
  <w:num w:numId="15">
    <w:abstractNumId w:val="0"/>
  </w:num>
  <w:num w:numId="16">
    <w:abstractNumId w:val="6"/>
  </w:num>
  <w:num w:numId="17">
    <w:abstractNumId w:val="15"/>
  </w:num>
  <w:num w:numId="18">
    <w:abstractNumId w:val="12"/>
  </w:num>
  <w:num w:numId="19">
    <w:abstractNumId w:val="4"/>
    <w:lvlOverride w:ilvl="0">
      <w:startOverride w:val="1"/>
    </w:lvlOverride>
  </w:num>
  <w:num w:numId="20">
    <w:abstractNumId w:val="1"/>
  </w:num>
  <w:num w:numId="21">
    <w:abstractNumId w:val="4"/>
    <w:lvlOverride w:ilvl="0">
      <w:startOverride w:val="1"/>
    </w:lvlOverride>
  </w:num>
  <w:num w:numId="22">
    <w:abstractNumId w:val="7"/>
  </w:num>
  <w:num w:numId="23">
    <w:abstractNumId w:val="14"/>
  </w:num>
  <w:num w:numId="24">
    <w:abstractNumId w:val="13"/>
  </w:num>
  <w:num w:numId="25">
    <w:abstractNumId w:val="8"/>
  </w:num>
  <w:num w:numId="26">
    <w:abstractNumId w:val="21"/>
  </w:num>
  <w:num w:numId="27">
    <w:abstractNumId w:val="9"/>
  </w:num>
  <w:num w:numId="28">
    <w:abstractNumId w:val="16"/>
  </w:num>
  <w:num w:numId="29">
    <w:abstractNumId w:val="18"/>
    <w:lvlOverride w:ilvl="0">
      <w:lvl w:ilvl="0">
        <w:start w:val="2"/>
        <w:numFmt w:val="decimal"/>
        <w:lvlText w:val="%1.2"/>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0">
    <w:abstractNumId w:val="12"/>
  </w:num>
  <w:num w:numId="31">
    <w:abstractNumId w:val="12"/>
  </w:num>
  <w:num w:numId="32">
    <w:abstractNumId w:val="12"/>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257"/>
    <w:rsid w:val="00004CAA"/>
    <w:rsid w:val="00005302"/>
    <w:rsid w:val="00007B49"/>
    <w:rsid w:val="000105E5"/>
    <w:rsid w:val="00013073"/>
    <w:rsid w:val="00014CAE"/>
    <w:rsid w:val="00017100"/>
    <w:rsid w:val="000221D3"/>
    <w:rsid w:val="00022940"/>
    <w:rsid w:val="00025F44"/>
    <w:rsid w:val="00026175"/>
    <w:rsid w:val="00027647"/>
    <w:rsid w:val="00053691"/>
    <w:rsid w:val="00056C8B"/>
    <w:rsid w:val="00061DE9"/>
    <w:rsid w:val="00066D81"/>
    <w:rsid w:val="00075C8C"/>
    <w:rsid w:val="0007706F"/>
    <w:rsid w:val="00077666"/>
    <w:rsid w:val="00080B69"/>
    <w:rsid w:val="00080D2A"/>
    <w:rsid w:val="0008162A"/>
    <w:rsid w:val="00081DCC"/>
    <w:rsid w:val="00093CD6"/>
    <w:rsid w:val="00097F70"/>
    <w:rsid w:val="000A13CF"/>
    <w:rsid w:val="000A1F59"/>
    <w:rsid w:val="000A28D2"/>
    <w:rsid w:val="000B01A0"/>
    <w:rsid w:val="000B15C0"/>
    <w:rsid w:val="000B16B5"/>
    <w:rsid w:val="000B58A2"/>
    <w:rsid w:val="000C0A07"/>
    <w:rsid w:val="000C198C"/>
    <w:rsid w:val="000C27B8"/>
    <w:rsid w:val="000C38C0"/>
    <w:rsid w:val="000C5BEF"/>
    <w:rsid w:val="000C6602"/>
    <w:rsid w:val="000D01F0"/>
    <w:rsid w:val="000D04BD"/>
    <w:rsid w:val="000E1F3B"/>
    <w:rsid w:val="000E4FD5"/>
    <w:rsid w:val="000E5B21"/>
    <w:rsid w:val="000E6348"/>
    <w:rsid w:val="000F0D6E"/>
    <w:rsid w:val="000F26C0"/>
    <w:rsid w:val="000F3028"/>
    <w:rsid w:val="000F59A3"/>
    <w:rsid w:val="0010145E"/>
    <w:rsid w:val="001018D4"/>
    <w:rsid w:val="00102FAA"/>
    <w:rsid w:val="00104E85"/>
    <w:rsid w:val="00107B14"/>
    <w:rsid w:val="001115E2"/>
    <w:rsid w:val="001134E1"/>
    <w:rsid w:val="00115126"/>
    <w:rsid w:val="00120816"/>
    <w:rsid w:val="001218C9"/>
    <w:rsid w:val="00123F90"/>
    <w:rsid w:val="00124290"/>
    <w:rsid w:val="0012719C"/>
    <w:rsid w:val="0013452A"/>
    <w:rsid w:val="00134BC7"/>
    <w:rsid w:val="0014110D"/>
    <w:rsid w:val="00146097"/>
    <w:rsid w:val="00151439"/>
    <w:rsid w:val="00156AD0"/>
    <w:rsid w:val="001627C6"/>
    <w:rsid w:val="00171292"/>
    <w:rsid w:val="00176A3A"/>
    <w:rsid w:val="00185EB7"/>
    <w:rsid w:val="0018733A"/>
    <w:rsid w:val="001875E6"/>
    <w:rsid w:val="00187DEE"/>
    <w:rsid w:val="00187F36"/>
    <w:rsid w:val="00191662"/>
    <w:rsid w:val="001A3165"/>
    <w:rsid w:val="001A58FF"/>
    <w:rsid w:val="001B5AA0"/>
    <w:rsid w:val="001C1753"/>
    <w:rsid w:val="001C327C"/>
    <w:rsid w:val="001C4470"/>
    <w:rsid w:val="001C5AA1"/>
    <w:rsid w:val="001C6495"/>
    <w:rsid w:val="001C6DA4"/>
    <w:rsid w:val="001D51B3"/>
    <w:rsid w:val="001D541B"/>
    <w:rsid w:val="001E66F0"/>
    <w:rsid w:val="001E6B79"/>
    <w:rsid w:val="001E76E3"/>
    <w:rsid w:val="001F0F94"/>
    <w:rsid w:val="001F3D5C"/>
    <w:rsid w:val="001F505B"/>
    <w:rsid w:val="00205114"/>
    <w:rsid w:val="00212609"/>
    <w:rsid w:val="00212908"/>
    <w:rsid w:val="00212DD1"/>
    <w:rsid w:val="00217926"/>
    <w:rsid w:val="00243706"/>
    <w:rsid w:val="00244A60"/>
    <w:rsid w:val="00246653"/>
    <w:rsid w:val="0026116C"/>
    <w:rsid w:val="00262235"/>
    <w:rsid w:val="00266D88"/>
    <w:rsid w:val="00272425"/>
    <w:rsid w:val="00280B85"/>
    <w:rsid w:val="0028393C"/>
    <w:rsid w:val="00290F9D"/>
    <w:rsid w:val="002A127E"/>
    <w:rsid w:val="002A3EE5"/>
    <w:rsid w:val="002A436B"/>
    <w:rsid w:val="002A6FEA"/>
    <w:rsid w:val="002A71F0"/>
    <w:rsid w:val="002A75C5"/>
    <w:rsid w:val="002B4CC9"/>
    <w:rsid w:val="002C29D4"/>
    <w:rsid w:val="002C479A"/>
    <w:rsid w:val="002C73AB"/>
    <w:rsid w:val="002D389C"/>
    <w:rsid w:val="002D502D"/>
    <w:rsid w:val="002D5A77"/>
    <w:rsid w:val="002E0B98"/>
    <w:rsid w:val="002E0DEB"/>
    <w:rsid w:val="002E13BB"/>
    <w:rsid w:val="002E6EC3"/>
    <w:rsid w:val="002F042E"/>
    <w:rsid w:val="002F0AB2"/>
    <w:rsid w:val="002F6E38"/>
    <w:rsid w:val="002F6E63"/>
    <w:rsid w:val="002F7CCB"/>
    <w:rsid w:val="00300B5A"/>
    <w:rsid w:val="00312257"/>
    <w:rsid w:val="00314835"/>
    <w:rsid w:val="003152CE"/>
    <w:rsid w:val="00316B97"/>
    <w:rsid w:val="00326066"/>
    <w:rsid w:val="00332623"/>
    <w:rsid w:val="00335F97"/>
    <w:rsid w:val="003400A6"/>
    <w:rsid w:val="00346482"/>
    <w:rsid w:val="003519E5"/>
    <w:rsid w:val="00355872"/>
    <w:rsid w:val="00355CF5"/>
    <w:rsid w:val="00356E50"/>
    <w:rsid w:val="0035740C"/>
    <w:rsid w:val="0036158E"/>
    <w:rsid w:val="00365ED5"/>
    <w:rsid w:val="00367E3E"/>
    <w:rsid w:val="00371C23"/>
    <w:rsid w:val="00372887"/>
    <w:rsid w:val="00374764"/>
    <w:rsid w:val="00380BDE"/>
    <w:rsid w:val="0038378D"/>
    <w:rsid w:val="003937EC"/>
    <w:rsid w:val="00397A5F"/>
    <w:rsid w:val="003A78E2"/>
    <w:rsid w:val="003B0BE0"/>
    <w:rsid w:val="003B6C8F"/>
    <w:rsid w:val="003C350B"/>
    <w:rsid w:val="003C3B30"/>
    <w:rsid w:val="003C60E7"/>
    <w:rsid w:val="003D18CD"/>
    <w:rsid w:val="003D24FE"/>
    <w:rsid w:val="003E096A"/>
    <w:rsid w:val="003F10B6"/>
    <w:rsid w:val="003F387B"/>
    <w:rsid w:val="003F3CCB"/>
    <w:rsid w:val="00401956"/>
    <w:rsid w:val="00404C50"/>
    <w:rsid w:val="004057FE"/>
    <w:rsid w:val="0041134D"/>
    <w:rsid w:val="00411894"/>
    <w:rsid w:val="00411F03"/>
    <w:rsid w:val="004325D3"/>
    <w:rsid w:val="00432CE8"/>
    <w:rsid w:val="004411E4"/>
    <w:rsid w:val="00441501"/>
    <w:rsid w:val="00447CE5"/>
    <w:rsid w:val="00451CAD"/>
    <w:rsid w:val="00462D07"/>
    <w:rsid w:val="00463942"/>
    <w:rsid w:val="0046463A"/>
    <w:rsid w:val="004655AF"/>
    <w:rsid w:val="00472EA1"/>
    <w:rsid w:val="00474584"/>
    <w:rsid w:val="0047503E"/>
    <w:rsid w:val="004760BC"/>
    <w:rsid w:val="00482113"/>
    <w:rsid w:val="004850EA"/>
    <w:rsid w:val="00486103"/>
    <w:rsid w:val="00487953"/>
    <w:rsid w:val="00490B1D"/>
    <w:rsid w:val="004926A8"/>
    <w:rsid w:val="00492738"/>
    <w:rsid w:val="004958BE"/>
    <w:rsid w:val="004A016E"/>
    <w:rsid w:val="004A3E36"/>
    <w:rsid w:val="004A65D7"/>
    <w:rsid w:val="004A7E28"/>
    <w:rsid w:val="004B30A2"/>
    <w:rsid w:val="004B315F"/>
    <w:rsid w:val="004B45BD"/>
    <w:rsid w:val="004B565C"/>
    <w:rsid w:val="004B56B8"/>
    <w:rsid w:val="004B58F0"/>
    <w:rsid w:val="004B5A5C"/>
    <w:rsid w:val="004B5B1C"/>
    <w:rsid w:val="004C2514"/>
    <w:rsid w:val="004C29BC"/>
    <w:rsid w:val="004C3D53"/>
    <w:rsid w:val="004C4C28"/>
    <w:rsid w:val="004C5B90"/>
    <w:rsid w:val="004C633C"/>
    <w:rsid w:val="004C73E1"/>
    <w:rsid w:val="004D16B0"/>
    <w:rsid w:val="004D216A"/>
    <w:rsid w:val="004D5093"/>
    <w:rsid w:val="004D51B3"/>
    <w:rsid w:val="004D6B92"/>
    <w:rsid w:val="004D71A1"/>
    <w:rsid w:val="004E1E00"/>
    <w:rsid w:val="004E2D3E"/>
    <w:rsid w:val="004E4FE7"/>
    <w:rsid w:val="004E5980"/>
    <w:rsid w:val="004E7D34"/>
    <w:rsid w:val="005104A7"/>
    <w:rsid w:val="005167CD"/>
    <w:rsid w:val="005168C0"/>
    <w:rsid w:val="00517D31"/>
    <w:rsid w:val="00524E90"/>
    <w:rsid w:val="0053147B"/>
    <w:rsid w:val="00536221"/>
    <w:rsid w:val="005400B5"/>
    <w:rsid w:val="005434CB"/>
    <w:rsid w:val="0054392E"/>
    <w:rsid w:val="005479DF"/>
    <w:rsid w:val="00551308"/>
    <w:rsid w:val="00554064"/>
    <w:rsid w:val="00557CBF"/>
    <w:rsid w:val="00560FF2"/>
    <w:rsid w:val="0056765F"/>
    <w:rsid w:val="00573400"/>
    <w:rsid w:val="0057379B"/>
    <w:rsid w:val="005746B2"/>
    <w:rsid w:val="005837F4"/>
    <w:rsid w:val="0058536D"/>
    <w:rsid w:val="00585E81"/>
    <w:rsid w:val="00586306"/>
    <w:rsid w:val="00590069"/>
    <w:rsid w:val="0059012E"/>
    <w:rsid w:val="00594ACC"/>
    <w:rsid w:val="005A25DA"/>
    <w:rsid w:val="005A2D9E"/>
    <w:rsid w:val="005A3711"/>
    <w:rsid w:val="005A3887"/>
    <w:rsid w:val="005A6B38"/>
    <w:rsid w:val="005B14F0"/>
    <w:rsid w:val="005B3F64"/>
    <w:rsid w:val="005B7872"/>
    <w:rsid w:val="005C12EC"/>
    <w:rsid w:val="005C17BC"/>
    <w:rsid w:val="005C5CB0"/>
    <w:rsid w:val="005C5E58"/>
    <w:rsid w:val="005D1C38"/>
    <w:rsid w:val="005D1ED1"/>
    <w:rsid w:val="005E0822"/>
    <w:rsid w:val="005E1892"/>
    <w:rsid w:val="005E7CF9"/>
    <w:rsid w:val="005F0913"/>
    <w:rsid w:val="005F0B5D"/>
    <w:rsid w:val="005F2BF7"/>
    <w:rsid w:val="0060728E"/>
    <w:rsid w:val="00607CAF"/>
    <w:rsid w:val="00610772"/>
    <w:rsid w:val="00614A99"/>
    <w:rsid w:val="00620052"/>
    <w:rsid w:val="0062249A"/>
    <w:rsid w:val="00623A62"/>
    <w:rsid w:val="00624C9A"/>
    <w:rsid w:val="00631134"/>
    <w:rsid w:val="00633850"/>
    <w:rsid w:val="00640DF4"/>
    <w:rsid w:val="00643DB4"/>
    <w:rsid w:val="006466CE"/>
    <w:rsid w:val="00651FFD"/>
    <w:rsid w:val="00661F7B"/>
    <w:rsid w:val="006623FB"/>
    <w:rsid w:val="006646BC"/>
    <w:rsid w:val="00664DD7"/>
    <w:rsid w:val="006748EB"/>
    <w:rsid w:val="00675437"/>
    <w:rsid w:val="0068002C"/>
    <w:rsid w:val="00682014"/>
    <w:rsid w:val="0068376E"/>
    <w:rsid w:val="0068398A"/>
    <w:rsid w:val="0068742F"/>
    <w:rsid w:val="00697559"/>
    <w:rsid w:val="006A0057"/>
    <w:rsid w:val="006A2D6B"/>
    <w:rsid w:val="006A664E"/>
    <w:rsid w:val="006A6EB5"/>
    <w:rsid w:val="006A7F20"/>
    <w:rsid w:val="006B0917"/>
    <w:rsid w:val="006B5535"/>
    <w:rsid w:val="006B6318"/>
    <w:rsid w:val="006C1106"/>
    <w:rsid w:val="006C1388"/>
    <w:rsid w:val="006C1441"/>
    <w:rsid w:val="006C6138"/>
    <w:rsid w:val="006D14B2"/>
    <w:rsid w:val="006D3988"/>
    <w:rsid w:val="006D614C"/>
    <w:rsid w:val="006E2226"/>
    <w:rsid w:val="006E2DDB"/>
    <w:rsid w:val="006E2F93"/>
    <w:rsid w:val="006E3940"/>
    <w:rsid w:val="006E491B"/>
    <w:rsid w:val="006E70FF"/>
    <w:rsid w:val="006F0DCD"/>
    <w:rsid w:val="006F5B28"/>
    <w:rsid w:val="006F5D23"/>
    <w:rsid w:val="006F6635"/>
    <w:rsid w:val="006F6833"/>
    <w:rsid w:val="00700AF7"/>
    <w:rsid w:val="007028E9"/>
    <w:rsid w:val="00707094"/>
    <w:rsid w:val="00707BE0"/>
    <w:rsid w:val="00712F7A"/>
    <w:rsid w:val="00716167"/>
    <w:rsid w:val="00716452"/>
    <w:rsid w:val="00732D8A"/>
    <w:rsid w:val="007337CD"/>
    <w:rsid w:val="007376C3"/>
    <w:rsid w:val="00743824"/>
    <w:rsid w:val="0075226C"/>
    <w:rsid w:val="00755B08"/>
    <w:rsid w:val="00757025"/>
    <w:rsid w:val="00765E53"/>
    <w:rsid w:val="00771199"/>
    <w:rsid w:val="00782572"/>
    <w:rsid w:val="007858C5"/>
    <w:rsid w:val="007A02EE"/>
    <w:rsid w:val="007A1D1F"/>
    <w:rsid w:val="007A1DC0"/>
    <w:rsid w:val="007A4573"/>
    <w:rsid w:val="007A5916"/>
    <w:rsid w:val="007A6B92"/>
    <w:rsid w:val="007B0331"/>
    <w:rsid w:val="007B2FCA"/>
    <w:rsid w:val="007C04A8"/>
    <w:rsid w:val="007C268C"/>
    <w:rsid w:val="007C6C67"/>
    <w:rsid w:val="007D4ED3"/>
    <w:rsid w:val="007D6A29"/>
    <w:rsid w:val="007E0AFD"/>
    <w:rsid w:val="007E1882"/>
    <w:rsid w:val="007E3008"/>
    <w:rsid w:val="007E4AE1"/>
    <w:rsid w:val="007E65E4"/>
    <w:rsid w:val="007F075B"/>
    <w:rsid w:val="007F210B"/>
    <w:rsid w:val="007F6299"/>
    <w:rsid w:val="00802175"/>
    <w:rsid w:val="0080488B"/>
    <w:rsid w:val="00807112"/>
    <w:rsid w:val="0081036E"/>
    <w:rsid w:val="0081544F"/>
    <w:rsid w:val="0081764C"/>
    <w:rsid w:val="0082296B"/>
    <w:rsid w:val="00825AC3"/>
    <w:rsid w:val="008271B6"/>
    <w:rsid w:val="00830502"/>
    <w:rsid w:val="008315E5"/>
    <w:rsid w:val="0084015B"/>
    <w:rsid w:val="00842920"/>
    <w:rsid w:val="00845E7B"/>
    <w:rsid w:val="00845F94"/>
    <w:rsid w:val="008460A8"/>
    <w:rsid w:val="00846E09"/>
    <w:rsid w:val="00846EAB"/>
    <w:rsid w:val="0084748E"/>
    <w:rsid w:val="00847F0E"/>
    <w:rsid w:val="00857710"/>
    <w:rsid w:val="00867D44"/>
    <w:rsid w:val="00871531"/>
    <w:rsid w:val="00875ABF"/>
    <w:rsid w:val="00880008"/>
    <w:rsid w:val="00890908"/>
    <w:rsid w:val="008A16A9"/>
    <w:rsid w:val="008A2BD4"/>
    <w:rsid w:val="008A36CC"/>
    <w:rsid w:val="008A3F48"/>
    <w:rsid w:val="008A4EDE"/>
    <w:rsid w:val="008A5323"/>
    <w:rsid w:val="008B5C18"/>
    <w:rsid w:val="008C315E"/>
    <w:rsid w:val="008C5065"/>
    <w:rsid w:val="008C51DD"/>
    <w:rsid w:val="008C606E"/>
    <w:rsid w:val="008C7024"/>
    <w:rsid w:val="008D17F6"/>
    <w:rsid w:val="008D2E2D"/>
    <w:rsid w:val="008D3782"/>
    <w:rsid w:val="008D4CD9"/>
    <w:rsid w:val="008F29F4"/>
    <w:rsid w:val="00900041"/>
    <w:rsid w:val="00904B70"/>
    <w:rsid w:val="009074CC"/>
    <w:rsid w:val="009131FD"/>
    <w:rsid w:val="009161F9"/>
    <w:rsid w:val="00916F46"/>
    <w:rsid w:val="009217B9"/>
    <w:rsid w:val="00923C0E"/>
    <w:rsid w:val="00926174"/>
    <w:rsid w:val="0092683A"/>
    <w:rsid w:val="00931FB4"/>
    <w:rsid w:val="00940385"/>
    <w:rsid w:val="00944C4F"/>
    <w:rsid w:val="00944F0B"/>
    <w:rsid w:val="0094557C"/>
    <w:rsid w:val="009514AA"/>
    <w:rsid w:val="00951A32"/>
    <w:rsid w:val="00955065"/>
    <w:rsid w:val="009661C0"/>
    <w:rsid w:val="0096656D"/>
    <w:rsid w:val="009666D9"/>
    <w:rsid w:val="00966AF9"/>
    <w:rsid w:val="00972B08"/>
    <w:rsid w:val="00974162"/>
    <w:rsid w:val="00975D49"/>
    <w:rsid w:val="009779CB"/>
    <w:rsid w:val="00980ED2"/>
    <w:rsid w:val="00993CED"/>
    <w:rsid w:val="009954CC"/>
    <w:rsid w:val="009A0C66"/>
    <w:rsid w:val="009A1F0A"/>
    <w:rsid w:val="009A22BE"/>
    <w:rsid w:val="009B0913"/>
    <w:rsid w:val="009B160E"/>
    <w:rsid w:val="009B7DBC"/>
    <w:rsid w:val="009C2EFD"/>
    <w:rsid w:val="009C4326"/>
    <w:rsid w:val="009C4AD8"/>
    <w:rsid w:val="009C5A9E"/>
    <w:rsid w:val="009C6020"/>
    <w:rsid w:val="009D198D"/>
    <w:rsid w:val="009D20FB"/>
    <w:rsid w:val="009D57AA"/>
    <w:rsid w:val="009D7420"/>
    <w:rsid w:val="009E1F67"/>
    <w:rsid w:val="009E7C9E"/>
    <w:rsid w:val="009F23FC"/>
    <w:rsid w:val="009F6E49"/>
    <w:rsid w:val="00A018B6"/>
    <w:rsid w:val="00A020EE"/>
    <w:rsid w:val="00A05610"/>
    <w:rsid w:val="00A114D5"/>
    <w:rsid w:val="00A12FA8"/>
    <w:rsid w:val="00A14113"/>
    <w:rsid w:val="00A1754F"/>
    <w:rsid w:val="00A302AF"/>
    <w:rsid w:val="00A31348"/>
    <w:rsid w:val="00A354F8"/>
    <w:rsid w:val="00A54E0F"/>
    <w:rsid w:val="00A5554B"/>
    <w:rsid w:val="00A71848"/>
    <w:rsid w:val="00A77567"/>
    <w:rsid w:val="00A819C3"/>
    <w:rsid w:val="00A82784"/>
    <w:rsid w:val="00A82ACD"/>
    <w:rsid w:val="00A836FA"/>
    <w:rsid w:val="00A84219"/>
    <w:rsid w:val="00A861A9"/>
    <w:rsid w:val="00A87951"/>
    <w:rsid w:val="00A87DC8"/>
    <w:rsid w:val="00A9637F"/>
    <w:rsid w:val="00AA1713"/>
    <w:rsid w:val="00AA2421"/>
    <w:rsid w:val="00AA6B32"/>
    <w:rsid w:val="00AA6E74"/>
    <w:rsid w:val="00AB1266"/>
    <w:rsid w:val="00AB613E"/>
    <w:rsid w:val="00AB7708"/>
    <w:rsid w:val="00AC0A4E"/>
    <w:rsid w:val="00AC73DD"/>
    <w:rsid w:val="00AD3869"/>
    <w:rsid w:val="00AD3B22"/>
    <w:rsid w:val="00AD58E0"/>
    <w:rsid w:val="00AD66CA"/>
    <w:rsid w:val="00AE21CD"/>
    <w:rsid w:val="00AE65EC"/>
    <w:rsid w:val="00AF5771"/>
    <w:rsid w:val="00AF64B2"/>
    <w:rsid w:val="00B01C1B"/>
    <w:rsid w:val="00B053C0"/>
    <w:rsid w:val="00B06AF5"/>
    <w:rsid w:val="00B11A9D"/>
    <w:rsid w:val="00B130FE"/>
    <w:rsid w:val="00B152A9"/>
    <w:rsid w:val="00B16116"/>
    <w:rsid w:val="00B176FE"/>
    <w:rsid w:val="00B20024"/>
    <w:rsid w:val="00B2283F"/>
    <w:rsid w:val="00B26637"/>
    <w:rsid w:val="00B33A00"/>
    <w:rsid w:val="00B344C0"/>
    <w:rsid w:val="00B34DD0"/>
    <w:rsid w:val="00B43BC7"/>
    <w:rsid w:val="00B46247"/>
    <w:rsid w:val="00B56CAC"/>
    <w:rsid w:val="00B56EB6"/>
    <w:rsid w:val="00B60FFF"/>
    <w:rsid w:val="00B62503"/>
    <w:rsid w:val="00B63DD6"/>
    <w:rsid w:val="00B64C48"/>
    <w:rsid w:val="00B658DF"/>
    <w:rsid w:val="00B67E82"/>
    <w:rsid w:val="00B83088"/>
    <w:rsid w:val="00B85C67"/>
    <w:rsid w:val="00B91238"/>
    <w:rsid w:val="00B92D90"/>
    <w:rsid w:val="00B94AF8"/>
    <w:rsid w:val="00B94C24"/>
    <w:rsid w:val="00B95FD7"/>
    <w:rsid w:val="00B9656A"/>
    <w:rsid w:val="00B96839"/>
    <w:rsid w:val="00BA046D"/>
    <w:rsid w:val="00BA2612"/>
    <w:rsid w:val="00BA3974"/>
    <w:rsid w:val="00BA6CE1"/>
    <w:rsid w:val="00BB021E"/>
    <w:rsid w:val="00BB319C"/>
    <w:rsid w:val="00BB3B73"/>
    <w:rsid w:val="00BB477D"/>
    <w:rsid w:val="00BB724C"/>
    <w:rsid w:val="00BC606A"/>
    <w:rsid w:val="00BC7E71"/>
    <w:rsid w:val="00BD153C"/>
    <w:rsid w:val="00BD44C2"/>
    <w:rsid w:val="00BE434B"/>
    <w:rsid w:val="00BE6341"/>
    <w:rsid w:val="00BF0F1B"/>
    <w:rsid w:val="00BF2D82"/>
    <w:rsid w:val="00BF35A7"/>
    <w:rsid w:val="00C059C8"/>
    <w:rsid w:val="00C116DF"/>
    <w:rsid w:val="00C11CE2"/>
    <w:rsid w:val="00C14815"/>
    <w:rsid w:val="00C155F6"/>
    <w:rsid w:val="00C15D9B"/>
    <w:rsid w:val="00C26C28"/>
    <w:rsid w:val="00C27DDB"/>
    <w:rsid w:val="00C31D46"/>
    <w:rsid w:val="00C334E0"/>
    <w:rsid w:val="00C358BF"/>
    <w:rsid w:val="00C36E0E"/>
    <w:rsid w:val="00C419BB"/>
    <w:rsid w:val="00C44D1E"/>
    <w:rsid w:val="00C452F0"/>
    <w:rsid w:val="00C52B93"/>
    <w:rsid w:val="00C53223"/>
    <w:rsid w:val="00C55173"/>
    <w:rsid w:val="00C576EF"/>
    <w:rsid w:val="00C66301"/>
    <w:rsid w:val="00C757BB"/>
    <w:rsid w:val="00C76F32"/>
    <w:rsid w:val="00C82EB9"/>
    <w:rsid w:val="00C85A38"/>
    <w:rsid w:val="00C876E8"/>
    <w:rsid w:val="00C911FC"/>
    <w:rsid w:val="00C97D24"/>
    <w:rsid w:val="00CB0D72"/>
    <w:rsid w:val="00CB1C17"/>
    <w:rsid w:val="00CC288C"/>
    <w:rsid w:val="00CC2C92"/>
    <w:rsid w:val="00CC3ADA"/>
    <w:rsid w:val="00CC4544"/>
    <w:rsid w:val="00CC4C64"/>
    <w:rsid w:val="00CC6AFD"/>
    <w:rsid w:val="00CD39A7"/>
    <w:rsid w:val="00CD4076"/>
    <w:rsid w:val="00CD5C90"/>
    <w:rsid w:val="00CE3927"/>
    <w:rsid w:val="00CE510A"/>
    <w:rsid w:val="00CE6E67"/>
    <w:rsid w:val="00CF1F22"/>
    <w:rsid w:val="00CF1F9F"/>
    <w:rsid w:val="00CF371A"/>
    <w:rsid w:val="00CF396C"/>
    <w:rsid w:val="00D025DC"/>
    <w:rsid w:val="00D114F1"/>
    <w:rsid w:val="00D1177F"/>
    <w:rsid w:val="00D200F4"/>
    <w:rsid w:val="00D314DF"/>
    <w:rsid w:val="00D439F3"/>
    <w:rsid w:val="00D50F42"/>
    <w:rsid w:val="00D527D3"/>
    <w:rsid w:val="00D61C69"/>
    <w:rsid w:val="00D62F6D"/>
    <w:rsid w:val="00D657A9"/>
    <w:rsid w:val="00D65822"/>
    <w:rsid w:val="00D7119D"/>
    <w:rsid w:val="00D75053"/>
    <w:rsid w:val="00D816CB"/>
    <w:rsid w:val="00D81DB7"/>
    <w:rsid w:val="00D82FF2"/>
    <w:rsid w:val="00D93DA7"/>
    <w:rsid w:val="00D97324"/>
    <w:rsid w:val="00DA0A9F"/>
    <w:rsid w:val="00DA2E14"/>
    <w:rsid w:val="00DA6ED0"/>
    <w:rsid w:val="00DB5C92"/>
    <w:rsid w:val="00DB797D"/>
    <w:rsid w:val="00DC0204"/>
    <w:rsid w:val="00DC36EE"/>
    <w:rsid w:val="00DC4D0E"/>
    <w:rsid w:val="00DD296C"/>
    <w:rsid w:val="00DD33D0"/>
    <w:rsid w:val="00DD50AC"/>
    <w:rsid w:val="00DE3164"/>
    <w:rsid w:val="00DE3533"/>
    <w:rsid w:val="00DE5EC6"/>
    <w:rsid w:val="00DE6463"/>
    <w:rsid w:val="00DE69EF"/>
    <w:rsid w:val="00DF518E"/>
    <w:rsid w:val="00DF5C96"/>
    <w:rsid w:val="00DF5F16"/>
    <w:rsid w:val="00DF7542"/>
    <w:rsid w:val="00E03B34"/>
    <w:rsid w:val="00E11385"/>
    <w:rsid w:val="00E1370A"/>
    <w:rsid w:val="00E14A7B"/>
    <w:rsid w:val="00E17489"/>
    <w:rsid w:val="00E222C6"/>
    <w:rsid w:val="00E30B2C"/>
    <w:rsid w:val="00E3417F"/>
    <w:rsid w:val="00E60D16"/>
    <w:rsid w:val="00E631EF"/>
    <w:rsid w:val="00E645BC"/>
    <w:rsid w:val="00E722EC"/>
    <w:rsid w:val="00E74487"/>
    <w:rsid w:val="00E75052"/>
    <w:rsid w:val="00E766E2"/>
    <w:rsid w:val="00E8015B"/>
    <w:rsid w:val="00E81244"/>
    <w:rsid w:val="00E824EE"/>
    <w:rsid w:val="00E82579"/>
    <w:rsid w:val="00E91C8F"/>
    <w:rsid w:val="00EA4222"/>
    <w:rsid w:val="00EA5E25"/>
    <w:rsid w:val="00EA7158"/>
    <w:rsid w:val="00EB2E48"/>
    <w:rsid w:val="00EB3CDF"/>
    <w:rsid w:val="00EB413F"/>
    <w:rsid w:val="00EB5C50"/>
    <w:rsid w:val="00EC0053"/>
    <w:rsid w:val="00EC45AE"/>
    <w:rsid w:val="00EC4C1C"/>
    <w:rsid w:val="00EC5FDC"/>
    <w:rsid w:val="00EC7460"/>
    <w:rsid w:val="00EC7903"/>
    <w:rsid w:val="00ED1F79"/>
    <w:rsid w:val="00ED4EE3"/>
    <w:rsid w:val="00ED675E"/>
    <w:rsid w:val="00EF2220"/>
    <w:rsid w:val="00EF47D3"/>
    <w:rsid w:val="00EF4A67"/>
    <w:rsid w:val="00EF59ED"/>
    <w:rsid w:val="00F108D7"/>
    <w:rsid w:val="00F114A6"/>
    <w:rsid w:val="00F11A73"/>
    <w:rsid w:val="00F12FC9"/>
    <w:rsid w:val="00F16D8B"/>
    <w:rsid w:val="00F17831"/>
    <w:rsid w:val="00F23084"/>
    <w:rsid w:val="00F25086"/>
    <w:rsid w:val="00F33DCF"/>
    <w:rsid w:val="00F342E2"/>
    <w:rsid w:val="00F371B5"/>
    <w:rsid w:val="00F417A9"/>
    <w:rsid w:val="00F52FA0"/>
    <w:rsid w:val="00F533BA"/>
    <w:rsid w:val="00F62C6C"/>
    <w:rsid w:val="00F702B4"/>
    <w:rsid w:val="00F717BF"/>
    <w:rsid w:val="00F71942"/>
    <w:rsid w:val="00F73138"/>
    <w:rsid w:val="00F7512B"/>
    <w:rsid w:val="00F75C6C"/>
    <w:rsid w:val="00F75ED2"/>
    <w:rsid w:val="00F8198A"/>
    <w:rsid w:val="00F86E44"/>
    <w:rsid w:val="00F96241"/>
    <w:rsid w:val="00FA2F2E"/>
    <w:rsid w:val="00FA7491"/>
    <w:rsid w:val="00FB1D8A"/>
    <w:rsid w:val="00FB395D"/>
    <w:rsid w:val="00FB6F7C"/>
    <w:rsid w:val="00FC0753"/>
    <w:rsid w:val="00FC2CA2"/>
    <w:rsid w:val="00FD1121"/>
    <w:rsid w:val="00FE6739"/>
    <w:rsid w:val="00FF6583"/>
    <w:rsid w:val="00FF71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BF242B"/>
  <w15:docId w15:val="{66EC8FD4-38ED-4648-B6BF-20A8DFE0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80B85"/>
    <w:pPr>
      <w:spacing w:line="240" w:lineRule="auto"/>
      <w:jc w:val="both"/>
    </w:pPr>
    <w:rPr>
      <w:rFonts w:ascii="Arial" w:hAnsi="Arial"/>
      <w:sz w:val="24"/>
    </w:rPr>
  </w:style>
  <w:style w:type="paragraph" w:styleId="Nadpis1">
    <w:name w:val="heading 1"/>
    <w:basedOn w:val="Normln"/>
    <w:next w:val="Normln"/>
    <w:link w:val="Nadpis1Char"/>
    <w:uiPriority w:val="9"/>
    <w:qFormat/>
    <w:rsid w:val="00280B85"/>
    <w:pPr>
      <w:keepNext/>
      <w:keepLines/>
      <w:numPr>
        <w:numId w:val="1"/>
      </w:numPr>
      <w:spacing w:before="240" w:after="120" w:line="259" w:lineRule="auto"/>
      <w:ind w:left="0" w:firstLine="0"/>
      <w:outlineLvl w:val="0"/>
    </w:pPr>
    <w:rPr>
      <w:rFonts w:eastAsiaTheme="majorEastAsia" w:cstheme="majorBidi"/>
      <w:b/>
      <w:sz w:val="40"/>
      <w:szCs w:val="32"/>
    </w:rPr>
  </w:style>
  <w:style w:type="paragraph" w:styleId="Nadpis2">
    <w:name w:val="heading 2"/>
    <w:basedOn w:val="Normln"/>
    <w:next w:val="Normln"/>
    <w:link w:val="Nadpis2Char"/>
    <w:autoRedefine/>
    <w:uiPriority w:val="9"/>
    <w:unhideWhenUsed/>
    <w:qFormat/>
    <w:rsid w:val="00280B85"/>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280B85"/>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4B5A5C"/>
    <w:pPr>
      <w:keepNext/>
      <w:keepLines/>
      <w:numPr>
        <w:ilvl w:val="3"/>
        <w:numId w:val="1"/>
      </w:numPr>
      <w:spacing w:before="240" w:after="120" w:line="259" w:lineRule="auto"/>
      <w:outlineLvl w:val="3"/>
    </w:pPr>
    <w:rPr>
      <w:rFonts w:eastAsiaTheme="majorEastAsia" w:cs="Times New Roman"/>
      <w:b/>
      <w:iCs/>
      <w:sz w:val="28"/>
      <w:lang w:eastAsia="zh-CN"/>
    </w:rPr>
  </w:style>
  <w:style w:type="paragraph" w:styleId="Nadpis5">
    <w:name w:val="heading 5"/>
    <w:basedOn w:val="Normln"/>
    <w:next w:val="Normln"/>
    <w:link w:val="Nadpis5Char"/>
    <w:autoRedefine/>
    <w:uiPriority w:val="9"/>
    <w:unhideWhenUsed/>
    <w:qFormat/>
    <w:rsid w:val="00846E09"/>
    <w:pPr>
      <w:keepNext/>
      <w:keepLines/>
      <w:numPr>
        <w:numId w:val="8"/>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9D198D"/>
    <w:pPr>
      <w:keepNext/>
      <w:keepLines/>
      <w:numPr>
        <w:numId w:val="3"/>
      </w:numPr>
      <w:spacing w:before="240" w:after="120" w:line="259" w:lineRule="auto"/>
      <w:ind w:left="714" w:hanging="357"/>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4D216A"/>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280B85"/>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0B85"/>
    <w:rPr>
      <w:rFonts w:ascii="Arial" w:eastAsiaTheme="majorEastAsia" w:hAnsi="Arial" w:cstheme="majorBidi"/>
      <w:b/>
      <w:sz w:val="40"/>
      <w:szCs w:val="32"/>
    </w:rPr>
  </w:style>
  <w:style w:type="character" w:customStyle="1" w:styleId="Nadpis2Char">
    <w:name w:val="Nadpis 2 Char"/>
    <w:basedOn w:val="Standardnpsmoodstavce"/>
    <w:link w:val="Nadpis2"/>
    <w:uiPriority w:val="9"/>
    <w:rsid w:val="00280B85"/>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280B85"/>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4B5A5C"/>
    <w:rPr>
      <w:rFonts w:ascii="Arial" w:eastAsiaTheme="majorEastAsia" w:hAnsi="Arial" w:cs="Times New Roman"/>
      <w:b/>
      <w:iCs/>
      <w:sz w:val="28"/>
      <w:lang w:eastAsia="zh-CN"/>
    </w:rPr>
  </w:style>
  <w:style w:type="character" w:customStyle="1" w:styleId="Nadpis5Char">
    <w:name w:val="Nadpis 5 Char"/>
    <w:basedOn w:val="Standardnpsmoodstavce"/>
    <w:link w:val="Nadpis5"/>
    <w:uiPriority w:val="9"/>
    <w:rsid w:val="00846E09"/>
    <w:rPr>
      <w:rFonts w:ascii="Arial" w:eastAsiaTheme="majorEastAsia" w:hAnsi="Arial" w:cstheme="majorBidi"/>
      <w:b/>
      <w:sz w:val="24"/>
    </w:rPr>
  </w:style>
  <w:style w:type="character" w:customStyle="1" w:styleId="Nadpis6Char">
    <w:name w:val="Nadpis 6 Char"/>
    <w:basedOn w:val="Standardnpsmoodstavce"/>
    <w:link w:val="Nadpis6"/>
    <w:uiPriority w:val="9"/>
    <w:rsid w:val="009D198D"/>
    <w:rPr>
      <w:rFonts w:ascii="Arial" w:eastAsiaTheme="majorEastAsia" w:hAnsi="Arial" w:cstheme="majorBidi"/>
      <w:b/>
      <w:sz w:val="24"/>
    </w:rPr>
  </w:style>
  <w:style w:type="character" w:customStyle="1" w:styleId="Nadpis7Char">
    <w:name w:val="Nadpis 7 Char"/>
    <w:basedOn w:val="Standardnpsmoodstavce"/>
    <w:link w:val="Nadpis7"/>
    <w:uiPriority w:val="9"/>
    <w:rsid w:val="004D216A"/>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280B85"/>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qFormat/>
    <w:rsid w:val="006F5B28"/>
    <w:rPr>
      <w:sz w:val="16"/>
      <w:szCs w:val="16"/>
    </w:rPr>
  </w:style>
  <w:style w:type="paragraph" w:styleId="Textkomente">
    <w:name w:val="annotation text"/>
    <w:basedOn w:val="Normln"/>
    <w:link w:val="TextkomenteChar"/>
    <w:uiPriority w:val="99"/>
    <w:unhideWhenUsed/>
    <w:qFormat/>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Nadpisobsahu">
    <w:name w:val="TOC Heading"/>
    <w:basedOn w:val="Nadpis1"/>
    <w:next w:val="Normln"/>
    <w:uiPriority w:val="39"/>
    <w:unhideWhenUsed/>
    <w:qFormat/>
    <w:rsid w:val="003519E5"/>
    <w:pPr>
      <w:numPr>
        <w:numId w:val="0"/>
      </w:numPr>
      <w:spacing w:before="480" w:after="0" w:line="276" w:lineRule="auto"/>
      <w:jc w:val="left"/>
      <w:outlineLvl w:val="9"/>
    </w:pPr>
    <w:rPr>
      <w:rFonts w:asciiTheme="majorHAnsi" w:hAnsiTheme="majorHAnsi"/>
      <w:bCs/>
      <w:color w:val="2E74B5" w:themeColor="accent1" w:themeShade="BF"/>
      <w:sz w:val="28"/>
      <w:szCs w:val="28"/>
      <w:lang w:eastAsia="cs-CZ"/>
    </w:rPr>
  </w:style>
  <w:style w:type="paragraph" w:styleId="Obsah2">
    <w:name w:val="toc 2"/>
    <w:basedOn w:val="Normln"/>
    <w:next w:val="Normln"/>
    <w:autoRedefine/>
    <w:uiPriority w:val="39"/>
    <w:unhideWhenUsed/>
    <w:rsid w:val="008D2E2D"/>
    <w:pPr>
      <w:tabs>
        <w:tab w:val="right" w:leader="dot" w:pos="9062"/>
      </w:tabs>
      <w:spacing w:after="100"/>
      <w:ind w:left="240"/>
    </w:pPr>
    <w:rPr>
      <w:b/>
    </w:rPr>
  </w:style>
  <w:style w:type="paragraph" w:styleId="Obsah3">
    <w:name w:val="toc 3"/>
    <w:basedOn w:val="Normln"/>
    <w:next w:val="Normln"/>
    <w:autoRedefine/>
    <w:uiPriority w:val="39"/>
    <w:unhideWhenUsed/>
    <w:rsid w:val="003519E5"/>
    <w:pPr>
      <w:spacing w:after="100"/>
      <w:ind w:left="480"/>
    </w:pPr>
  </w:style>
  <w:style w:type="paragraph" w:styleId="Obsah1">
    <w:name w:val="toc 1"/>
    <w:basedOn w:val="Normln"/>
    <w:next w:val="Normln"/>
    <w:autoRedefine/>
    <w:uiPriority w:val="39"/>
    <w:unhideWhenUsed/>
    <w:rsid w:val="00614A99"/>
    <w:pPr>
      <w:spacing w:after="100"/>
    </w:pPr>
  </w:style>
  <w:style w:type="paragraph" w:styleId="Textpoznpodarou">
    <w:name w:val="footnote text"/>
    <w:basedOn w:val="Normln"/>
    <w:link w:val="TextpoznpodarouChar"/>
    <w:uiPriority w:val="99"/>
    <w:unhideWhenUsed/>
    <w:rsid w:val="000B15C0"/>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rsid w:val="000B15C0"/>
    <w:rPr>
      <w:sz w:val="20"/>
      <w:szCs w:val="20"/>
    </w:rPr>
  </w:style>
  <w:style w:type="character" w:styleId="Znakapoznpodarou">
    <w:name w:val="footnote reference"/>
    <w:basedOn w:val="Standardnpsmoodstavce"/>
    <w:uiPriority w:val="99"/>
    <w:semiHidden/>
    <w:unhideWhenUsed/>
    <w:rsid w:val="000B15C0"/>
    <w:rPr>
      <w:vertAlign w:val="superscript"/>
    </w:rPr>
  </w:style>
  <w:style w:type="paragraph" w:styleId="Normlnweb">
    <w:name w:val="Normal (Web)"/>
    <w:basedOn w:val="Normln"/>
    <w:uiPriority w:val="99"/>
    <w:unhideWhenUsed/>
    <w:rsid w:val="00CE3927"/>
    <w:pPr>
      <w:spacing w:before="100" w:beforeAutospacing="1" w:after="100" w:afterAutospacing="1"/>
      <w:jc w:val="left"/>
    </w:pPr>
    <w:rPr>
      <w:rFonts w:ascii="Times New Roman" w:eastAsia="Times New Roman" w:hAnsi="Times New Roman" w:cs="Times New Roman"/>
      <w:szCs w:val="24"/>
      <w:lang w:eastAsia="cs-CZ"/>
    </w:rPr>
  </w:style>
  <w:style w:type="character" w:styleId="Siln">
    <w:name w:val="Strong"/>
    <w:basedOn w:val="Standardnpsmoodstavce"/>
    <w:uiPriority w:val="22"/>
    <w:qFormat/>
    <w:rsid w:val="00CE3927"/>
    <w:rPr>
      <w:b/>
      <w:bCs/>
    </w:rPr>
  </w:style>
  <w:style w:type="paragraph" w:styleId="Revize">
    <w:name w:val="Revision"/>
    <w:hidden/>
    <w:uiPriority w:val="99"/>
    <w:semiHidden/>
    <w:rsid w:val="00013073"/>
    <w:pPr>
      <w:spacing w:after="0" w:line="240" w:lineRule="auto"/>
    </w:pPr>
    <w:rPr>
      <w:rFonts w:ascii="Arial" w:hAnsi="Arial"/>
      <w:sz w:val="24"/>
    </w:rPr>
  </w:style>
  <w:style w:type="character" w:customStyle="1" w:styleId="tlid-translation">
    <w:name w:val="tlid-translation"/>
    <w:basedOn w:val="Standardnpsmoodstavce"/>
    <w:rsid w:val="009D57AA"/>
  </w:style>
  <w:style w:type="paragraph" w:customStyle="1" w:styleId="Default">
    <w:name w:val="Default"/>
    <w:rsid w:val="009D57AA"/>
    <w:pPr>
      <w:autoSpaceDE w:val="0"/>
      <w:autoSpaceDN w:val="0"/>
      <w:adjustRightInd w:val="0"/>
      <w:spacing w:after="0" w:line="240" w:lineRule="auto"/>
    </w:pPr>
    <w:rPr>
      <w:rFonts w:ascii="Cambria" w:hAnsi="Cambria" w:cs="Cambria"/>
      <w:color w:val="000000"/>
      <w:sz w:val="24"/>
      <w:szCs w:val="24"/>
    </w:rPr>
  </w:style>
  <w:style w:type="character" w:styleId="Sledovanodkaz">
    <w:name w:val="FollowedHyperlink"/>
    <w:basedOn w:val="Standardnpsmoodstavce"/>
    <w:uiPriority w:val="99"/>
    <w:semiHidden/>
    <w:unhideWhenUsed/>
    <w:rsid w:val="00BB724C"/>
    <w:rPr>
      <w:color w:val="954F72" w:themeColor="followedHyperlink"/>
      <w:u w:val="single"/>
    </w:rPr>
  </w:style>
  <w:style w:type="paragraph" w:styleId="Zhlav">
    <w:name w:val="header"/>
    <w:basedOn w:val="Normln"/>
    <w:link w:val="ZhlavChar"/>
    <w:uiPriority w:val="99"/>
    <w:unhideWhenUsed/>
    <w:rsid w:val="00C116DF"/>
    <w:pPr>
      <w:tabs>
        <w:tab w:val="center" w:pos="4536"/>
        <w:tab w:val="right" w:pos="9072"/>
      </w:tabs>
      <w:spacing w:after="0"/>
    </w:pPr>
  </w:style>
  <w:style w:type="character" w:customStyle="1" w:styleId="ZhlavChar">
    <w:name w:val="Záhlaví Char"/>
    <w:basedOn w:val="Standardnpsmoodstavce"/>
    <w:link w:val="Zhlav"/>
    <w:uiPriority w:val="99"/>
    <w:rsid w:val="00C116DF"/>
    <w:rPr>
      <w:rFonts w:ascii="Arial" w:hAnsi="Arial"/>
      <w:sz w:val="24"/>
    </w:rPr>
  </w:style>
  <w:style w:type="paragraph" w:styleId="Zpat">
    <w:name w:val="footer"/>
    <w:basedOn w:val="Normln"/>
    <w:link w:val="ZpatChar"/>
    <w:uiPriority w:val="99"/>
    <w:unhideWhenUsed/>
    <w:rsid w:val="00C116DF"/>
    <w:pPr>
      <w:tabs>
        <w:tab w:val="center" w:pos="4536"/>
        <w:tab w:val="right" w:pos="9072"/>
      </w:tabs>
      <w:spacing w:after="0"/>
    </w:pPr>
  </w:style>
  <w:style w:type="character" w:customStyle="1" w:styleId="ZpatChar">
    <w:name w:val="Zápatí Char"/>
    <w:basedOn w:val="Standardnpsmoodstavce"/>
    <w:link w:val="Zpat"/>
    <w:uiPriority w:val="99"/>
    <w:rsid w:val="00C116DF"/>
    <w:rPr>
      <w:rFonts w:ascii="Arial" w:hAnsi="Arial"/>
      <w:sz w:val="24"/>
    </w:rPr>
  </w:style>
  <w:style w:type="paragraph" w:customStyle="1" w:styleId="Textdopisu">
    <w:name w:val="Text dopisu"/>
    <w:basedOn w:val="Normln"/>
    <w:qFormat/>
    <w:rsid w:val="002E13BB"/>
    <w:pPr>
      <w:spacing w:after="240"/>
    </w:pPr>
    <w:rPr>
      <w:rFonts w:eastAsia="Times New Roman" w:cs="Arial"/>
      <w:szCs w:val="20"/>
      <w:lang w:eastAsia="cs-CZ"/>
    </w:rPr>
  </w:style>
  <w:style w:type="paragraph" w:customStyle="1" w:styleId="slovanodstavec">
    <w:name w:val="Číslovaný odstavec"/>
    <w:basedOn w:val="Normln"/>
    <w:qFormat/>
    <w:rsid w:val="00B658DF"/>
    <w:pPr>
      <w:numPr>
        <w:numId w:val="16"/>
      </w:numPr>
      <w:ind w:left="0"/>
    </w:pPr>
    <w:rPr>
      <w:rFonts w:asciiTheme="minorHAnsi" w:hAnsiTheme="minorHAnsi"/>
      <w:sz w:val="23"/>
      <w:szCs w:val="23"/>
    </w:rPr>
  </w:style>
  <w:style w:type="character" w:customStyle="1" w:styleId="upd">
    <w:name w:val="upd"/>
    <w:basedOn w:val="Standardnpsmoodstavce"/>
    <w:rsid w:val="00D816CB"/>
  </w:style>
  <w:style w:type="character" w:customStyle="1" w:styleId="OdstavecseseznamemChar">
    <w:name w:val="Odstavec se seznamem Char"/>
    <w:basedOn w:val="Standardnpsmoodstavce"/>
    <w:link w:val="Odstavecseseznamem"/>
    <w:uiPriority w:val="34"/>
    <w:locked/>
    <w:rsid w:val="002C29D4"/>
    <w:rPr>
      <w:rFonts w:ascii="Calibri" w:eastAsia="Calibri" w:hAnsi="Calibri" w:cs="Times New Roman"/>
    </w:rPr>
  </w:style>
  <w:style w:type="paragraph" w:styleId="Seznamobrzk">
    <w:name w:val="table of figures"/>
    <w:basedOn w:val="Normln"/>
    <w:next w:val="Normln"/>
    <w:uiPriority w:val="99"/>
    <w:unhideWhenUsed/>
    <w:rsid w:val="00E81244"/>
    <w:pPr>
      <w:spacing w:after="0"/>
    </w:pPr>
  </w:style>
  <w:style w:type="paragraph" w:styleId="Obsah4">
    <w:name w:val="toc 4"/>
    <w:basedOn w:val="Normln"/>
    <w:next w:val="Normln"/>
    <w:autoRedefine/>
    <w:uiPriority w:val="39"/>
    <w:unhideWhenUsed/>
    <w:rsid w:val="00C911FC"/>
    <w:pPr>
      <w:spacing w:after="100"/>
      <w:ind w:left="720"/>
    </w:pPr>
  </w:style>
  <w:style w:type="paragraph" w:styleId="Obsah5">
    <w:name w:val="toc 5"/>
    <w:basedOn w:val="Normln"/>
    <w:next w:val="Normln"/>
    <w:autoRedefine/>
    <w:uiPriority w:val="39"/>
    <w:unhideWhenUsed/>
    <w:rsid w:val="00C911FC"/>
    <w:pPr>
      <w:spacing w:after="100"/>
      <w:ind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61538">
      <w:bodyDiv w:val="1"/>
      <w:marLeft w:val="0"/>
      <w:marRight w:val="0"/>
      <w:marTop w:val="0"/>
      <w:marBottom w:val="0"/>
      <w:divBdr>
        <w:top w:val="none" w:sz="0" w:space="0" w:color="auto"/>
        <w:left w:val="none" w:sz="0" w:space="0" w:color="auto"/>
        <w:bottom w:val="none" w:sz="0" w:space="0" w:color="auto"/>
        <w:right w:val="none" w:sz="0" w:space="0" w:color="auto"/>
      </w:divBdr>
    </w:div>
    <w:div w:id="977151306">
      <w:bodyDiv w:val="1"/>
      <w:marLeft w:val="0"/>
      <w:marRight w:val="0"/>
      <w:marTop w:val="0"/>
      <w:marBottom w:val="0"/>
      <w:divBdr>
        <w:top w:val="none" w:sz="0" w:space="0" w:color="auto"/>
        <w:left w:val="none" w:sz="0" w:space="0" w:color="auto"/>
        <w:bottom w:val="none" w:sz="0" w:space="0" w:color="auto"/>
        <w:right w:val="none" w:sz="0" w:space="0" w:color="auto"/>
      </w:divBdr>
    </w:div>
    <w:div w:id="1410343104">
      <w:bodyDiv w:val="1"/>
      <w:marLeft w:val="0"/>
      <w:marRight w:val="0"/>
      <w:marTop w:val="0"/>
      <w:marBottom w:val="0"/>
      <w:divBdr>
        <w:top w:val="none" w:sz="0" w:space="0" w:color="auto"/>
        <w:left w:val="none" w:sz="0" w:space="0" w:color="auto"/>
        <w:bottom w:val="none" w:sz="0" w:space="0" w:color="auto"/>
        <w:right w:val="none" w:sz="0" w:space="0" w:color="auto"/>
      </w:divBdr>
    </w:div>
    <w:div w:id="1440444377">
      <w:bodyDiv w:val="1"/>
      <w:marLeft w:val="0"/>
      <w:marRight w:val="0"/>
      <w:marTop w:val="0"/>
      <w:marBottom w:val="0"/>
      <w:divBdr>
        <w:top w:val="none" w:sz="0" w:space="0" w:color="auto"/>
        <w:left w:val="none" w:sz="0" w:space="0" w:color="auto"/>
        <w:bottom w:val="none" w:sz="0" w:space="0" w:color="auto"/>
        <w:right w:val="none" w:sz="0" w:space="0" w:color="auto"/>
      </w:divBdr>
      <w:divsChild>
        <w:div w:id="1205409752">
          <w:marLeft w:val="360"/>
          <w:marRight w:val="0"/>
          <w:marTop w:val="200"/>
          <w:marBottom w:val="0"/>
          <w:divBdr>
            <w:top w:val="none" w:sz="0" w:space="0" w:color="auto"/>
            <w:left w:val="none" w:sz="0" w:space="0" w:color="auto"/>
            <w:bottom w:val="none" w:sz="0" w:space="0" w:color="auto"/>
            <w:right w:val="none" w:sz="0" w:space="0" w:color="auto"/>
          </w:divBdr>
        </w:div>
        <w:div w:id="243758223">
          <w:marLeft w:val="360"/>
          <w:marRight w:val="0"/>
          <w:marTop w:val="200"/>
          <w:marBottom w:val="0"/>
          <w:divBdr>
            <w:top w:val="none" w:sz="0" w:space="0" w:color="auto"/>
            <w:left w:val="none" w:sz="0" w:space="0" w:color="auto"/>
            <w:bottom w:val="none" w:sz="0" w:space="0" w:color="auto"/>
            <w:right w:val="none" w:sz="0" w:space="0" w:color="auto"/>
          </w:divBdr>
        </w:div>
        <w:div w:id="657272405">
          <w:marLeft w:val="360"/>
          <w:marRight w:val="0"/>
          <w:marTop w:val="200"/>
          <w:marBottom w:val="0"/>
          <w:divBdr>
            <w:top w:val="none" w:sz="0" w:space="0" w:color="auto"/>
            <w:left w:val="none" w:sz="0" w:space="0" w:color="auto"/>
            <w:bottom w:val="none" w:sz="0" w:space="0" w:color="auto"/>
            <w:right w:val="none" w:sz="0" w:space="0" w:color="auto"/>
          </w:divBdr>
        </w:div>
        <w:div w:id="866724259">
          <w:marLeft w:val="360"/>
          <w:marRight w:val="0"/>
          <w:marTop w:val="200"/>
          <w:marBottom w:val="0"/>
          <w:divBdr>
            <w:top w:val="none" w:sz="0" w:space="0" w:color="auto"/>
            <w:left w:val="none" w:sz="0" w:space="0" w:color="auto"/>
            <w:bottom w:val="none" w:sz="0" w:space="0" w:color="auto"/>
            <w:right w:val="none" w:sz="0" w:space="0" w:color="auto"/>
          </w:divBdr>
        </w:div>
      </w:divsChild>
    </w:div>
    <w:div w:id="1469200523">
      <w:bodyDiv w:val="1"/>
      <w:marLeft w:val="0"/>
      <w:marRight w:val="0"/>
      <w:marTop w:val="0"/>
      <w:marBottom w:val="0"/>
      <w:divBdr>
        <w:top w:val="none" w:sz="0" w:space="0" w:color="auto"/>
        <w:left w:val="none" w:sz="0" w:space="0" w:color="auto"/>
        <w:bottom w:val="none" w:sz="0" w:space="0" w:color="auto"/>
        <w:right w:val="none" w:sz="0" w:space="0" w:color="auto"/>
      </w:divBdr>
    </w:div>
    <w:div w:id="1604805133">
      <w:bodyDiv w:val="1"/>
      <w:marLeft w:val="0"/>
      <w:marRight w:val="0"/>
      <w:marTop w:val="0"/>
      <w:marBottom w:val="0"/>
      <w:divBdr>
        <w:top w:val="none" w:sz="0" w:space="0" w:color="auto"/>
        <w:left w:val="none" w:sz="0" w:space="0" w:color="auto"/>
        <w:bottom w:val="none" w:sz="0" w:space="0" w:color="auto"/>
        <w:right w:val="none" w:sz="0" w:space="0" w:color="auto"/>
      </w:divBdr>
    </w:div>
    <w:div w:id="1880582349">
      <w:bodyDiv w:val="1"/>
      <w:marLeft w:val="0"/>
      <w:marRight w:val="0"/>
      <w:marTop w:val="0"/>
      <w:marBottom w:val="0"/>
      <w:divBdr>
        <w:top w:val="none" w:sz="0" w:space="0" w:color="auto"/>
        <w:left w:val="none" w:sz="0" w:space="0" w:color="auto"/>
        <w:bottom w:val="none" w:sz="0" w:space="0" w:color="auto"/>
        <w:right w:val="none" w:sz="0" w:space="0" w:color="auto"/>
      </w:divBdr>
    </w:div>
    <w:div w:id="2077123608">
      <w:bodyDiv w:val="1"/>
      <w:marLeft w:val="0"/>
      <w:marRight w:val="0"/>
      <w:marTop w:val="0"/>
      <w:marBottom w:val="0"/>
      <w:divBdr>
        <w:top w:val="none" w:sz="0" w:space="0" w:color="auto"/>
        <w:left w:val="none" w:sz="0" w:space="0" w:color="auto"/>
        <w:bottom w:val="none" w:sz="0" w:space="0" w:color="auto"/>
        <w:right w:val="none" w:sz="0" w:space="0" w:color="auto"/>
      </w:divBdr>
      <w:divsChild>
        <w:div w:id="6525607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7FD3D-418F-41F6-96AD-46F1CCA6A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5601</Words>
  <Characters>33048</Characters>
  <Application>Microsoft Office Word</Application>
  <DocSecurity>0</DocSecurity>
  <Lines>275</Lines>
  <Paragraphs>77</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38572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4</cp:revision>
  <dcterms:created xsi:type="dcterms:W3CDTF">2021-06-03T08:56:00Z</dcterms:created>
  <dcterms:modified xsi:type="dcterms:W3CDTF">2021-06-03T09:41:00Z</dcterms:modified>
</cp:coreProperties>
</file>