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60FE9" w14:textId="5DC2EDFF" w:rsidR="00C23581" w:rsidRDefault="00C23581" w:rsidP="003455C5">
      <w:pPr>
        <w:pStyle w:val="Nadpis2"/>
        <w:numPr>
          <w:ilvl w:val="0"/>
          <w:numId w:val="0"/>
        </w:numPr>
        <w:ind w:left="578"/>
      </w:pPr>
      <w:bookmarkStart w:id="0" w:name="_Toc71631346"/>
      <w:bookmarkStart w:id="1" w:name="_Toc73533115"/>
      <w:bookmarkStart w:id="2" w:name="_Toc73604699"/>
      <w:r>
        <w:t>Obecná</w:t>
      </w:r>
      <w:r w:rsidRPr="00A6520E">
        <w:t xml:space="preserve"> ustanovení</w:t>
      </w:r>
      <w:bookmarkEnd w:id="0"/>
      <w:bookmarkEnd w:id="1"/>
      <w:bookmarkEnd w:id="2"/>
    </w:p>
    <w:p w14:paraId="34BD1C5C" w14:textId="05CA5FCE" w:rsidR="00C23581" w:rsidRPr="00B65169" w:rsidRDefault="00C23581" w:rsidP="00A87F1B">
      <w:r>
        <w:t xml:space="preserve">Následující podkapitola se zaměřuje na vyhodnocení regulace především z pohledu základních ustanovení zákona o hazardních hrách, kdy je pozornost věnována některých klíčovým definicím obsaženým v zákoně o hazardních hrách. Komplexně je v zákoně o hazardních hrách regulována oblast provozování prostřednictvím internetu, proto je podstatná část této podkapitoly </w:t>
      </w:r>
      <w:r w:rsidR="0097002E">
        <w:t>věnována rovněž otázce cílení a </w:t>
      </w:r>
      <w:r>
        <w:t>zaměřování se na osoby s bydlištěm na území České republiky.</w:t>
      </w:r>
    </w:p>
    <w:p w14:paraId="55F5D089" w14:textId="7AC7B257" w:rsidR="00C23581" w:rsidRPr="005D5E6C" w:rsidRDefault="00C23581" w:rsidP="003455C5">
      <w:pPr>
        <w:pStyle w:val="Nadpis3"/>
      </w:pPr>
      <w:bookmarkStart w:id="3" w:name="_Toc73604700"/>
      <w:r w:rsidRPr="00675437">
        <w:t>Konkrétní popis regulac</w:t>
      </w:r>
      <w:r w:rsidR="005D5A1D">
        <w:t>e</w:t>
      </w:r>
      <w:r w:rsidR="00A8041E">
        <w:t xml:space="preserve"> obsažené v </w:t>
      </w:r>
      <w:r>
        <w:t>zákoně o </w:t>
      </w:r>
      <w:r w:rsidRPr="00675437">
        <w:t>loteriích</w:t>
      </w:r>
      <w:bookmarkEnd w:id="3"/>
    </w:p>
    <w:p w14:paraId="524DECD0" w14:textId="5E0F1DD1" w:rsidR="00C23581" w:rsidRDefault="00C23581" w:rsidP="00A87F1B">
      <w:r w:rsidRPr="00C46051">
        <w:t xml:space="preserve">Zákon o loteriích byl z pohledu ochrany </w:t>
      </w:r>
      <w:r w:rsidR="00355D41">
        <w:t>účastníků hazardní hry</w:t>
      </w:r>
      <w:r w:rsidR="00355D41" w:rsidRPr="00C46051">
        <w:t xml:space="preserve"> </w:t>
      </w:r>
      <w:r w:rsidRPr="00C46051">
        <w:t>zatížen řadou nedostatků</w:t>
      </w:r>
      <w:r w:rsidRPr="00A018F4">
        <w:t>, jelikož</w:t>
      </w:r>
      <w:r>
        <w:t xml:space="preserve"> </w:t>
      </w:r>
      <w:r w:rsidRPr="00C46051">
        <w:t>právní úprava nevytvářela dostatečně efektivní zábrany, které by byly schopny zmírnit či zamezit vzniku pa</w:t>
      </w:r>
      <w:r w:rsidRPr="00441E75">
        <w:t>tologického hráčství a dalším n</w:t>
      </w:r>
      <w:r>
        <w:t>egativním důsledkům spojených s </w:t>
      </w:r>
      <w:r w:rsidRPr="00441E75">
        <w:t>provozováním hazardních her. Mezi dílčí snahy o omezení negativních dopadů účasti na hazardních hrác</w:t>
      </w:r>
      <w:r>
        <w:t xml:space="preserve">h lze uvést např.: limity sázek a </w:t>
      </w:r>
      <w:r w:rsidRPr="00441E75">
        <w:t>výher, režimy herních prostorů</w:t>
      </w:r>
      <w:r>
        <w:t>.</w:t>
      </w:r>
      <w:r w:rsidRPr="00C46051">
        <w:t xml:space="preserve"> Tyto dílčí snahy však nepřinesly v</w:t>
      </w:r>
      <w:r>
        <w:t>ýrazné zlepšení v oblasti</w:t>
      </w:r>
      <w:r w:rsidRPr="00C46051">
        <w:t xml:space="preserve"> snížení rizikovosti účasti na hazardních hrách.</w:t>
      </w:r>
      <w:r>
        <w:t xml:space="preserve"> Rovněž právní úprava jednotlivých typů loterií a jiných podobných her byla roztříštěná a nekomplexní.</w:t>
      </w:r>
    </w:p>
    <w:p w14:paraId="1282C7A0" w14:textId="4240C1EB" w:rsidR="00C23581" w:rsidRPr="00441E75" w:rsidRDefault="00C23581" w:rsidP="00A87F1B">
      <w:r>
        <w:rPr>
          <w:szCs w:val="24"/>
        </w:rPr>
        <w:t>Mezi problematiku, kterou zákon</w:t>
      </w:r>
      <w:r w:rsidRPr="001B2C39">
        <w:rPr>
          <w:szCs w:val="24"/>
        </w:rPr>
        <w:t xml:space="preserve"> o loteriích</w:t>
      </w:r>
      <w:r>
        <w:rPr>
          <w:szCs w:val="24"/>
        </w:rPr>
        <w:t xml:space="preserve"> neupravoval, patří i</w:t>
      </w:r>
      <w:r w:rsidRPr="001B2C39">
        <w:rPr>
          <w:szCs w:val="24"/>
        </w:rPr>
        <w:t xml:space="preserve"> obecn</w:t>
      </w:r>
      <w:r>
        <w:rPr>
          <w:szCs w:val="24"/>
        </w:rPr>
        <w:t>á úprava</w:t>
      </w:r>
      <w:r w:rsidRPr="001B2C39">
        <w:rPr>
          <w:szCs w:val="24"/>
        </w:rPr>
        <w:t xml:space="preserve"> provozování </w:t>
      </w:r>
      <w:r w:rsidR="008E5C1F">
        <w:rPr>
          <w:szCs w:val="24"/>
        </w:rPr>
        <w:t xml:space="preserve">internetových her. </w:t>
      </w:r>
      <w:r>
        <w:rPr>
          <w:szCs w:val="24"/>
        </w:rPr>
        <w:t xml:space="preserve">Loterie a jiné podobné hry provozované prostřednictvím internetu byly provozovány na </w:t>
      </w:r>
      <w:r w:rsidR="00476848">
        <w:rPr>
          <w:szCs w:val="24"/>
        </w:rPr>
        <w:t>základě povolení vydaného podle</w:t>
      </w:r>
      <w:r w:rsidR="00B64F2A">
        <w:rPr>
          <w:szCs w:val="24"/>
        </w:rPr>
        <w:t xml:space="preserve"> </w:t>
      </w:r>
      <w:r>
        <w:rPr>
          <w:szCs w:val="24"/>
        </w:rPr>
        <w:t>§ 50 odst. 3 zákona o loteriích, kter</w:t>
      </w:r>
      <w:r w:rsidR="00B64F2A">
        <w:rPr>
          <w:szCs w:val="24"/>
        </w:rPr>
        <w:t xml:space="preserve">ý umožňoval vydání povolení pro </w:t>
      </w:r>
      <w:r w:rsidR="003E3D23">
        <w:rPr>
          <w:szCs w:val="24"/>
        </w:rPr>
        <w:t>provozování loterií a </w:t>
      </w:r>
      <w:r>
        <w:rPr>
          <w:szCs w:val="24"/>
        </w:rPr>
        <w:t>jiných podobných her, které nebyly v zákoně výslovně uvedeny.</w:t>
      </w:r>
      <w:r>
        <w:rPr>
          <w:rStyle w:val="Znakapoznpodarou"/>
          <w:szCs w:val="24"/>
        </w:rPr>
        <w:footnoteReference w:id="1"/>
      </w:r>
      <w:r>
        <w:rPr>
          <w:szCs w:val="24"/>
        </w:rPr>
        <w:t xml:space="preserve"> Zároveň však, vzhledem ke skutečnosti, že zákon o loteriích neumožňoval v případě většiny druhů hazardních her získat povolení k provozování prostřednictvím internetu a zároveň byla možnost z</w:t>
      </w:r>
      <w:r w:rsidR="00476848">
        <w:rPr>
          <w:szCs w:val="24"/>
        </w:rPr>
        <w:t>ískat povolení omezena pouze na </w:t>
      </w:r>
      <w:r>
        <w:rPr>
          <w:szCs w:val="24"/>
        </w:rPr>
        <w:t>právnické osoby se sídlem v České republice, existovala poměrně široká nelegální nabídka hazardních her provozovaných prostřednictvím internetu. Právní úprava však neobsahovala žádné právní instrumenty k efektivnímu boji proti tomuto nelegálnímu provozování hazardních her. V tomt</w:t>
      </w:r>
      <w:r w:rsidR="00B76889">
        <w:rPr>
          <w:szCs w:val="24"/>
        </w:rPr>
        <w:t>o směru se odkazuje dále na </w:t>
      </w:r>
      <w:r w:rsidR="00355D41" w:rsidRPr="00A67DB7">
        <w:rPr>
          <w:szCs w:val="24"/>
        </w:rPr>
        <w:t>Přílohu č. 8</w:t>
      </w:r>
      <w:r w:rsidR="003E3D23" w:rsidRPr="00A67DB7">
        <w:rPr>
          <w:szCs w:val="24"/>
        </w:rPr>
        <w:t xml:space="preserve"> </w:t>
      </w:r>
      <w:r w:rsidRPr="00A67DB7">
        <w:rPr>
          <w:szCs w:val="24"/>
        </w:rPr>
        <w:t>Nepovolené internetové hry.</w:t>
      </w:r>
    </w:p>
    <w:p w14:paraId="3E30F35B" w14:textId="7B5E9339" w:rsidR="00C23581" w:rsidRDefault="00C23581" w:rsidP="003455C5">
      <w:pPr>
        <w:pStyle w:val="Nadpis3"/>
      </w:pPr>
      <w:bookmarkStart w:id="4" w:name="_Toc73604701"/>
      <w:r>
        <w:t>Konkrétní pop</w:t>
      </w:r>
      <w:r w:rsidR="003455C5">
        <w:t>is regulace obsažené v zákoně o </w:t>
      </w:r>
      <w:r>
        <w:t>hazardních hrách</w:t>
      </w:r>
      <w:bookmarkEnd w:id="4"/>
    </w:p>
    <w:p w14:paraId="75A8959F" w14:textId="312C9DF8" w:rsidR="007F39FE" w:rsidRDefault="007F39FE" w:rsidP="007F39FE">
      <w:r>
        <w:t>Regulace hazardu je obecně založena na regulaci soukromoprávních vztahů, které jsou upraveny v § 2873 až 2883</w:t>
      </w:r>
      <w:r w:rsidR="00A91632">
        <w:t xml:space="preserve"> </w:t>
      </w:r>
      <w:r w:rsidR="00A91632" w:rsidRPr="00B16089">
        <w:t>občanského zákoníku,</w:t>
      </w:r>
      <w:r w:rsidR="00A91632">
        <w:t xml:space="preserve"> ve znění pozdějších předpisů (dále jen „občanský zákoník“)</w:t>
      </w:r>
      <w:r>
        <w:t xml:space="preserve">. Nad touto relativně subtilní soukromoprávní úpravou založenou na smluvní volnosti je vystavěna poměrně silná veřejnoprávní regulace, která má za cíl především chránit </w:t>
      </w:r>
      <w:r w:rsidR="00AC4BAA">
        <w:t>účastníky hazardní hry a</w:t>
      </w:r>
      <w:r w:rsidR="00A91632">
        <w:t> </w:t>
      </w:r>
      <w:r w:rsidR="00AC4BAA">
        <w:t>jejich okolí</w:t>
      </w:r>
      <w:r>
        <w:t xml:space="preserve">, </w:t>
      </w:r>
      <w:r w:rsidR="00AC4BAA">
        <w:t>které</w:t>
      </w:r>
      <w:r>
        <w:t xml:space="preserve"> může spotřebovávání těchto typů služeb ovlivnit jak po osobní, finanční, tak i zdravotní stránce. Samozřejmě </w:t>
      </w:r>
      <w:r w:rsidR="0097219C">
        <w:t>soukromo</w:t>
      </w:r>
      <w:r>
        <w:t xml:space="preserve">právní rozsah je v některých ohledech širší než veřejnoprávní, kdy ten veřejnoprávní se zaměřuje na regulaci problematických </w:t>
      </w:r>
      <w:r>
        <w:lastRenderedPageBreak/>
        <w:t xml:space="preserve">situacích hazardního sázení. </w:t>
      </w:r>
      <w:r w:rsidR="0097219C">
        <w:t>Právní vztahy mezi účastníkem hazardní hry a</w:t>
      </w:r>
      <w:r w:rsidR="00AC4BAA">
        <w:t> </w:t>
      </w:r>
      <w:r w:rsidR="0097219C">
        <w:t>provozovatelem nejsou upravovány pouze občanským zákoníkem, ale uplatní se další právní předpisy</w:t>
      </w:r>
      <w:r w:rsidR="00AC4BAA">
        <w:t>,</w:t>
      </w:r>
      <w:r w:rsidR="0097219C">
        <w:t xml:space="preserve"> jako je např. zákon o ochraně spotřebitele, který poskytuje ochranu spotřebiteli, jelikož je vůči druhé smluvní straně (zde provozovali hazardní hry) v</w:t>
      </w:r>
      <w:r w:rsidR="00AC4BAA">
        <w:t> </w:t>
      </w:r>
      <w:r w:rsidR="0097219C">
        <w:t>p</w:t>
      </w:r>
      <w:r w:rsidR="00AC4BAA">
        <w:t>ostavení slabší smluvní strany.</w:t>
      </w:r>
    </w:p>
    <w:p w14:paraId="76F4C6AB" w14:textId="7D5A0630" w:rsidR="00C23581" w:rsidRDefault="00C23581" w:rsidP="00A87F1B">
      <w:r w:rsidRPr="00A018F4">
        <w:rPr>
          <w:bCs/>
        </w:rPr>
        <w:t>Zákon</w:t>
      </w:r>
      <w:r w:rsidRPr="00A018F4">
        <w:t xml:space="preserve"> o hazardních hrách obsahuje zcela nový koncept rozdělení hazardních her. Tato nová kategorizace uvádí taxativní výčet jednotlivých druhů hazardních her, přičemž tento výčet nesmí být žádným způsobem rozšiřován, nebo měněn (jednotlivé druhy hazardních her se nesmějí vzájemně kombinovat). Zároveň druhy hazardních her neuvedené v tomto výčtu nesmí být provozovány. Zákon o loteriích obsahoval demonstrativní výčet loterií a jiných podobných her, přičemž Ministerstvo financí bylo oprávněno povolit i loterie a jiné podobné hry, které nebyly v tomto zákoně upraveny.</w:t>
      </w:r>
      <w:r w:rsidRPr="00A018F4">
        <w:rPr>
          <w:rStyle w:val="Znakapoznpodarou"/>
          <w:rFonts w:cs="Arial"/>
        </w:rPr>
        <w:footnoteReference w:id="2"/>
      </w:r>
      <w:r>
        <w:t xml:space="preserve"> </w:t>
      </w:r>
      <w:r w:rsidRPr="00A645EA">
        <w:t>Blíže v části Druhy hazardních her.</w:t>
      </w:r>
    </w:p>
    <w:p w14:paraId="27767B71" w14:textId="17B50D16" w:rsidR="00C23581" w:rsidRDefault="00C23581" w:rsidP="00A87F1B">
      <w:r>
        <w:t>V  § 7 zákon o hazardních hrách blíže vym</w:t>
      </w:r>
      <w:r w:rsidR="00B64F2A">
        <w:t xml:space="preserve">ezuje zákonná omezení, při </w:t>
      </w:r>
      <w:r>
        <w:t>jejichž nedodržení není možné hazardní hru provozovat. Jde o typické restrikce stanovené za účelem ochrany sázejících. V tomto</w:t>
      </w:r>
      <w:r w:rsidR="00B64F2A">
        <w:t xml:space="preserve"> kontextu lze vyzdvihnout např. </w:t>
      </w:r>
      <w:r>
        <w:t>zákaz provozování hazardní hry bez patřičného povolení či ohlášení, je zaveden obecný korektiv zákazu provozování hazardní hry v rozporu s dobrými mravy či veřejným pořádkem, zákaz provozování hazardní hry, která by nezaručovala všem účastníkům rovné podmínky a rovnou možnost výhry apod.</w:t>
      </w:r>
    </w:p>
    <w:p w14:paraId="076A787E" w14:textId="77777777" w:rsidR="00C23581" w:rsidRPr="00B16089" w:rsidRDefault="00C23581" w:rsidP="007029FF">
      <w:pPr>
        <w:pStyle w:val="Nadpis6"/>
      </w:pPr>
      <w:bookmarkStart w:id="5" w:name="_Toc73604702"/>
      <w:r w:rsidRPr="00B16089">
        <w:t>Účastník hazardní hry, sázející</w:t>
      </w:r>
      <w:bookmarkEnd w:id="5"/>
    </w:p>
    <w:p w14:paraId="1A9D3678" w14:textId="3AA25A54" w:rsidR="00C23581" w:rsidRPr="00B16089" w:rsidRDefault="00E95132" w:rsidP="00A87F1B">
      <w:r>
        <w:t xml:space="preserve">V </w:t>
      </w:r>
      <w:r w:rsidR="00C23581" w:rsidRPr="00B16089">
        <w:t xml:space="preserve">§ 4 zákona o hazardních hrách </w:t>
      </w:r>
      <w:r>
        <w:t xml:space="preserve">je </w:t>
      </w:r>
      <w:r w:rsidR="00C23581" w:rsidRPr="00B16089">
        <w:t>nově zakotv</w:t>
      </w:r>
      <w:r>
        <w:t>ena</w:t>
      </w:r>
      <w:r w:rsidR="00C23581" w:rsidRPr="00B16089">
        <w:t xml:space="preserve"> definice účastníka hazardní hry, sázejícího, vkladu a sázky. Dřívější právní úprava nedefinovala tyto pojmy na jednom mí</w:t>
      </w:r>
      <w:r w:rsidR="00C23581">
        <w:t>stě a </w:t>
      </w:r>
      <w:r w:rsidR="00C23581" w:rsidRPr="00B16089">
        <w:t>jejich obsah byl dovozován výkla</w:t>
      </w:r>
      <w:r w:rsidR="00C23581">
        <w:t>dem různých ustanovení zákona o </w:t>
      </w:r>
      <w:r w:rsidR="00C23581" w:rsidRPr="00B16089">
        <w:t xml:space="preserve">loteriích. </w:t>
      </w:r>
    </w:p>
    <w:p w14:paraId="1C3F5204" w14:textId="58A1426F" w:rsidR="00C23581" w:rsidRDefault="00C23581" w:rsidP="00A87F1B">
      <w:r w:rsidRPr="00B16089">
        <w:t xml:space="preserve">Dle zákona o hazardních hrách může být </w:t>
      </w:r>
      <w:r w:rsidRPr="000C1982">
        <w:rPr>
          <w:b/>
        </w:rPr>
        <w:t>účastníkem hazardní hry</w:t>
      </w:r>
      <w:r w:rsidRPr="00B16089">
        <w:t xml:space="preserve"> fyzická osoba, která se k účasti na hazardní hře registrovala nebo zaplatila vklad. Nově není účastník hazardní hry vymezen věkem, resp. není v tomto ustanovení výslovně uvedeno, že účastníkem hazardní hry může být pouze osoba, kter</w:t>
      </w:r>
      <w:r w:rsidR="00826BD3">
        <w:t xml:space="preserve">á dovršila 18 let věku. </w:t>
      </w:r>
      <w:r w:rsidR="00476848">
        <w:t>Uvedené</w:t>
      </w:r>
      <w:r w:rsidRPr="00B16089">
        <w:t xml:space="preserve"> omezení </w:t>
      </w:r>
      <w:r w:rsidR="00476848">
        <w:t xml:space="preserve">je </w:t>
      </w:r>
      <w:r w:rsidRPr="00B16089">
        <w:t>zakotv</w:t>
      </w:r>
      <w:r w:rsidR="00476848">
        <w:t>eno</w:t>
      </w:r>
      <w:r w:rsidRPr="00B16089">
        <w:t xml:space="preserve"> spolu s ostatními zákonn</w:t>
      </w:r>
      <w:r>
        <w:t>ými omezeními v  §</w:t>
      </w:r>
      <w:r w:rsidR="009B584F">
        <w:t> </w:t>
      </w:r>
      <w:r>
        <w:t>7</w:t>
      </w:r>
      <w:r w:rsidR="009B584F">
        <w:t> </w:t>
      </w:r>
      <w:r w:rsidR="00476848">
        <w:t>zákona o</w:t>
      </w:r>
      <w:r w:rsidR="000A6A88">
        <w:t> </w:t>
      </w:r>
      <w:r w:rsidR="00476848">
        <w:t>hazardních hrách</w:t>
      </w:r>
      <w:r>
        <w:t>.</w:t>
      </w:r>
    </w:p>
    <w:p w14:paraId="443A34AD" w14:textId="5CB555ED" w:rsidR="00C23581" w:rsidRPr="00B16089" w:rsidRDefault="00C23581" w:rsidP="00A87F1B">
      <w:r w:rsidRPr="00B16089">
        <w:t xml:space="preserve">Definice </w:t>
      </w:r>
      <w:r w:rsidRPr="000C1982">
        <w:rPr>
          <w:b/>
        </w:rPr>
        <w:t>účastníka hazardní hry ve vztahu k internetové hře</w:t>
      </w:r>
      <w:r w:rsidRPr="00B16089">
        <w:t xml:space="preserve"> je pak vymezena v </w:t>
      </w:r>
      <w:r>
        <w:t xml:space="preserve"> §</w:t>
      </w:r>
      <w:r w:rsidR="009B584F">
        <w:t> </w:t>
      </w:r>
      <w:r>
        <w:t>4 odst. 2 zákona o </w:t>
      </w:r>
      <w:r w:rsidRPr="00B16089">
        <w:t>hazardních hrách</w:t>
      </w:r>
      <w:r w:rsidR="009B584F">
        <w:t>. P</w:t>
      </w:r>
      <w:r w:rsidR="00476848">
        <w:t>ro </w:t>
      </w:r>
      <w:r w:rsidRPr="00B16089">
        <w:t xml:space="preserve">jeho určení </w:t>
      </w:r>
      <w:r w:rsidR="009B584F">
        <w:t xml:space="preserve">je </w:t>
      </w:r>
      <w:r w:rsidRPr="00B16089">
        <w:t xml:space="preserve">stěžejní podmínkou vazba na bydliště </w:t>
      </w:r>
      <w:r w:rsidR="00476848">
        <w:t>ve smyslu faktického stavu, tj. </w:t>
      </w:r>
      <w:r w:rsidRPr="00B16089">
        <w:t>stálý byt či místo, kde má daná osoba úmysl zdržovat se</w:t>
      </w:r>
      <w:r w:rsidR="00826BD3">
        <w:t xml:space="preserve"> trvale. Současně je zavedena i </w:t>
      </w:r>
      <w:r w:rsidRPr="00B16089">
        <w:t>vyvratitelná domněnka bydl</w:t>
      </w:r>
      <w:r w:rsidR="00F01AC4">
        <w:t>iště na území České republiky</w:t>
      </w:r>
      <w:r w:rsidR="009B584F">
        <w:t>,</w:t>
      </w:r>
      <w:r w:rsidR="009B584F" w:rsidRPr="009B584F">
        <w:rPr>
          <w:rFonts w:cs="Arial"/>
        </w:rPr>
        <w:t xml:space="preserve"> </w:t>
      </w:r>
      <w:r w:rsidR="009B584F">
        <w:rPr>
          <w:rFonts w:cs="Arial"/>
        </w:rPr>
        <w:t>neprokáže-li provozovatel, že má bydliště v jiném státě.</w:t>
      </w:r>
      <w:r w:rsidR="00F01AC4">
        <w:t xml:space="preserve"> </w:t>
      </w:r>
      <w:r w:rsidR="009B584F">
        <w:t>N</w:t>
      </w:r>
      <w:r w:rsidR="00F01AC4">
        <w:t>a</w:t>
      </w:r>
      <w:r w:rsidR="009B584F">
        <w:t> tuto fyzickou osobu pak</w:t>
      </w:r>
      <w:r w:rsidR="00F01AC4">
        <w:t> </w:t>
      </w:r>
      <w:r w:rsidRPr="00B16089">
        <w:t>dopadá úprava zákona o hazardních hrách.</w:t>
      </w:r>
    </w:p>
    <w:p w14:paraId="0803A6CB" w14:textId="6BFC0B6B" w:rsidR="00C23581" w:rsidRPr="00B16089" w:rsidRDefault="00C23581" w:rsidP="00A87F1B">
      <w:r w:rsidRPr="000C1982">
        <w:rPr>
          <w:b/>
        </w:rPr>
        <w:t xml:space="preserve">Sázejícím </w:t>
      </w:r>
      <w:r w:rsidRPr="00B16089">
        <w:t>je účastník hazardní hry, který zaplatil sázku. Dřívější úprava výslovně nerozlišovala pojmy sázející a účastník haza</w:t>
      </w:r>
      <w:r w:rsidR="00F01AC4">
        <w:t>rdní hry, přestože se nejedná o </w:t>
      </w:r>
      <w:r w:rsidRPr="00B16089">
        <w:t xml:space="preserve">obsahově totožné pojmy. Sázející představuje osobu, která již započala </w:t>
      </w:r>
      <w:r w:rsidR="00664E7B">
        <w:t>účast na </w:t>
      </w:r>
      <w:r w:rsidRPr="00B16089">
        <w:t>samotn</w:t>
      </w:r>
      <w:r w:rsidR="003B66F3">
        <w:t>é</w:t>
      </w:r>
      <w:r w:rsidRPr="00B16089">
        <w:t xml:space="preserve"> hazardní h</w:t>
      </w:r>
      <w:r w:rsidR="003B66F3">
        <w:t>ře</w:t>
      </w:r>
      <w:r w:rsidRPr="00B16089">
        <w:t>, a to vložením sázky. Úča</w:t>
      </w:r>
      <w:r w:rsidR="00F01AC4">
        <w:t>stníkem hazardní hry může být i </w:t>
      </w:r>
      <w:r w:rsidRPr="00B16089">
        <w:t>osoba, která se doposud neúčastnila samotné hazardní hry. Uvedené má výz</w:t>
      </w:r>
      <w:r>
        <w:t>nam z hlediska stanovení práv a </w:t>
      </w:r>
      <w:r w:rsidRPr="00B16089">
        <w:t xml:space="preserve">povinností </w:t>
      </w:r>
      <w:r w:rsidR="009B584F" w:rsidRPr="00B16089">
        <w:t>jednotlivý</w:t>
      </w:r>
      <w:r w:rsidR="009B584F">
        <w:t>m</w:t>
      </w:r>
      <w:r w:rsidR="009B584F" w:rsidRPr="00B16089">
        <w:t xml:space="preserve"> </w:t>
      </w:r>
      <w:r w:rsidRPr="00B16089">
        <w:t>osob</w:t>
      </w:r>
      <w:r w:rsidR="009B584F">
        <w:t>ám</w:t>
      </w:r>
      <w:r w:rsidRPr="00B16089">
        <w:t>, ale také provozovatelů</w:t>
      </w:r>
      <w:r w:rsidR="009B584F">
        <w:t>m</w:t>
      </w:r>
      <w:r w:rsidRPr="00B16089">
        <w:t xml:space="preserve"> ha</w:t>
      </w:r>
      <w:r w:rsidR="00BC774D">
        <w:t xml:space="preserve">zardních </w:t>
      </w:r>
      <w:r w:rsidR="00BC774D">
        <w:lastRenderedPageBreak/>
        <w:t>her. Sázející uzavírá s</w:t>
      </w:r>
      <w:r w:rsidRPr="00B16089">
        <w:t> provozovatelem smlouvu o sázce dle § 2873 občanského zákoníku</w:t>
      </w:r>
      <w:r w:rsidR="00A91632">
        <w:t xml:space="preserve">, </w:t>
      </w:r>
      <w:r w:rsidRPr="00B16089">
        <w:t>v případě účastníka hazardní hry je</w:t>
      </w:r>
      <w:r w:rsidR="00F01AC4">
        <w:t>ště k uzavření smlouvy o </w:t>
      </w:r>
      <w:r w:rsidRPr="00B16089">
        <w:t xml:space="preserve">sázce </w:t>
      </w:r>
      <w:r w:rsidR="003B66F3">
        <w:t xml:space="preserve">nemusí </w:t>
      </w:r>
      <w:r w:rsidRPr="00B16089">
        <w:t>do</w:t>
      </w:r>
      <w:r w:rsidR="003B66F3">
        <w:t>jít</w:t>
      </w:r>
      <w:r w:rsidRPr="00B16089">
        <w:t>.</w:t>
      </w:r>
    </w:p>
    <w:p w14:paraId="0F227A56" w14:textId="77777777" w:rsidR="00C23581" w:rsidRDefault="00C23581" w:rsidP="007029FF">
      <w:pPr>
        <w:pStyle w:val="Nadpis6"/>
      </w:pPr>
      <w:bookmarkStart w:id="6" w:name="_Toc73604703"/>
      <w:r>
        <w:t>Vklad a sázka</w:t>
      </w:r>
      <w:bookmarkEnd w:id="6"/>
    </w:p>
    <w:p w14:paraId="38BBFEBF" w14:textId="51F30027" w:rsidR="00C23581" w:rsidRPr="00B16089" w:rsidRDefault="00C23581" w:rsidP="00A87F1B">
      <w:r w:rsidRPr="00B16089">
        <w:t xml:space="preserve">Zákon o hazardních hrách nově definuje pojem </w:t>
      </w:r>
      <w:r w:rsidRPr="003F34C1">
        <w:rPr>
          <w:b/>
        </w:rPr>
        <w:t>vkladu</w:t>
      </w:r>
      <w:r w:rsidRPr="00B16089">
        <w:t xml:space="preserve">, na rozdíl od původní úpravy, která ztotožňovala pojem sázky a vkladu. Dle současné úpravy se za vklad považuje jakékoliv plnění opravňující k účasti na hazardní hře. Zejména se jedná o jednu/více </w:t>
      </w:r>
      <w:r w:rsidRPr="00E236BE">
        <w:rPr>
          <w:b/>
        </w:rPr>
        <w:t>sázek nebo další plnění stanovená provozovatelem</w:t>
      </w:r>
      <w:r w:rsidRPr="00B16089">
        <w:t>, která kromě sázky opravňují úča</w:t>
      </w:r>
      <w:r>
        <w:t>stníka hazardní hry k účasti na </w:t>
      </w:r>
      <w:r w:rsidRPr="00B16089">
        <w:t>hazardní hře. Z uvedeného vyplývá, že vklad může být sázkou, avšak mů</w:t>
      </w:r>
      <w:r>
        <w:t xml:space="preserve">že zahrnovat také další plnění. Těmito dalšími plnění jsou </w:t>
      </w:r>
      <w:r w:rsidRPr="00E236BE">
        <w:rPr>
          <w:b/>
        </w:rPr>
        <w:t>doprovodné plnění</w:t>
      </w:r>
      <w:r>
        <w:t>, kterým je plnění, které kromě sázky opravňuje účastníka hazardní hry k účasti na hazardní hře a je připočitatel</w:t>
      </w:r>
      <w:r w:rsidR="008E5C1F">
        <w:t xml:space="preserve">né ke konkrétní hazardní hře, </w:t>
      </w:r>
      <w:r w:rsidR="008E5C1F" w:rsidRPr="0070451D">
        <w:rPr>
          <w:b/>
        </w:rPr>
        <w:t>a </w:t>
      </w:r>
      <w:r w:rsidRPr="0070451D">
        <w:rPr>
          <w:b/>
        </w:rPr>
        <w:t>o</w:t>
      </w:r>
      <w:r w:rsidR="003B66F3" w:rsidRPr="0070451D">
        <w:rPr>
          <w:b/>
        </w:rPr>
        <w:t>statní plnění</w:t>
      </w:r>
      <w:r w:rsidR="003B66F3">
        <w:t xml:space="preserve">, kterým je </w:t>
      </w:r>
      <w:r>
        <w:t>další</w:t>
      </w:r>
      <w:r w:rsidR="003B66F3">
        <w:t xml:space="preserve"> plnění stanovené</w:t>
      </w:r>
      <w:r w:rsidRPr="00B822E2">
        <w:t xml:space="preserve"> provozovatelem, které kromě sázky nebo vkladu do turnaje opravňuje účastníka hazardní</w:t>
      </w:r>
      <w:r>
        <w:t xml:space="preserve"> hry k účasti na hazardní hře a </w:t>
      </w:r>
      <w:r w:rsidRPr="00B822E2">
        <w:t>není vázáno na konkrétní hru hazardní hry</w:t>
      </w:r>
      <w:r>
        <w:t xml:space="preserve">. V zásadě je doprovodným plněním myšlen manipulační poplatek, avšak </w:t>
      </w:r>
      <w:r w:rsidR="0070451D">
        <w:t>je</w:t>
      </w:r>
      <w:r w:rsidR="00043E6C">
        <w:t xml:space="preserve"> využívá</w:t>
      </w:r>
      <w:r w:rsidR="0070451D">
        <w:t>na</w:t>
      </w:r>
      <w:r w:rsidR="00043E6C">
        <w:t xml:space="preserve"> obecnější </w:t>
      </w:r>
      <w:r>
        <w:t>definic</w:t>
      </w:r>
      <w:r w:rsidR="0070451D">
        <w:t>e</w:t>
      </w:r>
      <w:r w:rsidR="00043E6C">
        <w:t xml:space="preserve">, která </w:t>
      </w:r>
      <w:r w:rsidR="0070451D">
        <w:t>je</w:t>
      </w:r>
      <w:r>
        <w:t xml:space="preserve"> aplikovatelná na různé varianty doprovodného plnění, které se mo</w:t>
      </w:r>
      <w:r w:rsidR="00CE5920">
        <w:t xml:space="preserve">hou v budoucnu na trhu objevit. </w:t>
      </w:r>
      <w:r w:rsidRPr="00E236BE">
        <w:rPr>
          <w:b/>
        </w:rPr>
        <w:t>Ostatním plněním</w:t>
      </w:r>
      <w:r>
        <w:t xml:space="preserve"> by mohl být např. procentuální poplatek za vklad platební kartou na uživatelské konto, stanovený poplatek za výběr hotovosti </w:t>
      </w:r>
      <w:r w:rsidR="00F01AC4">
        <w:t>z </w:t>
      </w:r>
      <w:r>
        <w:t>uživatelského konta nebo poplatek za vstup do kasina. Tyto části vkladu jako takové pouze zajišťují</w:t>
      </w:r>
      <w:r w:rsidRPr="00B16089">
        <w:t xml:space="preserve"> možnost účasti na h</w:t>
      </w:r>
      <w:r>
        <w:t>ře a mohou být</w:t>
      </w:r>
      <w:r w:rsidRPr="00B16089">
        <w:t xml:space="preserve"> vrácen</w:t>
      </w:r>
      <w:r>
        <w:t>y (na </w:t>
      </w:r>
      <w:r w:rsidR="00664E7B">
        <w:t>rozdíl od </w:t>
      </w:r>
      <w:r w:rsidRPr="00B16089">
        <w:t xml:space="preserve">sázky, která </w:t>
      </w:r>
      <w:r>
        <w:t>je nevratným plnění v souladu s </w:t>
      </w:r>
      <w:r w:rsidR="00A87F1B">
        <w:t>§ 3 odst. 1 zákona o </w:t>
      </w:r>
      <w:r w:rsidRPr="00B16089">
        <w:t xml:space="preserve">hazardních hrách). </w:t>
      </w:r>
    </w:p>
    <w:p w14:paraId="1F28C67F" w14:textId="3380DB51" w:rsidR="00C23581" w:rsidRDefault="00C23581" w:rsidP="00A87F1B">
      <w:r w:rsidRPr="009F65E1">
        <w:rPr>
          <w:b/>
        </w:rPr>
        <w:t>Sázkou</w:t>
      </w:r>
      <w:r w:rsidRPr="00B16089">
        <w:t xml:space="preserve"> je dobrovolně určené nevratné plnění, které je porovnáváno s výsledkem hazardní hry. Sázka je nevratná část vkladu. Za sázku se považuje také rozdíl mezi nabízenou cenou zboží nebo služby a jejich cenou obvyklou (cena obvyklá se stanovuje dle zákona upravujícího oceňování majetku). Zákon o hazardních hrách se tak snaží předcházet skrytému provozování hazardních her. Jako sázka je nově vymezena také částka převyšující cenu volání nebo odesílání textové nebo multimediální zprávy vyplývající ze smlouvy</w:t>
      </w:r>
      <w:r>
        <w:t xml:space="preserve"> mezi účastníkem hazardní hry a </w:t>
      </w:r>
      <w:r w:rsidRPr="00B16089">
        <w:t xml:space="preserve">poskytovatelem služeb elektronických komunikací. Dle </w:t>
      </w:r>
      <w:r>
        <w:t>§ 7 odst. 4 zákona o </w:t>
      </w:r>
      <w:r w:rsidRPr="00B16089">
        <w:t>hazardních hrách se zakazuje přijímat nepeněžité vklady nebo sázky.</w:t>
      </w:r>
    </w:p>
    <w:p w14:paraId="7A53B932" w14:textId="2D6726C2" w:rsidR="00C23581" w:rsidRDefault="00C23581" w:rsidP="00A87F1B">
      <w:r>
        <w:t>Nová detailnější definice sázky v § 4 zákona o hazardních hrách umožňuje jednoznačné rozlišení, kdy lze v případě hry hovořit o sázce a kdy nikoliv. Uvedené pak má význam z hlediska posouzení, zda je daná</w:t>
      </w:r>
      <w:r w:rsidR="00664E7B">
        <w:t xml:space="preserve"> konkrétní hra hazardní hrou či </w:t>
      </w:r>
      <w:r>
        <w:t>případně spotřebitelskou soutěží. V případě, že je provozována hra, která vykazuje znaky spotřebitelské soutěže (a ta</w:t>
      </w:r>
      <w:r w:rsidR="00F01AC4">
        <w:t>to hra má vklad, prvek náhody a </w:t>
      </w:r>
      <w:r>
        <w:t xml:space="preserve">možnost výhry), je vždy nezbytné posoudit, zda vklad do této hry nenaplňuje znaky sázky a tedy </w:t>
      </w:r>
      <w:r w:rsidR="00E912B3">
        <w:t xml:space="preserve">i </w:t>
      </w:r>
      <w:r>
        <w:t xml:space="preserve">znaky hazardní hry podle zákona o hazardních hrách. Přestože zákon o hazardních hrách již </w:t>
      </w:r>
      <w:r w:rsidRPr="009F5114">
        <w:rPr>
          <w:b/>
        </w:rPr>
        <w:t>neupravuje provozování spotřebitelských soutěží</w:t>
      </w:r>
      <w:r>
        <w:rPr>
          <w:rStyle w:val="Znakapoznpodarou"/>
          <w:rFonts w:cs="Arial"/>
          <w:b/>
        </w:rPr>
        <w:footnoteReference w:id="3"/>
      </w:r>
      <w:r w:rsidRPr="009F5114">
        <w:rPr>
          <w:b/>
        </w:rPr>
        <w:t>, je hranice mezi hazardními hrami a spotřebit</w:t>
      </w:r>
      <w:r>
        <w:rPr>
          <w:b/>
        </w:rPr>
        <w:t>elskými soutěžemi velmi tenká a </w:t>
      </w:r>
      <w:r w:rsidRPr="009F5114">
        <w:rPr>
          <w:b/>
        </w:rPr>
        <w:t>definování sázky tak do určité míry umožnilo rozlišení mezi těmito hrami</w:t>
      </w:r>
      <w:r>
        <w:t>.</w:t>
      </w:r>
    </w:p>
    <w:p w14:paraId="78F4A2CE" w14:textId="6C5116B3" w:rsidR="00C23581" w:rsidRDefault="00C23581" w:rsidP="00A87F1B">
      <w:r w:rsidRPr="00917937">
        <w:t>Po</w:t>
      </w:r>
      <w:r>
        <w:t>dle § 4 odst. 1 písm. d) bod 2 zákona o hazardních hrách se za sázku považuje mimo jiné</w:t>
      </w:r>
      <w:r>
        <w:rPr>
          <w:i/>
          <w:iCs/>
        </w:rPr>
        <w:t xml:space="preserve"> částka převyšující cenu za vo</w:t>
      </w:r>
      <w:r w:rsidR="00B64F2A">
        <w:rPr>
          <w:i/>
          <w:iCs/>
        </w:rPr>
        <w:t xml:space="preserve">lání nebo odeslání textové nebo </w:t>
      </w:r>
      <w:r>
        <w:rPr>
          <w:i/>
          <w:iCs/>
        </w:rPr>
        <w:t xml:space="preserve">multimediální </w:t>
      </w:r>
      <w:r>
        <w:rPr>
          <w:i/>
          <w:iCs/>
        </w:rPr>
        <w:lastRenderedPageBreak/>
        <w:t>zprávy vyplývající ze smlouvy mezi účastníkem hazardní hry a poskytovatelem služeb elektronických komunikací</w:t>
      </w:r>
      <w:r>
        <w:t>. Ceny za volání nebo odeslání textové nebo multimediální zprávy se u jednotliv</w:t>
      </w:r>
      <w:r w:rsidR="00F01AC4">
        <w:t>ých osob liší. Pokud cena SMS a </w:t>
      </w:r>
      <w:r>
        <w:t>MMS nepřesahuje cenu vyplývající ze smlouvy</w:t>
      </w:r>
      <w:r w:rsidR="00A87F1B">
        <w:t xml:space="preserve"> mezi účastníkem hazardní hry a </w:t>
      </w:r>
      <w:r>
        <w:t xml:space="preserve">poskytovatelem služeb elektronických komunikací, není tato soutěž dotčena úpravou zákona o hazardních hrách. V případě však, kdy je cena za SMS nebo MMS </w:t>
      </w:r>
      <w:r w:rsidR="003B66F3">
        <w:t>vyšší</w:t>
      </w:r>
      <w:r>
        <w:t xml:space="preserve">, musí být tato vyšší cena objektivně odůvodněna dodatečnou nadstandardní službou pro účastníka soutěže, v opačném případě je naplněna definice sázky tak, jak ji uvádí § 4 odst. 1 písm. d) zákona o hazardních hrách. </w:t>
      </w:r>
    </w:p>
    <w:p w14:paraId="5C16AB8D" w14:textId="77777777" w:rsidR="00C23581" w:rsidRPr="00B16089" w:rsidRDefault="00C23581" w:rsidP="007029FF">
      <w:pPr>
        <w:pStyle w:val="Nadpis6"/>
      </w:pPr>
      <w:bookmarkStart w:id="7" w:name="_Toc73604704"/>
      <w:r w:rsidRPr="00B16089">
        <w:t>Provozování hazardní hry</w:t>
      </w:r>
      <w:r>
        <w:t xml:space="preserve"> a provozovatel</w:t>
      </w:r>
      <w:bookmarkEnd w:id="7"/>
    </w:p>
    <w:p w14:paraId="6CC01DA8" w14:textId="6946A123" w:rsidR="00C23581" w:rsidRPr="00B16089" w:rsidRDefault="00C23581" w:rsidP="00A87F1B">
      <w:r w:rsidRPr="00B16089">
        <w:t xml:space="preserve">Mezi další pojmy vymezené v zákoně o hazardních hrách patří pojem provozování. V  § 5 zákona o hazardních hrách je definováno provozování hazardní hry </w:t>
      </w:r>
      <w:r w:rsidR="0049575B">
        <w:t>jako</w:t>
      </w:r>
      <w:r w:rsidR="00664E7B">
        <w:t> </w:t>
      </w:r>
      <w:r w:rsidRPr="00B16089">
        <w:t>vykonávání činností spočívajících v uskutečňování hazardní hry se záměrem dosažení zisku. Za provozování se považují zejména činnos</w:t>
      </w:r>
      <w:r>
        <w:t>ti spočívající v příjmu sázek a </w:t>
      </w:r>
      <w:r w:rsidRPr="00B16089">
        <w:t>vkladů do hazardní hry, výplata výhry a další činno</w:t>
      </w:r>
      <w:r>
        <w:t>sti organizačního, finančního a </w:t>
      </w:r>
      <w:r w:rsidRPr="00B16089">
        <w:t>tech</w:t>
      </w:r>
      <w:r w:rsidR="000836D4">
        <w:t>nického charakteru související</w:t>
      </w:r>
      <w:r w:rsidRPr="00B16089">
        <w:t xml:space="preserve"> s uvedením hazardní hry do provozu a se zajištěním vlastního provozu, jakož i činnosti potřebné pro ukončení</w:t>
      </w:r>
      <w:r w:rsidR="00A87F1B">
        <w:t xml:space="preserve"> a </w:t>
      </w:r>
      <w:r w:rsidRPr="00B16089">
        <w:t>vypořádání hazardní hry. Zásadním rozdílem oprot</w:t>
      </w:r>
      <w:r w:rsidR="00A87F1B">
        <w:t>i definici zakotvené v zákoně o </w:t>
      </w:r>
      <w:r w:rsidRPr="00B16089">
        <w:t>loteriích je pojem ziskovosti hazardních her. Jak je uvede</w:t>
      </w:r>
      <w:r w:rsidR="00CE5920">
        <w:t>no v důvodové zprávě k zákonu o </w:t>
      </w:r>
      <w:r w:rsidRPr="00B16089">
        <w:t>hazardních hrách: „</w:t>
      </w:r>
      <w:r w:rsidRPr="00B16089">
        <w:rPr>
          <w:i/>
        </w:rPr>
        <w:t>Tento prvek provozování je tak důležitým korektivem pro aplikaci veřejnoprávní úpravy, neboť způsobuje, že se zákon nebude vztahovat na drobné hraní hazardních her mezi přáteli či v rodině, které jsou vyjádřením základních společenských vztahů v soukromé sféře jednotlivců.</w:t>
      </w:r>
      <w:r w:rsidRPr="00B16089">
        <w:t>“</w:t>
      </w:r>
      <w:r w:rsidRPr="00B16089">
        <w:rPr>
          <w:rStyle w:val="Znakapoznpodarou"/>
          <w:rFonts w:cs="Arial"/>
        </w:rPr>
        <w:footnoteReference w:id="4"/>
      </w:r>
      <w:r w:rsidRPr="00B16089">
        <w:t xml:space="preserve"> </w:t>
      </w:r>
    </w:p>
    <w:p w14:paraId="213EA347" w14:textId="2C0D4D00" w:rsidR="00C23581" w:rsidRPr="00B16089" w:rsidRDefault="00C23581" w:rsidP="00A87F1B">
      <w:r w:rsidRPr="00B16089">
        <w:t xml:space="preserve">Provozování hazardní hry není živností, jak vyplývá z § 3 odst. 3 písm. b) </w:t>
      </w:r>
      <w:r w:rsidR="0049575B">
        <w:t>zákona č.</w:t>
      </w:r>
      <w:r w:rsidR="00664E7B">
        <w:t> </w:t>
      </w:r>
      <w:r w:rsidR="0049575B">
        <w:t xml:space="preserve">455/1991 Sb., </w:t>
      </w:r>
      <w:r w:rsidRPr="00B16089">
        <w:t>živnostenského zákona</w:t>
      </w:r>
      <w:r w:rsidR="0049575B">
        <w:t>, ve znění pozdějších předpisů</w:t>
      </w:r>
      <w:r w:rsidR="00B66A33">
        <w:t xml:space="preserve"> (dále jen „živnostenský zákon“)</w:t>
      </w:r>
      <w:r w:rsidRPr="00B16089">
        <w:t>. Skutečnost, že</w:t>
      </w:r>
      <w:r w:rsidR="0049575B">
        <w:t> </w:t>
      </w:r>
      <w:r w:rsidRPr="00B16089">
        <w:t xml:space="preserve">právnická osoba může provozovat hazardní hry, </w:t>
      </w:r>
      <w:r w:rsidR="0049575B">
        <w:t>by pak měla být</w:t>
      </w:r>
      <w:r w:rsidRPr="00B16089">
        <w:t xml:space="preserve"> zohledněna v</w:t>
      </w:r>
      <w:r w:rsidR="0049575B">
        <w:t> </w:t>
      </w:r>
      <w:r w:rsidRPr="00B16089">
        <w:t>předmětu po</w:t>
      </w:r>
      <w:r w:rsidR="003E3D23">
        <w:t>dnikání v obchodním rejstříku u </w:t>
      </w:r>
      <w:r w:rsidRPr="00B16089">
        <w:t xml:space="preserve">příslušné právnické osoby. </w:t>
      </w:r>
    </w:p>
    <w:p w14:paraId="7B0AAE56" w14:textId="77F9D4C2" w:rsidR="00C23581" w:rsidRDefault="00C23581" w:rsidP="00A87F1B">
      <w:r>
        <w:t>Pod toto ustanovení je</w:t>
      </w:r>
      <w:r w:rsidRPr="00B16089">
        <w:t xml:space="preserve"> možné zahrnout také nelegální provozování hazardních her, kdy provozovatel provozuje hazardní hry bez</w:t>
      </w:r>
      <w:r w:rsidR="00B64F2A">
        <w:t xml:space="preserve"> příslušného povolení, nebo bez </w:t>
      </w:r>
      <w:r w:rsidRPr="00B16089">
        <w:t>ohlášení, případně provozuje hazardní hru i přes zákaz provozování hazardní hry.</w:t>
      </w:r>
      <w:r>
        <w:t xml:space="preserve"> Ačkoliv definice provozování doznala úprav v rámci zákona o hazardních hrách, a</w:t>
      </w:r>
      <w:r w:rsidR="0049575B">
        <w:t> </w:t>
      </w:r>
      <w:r>
        <w:t>to</w:t>
      </w:r>
      <w:r w:rsidR="00B64F2A">
        <w:t xml:space="preserve"> </w:t>
      </w:r>
      <w:r>
        <w:t>zejména výslovným doplněním pojmu ziskovosti, v praxi uvedené nemá většího významu. Zákon o </w:t>
      </w:r>
      <w:r w:rsidRPr="006710CA">
        <w:t xml:space="preserve">loteriích pojem ziskovosti </w:t>
      </w:r>
      <w:r w:rsidR="009E688B">
        <w:t xml:space="preserve">sice </w:t>
      </w:r>
      <w:r w:rsidRPr="006710CA">
        <w:t xml:space="preserve">výslovně neuváděl, </w:t>
      </w:r>
      <w:r>
        <w:t>avšak</w:t>
      </w:r>
      <w:r w:rsidR="00B64F2A">
        <w:t xml:space="preserve"> </w:t>
      </w:r>
      <w:r w:rsidRPr="006710CA">
        <w:t>podle</w:t>
      </w:r>
      <w:r w:rsidR="00B64F2A">
        <w:t xml:space="preserve"> </w:t>
      </w:r>
      <w:r w:rsidRPr="006710CA">
        <w:t>rozhodnutí Nej</w:t>
      </w:r>
      <w:r>
        <w:t>vyššího správního soudu</w:t>
      </w:r>
      <w:r>
        <w:rPr>
          <w:rStyle w:val="Znakapoznpodarou"/>
          <w:rFonts w:cs="Arial"/>
        </w:rPr>
        <w:footnoteReference w:id="5"/>
      </w:r>
      <w:r>
        <w:t xml:space="preserve"> </w:t>
      </w:r>
      <w:r w:rsidR="0049575B">
        <w:t>bylo možné</w:t>
      </w:r>
      <w:r w:rsidR="0049575B" w:rsidRPr="006710CA">
        <w:t xml:space="preserve"> </w:t>
      </w:r>
      <w:r w:rsidRPr="006710CA">
        <w:t xml:space="preserve">pojem ziskovosti </w:t>
      </w:r>
      <w:r w:rsidR="003E3D23">
        <w:t>dovozovat z </w:t>
      </w:r>
      <w:r w:rsidR="0049575B">
        <w:t>vymezení v § 1</w:t>
      </w:r>
      <w:r w:rsidR="009E688B">
        <w:t xml:space="preserve"> věty druhé</w:t>
      </w:r>
      <w:r w:rsidR="0049575B">
        <w:t xml:space="preserve"> zákona o loteriích</w:t>
      </w:r>
      <w:r w:rsidRPr="006710CA">
        <w:t>: „</w:t>
      </w:r>
      <w:r w:rsidR="009E688B">
        <w:t>Ú</w:t>
      </w:r>
      <w:r w:rsidRPr="006710CA">
        <w:t>čelem tohoto zákona je vymezit rámec pro zákonem povolené podnikání v oblasti lo</w:t>
      </w:r>
      <w:r w:rsidR="00F01AC4">
        <w:t>terií a </w:t>
      </w:r>
      <w:r w:rsidR="00252F3F">
        <w:t>jiných podobných her“, p</w:t>
      </w:r>
      <w:r w:rsidRPr="006710CA">
        <w:t>řičemž podnikání</w:t>
      </w:r>
      <w:r w:rsidR="009E688B">
        <w:t>m</w:t>
      </w:r>
      <w:r w:rsidRPr="006710CA">
        <w:t xml:space="preserve"> </w:t>
      </w:r>
      <w:r w:rsidR="009E688B">
        <w:t>se</w:t>
      </w:r>
      <w:r w:rsidR="009E688B" w:rsidRPr="006710CA">
        <w:t xml:space="preserve"> </w:t>
      </w:r>
      <w:r w:rsidR="009E688B">
        <w:t xml:space="preserve">rozumí </w:t>
      </w:r>
      <w:r w:rsidRPr="006710CA">
        <w:t>činnost vykonáv</w:t>
      </w:r>
      <w:r w:rsidR="009E688B">
        <w:t>a</w:t>
      </w:r>
      <w:r w:rsidRPr="006710CA">
        <w:t>n</w:t>
      </w:r>
      <w:r w:rsidR="009E688B">
        <w:t>á</w:t>
      </w:r>
      <w:r w:rsidRPr="006710CA">
        <w:t xml:space="preserve"> </w:t>
      </w:r>
      <w:r w:rsidR="009E688B">
        <w:t>za účelem dosažení</w:t>
      </w:r>
      <w:r w:rsidRPr="006710CA">
        <w:t xml:space="preserve"> zisku. </w:t>
      </w:r>
    </w:p>
    <w:p w14:paraId="63CF0763" w14:textId="647199C1" w:rsidR="00C23581" w:rsidRDefault="00C23581" w:rsidP="00663D26">
      <w:r>
        <w:t>Definice provozování je nezbytná pro posouzení, zd</w:t>
      </w:r>
      <w:r w:rsidR="00664E7B">
        <w:t>a daná osoba je provozovatel či </w:t>
      </w:r>
      <w:r>
        <w:t xml:space="preserve">nikoli. Uvedené je zřejmé zvláště v případě nelegálního provozování, kdy příslušný orgán veřejné moci musí určit osobu zodpovědnou za nelegální provozování. Uvedené </w:t>
      </w:r>
      <w:r w:rsidR="000B3AC7">
        <w:t>dopadá také na situace, kdy M</w:t>
      </w:r>
      <w:r>
        <w:t xml:space="preserve">inisterstvo </w:t>
      </w:r>
      <w:r w:rsidR="000B3AC7">
        <w:t xml:space="preserve">financí </w:t>
      </w:r>
      <w:r>
        <w:t xml:space="preserve">z moci úřední zahajuje správní řízení o zápisu na seznam nepovolených internetových her dle § 82 až 84 zákona o hazardních hrách. Účastníkem tohoto správního řízení je především osoba </w:t>
      </w:r>
      <w:r>
        <w:lastRenderedPageBreak/>
        <w:t xml:space="preserve">provozující nelegální hry – provozovatel. K  nelegálnímu provozování také </w:t>
      </w:r>
      <w:r w:rsidRPr="00FE4ABA">
        <w:t>v části Dozor.</w:t>
      </w:r>
    </w:p>
    <w:p w14:paraId="185B3B68" w14:textId="38808624" w:rsidR="00C23581" w:rsidRDefault="009E688B" w:rsidP="00663D26">
      <w:r>
        <w:t xml:space="preserve">V </w:t>
      </w:r>
      <w:r w:rsidR="00C23581">
        <w:t>§ 6 zákona o hazardních hrách</w:t>
      </w:r>
      <w:r>
        <w:t xml:space="preserve"> se</w:t>
      </w:r>
      <w:r w:rsidR="00C23581">
        <w:t xml:space="preserve"> rovněž vymezuj</w:t>
      </w:r>
      <w:r>
        <w:t>í</w:t>
      </w:r>
      <w:r w:rsidR="00C23581">
        <w:t xml:space="preserve"> podmínky, které musí provozovatel splňovat, aby mu mohlo být vydáno </w:t>
      </w:r>
      <w:r w:rsidR="00B64F2A">
        <w:t xml:space="preserve">základní povolení, případně aby </w:t>
      </w:r>
      <w:r w:rsidR="00C23581" w:rsidRPr="00A67DB7">
        <w:t xml:space="preserve">mohl provozovat ohlašovanou hazardní hru. Těmto podmínkám se blíže věnuje </w:t>
      </w:r>
      <w:r w:rsidR="007B55BA">
        <w:t>Příloha č. 9</w:t>
      </w:r>
      <w:r w:rsidR="00A67DB7" w:rsidRPr="00A67DB7">
        <w:t xml:space="preserve"> </w:t>
      </w:r>
      <w:r w:rsidR="00C23581" w:rsidRPr="00A67DB7">
        <w:t>Povolovací řízení.</w:t>
      </w:r>
    </w:p>
    <w:p w14:paraId="7F02C178" w14:textId="77777777" w:rsidR="00C23581" w:rsidRPr="00B16089" w:rsidRDefault="00C23581" w:rsidP="007029FF">
      <w:pPr>
        <w:pStyle w:val="Nadpis6"/>
      </w:pPr>
      <w:bookmarkStart w:id="8" w:name="_Toc73604705"/>
      <w:r w:rsidRPr="00B16089">
        <w:t>Výhra</w:t>
      </w:r>
      <w:bookmarkEnd w:id="8"/>
    </w:p>
    <w:p w14:paraId="27C51DBE" w14:textId="53383234" w:rsidR="00C23581" w:rsidRPr="00B16089" w:rsidRDefault="00AB5ADA" w:rsidP="00663D26">
      <w:r w:rsidRPr="00B16089">
        <w:t>Pojem výhra představuje jeden z definičních znaků hazardní hry tak, jak jej vymezuje § 3 odst. 1 zákona o hazardních hrách.</w:t>
      </w:r>
      <w:r>
        <w:t xml:space="preserve"> </w:t>
      </w:r>
      <w:r w:rsidR="00C23581" w:rsidRPr="00B16089">
        <w:t>Definice pojmu výhra je vymezena v  § 10 zákona o hazardních hrách. O výhře nebo prohře rozhoduje zcela nebo zčásti náhoda nebo neznámá okolnost. Pokud je sázková příležitost vyhodnocena kladně, pak vzniká sázejícímu nárok na výhru, a to v souladu s herním plánem. Jak je uvedeno v důvodové zprávě k  § 10 zákona o hazardních hrách: „</w:t>
      </w:r>
      <w:r w:rsidR="00C23581" w:rsidRPr="00B16089">
        <w:rPr>
          <w:i/>
        </w:rPr>
        <w:t>Je proto třeba vyjít z obecného významu tohoto slova a za výhry považovat vše, co poskytuje provozovatel hazardní hry účastníkovi na základě náhody nebo neznámé okolnosti, kterou musí provozovatel předem stanovit v herním plánu.</w:t>
      </w:r>
      <w:r w:rsidR="00664E7B">
        <w:t>“ Co </w:t>
      </w:r>
      <w:r w:rsidR="00C23581" w:rsidRPr="00B16089">
        <w:t xml:space="preserve">může být předmětem výhry, definoval </w:t>
      </w:r>
      <w:r w:rsidRPr="00B16089">
        <w:t>§ 3</w:t>
      </w:r>
      <w:r>
        <w:t xml:space="preserve"> </w:t>
      </w:r>
      <w:r w:rsidR="00C23581" w:rsidRPr="00B16089">
        <w:t>zákon</w:t>
      </w:r>
      <w:r>
        <w:t>a</w:t>
      </w:r>
      <w:r w:rsidR="00C23581" w:rsidRPr="00B16089">
        <w:t xml:space="preserve"> o loteriích, přičemž </w:t>
      </w:r>
      <w:r w:rsidR="00C23581">
        <w:t>zákon o </w:t>
      </w:r>
      <w:r w:rsidR="00C23581" w:rsidRPr="00B16089">
        <w:t xml:space="preserve">hazardních hrách z tohoto ustanovení vychází. </w:t>
      </w:r>
      <w:r>
        <w:t>Z</w:t>
      </w:r>
      <w:r w:rsidR="00D9123C">
        <w:t xml:space="preserve">a výhru </w:t>
      </w:r>
      <w:r>
        <w:t xml:space="preserve">je </w:t>
      </w:r>
      <w:r w:rsidR="00D9123C">
        <w:t>v tomto kontextu třeba považovat i takové plnění, které nepřevyšuje výši sázky.</w:t>
      </w:r>
    </w:p>
    <w:p w14:paraId="5012D352" w14:textId="72801D6D" w:rsidR="00C23581" w:rsidRPr="00B16089" w:rsidRDefault="00C23581" w:rsidP="00663D26">
      <w:r w:rsidRPr="00B16089">
        <w:t>V souladu s § 10 odst. 1 zákona o hazardních hrách jsou předmětem výhry především peněžní prostředky. Jak vyplývá z důvodové zprávy, výhrou je „</w:t>
      </w:r>
      <w:r w:rsidR="00664E7B">
        <w:rPr>
          <w:i/>
        </w:rPr>
        <w:t>vše, co </w:t>
      </w:r>
      <w:r w:rsidRPr="00B16089">
        <w:rPr>
          <w:i/>
        </w:rPr>
        <w:t>poskytuje provozovatel hazardní hry úča</w:t>
      </w:r>
      <w:r w:rsidR="00664E7B">
        <w:rPr>
          <w:i/>
        </w:rPr>
        <w:t>stníkovi na základě náhody nebo </w:t>
      </w:r>
      <w:r w:rsidRPr="00B16089">
        <w:rPr>
          <w:i/>
        </w:rPr>
        <w:t>neznámé okolnosti, kterou musí provozovatel předem stanovit v herním plánu</w:t>
      </w:r>
      <w:r w:rsidRPr="00B16089">
        <w:t>“. Skutečno</w:t>
      </w:r>
      <w:r>
        <w:t>st, že</w:t>
      </w:r>
      <w:r w:rsidR="00AB5ADA">
        <w:t> </w:t>
      </w:r>
      <w:r>
        <w:t>je plnění poskytováno na </w:t>
      </w:r>
      <w:r w:rsidRPr="00B16089">
        <w:t>základě náhody nebo předem neznámé okolnosti</w:t>
      </w:r>
      <w:r w:rsidR="00AB5ADA">
        <w:t>,</w:t>
      </w:r>
      <w:r w:rsidRPr="00B16089">
        <w:t xml:space="preserve"> je pak určující pro odliš</w:t>
      </w:r>
      <w:r>
        <w:t>ení plnění ve </w:t>
      </w:r>
      <w:r w:rsidRPr="00B16089">
        <w:t xml:space="preserve">formě </w:t>
      </w:r>
      <w:r w:rsidR="00664E7B">
        <w:t>vrácení doprovodného či </w:t>
      </w:r>
      <w:r>
        <w:t xml:space="preserve">ostatního plnění, kde </w:t>
      </w:r>
      <w:r w:rsidRPr="00B16089">
        <w:t xml:space="preserve">není právním důvodem </w:t>
      </w:r>
      <w:r>
        <w:t xml:space="preserve">pro </w:t>
      </w:r>
      <w:r w:rsidRPr="00B16089">
        <w:t>plnění ze strany provozovatele náhoda nebo předem neznámá okolnost. V případě věcné loterie a tomboly mohou být předmětem výhry pouze hmotné věci nebo sl</w:t>
      </w:r>
      <w:r w:rsidR="00DF3FFE">
        <w:t>užby, přičemž předmětem výhry u </w:t>
      </w:r>
      <w:r w:rsidRPr="00B16089">
        <w:t>těchto hazardních her nemohou být peněžní pro</w:t>
      </w:r>
      <w:r w:rsidR="00DF3FFE">
        <w:t>středky, ceniny, cenné papíry a </w:t>
      </w:r>
      <w:r w:rsidRPr="00B16089">
        <w:t>další investiční nástroje. Předmětem výhry okamžité loterie nebo doplňkové loterie pak mohou být peněžní prostředky</w:t>
      </w:r>
      <w:r>
        <w:t xml:space="preserve"> a </w:t>
      </w:r>
      <w:r w:rsidRPr="00B16089">
        <w:t xml:space="preserve">nově mohou být výhrami u těchto hazardních her také hmotné věci nebo služby. Hmotnými věcmi je pak třeba v souladu s občanským zákoníkem rozumět jak věci movité, tak také věci nemovité. Hodnota nepeněžitých výher se určí podle </w:t>
      </w:r>
      <w:r w:rsidR="00AC1900">
        <w:t xml:space="preserve">právních </w:t>
      </w:r>
      <w:r w:rsidRPr="00B16089">
        <w:t>předpisů upravujících oceňování majetku. Nově je zákonem o hazardních hrách výslovně stanoveno, co nemůže být předmětem nepeněžité výhry</w:t>
      </w:r>
      <w:r w:rsidR="00486536">
        <w:t>. P</w:t>
      </w:r>
      <w:r w:rsidRPr="00B16089">
        <w:t>odle § 10 odst. 4 zákona o hazardních hrách nesmí být předmětem výhry tabákové výrobky, kuřácké pomůcky, bylinné výrobky</w:t>
      </w:r>
      <w:r>
        <w:t xml:space="preserve"> určené ke </w:t>
      </w:r>
      <w:r w:rsidRPr="00B16089">
        <w:t>kouření, elektronické cigarety nebo alkoholické nápoje.</w:t>
      </w:r>
    </w:p>
    <w:p w14:paraId="7D41CDB2" w14:textId="59A0EF08" w:rsidR="00C23581" w:rsidRPr="00B16089" w:rsidRDefault="00C23581" w:rsidP="00663D26">
      <w:r w:rsidRPr="00B16089">
        <w:t>Zákon o hazardních hrách upravuje lhůty pro uplatnění nároku na výhru a pro její vydání v  § 10 odst. 5 a 6</w:t>
      </w:r>
      <w:r w:rsidR="00486536">
        <w:t xml:space="preserve"> zákona o hazardních hrách,</w:t>
      </w:r>
      <w:r w:rsidRPr="00B16089">
        <w:t xml:space="preserve"> a to pro všechny hazardní hry jednotně. </w:t>
      </w:r>
      <w:r>
        <w:t>Sázející může u </w:t>
      </w:r>
      <w:r w:rsidRPr="00B16089">
        <w:t>provozovatele uplatnit nárok na výhru nejpozději do 1 roku ode dne vyhodnocení sázkové příležitosti, v případě</w:t>
      </w:r>
      <w:r w:rsidR="00664E7B">
        <w:t xml:space="preserve"> okamžité loterie nejpozději do </w:t>
      </w:r>
      <w:r w:rsidRPr="00B16089">
        <w:t>1</w:t>
      </w:r>
      <w:r w:rsidR="00486536">
        <w:t> </w:t>
      </w:r>
      <w:r w:rsidRPr="00B16089">
        <w:t xml:space="preserve">roku ode dne ukončení prodeje losů. Pokud sázející právo na výhru neuplatní v uvedené době, jeho právo na výhru zaniká. Jedná se o prekluzivní lhůtu, </w:t>
      </w:r>
      <w:r w:rsidR="00AC1900">
        <w:t>která</w:t>
      </w:r>
      <w:r w:rsidRPr="00B16089">
        <w:t xml:space="preserve"> je kratší než obecná prekluzivní lhůta stanovená v občanském zákoníku</w:t>
      </w:r>
      <w:r w:rsidR="00AC1900">
        <w:t>.</w:t>
      </w:r>
      <w:r w:rsidRPr="00B16089">
        <w:t xml:space="preserve"> </w:t>
      </w:r>
      <w:r w:rsidR="00AC1900">
        <w:t>J</w:t>
      </w:r>
      <w:r w:rsidRPr="00B16089">
        <w:t xml:space="preserve">ak je uvedeno v důvodové zprávě v tomuto ustanovení: </w:t>
      </w:r>
      <w:r w:rsidRPr="00B16089">
        <w:rPr>
          <w:i/>
        </w:rPr>
        <w:t xml:space="preserve">„[…] </w:t>
      </w:r>
      <w:r>
        <w:rPr>
          <w:i/>
        </w:rPr>
        <w:t>p</w:t>
      </w:r>
      <w:r w:rsidRPr="00B16089">
        <w:rPr>
          <w:i/>
        </w:rPr>
        <w:t xml:space="preserve">rovozování hazardních her představuje </w:t>
      </w:r>
      <w:r w:rsidRPr="00B16089">
        <w:rPr>
          <w:i/>
        </w:rPr>
        <w:lastRenderedPageBreak/>
        <w:t>do jisté míry speci</w:t>
      </w:r>
      <w:r>
        <w:rPr>
          <w:i/>
        </w:rPr>
        <w:t>fickou úpravu a delší lhůta pro </w:t>
      </w:r>
      <w:r w:rsidR="00664E7B">
        <w:rPr>
          <w:i/>
        </w:rPr>
        <w:t>uplatnění vnáší do </w:t>
      </w:r>
      <w:r w:rsidRPr="00B16089">
        <w:rPr>
          <w:i/>
        </w:rPr>
        <w:t>těchto vztahů, zejména kvůli zdanění, poměrně velkou míru nejistoty […]“</w:t>
      </w:r>
      <w:r w:rsidRPr="00B16089">
        <w:rPr>
          <w:rStyle w:val="Znakapoznpodarou"/>
          <w:rFonts w:cs="Arial"/>
          <w:i/>
        </w:rPr>
        <w:footnoteReference w:id="6"/>
      </w:r>
      <w:r w:rsidRPr="00B16089">
        <w:rPr>
          <w:i/>
        </w:rPr>
        <w:t xml:space="preserve"> </w:t>
      </w:r>
    </w:p>
    <w:p w14:paraId="607D2EDB" w14:textId="45E85810" w:rsidR="00C23581" w:rsidRPr="00B16089" w:rsidRDefault="00C23581" w:rsidP="00663D26">
      <w:r w:rsidRPr="00B16089">
        <w:t>Právu sázejícího na vyplacení výhry odpovídá povinnost pr</w:t>
      </w:r>
      <w:r w:rsidR="00B64F2A">
        <w:t xml:space="preserve">ovozovatele vyplatit výhru. Dle </w:t>
      </w:r>
      <w:r w:rsidRPr="00B16089">
        <w:t>zákona o hazardních hrách je provozovatel povinen vyplatit výhru ve lhůtě stanovené herním plánem, nejpozději do 60 dnů ode dne uplatnění nároku na výhru sázejícím.</w:t>
      </w:r>
    </w:p>
    <w:p w14:paraId="3D7B77E0" w14:textId="77777777" w:rsidR="00C23581" w:rsidRPr="00B16089" w:rsidRDefault="00C23581" w:rsidP="007029FF">
      <w:pPr>
        <w:pStyle w:val="Nadpis6"/>
      </w:pPr>
      <w:bookmarkStart w:id="9" w:name="_Toc73604706"/>
      <w:r w:rsidRPr="00B16089">
        <w:t>Prostory, ve kterých nelze provozovat hazardní hry</w:t>
      </w:r>
      <w:bookmarkEnd w:id="9"/>
    </w:p>
    <w:p w14:paraId="44B2B0EE" w14:textId="7D644D70" w:rsidR="00C23581" w:rsidRPr="00B16089" w:rsidRDefault="00AC1900" w:rsidP="00B451B8">
      <w:r>
        <w:t>V</w:t>
      </w:r>
      <w:r w:rsidR="00C23581" w:rsidRPr="00B16089">
        <w:t xml:space="preserve"> § 13 zákona o hazardních hrách </w:t>
      </w:r>
      <w:r>
        <w:t xml:space="preserve">jsou </w:t>
      </w:r>
      <w:r w:rsidR="00C23581" w:rsidRPr="00B16089">
        <w:t>vymez</w:t>
      </w:r>
      <w:r>
        <w:t>eny</w:t>
      </w:r>
      <w:r w:rsidR="00C23581" w:rsidRPr="00B16089">
        <w:t xml:space="preserve"> prostory, ve kterých nelze provozovat hazardní hry, a to z důvodu ochrany určitých skupin spole</w:t>
      </w:r>
      <w:r w:rsidR="00B64F2A">
        <w:t xml:space="preserve">čnosti před </w:t>
      </w:r>
      <w:r w:rsidR="00C23581">
        <w:t>negativními vlivy a </w:t>
      </w:r>
      <w:r w:rsidR="00C23581" w:rsidRPr="00B16089">
        <w:t xml:space="preserve">dopady souvisejícími s provozováním hazardních her. Konkrétně zákon o hazardních hrách uvádí, že hazardní hry nesmí být provozovány ve škole, </w:t>
      </w:r>
      <w:r w:rsidR="00C23581">
        <w:t>školském zařízení, zařízení pro </w:t>
      </w:r>
      <w:r w:rsidR="00C23581" w:rsidRPr="00B16089">
        <w:t>volnočasové aktivity dětí a mládeže, zařízení sociálních služeb, zdravotnickém zařízení poskytujícím ambulantní, jednodenní nebo lůžkovou péči, v prostoru sloužícím církvi nebo náboženské společnosti a v zařízení složky integro</w:t>
      </w:r>
      <w:r w:rsidR="00C23581">
        <w:t>vaného záchranného systému. Kurs</w:t>
      </w:r>
      <w:r w:rsidR="00C23581" w:rsidRPr="00B16089">
        <w:t xml:space="preserve">ová sázka a totalizátorová hra nesmí být provozována navíc ani v prostoru sloužícím orgánu veřejné moci. </w:t>
      </w:r>
    </w:p>
    <w:p w14:paraId="163A6B29" w14:textId="5373AC7D" w:rsidR="00C23581" w:rsidRPr="00B16089" w:rsidRDefault="00C23581" w:rsidP="00B451B8">
      <w:r w:rsidRPr="00B16089">
        <w:t>Institut tzv. chráněných budov obsahoval již zákon o loteriích, ovšem s určitými odlišnosti. Jeden ze zásadních rozdílů oproti pře</w:t>
      </w:r>
      <w:r w:rsidR="00664E7B">
        <w:t>dchozí úpravě spočívá v tom, že </w:t>
      </w:r>
      <w:r w:rsidRPr="00B16089">
        <w:t>zákaz provozování v tzv. chráněných budovách nevztahoval zákon o loteriíc</w:t>
      </w:r>
      <w:r w:rsidR="00664E7B">
        <w:t>h na </w:t>
      </w:r>
      <w:r>
        <w:t>loterie a tomboly. Zákon o </w:t>
      </w:r>
      <w:r w:rsidRPr="00B16089">
        <w:t>hazardních hrách naproti tomu nečiní rozdíl mezi jednotlivými druhy hazardních her v tom smyslu, že by některé hazardní hry byly vyjmuty z tohot</w:t>
      </w:r>
      <w:r>
        <w:t>o zákazu. Naopak, v případě kurs</w:t>
      </w:r>
      <w:r w:rsidRPr="00B16089">
        <w:t xml:space="preserve">ových </w:t>
      </w:r>
      <w:r w:rsidR="000836D4">
        <w:t xml:space="preserve">sázek a totalizátorových her </w:t>
      </w:r>
      <w:r w:rsidRPr="00B16089">
        <w:t>úprava ještě zpřísňuje tento zákaz, když rozšiřuje pojem chráněn</w:t>
      </w:r>
      <w:r>
        <w:t>ých budov ještě o </w:t>
      </w:r>
      <w:r w:rsidRPr="00B16089">
        <w:t xml:space="preserve">prostory sloužící orgánu veřejné moci. </w:t>
      </w:r>
      <w:r w:rsidR="0000634B">
        <w:t>J</w:t>
      </w:r>
      <w:r w:rsidRPr="00B16089">
        <w:t>udikatura v případě zákona o loteriích potvrdila</w:t>
      </w:r>
      <w:r w:rsidRPr="00B16089">
        <w:rPr>
          <w:rStyle w:val="Znakapoznpodarou"/>
          <w:rFonts w:cs="Arial"/>
        </w:rPr>
        <w:footnoteReference w:id="7"/>
      </w:r>
      <w:r w:rsidRPr="00B16089">
        <w:t xml:space="preserve">, </w:t>
      </w:r>
      <w:r w:rsidR="0000634B">
        <w:t xml:space="preserve">že se </w:t>
      </w:r>
      <w:r w:rsidRPr="00B16089">
        <w:t>zákaz provozován</w:t>
      </w:r>
      <w:r>
        <w:t>í v tzv. chráněných budovách </w:t>
      </w:r>
      <w:r w:rsidR="0000634B">
        <w:t>vztahuje na </w:t>
      </w:r>
      <w:r w:rsidRPr="00B16089">
        <w:t>stejnorodou množinu objektů</w:t>
      </w:r>
      <w:r w:rsidR="009B7FF1">
        <w:t>. Nelze na tuto úpravu tedy nahlížet pouze úzce</w:t>
      </w:r>
      <w:r w:rsidRPr="00B16089">
        <w:t xml:space="preserve"> jako </w:t>
      </w:r>
      <w:r w:rsidR="009B7FF1">
        <w:t xml:space="preserve">na </w:t>
      </w:r>
      <w:r w:rsidRPr="00B16089">
        <w:t>zákaz pr</w:t>
      </w:r>
      <w:r w:rsidR="00DF3FFE">
        <w:t>ovozování předmětných loterií a </w:t>
      </w:r>
      <w:r w:rsidRPr="00B16089">
        <w:t>jiných podobných her v</w:t>
      </w:r>
      <w:r w:rsidR="003E0670">
        <w:t>e vymezených</w:t>
      </w:r>
      <w:r w:rsidRPr="00B16089">
        <w:t> částech budov. Uvedené lze pak</w:t>
      </w:r>
      <w:r w:rsidR="0000634B">
        <w:t xml:space="preserve"> plně vztáhnout také na </w:t>
      </w:r>
      <w:r>
        <w:t>zákon o </w:t>
      </w:r>
      <w:r w:rsidRPr="00B16089">
        <w:t>hazardních hrách, který institut chrán</w:t>
      </w:r>
      <w:r w:rsidR="00DF3FFE">
        <w:t>ěných budov převzal ze zákona o </w:t>
      </w:r>
      <w:r w:rsidRPr="00B16089">
        <w:t>loteriích.</w:t>
      </w:r>
    </w:p>
    <w:p w14:paraId="5A2DCF6C" w14:textId="314CA9E5" w:rsidR="00C23581" w:rsidRDefault="00C23581" w:rsidP="00B451B8">
      <w:r w:rsidRPr="00B16089">
        <w:t>Dalším zásadním rozdílem oproti předchozí úpravě je neexistence tzv. sousedství</w:t>
      </w:r>
      <w:r>
        <w:t xml:space="preserve"> od chráněných budov</w:t>
      </w:r>
      <w:r w:rsidRPr="00B16089">
        <w:t>. Zákon o loteriích ve znění do 31. 12. 2011 vymezoval okruh chráněných budov také sousedstvím, ve kterém nebylo umožněno provozování loterií.</w:t>
      </w:r>
      <w:r>
        <w:t xml:space="preserve"> Jednalo se o </w:t>
      </w:r>
      <w:r w:rsidRPr="00B16089">
        <w:t>neurčitý právní pojem, který mus</w:t>
      </w:r>
      <w:r w:rsidR="00F7569B">
        <w:t>ela vyložit judikatura, přičemž </w:t>
      </w:r>
      <w:r w:rsidRPr="00B16089">
        <w:t>dospěla k závěru, že by se mělo jednat o okruh max. 100 metrů od chráněné budovy</w:t>
      </w:r>
      <w:r w:rsidR="00F7569B">
        <w:t>.</w:t>
      </w:r>
      <w:r w:rsidRPr="00B16089">
        <w:t xml:space="preserve"> </w:t>
      </w:r>
      <w:r w:rsidR="00F7569B">
        <w:t>Z</w:t>
      </w:r>
      <w:r w:rsidRPr="00B16089">
        <w:t>ároveň stanovila, že se jedná o vzdálenost</w:t>
      </w:r>
      <w:r w:rsidR="00664E7B">
        <w:t xml:space="preserve"> měřenou tzv. vzdušnou čarou, a </w:t>
      </w:r>
      <w:r w:rsidRPr="00B16089">
        <w:t>to s ohledem na textaci zákona o loteriích. Přestože vymezení tzv. sousedství chráněných budov mělo své opodstatnění, v praxi znamenalo</w:t>
      </w:r>
      <w:r w:rsidR="00F7569B">
        <w:t xml:space="preserve"> podrobení</w:t>
      </w:r>
      <w:r w:rsidRPr="00B16089">
        <w:t xml:space="preserve"> každé</w:t>
      </w:r>
      <w:r w:rsidR="00F7569B">
        <w:t>ho</w:t>
      </w:r>
      <w:r w:rsidRPr="00B16089">
        <w:t xml:space="preserve"> jedno</w:t>
      </w:r>
      <w:r w:rsidR="0000634B">
        <w:t>t</w:t>
      </w:r>
      <w:r w:rsidRPr="00B16089">
        <w:t>li</w:t>
      </w:r>
      <w:r w:rsidR="0000634B">
        <w:t>v</w:t>
      </w:r>
      <w:r w:rsidRPr="00B16089">
        <w:t>é</w:t>
      </w:r>
      <w:r w:rsidR="00F7569B">
        <w:t>ho</w:t>
      </w:r>
      <w:r w:rsidRPr="00B16089">
        <w:t xml:space="preserve"> povolení zkoumání, zda se se daná adresa nenachá</w:t>
      </w:r>
      <w:r>
        <w:t xml:space="preserve">zí v sousedství chráněné budovy. </w:t>
      </w:r>
      <w:r w:rsidR="00F7569B">
        <w:t>V</w:t>
      </w:r>
      <w:r>
        <w:t> případě, že bylo následně zjištěno, že je předmětná provozovna v sousedství chráněné budovy, muselo být zahájeno správní řízení z moci úřední o zrušení vydaného povol</w:t>
      </w:r>
      <w:r w:rsidR="00DF3FFE">
        <w:t>ení. Tento institut do zákona o </w:t>
      </w:r>
      <w:r>
        <w:t>hazardních hrách již přenesen nebyl.</w:t>
      </w:r>
    </w:p>
    <w:p w14:paraId="2A7B3FAC" w14:textId="326801A6" w:rsidR="00C23581" w:rsidRPr="00B16089" w:rsidRDefault="00C23581" w:rsidP="00B451B8">
      <w:r>
        <w:t>V</w:t>
      </w:r>
      <w:r w:rsidRPr="0021233E">
        <w:t xml:space="preserve"> průběhu legislativního procesu došlo</w:t>
      </w:r>
      <w:r w:rsidR="003E0670">
        <w:t xml:space="preserve"> na základě poslaneckého návrhu</w:t>
      </w:r>
      <w:r w:rsidRPr="0021233E">
        <w:t xml:space="preserve"> k vypuštění některých částí tohoto ustanovení</w:t>
      </w:r>
      <w:r>
        <w:t xml:space="preserve"> z návrhu zákona o hazardních hrách</w:t>
      </w:r>
      <w:r w:rsidR="003E0670">
        <w:t>, což v </w:t>
      </w:r>
      <w:r w:rsidRPr="0021233E">
        <w:t>konečném důsledku způsobilo absurdní situaci, kdy jsou zákonem nastaveny přísněj</w:t>
      </w:r>
      <w:r>
        <w:t>ší podmínky pro provozování kurs</w:t>
      </w:r>
      <w:r w:rsidRPr="0021233E">
        <w:t>ové sázky a totalizátorové hry než např. pro provozování technické hry, která je všeobecně rizikovější a měla by být více regulována.</w:t>
      </w:r>
    </w:p>
    <w:p w14:paraId="5546705E" w14:textId="77777777" w:rsidR="00C23581" w:rsidRPr="00F206ED" w:rsidRDefault="00C23581" w:rsidP="007029FF">
      <w:pPr>
        <w:pStyle w:val="Nadpis6"/>
      </w:pPr>
      <w:bookmarkStart w:id="10" w:name="_Toc73604707"/>
      <w:r w:rsidRPr="00F206ED">
        <w:t>Cílení</w:t>
      </w:r>
      <w:bookmarkEnd w:id="10"/>
    </w:p>
    <w:p w14:paraId="0A51998C" w14:textId="0B56A82C" w:rsidR="00C23581" w:rsidRDefault="00C23581" w:rsidP="00B451B8">
      <w:r>
        <w:t xml:space="preserve">Pro oblast internetových her přinesl zákon o hazardních hrách zásadní změny, když takové </w:t>
      </w:r>
      <w:r w:rsidRPr="001B2C39">
        <w:t xml:space="preserve">provozování hazardních her </w:t>
      </w:r>
      <w:r>
        <w:t>obecně umožnil (viz též část Internetová hra). Konkrétní podmínky internetových her upravuje</w:t>
      </w:r>
      <w:r w:rsidRPr="001B2C39">
        <w:t xml:space="preserve"> </w:t>
      </w:r>
      <w:r>
        <w:t xml:space="preserve">§ 2 odst. 2 zákona o hazardních hrách, </w:t>
      </w:r>
      <w:r w:rsidR="006A5382">
        <w:t>podle kterého se</w:t>
      </w:r>
      <w:r w:rsidRPr="001B2C39">
        <w:t xml:space="preserve"> </w:t>
      </w:r>
      <w:r>
        <w:t>internetová hra</w:t>
      </w:r>
      <w:r w:rsidRPr="001B2C39">
        <w:t xml:space="preserve"> považuje za provozovanou na území České republiky</w:t>
      </w:r>
      <w:r>
        <w:t>, je</w:t>
      </w:r>
      <w:r>
        <w:noBreakHyphen/>
      </w:r>
      <w:r w:rsidRPr="001B2C39">
        <w:t>li i jen z části zaměřena nebo cílena mimo jiné na osoby, které mají bydliště na</w:t>
      </w:r>
      <w:r>
        <w:t> </w:t>
      </w:r>
      <w:r w:rsidRPr="001B2C39">
        <w:t xml:space="preserve">území České republiky. </w:t>
      </w:r>
      <w:r w:rsidRPr="001617D1">
        <w:t>Výklad</w:t>
      </w:r>
      <w:r>
        <w:t xml:space="preserve"> pojmu bydliště vychází z § </w:t>
      </w:r>
      <w:r w:rsidRPr="001617D1">
        <w:t xml:space="preserve">80 </w:t>
      </w:r>
      <w:r>
        <w:t>občanského zákoníku a práva Evropské unie</w:t>
      </w:r>
      <w:r w:rsidRPr="001617D1">
        <w:t>. Pro účely této úpravy se jím rozumí zejména faktický stav, tj. stálý byt či místo, kde má daná osoba úmysl zdržovat se trvale.</w:t>
      </w:r>
      <w:r>
        <w:t xml:space="preserve"> Samotný </w:t>
      </w:r>
      <w:r w:rsidRPr="001B2C39">
        <w:t>§ 2 odst. 2</w:t>
      </w:r>
      <w:r w:rsidR="008C5BBB">
        <w:t xml:space="preserve"> zákona o hazardních hrách</w:t>
      </w:r>
      <w:r w:rsidRPr="001B2C39">
        <w:t xml:space="preserve"> </w:t>
      </w:r>
      <w:r>
        <w:t xml:space="preserve">tak </w:t>
      </w:r>
      <w:r w:rsidRPr="001B2C39">
        <w:t>používá právně neurčit</w:t>
      </w:r>
      <w:r w:rsidR="008C5BBB">
        <w:t>é</w:t>
      </w:r>
      <w:r w:rsidRPr="001B2C39">
        <w:t xml:space="preserve"> pojm</w:t>
      </w:r>
      <w:r w:rsidR="008C5BBB">
        <w:t>y</w:t>
      </w:r>
      <w:r>
        <w:t xml:space="preserve"> </w:t>
      </w:r>
      <w:r w:rsidR="008C5BBB">
        <w:t>„</w:t>
      </w:r>
      <w:r>
        <w:t>zaměření</w:t>
      </w:r>
      <w:r w:rsidR="008C5BBB">
        <w:t>“ a</w:t>
      </w:r>
      <w:r>
        <w:t xml:space="preserve"> </w:t>
      </w:r>
      <w:r w:rsidR="008C5BBB">
        <w:t>„</w:t>
      </w:r>
      <w:r>
        <w:t>cílení</w:t>
      </w:r>
      <w:r w:rsidR="008C5BBB">
        <w:t>“</w:t>
      </w:r>
      <w:r>
        <w:t xml:space="preserve"> </w:t>
      </w:r>
      <w:r w:rsidR="008C5BBB">
        <w:t xml:space="preserve">mj. </w:t>
      </w:r>
      <w:r>
        <w:t>na osoby</w:t>
      </w:r>
      <w:r w:rsidR="008C5BBB">
        <w:t>, které mají bydliště na území České republiky</w:t>
      </w:r>
      <w:r>
        <w:t>.</w:t>
      </w:r>
      <w:r w:rsidRPr="001B2C39">
        <w:t xml:space="preserve"> </w:t>
      </w:r>
      <w:r>
        <w:t>V rámci výkonu dozoru dochází</w:t>
      </w:r>
      <w:r w:rsidR="008C5BBB">
        <w:t xml:space="preserve"> z tohoto pohledu</w:t>
      </w:r>
      <w:r>
        <w:t xml:space="preserve"> ke komplexnímu hodnocení provozování konkrétní hazardní hry</w:t>
      </w:r>
      <w:r w:rsidRPr="001B2C39">
        <w:t>, respektive internetov</w:t>
      </w:r>
      <w:r>
        <w:t>ých</w:t>
      </w:r>
      <w:r w:rsidRPr="001B2C39">
        <w:t xml:space="preserve"> strán</w:t>
      </w:r>
      <w:r>
        <w:t>e</w:t>
      </w:r>
      <w:r w:rsidRPr="001B2C39">
        <w:t>k</w:t>
      </w:r>
      <w:r>
        <w:t>,</w:t>
      </w:r>
      <w:r w:rsidRPr="001B2C39">
        <w:t xml:space="preserve"> </w:t>
      </w:r>
      <w:r>
        <w:t xml:space="preserve">prostřednictvím kterých jsou hazardní hry provozovány. </w:t>
      </w:r>
    </w:p>
    <w:p w14:paraId="777C49B3" w14:textId="394C7061" w:rsidR="00C23581" w:rsidRDefault="008C5BBB" w:rsidP="00B451B8">
      <w:r>
        <w:t xml:space="preserve">V </w:t>
      </w:r>
      <w:r w:rsidR="00C23581">
        <w:t>§ 5 zákona o hazardních hrách</w:t>
      </w:r>
      <w:r>
        <w:t xml:space="preserve"> se</w:t>
      </w:r>
      <w:r w:rsidR="00C23581">
        <w:t xml:space="preserve"> definuje provozování hazardní hry jako činnosti spočívající</w:t>
      </w:r>
      <w:r w:rsidR="00C23581" w:rsidRPr="001A3BAD">
        <w:t xml:space="preserve"> v uskutečňování hazardní hry se záměrem dosažen</w:t>
      </w:r>
      <w:r w:rsidR="00C23581">
        <w:t>í zisku, zejména příjem sázek a </w:t>
      </w:r>
      <w:r w:rsidR="00C23581" w:rsidRPr="001A3BAD">
        <w:t>vkladů do hazardní hry, výplata výhry, další činno</w:t>
      </w:r>
      <w:r w:rsidR="00C23581">
        <w:t>sti organizačního, finančního a </w:t>
      </w:r>
      <w:r w:rsidR="00C23581" w:rsidRPr="001A3BAD">
        <w:t>technického charakteru související s uvedením hazardní hry do</w:t>
      </w:r>
      <w:r w:rsidR="00C23581">
        <w:t xml:space="preserve"> </w:t>
      </w:r>
      <w:r w:rsidR="00C23581" w:rsidRPr="001A3BAD">
        <w:t>provozu a se zajištěním vlastního provozu, jakož i činnosti potřebné pro ukončení a</w:t>
      </w:r>
      <w:r w:rsidR="00C23581">
        <w:t> </w:t>
      </w:r>
      <w:r w:rsidR="00C23581" w:rsidRPr="001A3BAD">
        <w:t>vypořádání hazardní hry</w:t>
      </w:r>
      <w:r w:rsidR="00C23581">
        <w:t>. V případě provozová</w:t>
      </w:r>
      <w:r w:rsidR="00664E7B">
        <w:t>ní internetových her je tak  za </w:t>
      </w:r>
      <w:r w:rsidR="00C23581">
        <w:t xml:space="preserve">provozování hazardních her nutné považovat </w:t>
      </w:r>
      <w:r w:rsidR="00C23581" w:rsidRPr="005D5A1D">
        <w:rPr>
          <w:b/>
        </w:rPr>
        <w:t>i další obsah internetových stránek, nikoli pouze samotnou hazardní hru</w:t>
      </w:r>
      <w:r w:rsidR="00C23581">
        <w:t>.</w:t>
      </w:r>
    </w:p>
    <w:p w14:paraId="762460EB" w14:textId="2DEADD58" w:rsidR="00C23581" w:rsidRDefault="00C23581" w:rsidP="00B451B8">
      <w:r w:rsidRPr="001B2C39">
        <w:t xml:space="preserve">V rámci tohoto </w:t>
      </w:r>
      <w:r>
        <w:t xml:space="preserve">hodnotícího </w:t>
      </w:r>
      <w:r w:rsidRPr="001B2C39">
        <w:t xml:space="preserve">procesu je </w:t>
      </w:r>
      <w:r w:rsidRPr="00584882">
        <w:rPr>
          <w:b/>
        </w:rPr>
        <w:t xml:space="preserve">komplexně </w:t>
      </w:r>
      <w:r w:rsidR="00664E7B">
        <w:rPr>
          <w:b/>
        </w:rPr>
        <w:t>posuzována řada kritérií, např. </w:t>
      </w:r>
      <w:r w:rsidRPr="00584882">
        <w:rPr>
          <w:b/>
        </w:rPr>
        <w:t xml:space="preserve">jazyk internetové stránky, herní měna, volba země </w:t>
      </w:r>
      <w:r w:rsidR="000836D4">
        <w:rPr>
          <w:b/>
        </w:rPr>
        <w:t xml:space="preserve">adresy </w:t>
      </w:r>
      <w:r w:rsidR="00355D41">
        <w:rPr>
          <w:b/>
        </w:rPr>
        <w:t>účastníka hazardní hry</w:t>
      </w:r>
      <w:r w:rsidRPr="00584882">
        <w:rPr>
          <w:b/>
        </w:rPr>
        <w:t>, kontext reklamy umístěné na internetové stránce či reklamy, která na tuto stránku odkazuje. Po komplexním zhodnocení všech těchto kritérií dozor</w:t>
      </w:r>
      <w:r w:rsidR="00074813">
        <w:rPr>
          <w:b/>
        </w:rPr>
        <w:t>ující</w:t>
      </w:r>
      <w:r w:rsidRPr="00584882">
        <w:rPr>
          <w:b/>
        </w:rPr>
        <w:t xml:space="preserve"> orgán vyhodnotí, zda je hazardní hra, byť jen z části, zaměřena či cílena</w:t>
      </w:r>
      <w:r w:rsidR="008C5BBB">
        <w:rPr>
          <w:b/>
        </w:rPr>
        <w:t xml:space="preserve"> mimo jiné</w:t>
      </w:r>
      <w:r w:rsidRPr="00584882">
        <w:rPr>
          <w:b/>
        </w:rPr>
        <w:t xml:space="preserve"> </w:t>
      </w:r>
      <w:r w:rsidR="00664E7B">
        <w:rPr>
          <w:b/>
        </w:rPr>
        <w:t>na </w:t>
      </w:r>
      <w:r w:rsidRPr="00584882">
        <w:rPr>
          <w:b/>
        </w:rPr>
        <w:t>osoby, které mají bydliště na území České republiky</w:t>
      </w:r>
      <w:r>
        <w:t>,</w:t>
      </w:r>
      <w:r w:rsidRPr="001B2C39">
        <w:t xml:space="preserve"> a tudíž </w:t>
      </w:r>
      <w:r w:rsidR="00867CA8">
        <w:t>ji lze</w:t>
      </w:r>
      <w:r w:rsidRPr="001B2C39">
        <w:t xml:space="preserve"> považov</w:t>
      </w:r>
      <w:r w:rsidR="00867CA8">
        <w:t>at za </w:t>
      </w:r>
      <w:r w:rsidRPr="001B2C39">
        <w:t>hazardní hru provozovanou na území České republiky</w:t>
      </w:r>
      <w:r>
        <w:t xml:space="preserve"> a k jejímu provozování je nutné disponovat základní povolením vydaným Ministerstvem financí.</w:t>
      </w:r>
      <w:r>
        <w:rPr>
          <w:rStyle w:val="Znakapoznpodarou"/>
          <w:szCs w:val="24"/>
        </w:rPr>
        <w:footnoteReference w:id="8"/>
      </w:r>
      <w:r>
        <w:t xml:space="preserve"> </w:t>
      </w:r>
    </w:p>
    <w:p w14:paraId="6CA7122D" w14:textId="46044105" w:rsidR="00C23581" w:rsidRDefault="00C23581" w:rsidP="00B451B8">
      <w:r w:rsidRPr="00195D75">
        <w:t xml:space="preserve">U </w:t>
      </w:r>
      <w:r w:rsidRPr="00584882">
        <w:rPr>
          <w:b/>
        </w:rPr>
        <w:t>jednotlivých znaků cílení dochází ze strany dozor</w:t>
      </w:r>
      <w:r w:rsidR="00074813">
        <w:rPr>
          <w:b/>
        </w:rPr>
        <w:t>ujících</w:t>
      </w:r>
      <w:r w:rsidRPr="00584882">
        <w:rPr>
          <w:b/>
        </w:rPr>
        <w:t xml:space="preserve"> orgánů k hodnocení, v jaké míře jsou jednotlivé znaky cílení naplněny, včetně jejich intenzity</w:t>
      </w:r>
      <w:r w:rsidR="005D5A1D">
        <w:rPr>
          <w:b/>
        </w:rPr>
        <w:t xml:space="preserve"> a vzájemné provázanosti</w:t>
      </w:r>
      <w:r>
        <w:t>. Např. v </w:t>
      </w:r>
      <w:r w:rsidRPr="00195D75">
        <w:t xml:space="preserve">případě jazykového </w:t>
      </w:r>
      <w:r w:rsidR="00BF117B">
        <w:t>prvku je</w:t>
      </w:r>
      <w:r w:rsidRPr="00195D75">
        <w:t xml:space="preserve"> bráno v potaz, zda je internetov</w:t>
      </w:r>
      <w:r w:rsidR="00BF117B">
        <w:t>á stránka v českém jazyce zcela</w:t>
      </w:r>
      <w:r w:rsidRPr="00195D75">
        <w:t xml:space="preserve"> či j</w:t>
      </w:r>
      <w:r w:rsidR="00BF117B">
        <w:t>e v něm jen část stránky (např. </w:t>
      </w:r>
      <w:r w:rsidRPr="00195D75">
        <w:t xml:space="preserve">proces registrace). Zda dochází k cílení, je hodnoceno komplexně </w:t>
      </w:r>
      <w:r>
        <w:t>–</w:t>
      </w:r>
      <w:r w:rsidR="00B64F2A">
        <w:t xml:space="preserve"> jsou tak </w:t>
      </w:r>
      <w:r w:rsidRPr="00195D75">
        <w:t>hodnoceny veškeré vyskytnuvší se znaky cílení.</w:t>
      </w:r>
      <w:r>
        <w:t xml:space="preserve"> Dal</w:t>
      </w:r>
      <w:r w:rsidR="00664E7B">
        <w:t>ším příkladem může být anglické </w:t>
      </w:r>
      <w:r>
        <w:t>znění internetové stránky, avšak zákaznická podpora komunikující v českém jazyce</w:t>
      </w:r>
      <w:r w:rsidR="005D5A1D">
        <w:t xml:space="preserve"> atd.</w:t>
      </w:r>
      <w:r>
        <w:t xml:space="preserve"> Zároveň je za cílení považována i sama nabídka hazardní hry podmíněná registrací, pokud provozovatel hazardní hry výslovně umožňuje účastníkům hazardních her uvést jako bydliště Českou republiku (např. formou rozklikávací nabídky zemí).</w:t>
      </w:r>
    </w:p>
    <w:p w14:paraId="60713D75" w14:textId="6D516E71" w:rsidR="00C23581" w:rsidRDefault="00C23581" w:rsidP="00B451B8">
      <w:r>
        <w:t xml:space="preserve">Z hlediska konkrétních znaků cílení či zaměřování, které byly shledány u stránek vyhodnocených jako </w:t>
      </w:r>
      <w:r w:rsidRPr="003F6549">
        <w:t>zaměřující se či cílící</w:t>
      </w:r>
      <w:r>
        <w:t xml:space="preserve"> </w:t>
      </w:r>
      <w:r w:rsidR="005D5A1D">
        <w:t xml:space="preserve">na </w:t>
      </w:r>
      <w:r w:rsidRPr="001B2C39">
        <w:t>osoby, které mají bydliště na</w:t>
      </w:r>
      <w:r>
        <w:t> </w:t>
      </w:r>
      <w:r w:rsidRPr="001B2C39">
        <w:t>území České republiky</w:t>
      </w:r>
      <w:r w:rsidR="00BF117B">
        <w:t>,</w:t>
      </w:r>
      <w:r>
        <w:t xml:space="preserve"> je </w:t>
      </w:r>
      <w:r w:rsidRPr="00E06B8D">
        <w:rPr>
          <w:b/>
        </w:rPr>
        <w:t>primární jazykový prvek</w:t>
      </w:r>
      <w:r w:rsidR="00BF117B">
        <w:t>.</w:t>
      </w:r>
      <w:r>
        <w:t xml:space="preserve"> </w:t>
      </w:r>
      <w:r w:rsidR="00BF117B">
        <w:t>N</w:t>
      </w:r>
      <w:r>
        <w:t>i</w:t>
      </w:r>
      <w:r w:rsidR="00B64F2A">
        <w:t xml:space="preserve">cméně se nejedná o prvek, který </w:t>
      </w:r>
      <w:r>
        <w:t>musí být nutně přítomen, aby byla hazar</w:t>
      </w:r>
      <w:r w:rsidR="00664E7B">
        <w:t>dní hra označena jako cílící na </w:t>
      </w:r>
      <w:r w:rsidRPr="001B2C39">
        <w:t>osoby,</w:t>
      </w:r>
      <w:r w:rsidR="00664E7B">
        <w:t> </w:t>
      </w:r>
      <w:r w:rsidRPr="001B2C39">
        <w:t>které mají bydliště na</w:t>
      </w:r>
      <w:r>
        <w:t> </w:t>
      </w:r>
      <w:r w:rsidRPr="001B2C39">
        <w:t>území České republiky</w:t>
      </w:r>
      <w:r>
        <w:t>.</w:t>
      </w:r>
    </w:p>
    <w:p w14:paraId="52D744A2" w14:textId="74239382" w:rsidR="00C23581" w:rsidRPr="00BB13DA" w:rsidRDefault="00C23581" w:rsidP="00C23581">
      <w:pPr>
        <w:keepNext/>
        <w:rPr>
          <w:i/>
          <w:szCs w:val="24"/>
        </w:rPr>
      </w:pPr>
      <w:bookmarkStart w:id="11" w:name="_Toc71631117"/>
      <w:bookmarkStart w:id="12" w:name="_Toc73533075"/>
      <w:r>
        <w:rPr>
          <w:i/>
          <w:szCs w:val="24"/>
        </w:rPr>
        <w:t>G</w:t>
      </w:r>
      <w:r w:rsidRPr="00BB13DA">
        <w:rPr>
          <w:i/>
          <w:szCs w:val="24"/>
        </w:rPr>
        <w:t xml:space="preserve">raf č. </w:t>
      </w:r>
      <w:r w:rsidRPr="00BB13DA">
        <w:rPr>
          <w:i/>
          <w:szCs w:val="24"/>
        </w:rPr>
        <w:fldChar w:fldCharType="begin"/>
      </w:r>
      <w:r w:rsidRPr="00BB13DA">
        <w:rPr>
          <w:i/>
          <w:szCs w:val="24"/>
        </w:rPr>
        <w:instrText xml:space="preserve"> SEQ Graf_č. \* ARABIC </w:instrText>
      </w:r>
      <w:r w:rsidRPr="00BB13DA">
        <w:rPr>
          <w:i/>
          <w:szCs w:val="24"/>
        </w:rPr>
        <w:fldChar w:fldCharType="separate"/>
      </w:r>
      <w:r w:rsidR="00CE5920">
        <w:rPr>
          <w:i/>
          <w:noProof/>
          <w:szCs w:val="24"/>
        </w:rPr>
        <w:t>1</w:t>
      </w:r>
      <w:r w:rsidRPr="00BB13DA">
        <w:rPr>
          <w:i/>
          <w:szCs w:val="24"/>
        </w:rPr>
        <w:fldChar w:fldCharType="end"/>
      </w:r>
      <w:r w:rsidR="00B451B8">
        <w:rPr>
          <w:i/>
          <w:szCs w:val="24"/>
        </w:rPr>
        <w:t>:</w:t>
      </w:r>
      <w:r w:rsidRPr="00BB13DA">
        <w:rPr>
          <w:i/>
          <w:szCs w:val="24"/>
        </w:rPr>
        <w:t xml:space="preserve"> Zastoupení prvků (český jazyk, telefon +420, měna, umožnění registrace s uvedením ČR) u blokovaných stránek – data k 20. 4. 2021</w:t>
      </w:r>
      <w:bookmarkEnd w:id="11"/>
      <w:bookmarkEnd w:id="12"/>
    </w:p>
    <w:p w14:paraId="2770DA63" w14:textId="77777777" w:rsidR="00C23581" w:rsidRPr="005C2C7C" w:rsidRDefault="00C23581" w:rsidP="00C23581">
      <w:pPr>
        <w:jc w:val="center"/>
        <w:rPr>
          <w:b/>
          <w:i/>
          <w:szCs w:val="24"/>
        </w:rPr>
      </w:pPr>
      <w:r>
        <w:rPr>
          <w:noProof/>
          <w:lang w:eastAsia="cs-CZ"/>
        </w:rPr>
        <w:drawing>
          <wp:inline distT="0" distB="0" distL="0" distR="0" wp14:anchorId="085C30CB" wp14:editId="53C88ABA">
            <wp:extent cx="5805377" cy="3019647"/>
            <wp:effectExtent l="0" t="0" r="5080" b="9525"/>
            <wp:docPr id="59" name="Graf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76D225" w14:textId="77777777" w:rsidR="00C23581" w:rsidRPr="00027641" w:rsidRDefault="00C23581" w:rsidP="00C23581">
      <w:pPr>
        <w:rPr>
          <w:i/>
          <w:sz w:val="20"/>
          <w:szCs w:val="24"/>
        </w:rPr>
      </w:pPr>
      <w:r w:rsidRPr="00027641">
        <w:rPr>
          <w:i/>
          <w:sz w:val="20"/>
          <w:szCs w:val="24"/>
        </w:rPr>
        <w:t>Zdroj: Ministerstvo financí.</w:t>
      </w:r>
    </w:p>
    <w:p w14:paraId="7C68A889" w14:textId="28818B23" w:rsidR="00C23581" w:rsidRDefault="00BF117B" w:rsidP="00B451B8">
      <w:r>
        <w:t>Pokud</w:t>
      </w:r>
      <w:r w:rsidR="00C23581">
        <w:t xml:space="preserve"> dozor</w:t>
      </w:r>
      <w:r w:rsidR="00074813">
        <w:t>ující</w:t>
      </w:r>
      <w:r w:rsidR="00C23581">
        <w:t xml:space="preserve"> orgány dospějí k závěru, že znaky cílení nebo zaměření mohou být naplněny, představuje tato informace </w:t>
      </w:r>
      <w:r w:rsidR="00C23581" w:rsidRPr="001B2C39">
        <w:t>podnět k</w:t>
      </w:r>
      <w:r w:rsidR="00C23581">
        <w:t> </w:t>
      </w:r>
      <w:r w:rsidR="00C23581" w:rsidRPr="001B2C39">
        <w:t>zahájení</w:t>
      </w:r>
      <w:r w:rsidR="00C23581">
        <w:t xml:space="preserve"> správního řízení o </w:t>
      </w:r>
      <w:r w:rsidR="00C23581" w:rsidRPr="001B2C39">
        <w:t xml:space="preserve">přestupku </w:t>
      </w:r>
      <w:r w:rsidR="00C23581">
        <w:t xml:space="preserve">podle § 123 zákona o hazardních hrách </w:t>
      </w:r>
      <w:r w:rsidR="00C23581" w:rsidRPr="001B2C39">
        <w:t>a</w:t>
      </w:r>
      <w:r w:rsidR="00C23581">
        <w:t> </w:t>
      </w:r>
      <w:r w:rsidR="00C23581" w:rsidRPr="001B2C39">
        <w:t>k</w:t>
      </w:r>
      <w:r w:rsidR="00C23581">
        <w:t> zahájení správního řízení o zápisu</w:t>
      </w:r>
      <w:r w:rsidR="00C23581" w:rsidRPr="001B2C39">
        <w:t xml:space="preserve"> internetové stránky</w:t>
      </w:r>
      <w:r w:rsidR="00C23581">
        <w:t xml:space="preserve"> na </w:t>
      </w:r>
      <w:r w:rsidR="00BC0930">
        <w:t xml:space="preserve">seznam nepovolených hazardních her (tzv. </w:t>
      </w:r>
      <w:r w:rsidR="00C23581">
        <w:t>black list</w:t>
      </w:r>
      <w:r w:rsidR="00BC0930">
        <w:t>)</w:t>
      </w:r>
      <w:r w:rsidR="00C23581" w:rsidRPr="001B2C39">
        <w:t xml:space="preserve"> </w:t>
      </w:r>
      <w:r w:rsidR="00B64F2A">
        <w:t xml:space="preserve">podle </w:t>
      </w:r>
      <w:r w:rsidR="00C23581">
        <w:t>§</w:t>
      </w:r>
      <w:r>
        <w:t> </w:t>
      </w:r>
      <w:r w:rsidR="00C23581">
        <w:t>82 zákona o hazardních hrách (v </w:t>
      </w:r>
      <w:r w:rsidR="00C23581" w:rsidRPr="004034A3">
        <w:t xml:space="preserve">podrobnostech </w:t>
      </w:r>
      <w:r>
        <w:t>viz</w:t>
      </w:r>
      <w:r w:rsidR="00C23581" w:rsidRPr="004034A3">
        <w:t xml:space="preserve"> </w:t>
      </w:r>
      <w:r w:rsidR="00C23581">
        <w:t>část N</w:t>
      </w:r>
      <w:r w:rsidR="00C23581" w:rsidRPr="004034A3">
        <w:t>epovolené internetové hry).</w:t>
      </w:r>
      <w:r w:rsidR="00C23581">
        <w:t xml:space="preserve"> </w:t>
      </w:r>
    </w:p>
    <w:p w14:paraId="56167A77" w14:textId="049DE8CF" w:rsidR="00C23581" w:rsidRDefault="00C23581" w:rsidP="00B451B8">
      <w:pPr>
        <w:rPr>
          <w:rFonts w:cs="Arial"/>
        </w:rPr>
      </w:pPr>
      <w:r w:rsidRPr="001B2C39">
        <w:t>Dozor</w:t>
      </w:r>
      <w:r w:rsidR="00074813">
        <w:t>ující</w:t>
      </w:r>
      <w:r w:rsidRPr="001B2C39">
        <w:t xml:space="preserve"> orgány</w:t>
      </w:r>
      <w:r>
        <w:rPr>
          <w:rStyle w:val="Znakapoznpodarou"/>
          <w:szCs w:val="24"/>
        </w:rPr>
        <w:footnoteReference w:id="9"/>
      </w:r>
      <w:r>
        <w:t xml:space="preserve"> </w:t>
      </w:r>
      <w:r w:rsidRPr="001B2C39">
        <w:t>úspěšně uvedl</w:t>
      </w:r>
      <w:r>
        <w:t>y</w:t>
      </w:r>
      <w:r w:rsidRPr="001B2C39">
        <w:t xml:space="preserve"> právní úpravu v j</w:t>
      </w:r>
      <w:r>
        <w:t>ejí současné podobě do praxe, o </w:t>
      </w:r>
      <w:r w:rsidRPr="001B2C39">
        <w:t xml:space="preserve">čemž svědčí </w:t>
      </w:r>
      <w:r>
        <w:t xml:space="preserve">počet nelegálně provozovaných hazardních her, které byly zapsány na seznam nepovolených internetových her. </w:t>
      </w:r>
      <w:r>
        <w:rPr>
          <w:b/>
        </w:rPr>
        <w:t xml:space="preserve">V období od </w:t>
      </w:r>
      <w:r w:rsidR="00BF117B">
        <w:rPr>
          <w:b/>
        </w:rPr>
        <w:t>1. 1. 2017 do 11. </w:t>
      </w:r>
      <w:r w:rsidRPr="009A27B5">
        <w:rPr>
          <w:b/>
        </w:rPr>
        <w:t>4</w:t>
      </w:r>
      <w:r w:rsidR="00BF117B">
        <w:rPr>
          <w:b/>
        </w:rPr>
        <w:t>. </w:t>
      </w:r>
      <w:r w:rsidRPr="009A27B5">
        <w:rPr>
          <w:b/>
        </w:rPr>
        <w:t xml:space="preserve">2021 bylo zablokováno celkem 184 internetových stránek (celkem 22 subjektům), přičemž </w:t>
      </w:r>
      <w:r w:rsidR="00914CAE">
        <w:rPr>
          <w:b/>
        </w:rPr>
        <w:t>přibližně</w:t>
      </w:r>
      <w:r w:rsidR="00914CAE" w:rsidRPr="009A27B5">
        <w:rPr>
          <w:b/>
        </w:rPr>
        <w:t xml:space="preserve"> </w:t>
      </w:r>
      <w:r w:rsidRPr="009A27B5">
        <w:rPr>
          <w:b/>
        </w:rPr>
        <w:t>70 % tvoří tzv. zrcadlené interne</w:t>
      </w:r>
      <w:r w:rsidR="00DF3FFE">
        <w:rPr>
          <w:b/>
        </w:rPr>
        <w:t>tové stránky. Správní řízení o </w:t>
      </w:r>
      <w:r w:rsidRPr="009A27B5">
        <w:rPr>
          <w:b/>
        </w:rPr>
        <w:t xml:space="preserve">zápisu na </w:t>
      </w:r>
      <w:r w:rsidR="00451241">
        <w:rPr>
          <w:b/>
        </w:rPr>
        <w:t xml:space="preserve">tzv. </w:t>
      </w:r>
      <w:r w:rsidRPr="009A27B5">
        <w:rPr>
          <w:b/>
        </w:rPr>
        <w:t>bla</w:t>
      </w:r>
      <w:r>
        <w:rPr>
          <w:b/>
        </w:rPr>
        <w:t>ck list bylo vedeno celkem s 49 </w:t>
      </w:r>
      <w:r w:rsidRPr="009A27B5">
        <w:rPr>
          <w:b/>
        </w:rPr>
        <w:t>subjekty,</w:t>
      </w:r>
      <w:r>
        <w:rPr>
          <w:b/>
        </w:rPr>
        <w:t xml:space="preserve"> nicméně 18 subjektů přestalo v </w:t>
      </w:r>
      <w:r w:rsidRPr="009A27B5">
        <w:rPr>
          <w:b/>
        </w:rPr>
        <w:t>průběhu správního řízení cílit na občany ČR.</w:t>
      </w:r>
      <w:r>
        <w:rPr>
          <w:rFonts w:cs="Arial"/>
        </w:rPr>
        <w:t xml:space="preserve"> </w:t>
      </w:r>
    </w:p>
    <w:p w14:paraId="37651A3F" w14:textId="383CBED3" w:rsidR="00C23581" w:rsidRPr="00441E75" w:rsidRDefault="00C23581" w:rsidP="00B451B8">
      <w:pPr>
        <w:rPr>
          <w:rFonts w:cs="Arial"/>
        </w:rPr>
      </w:pPr>
      <w:r>
        <w:rPr>
          <w:color w:val="000000" w:themeColor="text1"/>
        </w:rPr>
        <w:t xml:space="preserve">V souvislosti s využitím definice cílení je nicméně zřejmé, že právní úpravu obsaženou v zákoně o hazardních hrách </w:t>
      </w:r>
      <w:r w:rsidRPr="006634C7">
        <w:rPr>
          <w:b/>
          <w:color w:val="000000" w:themeColor="text1"/>
        </w:rPr>
        <w:t>nelze aplikovat na všechny hazardní hry provozované prostřednictvím sítě internet bez povolení a není tak zcela dosažen obecný cíl regulace, tedy ochrana osob s bydlištěm na území České republiky před negativními dopady účasti na hazardních hrách u nelegálních provozovatelů</w:t>
      </w:r>
      <w:r>
        <w:rPr>
          <w:color w:val="000000" w:themeColor="text1"/>
        </w:rPr>
        <w:t>, kteří neplní podmínky stanovené v zákoně o hazardních hrách, včetně podmínek zaměřujících se na ochranu účastníků hazardních her. Přesto se prostřednictvím těchto stránek je možné účastnit hazardní hry, a to například za</w:t>
      </w:r>
      <w:r w:rsidR="00664E7B">
        <w:rPr>
          <w:color w:val="000000" w:themeColor="text1"/>
        </w:rPr>
        <w:t> </w:t>
      </w:r>
      <w:r>
        <w:rPr>
          <w:color w:val="000000" w:themeColor="text1"/>
        </w:rPr>
        <w:t>situace, pokud je zamlčeno bydliště na území České republiky.</w:t>
      </w:r>
    </w:p>
    <w:p w14:paraId="0023E5F1" w14:textId="1D45725B" w:rsidR="00C23581" w:rsidRDefault="00C23581" w:rsidP="003455C5">
      <w:pPr>
        <w:pStyle w:val="Nadpis3"/>
      </w:pPr>
      <w:bookmarkStart w:id="13" w:name="_Toc73604708"/>
      <w:r w:rsidRPr="00C23581">
        <w:t>Konkrétní popis nástrojů, včetně oblast</w:t>
      </w:r>
      <w:r w:rsidR="00CE5920">
        <w:t xml:space="preserve">í, na které </w:t>
      </w:r>
      <w:r w:rsidRPr="00C23581">
        <w:t>by bylo</w:t>
      </w:r>
      <w:r w:rsidR="003455C5">
        <w:t xml:space="preserve"> vhodné</w:t>
      </w:r>
      <w:r>
        <w:t xml:space="preserve"> </w:t>
      </w:r>
      <w:r w:rsidR="00C63BEF">
        <w:t xml:space="preserve">se </w:t>
      </w:r>
      <w:r>
        <w:t>v budoucnu zaměřit, a návrh doporučení či možných variant řešení</w:t>
      </w:r>
      <w:bookmarkEnd w:id="13"/>
    </w:p>
    <w:p w14:paraId="48C5A945" w14:textId="4AF6FBBA" w:rsidR="00C23581" w:rsidRDefault="00C23581" w:rsidP="00A14435">
      <w:pPr>
        <w:pStyle w:val="Nadpis6"/>
        <w:numPr>
          <w:ilvl w:val="0"/>
          <w:numId w:val="12"/>
        </w:numPr>
      </w:pPr>
      <w:bookmarkStart w:id="14" w:name="_Toc73604709"/>
      <w:r>
        <w:t>Definice cílení a zaměření se podle § 2 odst. 2 zákona o hazardních hrách</w:t>
      </w:r>
      <w:bookmarkEnd w:id="14"/>
    </w:p>
    <w:p w14:paraId="61FB9514" w14:textId="1DAD429B" w:rsidR="00C23581" w:rsidRDefault="00C23581" w:rsidP="00B451B8">
      <w:r>
        <w:t>Zákon o hazardních hrách</w:t>
      </w:r>
      <w:r w:rsidRPr="001B2C39">
        <w:t xml:space="preserve"> vymez</w:t>
      </w:r>
      <w:r>
        <w:t>uje svou</w:t>
      </w:r>
      <w:r w:rsidRPr="001B2C39">
        <w:t xml:space="preserve"> působnost</w:t>
      </w:r>
      <w:r>
        <w:t xml:space="preserve"> </w:t>
      </w:r>
      <w:r w:rsidRPr="001B2C39">
        <w:t>na ty hazardní hry, které se zaměřují či</w:t>
      </w:r>
      <w:r>
        <w:t> </w:t>
      </w:r>
      <w:r w:rsidRPr="001B2C39">
        <w:t xml:space="preserve">cílí </w:t>
      </w:r>
      <w:r w:rsidR="00B63F99">
        <w:t xml:space="preserve">mimo jiné </w:t>
      </w:r>
      <w:r w:rsidRPr="001B2C39">
        <w:t>na osoby s bydlištěm na území České republiky</w:t>
      </w:r>
      <w:r>
        <w:t>.</w:t>
      </w:r>
      <w:r w:rsidRPr="001B2C39">
        <w:t xml:space="preserve"> </w:t>
      </w:r>
      <w:r>
        <w:t>Existuje však</w:t>
      </w:r>
      <w:r w:rsidRPr="001B2C39">
        <w:t xml:space="preserve"> rozsáhlá skupina </w:t>
      </w:r>
      <w:r>
        <w:t>internetových her</w:t>
      </w:r>
      <w:r w:rsidRPr="001B2C39">
        <w:t xml:space="preserve">, </w:t>
      </w:r>
      <w:r w:rsidR="00FF4613">
        <w:t>u kterých je poměrně problematické zaměřování se či cílení na osoby s bydlištěm na území České republiky prokázat, a</w:t>
      </w:r>
      <w:r w:rsidR="00B63F99">
        <w:t> </w:t>
      </w:r>
      <w:r w:rsidR="00FF4613">
        <w:t>to i vzhledem k zákonné absenci vymezení jednotlivých znaků cílení</w:t>
      </w:r>
      <w:r>
        <w:t>.</w:t>
      </w:r>
      <w:r w:rsidR="003E2373">
        <w:t xml:space="preserve"> </w:t>
      </w:r>
    </w:p>
    <w:p w14:paraId="0B931861" w14:textId="426124E2" w:rsidR="00C23581" w:rsidRDefault="00C23581" w:rsidP="00B451B8">
      <w:r>
        <w:t>Tyto hazardní hry jsou</w:t>
      </w:r>
      <w:r w:rsidRPr="001B2C39">
        <w:t xml:space="preserve"> na území České republiky fakticky dostupné a část osob s bydlištěm na území České republiky se jejich prostřednictvím hazardních her účastní</w:t>
      </w:r>
      <w:r w:rsidR="00BC0930">
        <w:t>.</w:t>
      </w:r>
      <w:r>
        <w:t xml:space="preserve"> V důsledku této účasti jsou účastníci hazardních her na těchto internetových stránkách méně chráněni, neboť provozovatelé těchto hazardních her nejsou povinni se řídit zákonem o hazardních hrách, který obsahuje řadu nástrojů pro ochranu účastníků hazardních her a pro boj proti rizikové účasti na těchto hrách (např.</w:t>
      </w:r>
      <w:r w:rsidR="00B64F2A">
        <w:t xml:space="preserve"> </w:t>
      </w:r>
      <w:r>
        <w:t>povinnost neumožnit účast na h</w:t>
      </w:r>
      <w:r w:rsidR="00B451B8">
        <w:t>azardní hře osobám zapsaným do R</w:t>
      </w:r>
      <w:r>
        <w:t>ejstříku vyloučených osob, povinnost nabídnout možnost sebeomezení se, povinné přestávky ve hře, omezení výše sázek).</w:t>
      </w:r>
    </w:p>
    <w:p w14:paraId="251AFB3C" w14:textId="0A80D8E4" w:rsidR="00C23581" w:rsidRPr="001B2C39" w:rsidRDefault="00C23581" w:rsidP="00B451B8">
      <w:r>
        <w:t>Výše uvedené paradoxně může činit tyto hazardní hry pro některé účastníky atraktivnější (např. z důvodu získání typu bonusu, který není podle zákona o hazardních hrách umožněn, nebo získání přístupu k hazardní hře obecně v příp</w:t>
      </w:r>
      <w:r w:rsidR="00F744D5">
        <w:t>adě, pokud je osoba zapsána do R</w:t>
      </w:r>
      <w:r>
        <w:t xml:space="preserve">ejstříku vyloučených </w:t>
      </w:r>
      <w:r w:rsidR="00E177A0">
        <w:t>osob</w:t>
      </w:r>
      <w:r>
        <w:t xml:space="preserve">). </w:t>
      </w:r>
      <w:r w:rsidR="00B64F2A">
        <w:t xml:space="preserve">Dochází tak </w:t>
      </w:r>
      <w:r w:rsidRPr="001B2C39">
        <w:t>k tomu, že</w:t>
      </w:r>
      <w:r>
        <w:t> </w:t>
      </w:r>
      <w:r w:rsidRPr="001B2C39">
        <w:t>řada účastníků hazardních her aktivně vyhledává možnost se účastnit hazardních her provoz</w:t>
      </w:r>
      <w:r>
        <w:t>ovaných mimo regulatorní rámec, a lze očekávat, že počet těchto osob bude nadále narůstat, a to zejména k rozšiřujícímu se okruhu osob zapsaných do Rejstříku vyloučených osob</w:t>
      </w:r>
      <w:r w:rsidR="00FF4613">
        <w:rPr>
          <w:szCs w:val="24"/>
        </w:rPr>
        <w:t>, resp. nemožnosti účasti na hazardní hře u</w:t>
      </w:r>
      <w:r w:rsidR="00C25A0C">
        <w:rPr>
          <w:szCs w:val="24"/>
        </w:rPr>
        <w:t> </w:t>
      </w:r>
      <w:r w:rsidR="00FF4613">
        <w:rPr>
          <w:szCs w:val="24"/>
        </w:rPr>
        <w:t>těchto osob</w:t>
      </w:r>
      <w:r>
        <w:t>.</w:t>
      </w:r>
      <w:r>
        <w:rPr>
          <w:rStyle w:val="Znakapoznpodarou"/>
          <w:szCs w:val="24"/>
        </w:rPr>
        <w:footnoteReference w:id="10"/>
      </w:r>
    </w:p>
    <w:p w14:paraId="1724F6E7" w14:textId="07BA72F9" w:rsidR="00C23581" w:rsidRPr="00D041E8" w:rsidRDefault="00C23581" w:rsidP="00B451B8">
      <w:r w:rsidRPr="001B2C39">
        <w:t xml:space="preserve">Zároveň je zde patrný i negativní fiskální dopad, </w:t>
      </w:r>
      <w:r w:rsidR="00B63F99">
        <w:t>neboť</w:t>
      </w:r>
      <w:r w:rsidR="00B63F99" w:rsidRPr="001B2C39">
        <w:t xml:space="preserve"> </w:t>
      </w:r>
      <w:r w:rsidRPr="001B2C39">
        <w:t xml:space="preserve">z  finančních prostředků pocházejících z území České republiky </w:t>
      </w:r>
      <w:r w:rsidRPr="003E2373">
        <w:rPr>
          <w:b/>
        </w:rPr>
        <w:t>realizují zisk subjekty nepodléhající zde daňové povinnosti</w:t>
      </w:r>
      <w:r w:rsidRPr="001B2C39">
        <w:t>.</w:t>
      </w:r>
      <w:r>
        <w:rPr>
          <w:rStyle w:val="Znakapoznpodarou"/>
          <w:szCs w:val="24"/>
        </w:rPr>
        <w:footnoteReference w:id="11"/>
      </w:r>
      <w:r w:rsidRPr="001B2C39">
        <w:t xml:space="preserve"> </w:t>
      </w:r>
      <w:r>
        <w:t>Nelze také opomenout neg</w:t>
      </w:r>
      <w:r w:rsidR="00664E7B">
        <w:t xml:space="preserve">ativní dopad na subjekty, </w:t>
      </w:r>
      <w:r w:rsidR="00B64F2A">
        <w:t xml:space="preserve">které </w:t>
      </w:r>
      <w:r>
        <w:t xml:space="preserve">provozují hazardní hry na území České republiky legálně a dodržují podmínky stanovené v zákoně o hazardních hrách. Tyto subjekty </w:t>
      </w:r>
      <w:r w:rsidR="00EF0625">
        <w:t xml:space="preserve">mohou </w:t>
      </w:r>
      <w:r>
        <w:t xml:space="preserve">tak </w:t>
      </w:r>
      <w:r w:rsidR="00EF0625">
        <w:t xml:space="preserve">být částečně </w:t>
      </w:r>
      <w:r>
        <w:t>konkurenčně znevýhodněny, neboť, jak je uvedeno výše, nemohou účastníkům hazardních her nabídnout takové produkty, které jsou v rozporu se zákonem o</w:t>
      </w:r>
      <w:r w:rsidR="00C25A0C">
        <w:t> </w:t>
      </w:r>
      <w:r>
        <w:t>hazardních hrách</w:t>
      </w:r>
      <w:r w:rsidR="00EF0625">
        <w:t xml:space="preserve"> a zároveň musí nést náklady na plnění povinností stanovených zákonem o hazardních hrách</w:t>
      </w:r>
      <w:r>
        <w:t>.</w:t>
      </w:r>
    </w:p>
    <w:p w14:paraId="0020C80D" w14:textId="5CC6767D" w:rsidR="00C23581" w:rsidRDefault="00C23581" w:rsidP="00937B7A">
      <w:pPr>
        <w:pStyle w:val="Nadpis7"/>
      </w:pPr>
      <w:r>
        <w:t xml:space="preserve">Varianta I. – </w:t>
      </w:r>
      <w:r w:rsidRPr="00D041E8">
        <w:t xml:space="preserve">Zachování </w:t>
      </w:r>
      <w:r w:rsidR="003F2FCF">
        <w:t>současného</w:t>
      </w:r>
      <w:r w:rsidR="003F2FCF" w:rsidRPr="00D041E8">
        <w:t xml:space="preserve"> </w:t>
      </w:r>
      <w:r w:rsidRPr="00D041E8">
        <w:t>stavu, kd</w:t>
      </w:r>
      <w:r w:rsidR="00664E7B">
        <w:t>y bude za provozovanou na </w:t>
      </w:r>
      <w:r>
        <w:t xml:space="preserve">území </w:t>
      </w:r>
      <w:r w:rsidRPr="00D041E8">
        <w:t>České republiky považována haz</w:t>
      </w:r>
      <w:r>
        <w:t>ardní hra zaměřená či cílící na osoby s </w:t>
      </w:r>
      <w:r w:rsidR="007B55BA">
        <w:t>bydlištěm na </w:t>
      </w:r>
      <w:r w:rsidRPr="00D041E8">
        <w:t>území České republiky.</w:t>
      </w:r>
    </w:p>
    <w:p w14:paraId="04A73CD2" w14:textId="77777777" w:rsidR="00C23581" w:rsidRPr="00AA1404" w:rsidRDefault="00C23581">
      <w:pPr>
        <w:pStyle w:val="Nadpis7"/>
      </w:pPr>
      <w:r w:rsidRPr="00AA1404">
        <w:t xml:space="preserve">Varianta I. a) </w:t>
      </w:r>
      <w:r>
        <w:t>– Z</w:t>
      </w:r>
      <w:r w:rsidRPr="00AA1404">
        <w:t>naky budou i nadále stanoveny správní praxí</w:t>
      </w:r>
    </w:p>
    <w:p w14:paraId="1ED4EA35" w14:textId="77777777" w:rsidR="00C23581" w:rsidRDefault="00C23581">
      <w:pPr>
        <w:pStyle w:val="Nadpis7"/>
      </w:pPr>
      <w:r>
        <w:t>Varianta I. b) – Znaky budou stanoveny v právním předpise</w:t>
      </w:r>
    </w:p>
    <w:p w14:paraId="6929B1A7" w14:textId="2F4E2E95" w:rsidR="00C23581" w:rsidRDefault="002B70AD" w:rsidP="00B451B8">
      <w:r>
        <w:t>Obě v</w:t>
      </w:r>
      <w:r w:rsidR="00C23581">
        <w:t>ariant</w:t>
      </w:r>
      <w:r>
        <w:t>y</w:t>
      </w:r>
      <w:r w:rsidR="00C23581">
        <w:t xml:space="preserve"> přináší</w:t>
      </w:r>
      <w:r w:rsidR="00C23581" w:rsidRPr="00231B62">
        <w:t xml:space="preserve"> aplikační jednotu napříč dotčenými </w:t>
      </w:r>
      <w:r w:rsidR="00074813">
        <w:t>dozorujícími</w:t>
      </w:r>
      <w:r w:rsidR="00C23581" w:rsidRPr="00231B62">
        <w:t xml:space="preserve"> orgány a vyšší míru právní jistoty. Dozor</w:t>
      </w:r>
      <w:r w:rsidR="00074813">
        <w:t>ující</w:t>
      </w:r>
      <w:r w:rsidR="00C23581" w:rsidRPr="00231B62">
        <w:t xml:space="preserve"> orgány </w:t>
      </w:r>
      <w:r w:rsidR="00C23581">
        <w:t xml:space="preserve">by </w:t>
      </w:r>
      <w:r w:rsidR="00BC0930">
        <w:t>mohly</w:t>
      </w:r>
      <w:r w:rsidR="00C23581" w:rsidRPr="00231B62">
        <w:t xml:space="preserve"> hodnocení hazardních her provádět efektivněji bez rizika vzájemných rozporů. </w:t>
      </w:r>
      <w:r w:rsidR="00C23581">
        <w:t>Zároveň by byla zvýšena právní jistota provozovatelů hazardních her.</w:t>
      </w:r>
    </w:p>
    <w:p w14:paraId="7F9148BD" w14:textId="77777777" w:rsidR="00C23581" w:rsidRDefault="00C23581" w:rsidP="00B451B8">
      <w:r>
        <w:t>Výhody:</w:t>
      </w:r>
    </w:p>
    <w:p w14:paraId="03A086EE" w14:textId="0C8F60CC" w:rsidR="00C23581" w:rsidRDefault="00C23581" w:rsidP="00B451B8">
      <w:r w:rsidRPr="001B2C39">
        <w:t>Varianta</w:t>
      </w:r>
      <w:r>
        <w:t xml:space="preserve"> I. a)</w:t>
      </w:r>
      <w:r w:rsidRPr="001B2C39">
        <w:t xml:space="preserve"> přináší prostor pro</w:t>
      </w:r>
      <w:r>
        <w:t xml:space="preserve"> postupný</w:t>
      </w:r>
      <w:r w:rsidRPr="001B2C39">
        <w:t xml:space="preserve"> rozvoj doposud zaveden</w:t>
      </w:r>
      <w:r>
        <w:t>é</w:t>
      </w:r>
      <w:r w:rsidRPr="001B2C39">
        <w:t xml:space="preserve"> </w:t>
      </w:r>
      <w:r>
        <w:t xml:space="preserve">správní </w:t>
      </w:r>
      <w:r w:rsidRPr="001B2C39">
        <w:t>praxe dozor</w:t>
      </w:r>
      <w:r w:rsidR="00074813">
        <w:t>ující</w:t>
      </w:r>
      <w:r w:rsidRPr="001B2C39">
        <w:t xml:space="preserve"> orgánů, </w:t>
      </w:r>
      <w:r>
        <w:t>který bude reflektovat vývoj v oblasti hazardních her.</w:t>
      </w:r>
      <w:r w:rsidRPr="001B2C39">
        <w:t xml:space="preserve"> </w:t>
      </w:r>
      <w:r w:rsidR="00664E7B">
        <w:t>V</w:t>
      </w:r>
      <w:r w:rsidRPr="001B2C39">
        <w:t>arianta nevyžaduje legislativní zásah do zákona o</w:t>
      </w:r>
      <w:r>
        <w:t> </w:t>
      </w:r>
      <w:r w:rsidRPr="001B2C39">
        <w:t>hazardních hrách</w:t>
      </w:r>
      <w:r>
        <w:t xml:space="preserve"> či vydání podzákonného předpisu,</w:t>
      </w:r>
      <w:r w:rsidRPr="001B2C39">
        <w:t xml:space="preserve"> což</w:t>
      </w:r>
      <w:r>
        <w:t> </w:t>
      </w:r>
      <w:r w:rsidRPr="001B2C39">
        <w:t>přispívá k celkové stabilitě právního rámce regulace hazardních her.</w:t>
      </w:r>
    </w:p>
    <w:p w14:paraId="40650D23" w14:textId="3BC0CB58" w:rsidR="00C23581" w:rsidRDefault="00C23581" w:rsidP="00B451B8">
      <w:r>
        <w:t>Varianta I. b) přináší</w:t>
      </w:r>
      <w:r w:rsidRPr="00231B62">
        <w:t xml:space="preserve"> aplikační jednotu napříč dotčenými </w:t>
      </w:r>
      <w:r w:rsidR="00074813">
        <w:t>dozorujícími</w:t>
      </w:r>
      <w:r w:rsidRPr="00231B62">
        <w:t xml:space="preserve"> orgány a vyšší míru právní jistoty. </w:t>
      </w:r>
      <w:r w:rsidR="00AC4BAA">
        <w:t xml:space="preserve">U této varianty není předpokládaná významná změna správní praxe, naopak se předpokládá, že znaky dosavadní správní praxe budou přesunuty přímo do zákona o hazardních hrách. </w:t>
      </w:r>
      <w:r w:rsidRPr="00231B62">
        <w:t>Dozor</w:t>
      </w:r>
      <w:r w:rsidR="00074813">
        <w:t>ující</w:t>
      </w:r>
      <w:r w:rsidRPr="00231B62">
        <w:t xml:space="preserve"> orgány </w:t>
      </w:r>
      <w:r>
        <w:t xml:space="preserve">by </w:t>
      </w:r>
      <w:r w:rsidR="00BC0930">
        <w:t>mohly</w:t>
      </w:r>
      <w:r w:rsidRPr="00231B62">
        <w:t xml:space="preserve"> hodnocení hazardních her provádět efektivněji bez rizika vzájemných rozporů. </w:t>
      </w:r>
      <w:r>
        <w:t>Zároveň by byla zvýšena právní jistota provozovatelů hazardních her.</w:t>
      </w:r>
    </w:p>
    <w:p w14:paraId="7FB5C5C9" w14:textId="77777777" w:rsidR="00C23581" w:rsidRDefault="00C23581" w:rsidP="00B451B8">
      <w:r>
        <w:t>Nevýhody:</w:t>
      </w:r>
    </w:p>
    <w:p w14:paraId="7B71BA8F" w14:textId="524A603E" w:rsidR="00C23581" w:rsidRDefault="00C23581" w:rsidP="00B451B8">
      <w:r>
        <w:t>Varianta I.</w:t>
      </w:r>
      <w:r w:rsidRPr="001B2C39">
        <w:t xml:space="preserve"> </w:t>
      </w:r>
      <w:r>
        <w:t xml:space="preserve">ani v jedné podvariantě </w:t>
      </w:r>
      <w:r w:rsidRPr="001B2C39">
        <w:t>výše nastíněný problém komplexně neřeší. I</w:t>
      </w:r>
      <w:r>
        <w:t> </w:t>
      </w:r>
      <w:r w:rsidRPr="001B2C39">
        <w:t>nadále budou na území České republiky fakticky dostupné hazardní hry nepodléhající regulaci</w:t>
      </w:r>
      <w:r>
        <w:t>, kterých se bude moci účastnit rozsáhlá skupina osob s bydlištěm na území České republiky. Dá se to očekávat zejména v případě cizinců, u nichž lze předpokládat, že budou vyhledávat hazardní hry v jiném než českém jazyce.</w:t>
      </w:r>
      <w:r>
        <w:rPr>
          <w:rStyle w:val="Znakapoznpodarou"/>
          <w:szCs w:val="24"/>
        </w:rPr>
        <w:footnoteReference w:id="12"/>
      </w:r>
      <w:r>
        <w:t xml:space="preserve"> Obdobně je pak třeba vzít v úvahu i např. rostoucí jazykovou vybavenost u občanů České republiky, kteří budou schopní a ochotní se ve vzrůstající míře účastnit hazardních her v jiném než českém jazyku. Toto riziko se zvyšuje zejména se spuštěním </w:t>
      </w:r>
      <w:r w:rsidR="00B451B8">
        <w:t>R</w:t>
      </w:r>
      <w:r>
        <w:t xml:space="preserve">ejstříku vyloučených osob. </w:t>
      </w:r>
    </w:p>
    <w:p w14:paraId="550EFA9B" w14:textId="524245E1" w:rsidR="00C23581" w:rsidRDefault="00C23581" w:rsidP="00B451B8">
      <w:r>
        <w:t xml:space="preserve">Před </w:t>
      </w:r>
      <w:r w:rsidR="00074813">
        <w:t>dozorujícími</w:t>
      </w:r>
      <w:r>
        <w:t xml:space="preserve"> orgány pak i nadále bude stát problém představovaný hazardními hrami, které jsou na základě svých znaků vyhodnoceny jako provozované na území ČR (typicky jsou v českém jazyce), nicméně provozovatelé nemají zájem cílit na</w:t>
      </w:r>
      <w:r w:rsidR="00B63F99">
        <w:t> </w:t>
      </w:r>
      <w:r>
        <w:t>osoby s bydlištěm na území České republiky a jejich cílová skupina jsou Češi žijící v zahraničí.</w:t>
      </w:r>
      <w:r>
        <w:rPr>
          <w:rStyle w:val="Znakapoznpodarou"/>
          <w:szCs w:val="24"/>
        </w:rPr>
        <w:footnoteReference w:id="13"/>
      </w:r>
    </w:p>
    <w:p w14:paraId="3AB0F37C" w14:textId="38108210" w:rsidR="00C23581" w:rsidRDefault="00C23581" w:rsidP="00B451B8">
      <w:r>
        <w:t>Vzhledem k dynamickému vývoji v internetovém prostředí</w:t>
      </w:r>
      <w:r w:rsidRPr="001B2C39">
        <w:t xml:space="preserve"> bude ze strany </w:t>
      </w:r>
      <w:r w:rsidR="00074813">
        <w:t>dozorujících</w:t>
      </w:r>
      <w:r w:rsidRPr="001B2C39">
        <w:t xml:space="preserve"> orgánů nutné průběžně reagovat na změny, </w:t>
      </w:r>
      <w:r>
        <w:t>byť v případě stanovení definičních znaků v právním předpise bude tato možnost reakce značně omezená</w:t>
      </w:r>
      <w:r>
        <w:rPr>
          <w:rStyle w:val="Znakapoznpodarou"/>
          <w:szCs w:val="24"/>
        </w:rPr>
        <w:footnoteReference w:id="14"/>
      </w:r>
      <w:r>
        <w:t xml:space="preserve">, </w:t>
      </w:r>
      <w:r w:rsidRPr="001B2C39">
        <w:t>což může vést k</w:t>
      </w:r>
      <w:r>
        <w:t> výkladovým a </w:t>
      </w:r>
      <w:r w:rsidRPr="001B2C39">
        <w:t>aplikačním nejasnostem až</w:t>
      </w:r>
      <w:r>
        <w:t> </w:t>
      </w:r>
      <w:r w:rsidRPr="001B2C39">
        <w:t>rozporům mezi jednotlivými orgán</w:t>
      </w:r>
      <w:r w:rsidR="00074813">
        <w:t>y vykonávajícími dozor. Dozorující</w:t>
      </w:r>
      <w:r w:rsidRPr="001B2C39">
        <w:t xml:space="preserve"> orgány budou i</w:t>
      </w:r>
      <w:r>
        <w:t xml:space="preserve"> nadále </w:t>
      </w:r>
      <w:r w:rsidRPr="001B2C39">
        <w:t xml:space="preserve">zatíženy nutností provádět individuální hodnocení každé </w:t>
      </w:r>
      <w:r>
        <w:t>internetové hry</w:t>
      </w:r>
      <w:r w:rsidRPr="001B2C39">
        <w:t>, s níž se v rámci své činnosti setkají.</w:t>
      </w:r>
    </w:p>
    <w:p w14:paraId="3179BA75" w14:textId="65C8EF89" w:rsidR="00C23581" w:rsidRDefault="00C23581" w:rsidP="00B451B8">
      <w:r>
        <w:t>Obecně v</w:t>
      </w:r>
      <w:r w:rsidRPr="001B2C39">
        <w:t xml:space="preserve">arianta </w:t>
      </w:r>
      <w:r>
        <w:t xml:space="preserve">I. v podvariantě b) </w:t>
      </w:r>
      <w:r w:rsidRPr="001B2C39">
        <w:t xml:space="preserve">přináší </w:t>
      </w:r>
      <w:r>
        <w:t>určitý posun v případě postavení dozor</w:t>
      </w:r>
      <w:r w:rsidR="00074813">
        <w:t>ujících</w:t>
      </w:r>
      <w:r>
        <w:t xml:space="preserve"> orgánů a provozovatelů hazardních her, a to ve smyslu zvýšení právní jistoty, zda je možné provozování označit za cílící či zaměřené na osoby s bydlištěm na území České republiky.</w:t>
      </w:r>
    </w:p>
    <w:p w14:paraId="25F2EF40" w14:textId="52863FBB" w:rsidR="00C23581" w:rsidRDefault="00C23581" w:rsidP="00B451B8">
      <w:pPr>
        <w:rPr>
          <w:color w:val="000000" w:themeColor="text1"/>
        </w:rPr>
      </w:pPr>
      <w:r>
        <w:rPr>
          <w:color w:val="000000" w:themeColor="text1"/>
        </w:rPr>
        <w:t>Mezi osobami s bydlištěm na území České republiky existuje rozsáhlá (a stále rostoucí) skupina osob, které jsou schopny se účastnit hazardní hry v </w:t>
      </w:r>
      <w:r w:rsidR="00B64F2A">
        <w:rPr>
          <w:color w:val="000000" w:themeColor="text1"/>
        </w:rPr>
        <w:t xml:space="preserve">jiném jazyce než </w:t>
      </w:r>
      <w:r>
        <w:rPr>
          <w:color w:val="000000" w:themeColor="text1"/>
        </w:rPr>
        <w:t>českém (osoby české národnosti s jazykovou k</w:t>
      </w:r>
      <w:r w:rsidR="00B64F2A">
        <w:rPr>
          <w:color w:val="000000" w:themeColor="text1"/>
        </w:rPr>
        <w:t xml:space="preserve">ompetencí v cizím jazyce, popř. </w:t>
      </w:r>
      <w:r>
        <w:rPr>
          <w:color w:val="000000" w:themeColor="text1"/>
        </w:rPr>
        <w:t>cizinci žijící v České republice) a které se m</w:t>
      </w:r>
      <w:r w:rsidR="008E64CB">
        <w:rPr>
          <w:color w:val="000000" w:themeColor="text1"/>
        </w:rPr>
        <w:t>ohou dostávat do postavení, kdy </w:t>
      </w:r>
      <w:r>
        <w:rPr>
          <w:color w:val="000000" w:themeColor="text1"/>
        </w:rPr>
        <w:t>jsou chráněny v menší míře než ostatní, neboť hazardní hry v jiném než českém jazyce pro ně nejsou méně atraktivní a zároveň ve sna</w:t>
      </w:r>
      <w:r w:rsidR="008E64CB">
        <w:rPr>
          <w:color w:val="000000" w:themeColor="text1"/>
        </w:rPr>
        <w:t>ze se účastnit hazardní hry (ať </w:t>
      </w:r>
      <w:r>
        <w:rPr>
          <w:color w:val="000000" w:themeColor="text1"/>
        </w:rPr>
        <w:t>již z důvodu snahy získat přístup k produktu, který není možné vzhledem k rizikovosti podle zákona o hazardních her nabízet, nebo</w:t>
      </w:r>
      <w:r w:rsidR="00DF3FFE">
        <w:rPr>
          <w:color w:val="000000" w:themeColor="text1"/>
        </w:rPr>
        <w:t xml:space="preserve"> z důvodu, že se hazardní hry u </w:t>
      </w:r>
      <w:r>
        <w:rPr>
          <w:color w:val="000000" w:themeColor="text1"/>
        </w:rPr>
        <w:t xml:space="preserve">provozovatelů se základním povolení nesmí </w:t>
      </w:r>
      <w:r w:rsidR="00664E7B">
        <w:rPr>
          <w:color w:val="000000" w:themeColor="text1"/>
        </w:rPr>
        <w:t>účastnit, tj. osoby zapsané do </w:t>
      </w:r>
      <w:r w:rsidR="00F744D5">
        <w:rPr>
          <w:color w:val="000000" w:themeColor="text1"/>
        </w:rPr>
        <w:t>R</w:t>
      </w:r>
      <w:r>
        <w:rPr>
          <w:color w:val="000000" w:themeColor="text1"/>
        </w:rPr>
        <w:t>ejstříku vyloučených osob) budou ochotni uvádět nepravdivé údaje.</w:t>
      </w:r>
    </w:p>
    <w:p w14:paraId="73D12E6F" w14:textId="77777777" w:rsidR="00C23581" w:rsidRPr="0077168B" w:rsidRDefault="00C23581" w:rsidP="00937B7A">
      <w:pPr>
        <w:pStyle w:val="Nadpis7"/>
      </w:pPr>
      <w:r>
        <w:t xml:space="preserve">Varianta II. – </w:t>
      </w:r>
      <w:r w:rsidRPr="0077168B">
        <w:t>Vymezení působnosti zákona o hazardních hrách v tom smyslu, že za provozovanou na území České republiky se považuje jakákoliv hazardní hra, která je na</w:t>
      </w:r>
      <w:r>
        <w:t xml:space="preserve"> území České republiky dostupná</w:t>
      </w:r>
    </w:p>
    <w:p w14:paraId="3AEF3D67" w14:textId="77777777" w:rsidR="00C23581" w:rsidRDefault="00C23581" w:rsidP="00B451B8">
      <w:r>
        <w:t>Výhody:</w:t>
      </w:r>
    </w:p>
    <w:p w14:paraId="0713739C" w14:textId="2D0AD33E" w:rsidR="00C23581" w:rsidRDefault="00C23581" w:rsidP="00B451B8">
      <w:r w:rsidRPr="001366A8">
        <w:t>Navrhovaná varianta nabízí vyšší ochranu účastníků hazardních her, nebo</w:t>
      </w:r>
      <w:r w:rsidRPr="007E34AB">
        <w:t>ť</w:t>
      </w:r>
      <w:r>
        <w:t xml:space="preserve"> by veškeré hazardní hry dostupné z území České republiky spadaly do působnosti zákona o hazardních hrách</w:t>
      </w:r>
      <w:r>
        <w:rPr>
          <w:rStyle w:val="Znakapoznpodarou"/>
          <w:szCs w:val="24"/>
        </w:rPr>
        <w:footnoteReference w:id="15"/>
      </w:r>
      <w:r>
        <w:t>.</w:t>
      </w:r>
      <w:r w:rsidRPr="001B2C39">
        <w:t xml:space="preserve"> Všichni </w:t>
      </w:r>
      <w:r>
        <w:t xml:space="preserve">běžní </w:t>
      </w:r>
      <w:r w:rsidRPr="001B2C39">
        <w:t>účastníci</w:t>
      </w:r>
      <w:r>
        <w:rPr>
          <w:rStyle w:val="Znakapoznpodarou"/>
          <w:szCs w:val="24"/>
        </w:rPr>
        <w:footnoteReference w:id="16"/>
      </w:r>
      <w:r w:rsidRPr="001B2C39">
        <w:t xml:space="preserve"> hazardních her na území České republiky </w:t>
      </w:r>
      <w:r>
        <w:t xml:space="preserve">by </w:t>
      </w:r>
      <w:r w:rsidRPr="001B2C39">
        <w:t>tak</w:t>
      </w:r>
      <w:r>
        <w:t xml:space="preserve"> požívali obdobnou ochranu. Zároveň by došlo přiblížení regulace k regulaci v land-based prostředí, kdy</w:t>
      </w:r>
      <w:r w:rsidR="008E64CB">
        <w:t xml:space="preserve"> jsou</w:t>
      </w:r>
      <w:r>
        <w:t xml:space="preserve"> v režimu zákona o hazardních hrách provozovány veškeré hazardní hry provozované v kamenných provozovnách na území České republiky</w:t>
      </w:r>
      <w:r w:rsidR="008E64CB">
        <w:t>.</w:t>
      </w:r>
      <w:r>
        <w:t xml:space="preserve"> </w:t>
      </w:r>
      <w:r w:rsidR="008E64CB">
        <w:t>H</w:t>
      </w:r>
      <w:r>
        <w:t>azardní hry provozované prostřednictvím internetu často v režimu zákona o hazardních hrách provozovány nejsou, byť se jich fakticky účastní osoby s bydlištěm na území České republiky. Účastníci hazardních her by tak měli stejnou míru ochrany, bez ohledu na to, jakým způsobem se hazardní hry účastní.</w:t>
      </w:r>
      <w:r w:rsidRPr="001B2C39">
        <w:t xml:space="preserve"> </w:t>
      </w:r>
    </w:p>
    <w:p w14:paraId="1046DD53" w14:textId="3D953879" w:rsidR="00C23581" w:rsidRPr="001B2C39" w:rsidRDefault="00C23581" w:rsidP="00B451B8">
      <w:r>
        <w:t>Dozor</w:t>
      </w:r>
      <w:r w:rsidR="00074813">
        <w:t>ujícím</w:t>
      </w:r>
      <w:r>
        <w:t xml:space="preserve"> orgánům by tato varianta přine</w:t>
      </w:r>
      <w:r w:rsidR="00DF3FFE">
        <w:t>sla snížení administrativních a </w:t>
      </w:r>
      <w:r>
        <w:t xml:space="preserve">personálních nákladů ve fázi vyhledávací, neboť by nebylo nutné provádět hodnocení, zda je hazardní hra považována za provozovanou na území České republiky (tj. zda jsou shledány relevantní znaky cílení). Je však nutné vzít v úvahu nárůst počtu stránek, které budou </w:t>
      </w:r>
      <w:r w:rsidR="00074813">
        <w:t>dozorující</w:t>
      </w:r>
      <w:r>
        <w:t xml:space="preserve"> orgány vyhledávat, což bude mít vliv nejen na personální zatížení, ale bude s největší pravděpodobností vyžadovat také zřízení technologické infrastruktury. Zároveň lze očekávat </w:t>
      </w:r>
      <w:r w:rsidR="002B70AD">
        <w:t xml:space="preserve">v počátcích </w:t>
      </w:r>
      <w:r>
        <w:t>zvýšení administrativních a</w:t>
      </w:r>
      <w:r w:rsidR="002B70AD">
        <w:t> </w:t>
      </w:r>
      <w:r>
        <w:t>personálních nákladů při vedení správního řízení o přestupku a</w:t>
      </w:r>
      <w:r w:rsidR="00C25A0C">
        <w:t> </w:t>
      </w:r>
      <w:r>
        <w:t>správního řízení o</w:t>
      </w:r>
      <w:r w:rsidR="00DF3FFE">
        <w:t> </w:t>
      </w:r>
      <w:r>
        <w:t xml:space="preserve">zápisu na Seznam </w:t>
      </w:r>
      <w:r w:rsidRPr="00231953">
        <w:t>nepovolených internetových her</w:t>
      </w:r>
      <w:r>
        <w:rPr>
          <w:rStyle w:val="Znakapoznpodarou"/>
          <w:szCs w:val="24"/>
        </w:rPr>
        <w:footnoteReference w:id="17"/>
      </w:r>
      <w:r>
        <w:t>, neboť lze minimálně v prvních měsících či letech očekávat výraz</w:t>
      </w:r>
      <w:r w:rsidR="008E64CB">
        <w:t>ně vyšší počet vedených řízení. Změna</w:t>
      </w:r>
      <w:r>
        <w:t xml:space="preserve"> by s nejv</w:t>
      </w:r>
      <w:r w:rsidR="008E64CB">
        <w:t>ětší pravděpodobností vyžadovala</w:t>
      </w:r>
      <w:r>
        <w:t xml:space="preserve"> personální posílení relevantních orgánů, neboť v opačném případě by délky vedených správních řízení snižovaly pozitivní d</w:t>
      </w:r>
      <w:r w:rsidR="00893738">
        <w:t>opad této legislativní změny (v </w:t>
      </w:r>
      <w:r w:rsidR="00841D9F">
        <w:t xml:space="preserve">podrobnostech se odkazuje </w:t>
      </w:r>
      <w:r w:rsidR="00A67DB7">
        <w:rPr>
          <w:szCs w:val="24"/>
        </w:rPr>
        <w:t>na </w:t>
      </w:r>
      <w:r w:rsidR="007B55BA">
        <w:rPr>
          <w:szCs w:val="24"/>
        </w:rPr>
        <w:t>Přílohu č. 8</w:t>
      </w:r>
      <w:r w:rsidR="00A67DB7" w:rsidRPr="00A67DB7">
        <w:rPr>
          <w:szCs w:val="24"/>
        </w:rPr>
        <w:t xml:space="preserve"> Nepovolené internetové hry</w:t>
      </w:r>
      <w:r>
        <w:t xml:space="preserve">). I nadále by však </w:t>
      </w:r>
      <w:r w:rsidR="00074813">
        <w:t>dozorující</w:t>
      </w:r>
      <w:r>
        <w:t xml:space="preserve"> orgány v rámci své činnosti zjišťovaly, zda se jedná o hazardní hru tak, aby nedocházelo k sankcionování či blokaci internetových stránek, prostřednictvím kterých hazardní hry provozovány nejsou. V úvahu připadá insp</w:t>
      </w:r>
      <w:r w:rsidR="00841D9F">
        <w:t>irace slovenskou úpravou, která </w:t>
      </w:r>
      <w:r>
        <w:t>neakcentuje po</w:t>
      </w:r>
      <w:r w:rsidR="00BC0930">
        <w:t>žadavek cílení</w:t>
      </w:r>
      <w:r w:rsidR="008E64CB">
        <w:t>.</w:t>
      </w:r>
      <w:r w:rsidR="00BC0930">
        <w:t xml:space="preserve"> </w:t>
      </w:r>
      <w:r w:rsidR="008E64CB">
        <w:t>V</w:t>
      </w:r>
      <w:r w:rsidR="00BC0930">
        <w:t> zákoně</w:t>
      </w:r>
      <w:r>
        <w:t xml:space="preserve"> </w:t>
      </w:r>
      <w:r w:rsidR="008E64CB">
        <w:rPr>
          <w:szCs w:val="24"/>
        </w:rPr>
        <w:t>č. 30/2019 Z. z., o hazardných hrách a o zmene a doplnení niektorých zákonov (dále jen „slovenský zákon o hazardných hrách“</w:t>
      </w:r>
      <w:r w:rsidR="003B2EC2">
        <w:rPr>
          <w:szCs w:val="24"/>
        </w:rPr>
        <w:t>) se</w:t>
      </w:r>
      <w:r>
        <w:t xml:space="preserve"> hledí na kritérium dostupnosti, a to sice v § 2 odst. aa: „</w:t>
      </w:r>
      <w:r w:rsidR="00000574">
        <w:rPr>
          <w:i/>
        </w:rPr>
        <w:t>H</w:t>
      </w:r>
      <w:r w:rsidRPr="00857EAC">
        <w:rPr>
          <w:rFonts w:eastAsia="Times New Roman"/>
          <w:i/>
          <w:lang w:val="sk-SK"/>
        </w:rPr>
        <w:t>azardnou hrou dostupnou na území Slovenskej republiky je hazardná hra, na ktorej sa m</w:t>
      </w:r>
      <w:r w:rsidR="00893738">
        <w:rPr>
          <w:rFonts w:eastAsia="Times New Roman"/>
          <w:i/>
          <w:lang w:val="sk-SK"/>
        </w:rPr>
        <w:t>ožno zúčastniť na území alebo z </w:t>
      </w:r>
      <w:r w:rsidRPr="00857EAC">
        <w:rPr>
          <w:rFonts w:eastAsia="Times New Roman"/>
          <w:i/>
          <w:lang w:val="sk-SK"/>
        </w:rPr>
        <w:t>územia Slovenskej republiky najmä zaplatením vkladu, uskutočnením stávky alebo vyplatením výhry</w:t>
      </w:r>
      <w:r>
        <w:rPr>
          <w:rFonts w:eastAsia="Times New Roman"/>
          <w:lang w:val="sk-SK"/>
        </w:rPr>
        <w:t>“</w:t>
      </w:r>
      <w:r>
        <w:t>.</w:t>
      </w:r>
      <w:r>
        <w:rPr>
          <w:rStyle w:val="Znakapoznpodarou"/>
          <w:szCs w:val="24"/>
        </w:rPr>
        <w:footnoteReference w:id="18"/>
      </w:r>
    </w:p>
    <w:p w14:paraId="09A56EBB" w14:textId="697C987C" w:rsidR="00C23581" w:rsidRDefault="003B2EC2" w:rsidP="00B451B8">
      <w:r>
        <w:t>Od této varianty</w:t>
      </w:r>
      <w:r w:rsidRPr="00B77892">
        <w:t xml:space="preserve"> </w:t>
      </w:r>
      <w:r w:rsidR="00C23581" w:rsidRPr="00B77892">
        <w:t xml:space="preserve">se dá očekávat i určitý </w:t>
      </w:r>
      <w:r w:rsidR="00C23581" w:rsidRPr="003E2373">
        <w:rPr>
          <w:b/>
        </w:rPr>
        <w:t>pozitivní fiskální efekt</w:t>
      </w:r>
      <w:r w:rsidR="00C23581" w:rsidRPr="00B77892">
        <w:t>.</w:t>
      </w:r>
      <w:r w:rsidR="00C23581" w:rsidRPr="001B2C39">
        <w:t xml:space="preserve"> </w:t>
      </w:r>
      <w:r w:rsidR="00C23581">
        <w:t>F</w:t>
      </w:r>
      <w:r w:rsidR="00C23581" w:rsidRPr="001B2C39">
        <w:t xml:space="preserve">inanční prostředky, které </w:t>
      </w:r>
      <w:r w:rsidR="00C23581">
        <w:t>doposud</w:t>
      </w:r>
      <w:r w:rsidR="00C23581" w:rsidRPr="001B2C39">
        <w:t xml:space="preserve"> směřoval</w:t>
      </w:r>
      <w:r w:rsidR="00C23581">
        <w:t>y</w:t>
      </w:r>
      <w:r w:rsidR="00C23581" w:rsidRPr="001B2C39">
        <w:t xml:space="preserve"> k subjektům mimo rámec regulace</w:t>
      </w:r>
      <w:r w:rsidR="00C23581">
        <w:t xml:space="preserve"> a které nepodléhaly zdanění v České republice</w:t>
      </w:r>
      <w:r w:rsidR="00C23581" w:rsidRPr="001B2C39">
        <w:t>, b</w:t>
      </w:r>
      <w:r>
        <w:t>y byly</w:t>
      </w:r>
      <w:r w:rsidR="00C23581" w:rsidRPr="001B2C39">
        <w:t xml:space="preserve"> směřovány k provozovatelům danícím </w:t>
      </w:r>
      <w:r w:rsidR="00C23581">
        <w:t xml:space="preserve">své příjmy </w:t>
      </w:r>
      <w:r w:rsidR="00C23581" w:rsidRPr="001B2C39">
        <w:t>v České republice</w:t>
      </w:r>
      <w:r w:rsidR="00C23581">
        <w:t xml:space="preserve">. K tomuto </w:t>
      </w:r>
      <w:r>
        <w:t xml:space="preserve">by došlo </w:t>
      </w:r>
      <w:r w:rsidR="00C23581">
        <w:t>jak v případě legálních, tak</w:t>
      </w:r>
      <w:r>
        <w:t> </w:t>
      </w:r>
      <w:r w:rsidR="00C23581">
        <w:t xml:space="preserve">nelegálních provozovatelů, </w:t>
      </w:r>
      <w:r>
        <w:t xml:space="preserve">neboť </w:t>
      </w:r>
      <w:r w:rsidR="00C23581">
        <w:t xml:space="preserve">k dani z hazardních her jsou </w:t>
      </w:r>
      <w:r w:rsidR="00B64F2A">
        <w:t xml:space="preserve">povinny veškeré subjekty, které </w:t>
      </w:r>
      <w:r w:rsidR="00C23581">
        <w:t>provozují hazardní hry na území České republiky, tedy i ty, které provozují hazardní hry v rozporu se zákonem. Nově by těmito nelegálními subjekty byli i ti provozovatelé, jejichž hazardní hry jsou na území Č</w:t>
      </w:r>
      <w:r w:rsidR="00B64F2A">
        <w:t xml:space="preserve">eské republiky dostupné, nikoli </w:t>
      </w:r>
      <w:r w:rsidR="00C23581">
        <w:t xml:space="preserve">pouze ti, kteří aktivně cílí či zaměřující se na osoby s bydlištěm na území České republiky. </w:t>
      </w:r>
    </w:p>
    <w:p w14:paraId="2A95AA8A" w14:textId="2C1B1A31" w:rsidR="00C23581" w:rsidRDefault="00C23581" w:rsidP="00B451B8">
      <w:r>
        <w:t xml:space="preserve">Navrhovaná varianta může mít pozitivní dopad i pro osoby preferující užívání českého jazyka žijící v zahraničí, neboť užití českého jazyka nebude nadále důvodem pro zahájení správního řízení. Bude tak existovat prostor pro nabídku hazardních her, které </w:t>
      </w:r>
      <w:r w:rsidR="003B2EC2">
        <w:t xml:space="preserve">nebudou v rozporu s českou právní úpravou, </w:t>
      </w:r>
      <w:r>
        <w:t>byť budou v českém jazyce. Taková situace nastane např. v okamžiku, kdy provozovatel přijme technické řešení obsahující blokování podle IP adresy.</w:t>
      </w:r>
    </w:p>
    <w:p w14:paraId="4ABC4939" w14:textId="77777777" w:rsidR="00C23581" w:rsidRPr="001B2C39" w:rsidRDefault="00C23581" w:rsidP="00B451B8">
      <w:r>
        <w:t>Nevýhody:</w:t>
      </w:r>
    </w:p>
    <w:p w14:paraId="3451E86C" w14:textId="75511641" w:rsidR="00C23581" w:rsidRDefault="00A22B18" w:rsidP="00B451B8">
      <w:r>
        <w:t xml:space="preserve">Nevýhodou této varianty je větší rozsah blokování přístupu  na internetové stránky z České republiky, v případě, kdy zahraniční provozovatel v této věci bude nesoučinný. </w:t>
      </w:r>
      <w:r w:rsidR="00C23581">
        <w:t xml:space="preserve">Toto </w:t>
      </w:r>
      <w:r w:rsidR="006E155B">
        <w:t xml:space="preserve">může </w:t>
      </w:r>
      <w:r w:rsidR="00C23581">
        <w:t>přin</w:t>
      </w:r>
      <w:r w:rsidR="006E155B">
        <w:t>ést</w:t>
      </w:r>
      <w:r w:rsidR="00C23581">
        <w:t xml:space="preserve"> těmto subjektům </w:t>
      </w:r>
      <w:r w:rsidR="006E155B">
        <w:t>určité nižší</w:t>
      </w:r>
      <w:r w:rsidR="003E0670">
        <w:t xml:space="preserve"> </w:t>
      </w:r>
      <w:r w:rsidR="00C23581">
        <w:t>náklady spojené s implementací příslušného technického řešení. Tyto náklady ovšem nijak nedopadnou ani na</w:t>
      </w:r>
      <w:r w:rsidR="00074813" w:rsidRPr="00074813">
        <w:t xml:space="preserve"> </w:t>
      </w:r>
      <w:r w:rsidR="00074813">
        <w:t xml:space="preserve">dozorující </w:t>
      </w:r>
      <w:r w:rsidR="00C23581">
        <w:t>orgány, ani na legální provozovatele hazardních her na území České republiky.</w:t>
      </w:r>
    </w:p>
    <w:p w14:paraId="454E5379" w14:textId="77777777" w:rsidR="00C23581" w:rsidRPr="006C7BA9" w:rsidRDefault="00C23581" w:rsidP="00937B7A">
      <w:pPr>
        <w:pStyle w:val="Nadpis7"/>
      </w:pPr>
      <w:r w:rsidRPr="006C7BA9">
        <w:t>Hodnocení variant</w:t>
      </w:r>
    </w:p>
    <w:p w14:paraId="68E5136F" w14:textId="2BDCD394" w:rsidR="00C23581" w:rsidRPr="001B2C39" w:rsidRDefault="00C23581" w:rsidP="00893738">
      <w:r w:rsidRPr="001B2C39">
        <w:t xml:space="preserve">Na základě výše uvedeného lze konstatovat, že </w:t>
      </w:r>
      <w:r w:rsidRPr="006E155B">
        <w:rPr>
          <w:b/>
        </w:rPr>
        <w:t>varianta II.</w:t>
      </w:r>
      <w:r w:rsidRPr="001B2C39">
        <w:t>, tedy vymezení působnosti zákona o hazardních hrách v tom smyslu, že za provozovanou na území České republiky se</w:t>
      </w:r>
      <w:r>
        <w:t> </w:t>
      </w:r>
      <w:r w:rsidRPr="001B2C39">
        <w:t xml:space="preserve">považuje jakákoliv hazardní hra, která je na území České republiky dostupná, </w:t>
      </w:r>
      <w:r w:rsidR="00A22B18" w:rsidRPr="00A22B18">
        <w:rPr>
          <w:b/>
        </w:rPr>
        <w:t>se</w:t>
      </w:r>
      <w:r w:rsidRPr="00A22B18">
        <w:rPr>
          <w:b/>
        </w:rPr>
        <w:t xml:space="preserve"> </w:t>
      </w:r>
      <w:r w:rsidR="00A22B18" w:rsidRPr="00A22B18">
        <w:rPr>
          <w:b/>
        </w:rPr>
        <w:t xml:space="preserve">z hlediska zamezení provozování zahraničních nelegálních provozovatelů </w:t>
      </w:r>
      <w:r w:rsidR="00A22B18">
        <w:rPr>
          <w:b/>
        </w:rPr>
        <w:t xml:space="preserve">jeví </w:t>
      </w:r>
      <w:r w:rsidR="00A22B18" w:rsidRPr="00A22B18">
        <w:rPr>
          <w:b/>
        </w:rPr>
        <w:t>jako o nejúčinnější opatření</w:t>
      </w:r>
      <w:r w:rsidRPr="001B2C39">
        <w:t xml:space="preserve">. </w:t>
      </w:r>
      <w:r>
        <w:t xml:space="preserve">Pozitivní dopad lze shledat také v oblasti </w:t>
      </w:r>
      <w:r w:rsidRPr="006E155B">
        <w:rPr>
          <w:b/>
        </w:rPr>
        <w:t>fiskální</w:t>
      </w:r>
      <w:r>
        <w:t xml:space="preserve">. Jako výrazný benefit se jeví také jak zvýšení právní jistoty </w:t>
      </w:r>
      <w:r w:rsidR="00074813">
        <w:t>dozorujících</w:t>
      </w:r>
      <w:r>
        <w:t xml:space="preserve"> orgánů a provozovatelů, tak </w:t>
      </w:r>
      <w:r w:rsidRPr="006E155B">
        <w:rPr>
          <w:b/>
        </w:rPr>
        <w:t>i odstranění nelegální konkurence provozovatelům</w:t>
      </w:r>
      <w:r>
        <w:t xml:space="preserve"> dis</w:t>
      </w:r>
      <w:r w:rsidR="00893738">
        <w:t xml:space="preserve">ponujícím základním povolením. </w:t>
      </w:r>
      <w:r>
        <w:t xml:space="preserve">Zároveň by mělo dojít k usnadnění dozoru v této oblasti, neboť nadále nebude ze strany </w:t>
      </w:r>
      <w:r w:rsidR="00074813">
        <w:t>dozorující</w:t>
      </w:r>
      <w:r>
        <w:t>ch orgánů nutné hodnotit jednotlivá kritéria za ú</w:t>
      </w:r>
      <w:r w:rsidR="00747D5D">
        <w:t>čelem posouzení, zda se jedná o </w:t>
      </w:r>
      <w:r>
        <w:t>hazardní hru provozo</w:t>
      </w:r>
      <w:r w:rsidR="00893738">
        <w:t xml:space="preserve">vanou na území České republiky. </w:t>
      </w:r>
      <w:r w:rsidR="00A22B18">
        <w:t xml:space="preserve">Z hlediska zavádění této regulace je zapotřebí zejména citlivějšího přístupu v oblastech, kde provozovatel nemá ani v nejmenším zájem hazardní hry na území ČR provozovat a jeho podnikání je zároveň silně exteritoriální. </w:t>
      </w:r>
      <w:r>
        <w:t xml:space="preserve">Tato varianta </w:t>
      </w:r>
      <w:r w:rsidRPr="001B2C39">
        <w:t>nicméně vyžaduje legis</w:t>
      </w:r>
      <w:r w:rsidR="003E3D23">
        <w:t>lativní úpravy a </w:t>
      </w:r>
      <w:r>
        <w:t xml:space="preserve">zároveň lze očekávat, že přinese </w:t>
      </w:r>
      <w:r w:rsidR="006E155B">
        <w:t xml:space="preserve">mírně </w:t>
      </w:r>
      <w:r>
        <w:t>zvýšené p</w:t>
      </w:r>
      <w:r w:rsidR="007B55BA">
        <w:t>ersonální a finanční náklady na </w:t>
      </w:r>
      <w:r>
        <w:t>stra</w:t>
      </w:r>
      <w:r w:rsidR="00841D9F">
        <w:t>n</w:t>
      </w:r>
      <w:r>
        <w:t xml:space="preserve">ě </w:t>
      </w:r>
      <w:r w:rsidR="00074813">
        <w:t>dozorující</w:t>
      </w:r>
      <w:r>
        <w:t>ch orgánů.</w:t>
      </w:r>
      <w:r w:rsidRPr="001B2C39">
        <w:t xml:space="preserve"> </w:t>
      </w:r>
    </w:p>
    <w:p w14:paraId="3727784B" w14:textId="77777777" w:rsidR="00C23581" w:rsidRDefault="00C23581" w:rsidP="00677EE3">
      <w:pPr>
        <w:pStyle w:val="Nadpis6"/>
      </w:pPr>
      <w:bookmarkStart w:id="15" w:name="_Toc73604710"/>
      <w:r>
        <w:t>Sázka vs. předplatné vs. trvalý příkaz</w:t>
      </w:r>
      <w:bookmarkEnd w:id="15"/>
      <w:r>
        <w:t xml:space="preserve"> </w:t>
      </w:r>
    </w:p>
    <w:p w14:paraId="003EAF77" w14:textId="02ECCD46" w:rsidR="00C23581" w:rsidRPr="00B16089" w:rsidRDefault="00C23581" w:rsidP="00893738">
      <w:pPr>
        <w:rPr>
          <w:rFonts w:cs="Arial"/>
        </w:rPr>
      </w:pPr>
      <w:r w:rsidRPr="00B16089">
        <w:t>Dle § 4 odst. 1 písm. b) a d) zákona o hazardních hrách může sázející zaplatit jím dobrovolně určené nevratné plnění – sázku. Zákon o hazardních hrách nestanoví, jak má sázející projevit svou vůli ve vztahu k účasti na hře a stejně tak nejsou stanoveny žádné požadavky</w:t>
      </w:r>
      <w:r>
        <w:t xml:space="preserve"> na </w:t>
      </w:r>
      <w:r w:rsidRPr="00B16089">
        <w:t>zaplacení sázky. V  § 7 odst. 4 zákona o hazardních hrách je pouze uvedeno, že provozovatel nesmí přijímat nepeněžní vklady a sázky. V praxi je nejčastěji využíváno modelu, kdy sázející uhradí částku odpovídající jedné sázce nebo uhradí více sázek najedno</w:t>
      </w:r>
      <w:r>
        <w:t>u</w:t>
      </w:r>
      <w:r w:rsidR="00F27101">
        <w:t>, pokud to není v podmínkách příslušného druhu hazardní hry výslovně vyloučeno</w:t>
      </w:r>
      <w:r>
        <w:t>.</w:t>
      </w:r>
    </w:p>
    <w:p w14:paraId="7FDE1004" w14:textId="26229133" w:rsidR="00C23581" w:rsidRPr="00B16089" w:rsidRDefault="00C23581" w:rsidP="00893738">
      <w:r w:rsidRPr="00B16089">
        <w:t xml:space="preserve">V některých herních plánech loterií se objevuje možnost tzv. předplatného, </w:t>
      </w:r>
      <w:r w:rsidR="00841D9F">
        <w:t>u něhož </w:t>
      </w:r>
      <w:r w:rsidRPr="00B16089">
        <w:t>sázející zvolí variantu, že chce stejný tiket zaregistrovat/zařadit do něko</w:t>
      </w:r>
      <w:r>
        <w:t>lika slosování následujících po </w:t>
      </w:r>
      <w:r w:rsidRPr="00B16089">
        <w:t>prvním slosování</w:t>
      </w:r>
      <w:r>
        <w:t>,</w:t>
      </w:r>
      <w:r w:rsidRPr="00B16089">
        <w:t xml:space="preserve"> a v souvislosti s tím uhradí najednou více sázek do budoucna. V takovém případě dochází k uzavření </w:t>
      </w:r>
      <w:r>
        <w:t>odvážné smlouvy</w:t>
      </w:r>
      <w:r w:rsidRPr="00B16089">
        <w:t xml:space="preserve">, kdy </w:t>
      </w:r>
      <w:r>
        <w:t>jsou</w:t>
      </w:r>
      <w:r w:rsidRPr="00B16089">
        <w:t xml:space="preserve"> okamžitě uhrazen</w:t>
      </w:r>
      <w:r>
        <w:t>y</w:t>
      </w:r>
      <w:r w:rsidRPr="00B16089">
        <w:t xml:space="preserve"> sázk</w:t>
      </w:r>
      <w:r>
        <w:t>y,</w:t>
      </w:r>
      <w:r w:rsidRPr="00B16089">
        <w:t xml:space="preserve"> jej</w:t>
      </w:r>
      <w:r>
        <w:t>ichž</w:t>
      </w:r>
      <w:r w:rsidRPr="00B16089">
        <w:t xml:space="preserve"> návratnost se nezaručuje</w:t>
      </w:r>
      <w:r w:rsidR="009D78E0">
        <w:t>.</w:t>
      </w:r>
      <w:r w:rsidRPr="00B16089">
        <w:t xml:space="preserve"> </w:t>
      </w:r>
      <w:r>
        <w:t>M</w:t>
      </w:r>
      <w:r w:rsidRPr="00B16089">
        <w:t xml:space="preserve">inisterstvo </w:t>
      </w:r>
      <w:r>
        <w:t>financí takový postup považuje za souladný</w:t>
      </w:r>
      <w:r w:rsidRPr="00B16089">
        <w:t xml:space="preserve"> se zákonem o hazardních hrách.</w:t>
      </w:r>
    </w:p>
    <w:p w14:paraId="0519549B" w14:textId="56D4E532" w:rsidR="00C23581" w:rsidRPr="00B16089" w:rsidRDefault="00C23581" w:rsidP="00893738">
      <w:pPr>
        <w:rPr>
          <w:rFonts w:cs="Arial"/>
        </w:rPr>
      </w:pPr>
      <w:r>
        <w:t>Problematickou</w:t>
      </w:r>
      <w:r w:rsidRPr="00B16089">
        <w:t xml:space="preserve"> </w:t>
      </w:r>
      <w:r>
        <w:t>se může jevit možnost úhrady</w:t>
      </w:r>
      <w:r w:rsidRPr="00B16089">
        <w:t xml:space="preserve"> sázky form</w:t>
      </w:r>
      <w:r>
        <w:t>ou trvalého příkazu. Uvedené se </w:t>
      </w:r>
      <w:r w:rsidRPr="00B16089">
        <w:t xml:space="preserve">objevuje typicky u loterií, </w:t>
      </w:r>
      <w:r w:rsidR="009D78E0">
        <w:t xml:space="preserve">u nichž </w:t>
      </w:r>
      <w:r w:rsidRPr="00B16089">
        <w:t>si sázející zvolí, že jím vyp</w:t>
      </w:r>
      <w:r>
        <w:t>lněná sázenka má být vsazena do </w:t>
      </w:r>
      <w:r w:rsidRPr="00B16089">
        <w:t>několika (i neomezen</w:t>
      </w:r>
      <w:r w:rsidR="009D78E0">
        <w:t>ého počtu</w:t>
      </w:r>
      <w:r w:rsidRPr="00B16089">
        <w:t>) slosování v budoucnu, přičemž tyto sázky jsou uhrazeny až několik hodin před samotným slosov</w:t>
      </w:r>
      <w:r w:rsidR="00841D9F">
        <w:t>áním a </w:t>
      </w:r>
      <w:r w:rsidRPr="00B16089">
        <w:t>provozovatel částku odpovídající sázce strhne z </w:t>
      </w:r>
      <w:r w:rsidR="00F27101">
        <w:t>uživatelského konta</w:t>
      </w:r>
      <w:r w:rsidR="00F27101" w:rsidRPr="00B16089">
        <w:t xml:space="preserve"> </w:t>
      </w:r>
      <w:r w:rsidRPr="00B16089">
        <w:t>sázej</w:t>
      </w:r>
      <w:r w:rsidR="009D78E0">
        <w:t>ícího na </w:t>
      </w:r>
      <w:r w:rsidRPr="00B16089">
        <w:t>základě zadaného trvalého příkazu. Sázející</w:t>
      </w:r>
      <w:r w:rsidR="00B64F2A">
        <w:t xml:space="preserve">mu je dána možnost zrušit tento </w:t>
      </w:r>
      <w:r w:rsidRPr="00B16089">
        <w:t>trvalý příkaz před</w:t>
      </w:r>
      <w:r>
        <w:t xml:space="preserve"> </w:t>
      </w:r>
      <w:r w:rsidRPr="00B16089">
        <w:t>tím</w:t>
      </w:r>
      <w:r>
        <w:t>,</w:t>
      </w:r>
      <w:r w:rsidRPr="00B16089">
        <w:t xml:space="preserve"> než dojde k odečtení částky odpovídající sázce. </w:t>
      </w:r>
      <w:r>
        <w:t>S ohledem na </w:t>
      </w:r>
      <w:r w:rsidRPr="00B16089">
        <w:t>skutečnost, že sázka je nevratné plnění (sázku</w:t>
      </w:r>
      <w:r w:rsidR="009D78E0">
        <w:t xml:space="preserve"> lze vrátit pouze v případě, že </w:t>
      </w:r>
      <w:r w:rsidRPr="00B16089">
        <w:t>dojde z objektivních důvodů ke zrušení konkrétní hazardní hry)</w:t>
      </w:r>
      <w:r>
        <w:t>, bylo nutné u této formy hrazení sázek</w:t>
      </w:r>
      <w:r w:rsidRPr="00B16089">
        <w:t xml:space="preserve"> </w:t>
      </w:r>
      <w:r>
        <w:t>vyjasnit otázku</w:t>
      </w:r>
      <w:r w:rsidRPr="00B16089">
        <w:t>, kd</w:t>
      </w:r>
      <w:r w:rsidR="00841D9F">
        <w:t>y dochází k uzavření sázky, zda </w:t>
      </w:r>
      <w:r w:rsidRPr="00B16089">
        <w:t>okamžikem uzavření trvalého příkazu nebo až okamžikem odečtení částky odpovídající sázce na</w:t>
      </w:r>
      <w:r w:rsidR="009D78E0">
        <w:t> </w:t>
      </w:r>
      <w:r w:rsidRPr="00B16089">
        <w:t xml:space="preserve">konkrétní slosování. </w:t>
      </w:r>
      <w:r w:rsidRPr="004C0AB8">
        <w:t>Ministerstvo financí shled</w:t>
      </w:r>
      <w:r w:rsidR="009D78E0">
        <w:t xml:space="preserve">ává tento způsob úhrady sázky </w:t>
      </w:r>
      <w:r w:rsidRPr="004C0AB8">
        <w:t>v souladu se zákonem o hazardních hrách a za okamžik uzavření takové sázky považuje okamžik, kdy j</w:t>
      </w:r>
      <w:r w:rsidR="00841D9F">
        <w:t>e sázka skutečně uhrazena, tedy </w:t>
      </w:r>
      <w:r w:rsidR="00F27101">
        <w:t>okamžik</w:t>
      </w:r>
      <w:r w:rsidRPr="004C0AB8">
        <w:t xml:space="preserve"> odečtení částky z uživatelského konta.</w:t>
      </w:r>
    </w:p>
    <w:p w14:paraId="6745EA44" w14:textId="4D3B795E" w:rsidR="00CE5920" w:rsidRDefault="00C23581" w:rsidP="00893738">
      <w:r w:rsidRPr="00B16089">
        <w:t>V případě technických hazardních her lze využití obdobného principu vidět u</w:t>
      </w:r>
      <w:r w:rsidR="00DF3FFE">
        <w:t> </w:t>
      </w:r>
      <w:r>
        <w:t xml:space="preserve">hojně využívané automatické hry </w:t>
      </w:r>
      <w:r w:rsidRPr="00B16089">
        <w:t>tzv. autospinu</w:t>
      </w:r>
      <w:r w:rsidR="009D78E0">
        <w:t xml:space="preserve">. Zde </w:t>
      </w:r>
      <w:r w:rsidRPr="00B16089">
        <w:t xml:space="preserve">účastník hazardní hry může projevit vůli účastnit se několika desítek sázek za </w:t>
      </w:r>
      <w:r>
        <w:t xml:space="preserve">sebou s odkládací podmínkou, že </w:t>
      </w:r>
      <w:r w:rsidRPr="00B16089">
        <w:t>autospin nezastaví nebo mu nedojdou peněžní prostře</w:t>
      </w:r>
      <w:r w:rsidR="003E3D23">
        <w:t xml:space="preserve">dky na uživatelském kontě. </w:t>
      </w:r>
      <w:r w:rsidR="00841D9F">
        <w:t>Také </w:t>
      </w:r>
      <w:r w:rsidRPr="00B16089">
        <w:t>v tomto případě tak dochází k tomu, že po projevu vůle účastnit se hazardní hry následuje časový interval s možností dále nekonat a uzavřít sázku, nebo si sázku rozmyslet.</w:t>
      </w:r>
    </w:p>
    <w:p w14:paraId="2CFF35AD" w14:textId="77777777" w:rsidR="00C23581" w:rsidRDefault="00C23581" w:rsidP="00937B7A">
      <w:pPr>
        <w:pStyle w:val="Nadpis7"/>
      </w:pPr>
      <w:r>
        <w:t>Varianta I. – Zachování současného stavu</w:t>
      </w:r>
    </w:p>
    <w:p w14:paraId="55BAEDE9" w14:textId="77777777" w:rsidR="00C23581" w:rsidRDefault="00C23581" w:rsidP="00893738">
      <w:r>
        <w:t>Výhody:</w:t>
      </w:r>
    </w:p>
    <w:p w14:paraId="7F45E918" w14:textId="35AD87A9" w:rsidR="00C23581" w:rsidRDefault="00C23581" w:rsidP="00893738">
      <w:r w:rsidRPr="00647BFD">
        <w:t xml:space="preserve">Tento způsob </w:t>
      </w:r>
      <w:r>
        <w:t xml:space="preserve">„odložení“ </w:t>
      </w:r>
      <w:r w:rsidRPr="00647BFD">
        <w:t xml:space="preserve">úhrady </w:t>
      </w:r>
      <w:r>
        <w:t>sázky lze shledat v souladu se zákonem o </w:t>
      </w:r>
      <w:r w:rsidRPr="00647BFD">
        <w:t xml:space="preserve">hazardních hrách, na obdobném principu je založena úhrada dnes již běžně povolovaného tzv. autospinu. </w:t>
      </w:r>
      <w:r w:rsidR="00D136E2">
        <w:t>Lze</w:t>
      </w:r>
      <w:r>
        <w:t xml:space="preserve"> řešit výkl</w:t>
      </w:r>
      <w:r w:rsidR="00DF3FFE">
        <w:t>adem stávajícího znění zákona o </w:t>
      </w:r>
      <w:r>
        <w:t>hazardních hrách.</w:t>
      </w:r>
    </w:p>
    <w:p w14:paraId="380C3BAD" w14:textId="77777777" w:rsidR="00C23581" w:rsidRDefault="00C23581" w:rsidP="00893738">
      <w:r>
        <w:t>Nevýhody:</w:t>
      </w:r>
    </w:p>
    <w:p w14:paraId="485A1C5C" w14:textId="263A3464" w:rsidR="00C23581" w:rsidRDefault="00355D41" w:rsidP="00893738">
      <w:r>
        <w:t>Účastník hazardní hry</w:t>
      </w:r>
      <w:r w:rsidRPr="00647BFD">
        <w:t xml:space="preserve"> </w:t>
      </w:r>
      <w:r w:rsidR="00C23581" w:rsidRPr="00647BFD">
        <w:t>může ztrácet přehled o svých peněžních prostředcích, tato skutečnost je ještě více markantní v okamžiku, kdy by si sázející nastavil automatické dobíjení uživatelského konta ze své platební karty</w:t>
      </w:r>
      <w:r w:rsidR="00C23581">
        <w:t xml:space="preserve"> nebo ze svého platebního účtu.</w:t>
      </w:r>
    </w:p>
    <w:p w14:paraId="43FEDE52" w14:textId="0A5A5CDD" w:rsidR="00C23581" w:rsidRDefault="00C23581" w:rsidP="00937B7A">
      <w:pPr>
        <w:pStyle w:val="Nadpis7"/>
      </w:pPr>
      <w:r>
        <w:t>Varianta II. – Změna zákona o hazardních hrách</w:t>
      </w:r>
      <w:r w:rsidR="00D57EF6">
        <w:t xml:space="preserve"> – nastavení podmínek pro využívání trvalého příkazu/autospinu</w:t>
      </w:r>
    </w:p>
    <w:p w14:paraId="23A3D505" w14:textId="77777777" w:rsidR="00C23581" w:rsidRDefault="00C23581" w:rsidP="00893738">
      <w:r>
        <w:t>Výhody:</w:t>
      </w:r>
    </w:p>
    <w:p w14:paraId="5F2FE380" w14:textId="6317A6FE" w:rsidR="00C23581" w:rsidRDefault="00C23581" w:rsidP="00893738">
      <w:r w:rsidRPr="004D0E45">
        <w:t>Změnou zákona o hazardních hrách by mohlo dojít k</w:t>
      </w:r>
      <w:r w:rsidR="00D136E2">
        <w:t xml:space="preserve"> nastavení limitů pro sázení na </w:t>
      </w:r>
      <w:r w:rsidRPr="004D0E45">
        <w:t xml:space="preserve">neomezené množství hazardních her v budoucnu (např. pouze na omezené množství her, </w:t>
      </w:r>
      <w:r>
        <w:t xml:space="preserve">do omezené výše peněžní částky), došlo by tak k vyššímu zajištění </w:t>
      </w:r>
      <w:r w:rsidR="00D37D32">
        <w:t>standardu boje proti patologickému hráčství</w:t>
      </w:r>
      <w:r>
        <w:t>.</w:t>
      </w:r>
    </w:p>
    <w:p w14:paraId="4B3798AA" w14:textId="77777777" w:rsidR="00C23581" w:rsidRDefault="00C23581" w:rsidP="00893738">
      <w:r>
        <w:t>Nevýhody:</w:t>
      </w:r>
    </w:p>
    <w:p w14:paraId="2EE89291" w14:textId="4A3F9614" w:rsidR="00C23581" w:rsidRDefault="00C23581" w:rsidP="00893738">
      <w:pPr>
        <w:rPr>
          <w:rFonts w:cs="Arial"/>
        </w:rPr>
      </w:pPr>
      <w:r>
        <w:rPr>
          <w:rFonts w:cs="Arial"/>
        </w:rPr>
        <w:t>Používání</w:t>
      </w:r>
      <w:r w:rsidRPr="00B16089">
        <w:rPr>
          <w:rFonts w:cs="Arial"/>
        </w:rPr>
        <w:t xml:space="preserve"> </w:t>
      </w:r>
      <w:r>
        <w:rPr>
          <w:rFonts w:cs="Arial"/>
        </w:rPr>
        <w:t xml:space="preserve">trvalého příkazu a </w:t>
      </w:r>
      <w:r w:rsidR="00D136E2">
        <w:rPr>
          <w:rFonts w:cs="Arial"/>
        </w:rPr>
        <w:t xml:space="preserve">tzv. </w:t>
      </w:r>
      <w:r>
        <w:rPr>
          <w:rFonts w:cs="Arial"/>
        </w:rPr>
        <w:t xml:space="preserve">autospinu </w:t>
      </w:r>
      <w:r w:rsidRPr="00B16089">
        <w:rPr>
          <w:rFonts w:cs="Arial"/>
        </w:rPr>
        <w:t>je běžné i v okolních zemích</w:t>
      </w:r>
      <w:r>
        <w:rPr>
          <w:rFonts w:cs="Arial"/>
        </w:rPr>
        <w:t xml:space="preserve"> a omezení těchto forem by v konečném důsledku mohlo vést k</w:t>
      </w:r>
      <w:r w:rsidR="006E155B">
        <w:rPr>
          <w:rFonts w:cs="Arial"/>
        </w:rPr>
        <w:t>e zvýšení poptávky</w:t>
      </w:r>
      <w:r>
        <w:rPr>
          <w:rFonts w:cs="Arial"/>
        </w:rPr>
        <w:t xml:space="preserve"> sázejících </w:t>
      </w:r>
      <w:r w:rsidR="006E155B">
        <w:rPr>
          <w:rFonts w:cs="Arial"/>
        </w:rPr>
        <w:t>např. u nelegálních provozovatelů</w:t>
      </w:r>
      <w:r>
        <w:rPr>
          <w:rFonts w:cs="Arial"/>
        </w:rPr>
        <w:t>.</w:t>
      </w:r>
    </w:p>
    <w:p w14:paraId="7C6712EC" w14:textId="77777777" w:rsidR="00C23581" w:rsidRPr="006C7BA9" w:rsidRDefault="00C23581" w:rsidP="00937B7A">
      <w:pPr>
        <w:pStyle w:val="Nadpis7"/>
      </w:pPr>
      <w:r w:rsidRPr="006C7BA9">
        <w:t xml:space="preserve">Hodnocení variant </w:t>
      </w:r>
    </w:p>
    <w:p w14:paraId="194DDBF3" w14:textId="19A5D22A" w:rsidR="00C23581" w:rsidRPr="0057048B" w:rsidRDefault="00C23581" w:rsidP="00893738">
      <w:pPr>
        <w:rPr>
          <w:highlight w:val="red"/>
        </w:rPr>
      </w:pPr>
      <w:r w:rsidRPr="00D82347">
        <w:t xml:space="preserve">V případě, že zůstane zachován současný stav, bude možné </w:t>
      </w:r>
      <w:r>
        <w:t xml:space="preserve">schvalovat v herních plánech </w:t>
      </w:r>
      <w:r w:rsidRPr="00D82347">
        <w:t>tzv. autospin nebo uzavírání sázek formou trvalého příkaz</w:t>
      </w:r>
      <w:r>
        <w:t>u</w:t>
      </w:r>
      <w:r w:rsidRPr="00D82347">
        <w:t>. Ministerstvu</w:t>
      </w:r>
      <w:r>
        <w:t xml:space="preserve"> financí</w:t>
      </w:r>
      <w:r w:rsidRPr="00D82347">
        <w:t xml:space="preserve"> se jeví </w:t>
      </w:r>
      <w:r>
        <w:t xml:space="preserve">jako </w:t>
      </w:r>
      <w:r w:rsidRPr="00D82347">
        <w:t>rizikové hrazení sázek</w:t>
      </w:r>
      <w:r>
        <w:t xml:space="preserve"> těmito odloženými formami</w:t>
      </w:r>
      <w:r w:rsidRPr="00D82347">
        <w:t xml:space="preserve">, neboť sázející může ztrácet povědomí o tom, kolik peněz prosází, nejsou nastaveny žádné zákonné limity. </w:t>
      </w:r>
      <w:r>
        <w:t>Jako p</w:t>
      </w:r>
      <w:r w:rsidRPr="00D82347">
        <w:t>roblematické se to jeví zvláště u</w:t>
      </w:r>
      <w:r>
        <w:t xml:space="preserve"> některých druhů</w:t>
      </w:r>
      <w:r w:rsidRPr="00D82347">
        <w:t xml:space="preserve"> loterií, které se v důsledku vývoje stávají stále rychlejšími (slosování probíhá i několikrát do hodiny). Stejně tak využívání tzv. autospinu u technických her může narážet na snahu chránit společnost před závislostí na hazardních hrách, </w:t>
      </w:r>
      <w:r w:rsidR="00D136E2">
        <w:t>neboť</w:t>
      </w:r>
      <w:r w:rsidRPr="00D82347">
        <w:t xml:space="preserve"> tyto hry jsou opět velmi rychlé</w:t>
      </w:r>
      <w:r>
        <w:t xml:space="preserve"> (minimální možná délka jedné hry může být v </w:t>
      </w:r>
      <w:r w:rsidR="00841D9F">
        <w:t>souladu s § 50 odst. 2 zákona o </w:t>
      </w:r>
      <w:r>
        <w:t xml:space="preserve">hazardních hrách pouhé 2 vteřiny, což fakticky znemožňuje okamžité zastavení </w:t>
      </w:r>
      <w:r w:rsidR="003E3D23">
        <w:t>tzv. </w:t>
      </w:r>
      <w:r>
        <w:t xml:space="preserve">autospinu). </w:t>
      </w:r>
      <w:r w:rsidRPr="00C6698A">
        <w:t xml:space="preserve">Změnou zákona o hazardních hrách by bylo možno nastavit určité limity pro využívání trvalého příkazu, </w:t>
      </w:r>
      <w:r w:rsidR="00D136E2">
        <w:t xml:space="preserve">tzv. </w:t>
      </w:r>
      <w:r w:rsidRPr="00C6698A">
        <w:t>autospinu</w:t>
      </w:r>
      <w:r w:rsidR="00D136E2">
        <w:t>,</w:t>
      </w:r>
      <w:r w:rsidRPr="00C6698A">
        <w:t xml:space="preserve"> resp. obdobné formy</w:t>
      </w:r>
      <w:r w:rsidR="00841D9F">
        <w:t xml:space="preserve"> sázení u </w:t>
      </w:r>
      <w:r w:rsidR="00E95AF3">
        <w:t>jiných hazardních her. P</w:t>
      </w:r>
      <w:r w:rsidRPr="00C6698A">
        <w:t xml:space="preserve">okud by mělo být přistoupeno k vyšší míře ochrany sázejících, tak by byla varianta II. </w:t>
      </w:r>
      <w:r w:rsidR="00E95AF3">
        <w:t>p</w:t>
      </w:r>
      <w:r w:rsidRPr="00C6698A">
        <w:t>ovažována za nejvhodnější.</w:t>
      </w:r>
    </w:p>
    <w:p w14:paraId="5AFBC8A0" w14:textId="77777777" w:rsidR="00C23581" w:rsidRDefault="00C23581" w:rsidP="007029FF">
      <w:pPr>
        <w:pStyle w:val="Nadpis6"/>
      </w:pPr>
      <w:bookmarkStart w:id="16" w:name="_Toc73604711"/>
      <w:r>
        <w:t>Provozování charitativní hazardní hry</w:t>
      </w:r>
      <w:bookmarkEnd w:id="16"/>
    </w:p>
    <w:p w14:paraId="084C89AE" w14:textId="4E96733A" w:rsidR="00C23581" w:rsidRPr="00B16089" w:rsidRDefault="00C23581" w:rsidP="00893738">
      <w:r w:rsidRPr="00B16089">
        <w:t xml:space="preserve">Zákon o hazardních hrách v současném znění neobsahuje definici charitativních </w:t>
      </w:r>
      <w:r>
        <w:t>hazardních her</w:t>
      </w:r>
      <w:r w:rsidRPr="00B16089">
        <w:t xml:space="preserve">. Co se považuje za hazardní hru </w:t>
      </w:r>
      <w:r w:rsidR="00E95AF3">
        <w:t xml:space="preserve">podle </w:t>
      </w:r>
      <w:r w:rsidR="007461EC">
        <w:t>zákona o hazardních hrách</w:t>
      </w:r>
      <w:r w:rsidRPr="00B16089">
        <w:t>, definuje § 3 odst. 2 zákona o</w:t>
      </w:r>
      <w:r>
        <w:t> hazardních hrách</w:t>
      </w:r>
      <w:r w:rsidRPr="00B16089">
        <w:t xml:space="preserve">. V souladu s tímto ustanovením by právnická osoba mohla provozovat hazardní hru, kdy bude vykazovat zisk, avšak část zisku předá na dobročinné účely. V takovém případě však nepůjde o charitativní </w:t>
      </w:r>
      <w:r>
        <w:t>hazardní hry</w:t>
      </w:r>
      <w:r w:rsidR="00C25248">
        <w:t>.</w:t>
      </w:r>
      <w:r>
        <w:t xml:space="preserve"> </w:t>
      </w:r>
      <w:r w:rsidR="00C25248">
        <w:t>P</w:t>
      </w:r>
      <w:r>
        <w:t xml:space="preserve">rovozování </w:t>
      </w:r>
      <w:r w:rsidR="00C25248">
        <w:t xml:space="preserve">charitativní hazardní hry </w:t>
      </w:r>
      <w:r>
        <w:t>zákon o hazardních hrách výslovně neupravuje, nestanovuje tedy</w:t>
      </w:r>
      <w:r w:rsidRPr="00B16089">
        <w:t xml:space="preserve">, co se považuje </w:t>
      </w:r>
      <w:r w:rsidR="00B64F2A">
        <w:t xml:space="preserve">za dobročinné účely, kdo </w:t>
      </w:r>
      <w:r w:rsidRPr="00B16089">
        <w:t xml:space="preserve">může provozovat takovýto druh </w:t>
      </w:r>
      <w:r>
        <w:t>hazardní hry</w:t>
      </w:r>
      <w:r w:rsidRPr="00B16089">
        <w:t xml:space="preserve"> apod. </w:t>
      </w:r>
      <w:r w:rsidR="00C25248">
        <w:t>P</w:t>
      </w:r>
      <w:r w:rsidRPr="00B16089">
        <w:t xml:space="preserve">řestože by právnická osoba mohla mít zájem provozovat charitativní </w:t>
      </w:r>
      <w:r>
        <w:t>hazardní hry, musí dle stávajícího znění právní úpravy</w:t>
      </w:r>
      <w:r w:rsidRPr="00B16089">
        <w:t xml:space="preserve"> splňovat stejná </w:t>
      </w:r>
      <w:r>
        <w:t xml:space="preserve">přísná </w:t>
      </w:r>
      <w:r w:rsidRPr="00B16089">
        <w:t>kritéria jako ostatní provozovatelé hazardních her (zejména pokud se jedná o výši vlastních zdrojů,</w:t>
      </w:r>
      <w:r w:rsidR="00841D9F">
        <w:t xml:space="preserve"> skládání</w:t>
      </w:r>
      <w:r w:rsidR="00B64F2A">
        <w:t xml:space="preserve"> kaucí a podobně), což </w:t>
      </w:r>
      <w:r w:rsidRPr="00B16089">
        <w:t xml:space="preserve">může značnou část právnických osob </w:t>
      </w:r>
      <w:r>
        <w:t xml:space="preserve">od takového provozování hazardních her </w:t>
      </w:r>
      <w:r w:rsidRPr="00B16089">
        <w:t>odrazovat</w:t>
      </w:r>
      <w:r>
        <w:t xml:space="preserve"> či jim znemožňovat</w:t>
      </w:r>
      <w:r w:rsidRPr="00B16089">
        <w:t xml:space="preserve">. </w:t>
      </w:r>
      <w:r>
        <w:t>V současné době jsou provozovány charitativní hazardní hry ve formě tombol s herní jistinou nižší než 100 000 Kč, které nepodléhají ohlašování.</w:t>
      </w:r>
    </w:p>
    <w:p w14:paraId="7B4A8CBB" w14:textId="77777777" w:rsidR="00C23581" w:rsidRDefault="00C23581" w:rsidP="00937B7A">
      <w:pPr>
        <w:pStyle w:val="Nadpis7"/>
      </w:pPr>
      <w:r>
        <w:t>Varianta I. – Zachování současného stavu</w:t>
      </w:r>
    </w:p>
    <w:p w14:paraId="7605EECC" w14:textId="77777777" w:rsidR="00C23581" w:rsidRDefault="00C23581" w:rsidP="00A24288">
      <w:r>
        <w:t>Výhody:</w:t>
      </w:r>
    </w:p>
    <w:p w14:paraId="5CA6F487" w14:textId="77777777" w:rsidR="00C23581" w:rsidRDefault="00C23581" w:rsidP="00A24288">
      <w:r>
        <w:t>Charitativní hazardní hry lze provozovat ve formě tombol.</w:t>
      </w:r>
    </w:p>
    <w:p w14:paraId="0BFFD8F4" w14:textId="77777777" w:rsidR="00C23581" w:rsidRDefault="00C23581" w:rsidP="00A24288">
      <w:r>
        <w:t>Nevýhody:</w:t>
      </w:r>
    </w:p>
    <w:p w14:paraId="7132D06B" w14:textId="0A57C1FD" w:rsidR="00C23581" w:rsidRDefault="00C23581" w:rsidP="00A24288">
      <w:r>
        <w:t xml:space="preserve">Nelze provozovat čistě charitativní hazardní hry, </w:t>
      </w:r>
      <w:r w:rsidR="00C25248">
        <w:t xml:space="preserve">u nichž </w:t>
      </w:r>
      <w:r>
        <w:t xml:space="preserve">by právnické osoby provozující </w:t>
      </w:r>
      <w:r w:rsidR="007461EC">
        <w:t xml:space="preserve">např. </w:t>
      </w:r>
      <w:r>
        <w:t>loterie</w:t>
      </w:r>
      <w:r w:rsidR="00C25248">
        <w:t>,</w:t>
      </w:r>
      <w:r>
        <w:t xml:space="preserve"> měly určité zvýhodněné postavení oproti ostatním provozovatelům hazardních her.</w:t>
      </w:r>
    </w:p>
    <w:p w14:paraId="45729986" w14:textId="689D6023" w:rsidR="00C23581" w:rsidRDefault="00C23581" w:rsidP="00937B7A">
      <w:pPr>
        <w:pStyle w:val="Nadpis7"/>
      </w:pPr>
      <w:r>
        <w:t>Varianta II. – Změna zákona o hazardních hrách</w:t>
      </w:r>
      <w:r w:rsidR="00326224">
        <w:t xml:space="preserve"> – zakotvení charitativních hazardních her</w:t>
      </w:r>
    </w:p>
    <w:p w14:paraId="58787EDF" w14:textId="77777777" w:rsidR="00C23581" w:rsidRDefault="00C23581" w:rsidP="00A24288">
      <w:r>
        <w:t>Výhody:</w:t>
      </w:r>
    </w:p>
    <w:p w14:paraId="21A81F02" w14:textId="619BC016" w:rsidR="00C23581" w:rsidRDefault="00C23581" w:rsidP="00A24288">
      <w:r>
        <w:t>Výslovným podřazením charitativních hazardních her pod zákon o hazardních hrách by došlo k</w:t>
      </w:r>
      <w:r w:rsidR="007461EC">
        <w:t>e</w:t>
      </w:r>
      <w:r>
        <w:t xml:space="preserve"> </w:t>
      </w:r>
      <w:r w:rsidR="007461EC">
        <w:t>změně</w:t>
      </w:r>
      <w:r>
        <w:t xml:space="preserve"> současného stavu, kdy tyto haz</w:t>
      </w:r>
      <w:r w:rsidR="00841D9F">
        <w:t>ardní hry buď provozovat lze ve </w:t>
      </w:r>
      <w:r>
        <w:t xml:space="preserve">velmi omezené míře (charitativní tomboly s herní jistinou nižší než 100 000 Kč), nebo jen v určité podobě, která neodpovídá smyslu a účelu charitativních hazardních her, jak jsou v obecném smyslu chápány. </w:t>
      </w:r>
      <w:r w:rsidR="00C25248">
        <w:t xml:space="preserve">V jiných zemích, např. Slovensku, jsou standardně provozovány charitativní hazardní hry formou charitativní loterie. </w:t>
      </w:r>
      <w:r>
        <w:t>Slovensk</w:t>
      </w:r>
      <w:r w:rsidR="002B6979">
        <w:t xml:space="preserve">á právní úprava </w:t>
      </w:r>
      <w:r>
        <w:t xml:space="preserve">vymezuje v § 6 </w:t>
      </w:r>
      <w:r w:rsidR="002B6979">
        <w:t xml:space="preserve">slovenského zákona o hazardných hrách </w:t>
      </w:r>
      <w:r>
        <w:t>pojem charitativních loterií. Dle tohoto ustanovení se výnos z provozování charitativní loterie musí použit na účel stanovený zvláštní</w:t>
      </w:r>
      <w:r w:rsidR="00B64F2A">
        <w:t xml:space="preserve">m právním předpisem. Podle </w:t>
      </w:r>
      <w:r w:rsidR="00841D9F">
        <w:t>§ 35 </w:t>
      </w:r>
      <w:r>
        <w:t xml:space="preserve">písm. b) bod 3 </w:t>
      </w:r>
      <w:r w:rsidR="002B6979">
        <w:t xml:space="preserve">slovenského </w:t>
      </w:r>
      <w:r>
        <w:t>zákona o hazardn</w:t>
      </w:r>
      <w:r w:rsidR="002B6979">
        <w:t>ý</w:t>
      </w:r>
      <w:r>
        <w:t xml:space="preserve">ch hrách se vydává k provozování této loterie individuální licence na provozování charitativní loterie. </w:t>
      </w:r>
      <w:r w:rsidR="00841D9F">
        <w:t>V § </w:t>
      </w:r>
      <w:r>
        <w:t xml:space="preserve">43 </w:t>
      </w:r>
      <w:r w:rsidR="002B6979">
        <w:t xml:space="preserve">slovenského </w:t>
      </w:r>
      <w:r>
        <w:t>zákona o hazardn</w:t>
      </w:r>
      <w:r w:rsidR="002B6979">
        <w:t>ý</w:t>
      </w:r>
      <w:r>
        <w:t>ch hrách</w:t>
      </w:r>
      <w:r w:rsidR="002B6979">
        <w:t xml:space="preserve"> se</w:t>
      </w:r>
      <w:r>
        <w:t xml:space="preserve"> pak vymezuje subjekt, kterému může být takováto licence vydána. Konkrétně mohou tyto loterie provozovat pouze nadace a zájmová sdružení se sídlem na území Slo</w:t>
      </w:r>
      <w:r w:rsidR="00DF3FFE">
        <w:t>venské republiky. Jak vyplývá z </w:t>
      </w:r>
      <w:r>
        <w:t xml:space="preserve">důvodové zprávy k tomuto zákonu, přistoupil zákonodárce k omezení subjektů provozujících charitativní loterie, aby byla zabezpečena kontrola plnění veřejně prospěšného účelu. Zároveň představují nadace subjekty, jejichž hlavním </w:t>
      </w:r>
      <w:r w:rsidR="00A8041E">
        <w:t>účelem je zhodnocovat majetek a </w:t>
      </w:r>
      <w:r>
        <w:t>poskytovat ho na veřejně prospěšné účely.</w:t>
      </w:r>
    </w:p>
    <w:p w14:paraId="49BA5C14" w14:textId="797358C3" w:rsidR="00C23581" w:rsidRDefault="00C23581" w:rsidP="007461EC">
      <w:pPr>
        <w:keepNext/>
      </w:pPr>
      <w:r>
        <w:t>Nevýhody:</w:t>
      </w:r>
    </w:p>
    <w:p w14:paraId="0D6B48A1" w14:textId="77777777" w:rsidR="00C23581" w:rsidRPr="00A37129" w:rsidRDefault="00C23581" w:rsidP="00A24288">
      <w:r>
        <w:rPr>
          <w:rFonts w:cs="Arial"/>
        </w:rPr>
        <w:t>Riziko vzniku účelově založených spolků, kterým bude zisk z těchto charitativních hazardních her určen.</w:t>
      </w:r>
    </w:p>
    <w:p w14:paraId="67CE0866" w14:textId="77777777" w:rsidR="00C23581" w:rsidRPr="006C7BA9" w:rsidRDefault="00C23581" w:rsidP="00937B7A">
      <w:pPr>
        <w:pStyle w:val="Nadpis7"/>
      </w:pPr>
      <w:r w:rsidRPr="006C7BA9">
        <w:t xml:space="preserve">Hodnocení variant </w:t>
      </w:r>
    </w:p>
    <w:p w14:paraId="66252EEF" w14:textId="23DBD5D6" w:rsidR="00C23581" w:rsidRDefault="00C23581" w:rsidP="00A24288">
      <w:pPr>
        <w:rPr>
          <w:rFonts w:cs="Arial"/>
        </w:rPr>
      </w:pPr>
      <w:r w:rsidRPr="00A37129">
        <w:t>Charitativní hazardní hry jsou ve světě běžné</w:t>
      </w:r>
      <w:r w:rsidR="007461EC">
        <w:t xml:space="preserve">, navíc </w:t>
      </w:r>
      <w:r w:rsidRPr="00A37129">
        <w:t>směřován</w:t>
      </w:r>
      <w:r w:rsidR="002B6979">
        <w:t>í veškerého zisku</w:t>
      </w:r>
      <w:r w:rsidRPr="00A37129">
        <w:t xml:space="preserve"> na</w:t>
      </w:r>
      <w:r w:rsidR="00BC6F28">
        <w:t> </w:t>
      </w:r>
      <w:r w:rsidRPr="00A37129">
        <w:t>veřejně prospěšné účely</w:t>
      </w:r>
      <w:r w:rsidR="002B6979">
        <w:t xml:space="preserve"> zmírňuje </w:t>
      </w:r>
      <w:r w:rsidR="007461EC">
        <w:t>celospolečensk</w:t>
      </w:r>
      <w:r w:rsidR="002B6979">
        <w:t>é</w:t>
      </w:r>
      <w:r w:rsidR="007461EC">
        <w:t xml:space="preserve"> negativní dopad</w:t>
      </w:r>
      <w:r w:rsidR="002B6979">
        <w:t>y</w:t>
      </w:r>
      <w:r w:rsidR="007461EC">
        <w:t xml:space="preserve"> hazardních her</w:t>
      </w:r>
      <w:r w:rsidRPr="00A37129">
        <w:t xml:space="preserve">. Zákon o hazardních hrách neupravuje charitativní hazardní hry a fakticky jsou provozovány pouze ve formě tombol s herní jistinou pod 100 000 Kč. Není možné provozování jiných </w:t>
      </w:r>
      <w:r w:rsidR="00BC6F28">
        <w:t xml:space="preserve">(v zahraničí) </w:t>
      </w:r>
      <w:r w:rsidRPr="00A37129">
        <w:t>běžných forem charitativních hazardních her.</w:t>
      </w:r>
      <w:r>
        <w:t xml:space="preserve"> </w:t>
      </w:r>
      <w:r>
        <w:rPr>
          <w:rFonts w:cs="Arial"/>
        </w:rPr>
        <w:t>Změna zákona o </w:t>
      </w:r>
      <w:r w:rsidRPr="00B16089">
        <w:rPr>
          <w:rFonts w:cs="Arial"/>
        </w:rPr>
        <w:t xml:space="preserve">hazardních hrách ve formě doplnění charitativních </w:t>
      </w:r>
      <w:r>
        <w:rPr>
          <w:rFonts w:cs="Arial"/>
        </w:rPr>
        <w:t xml:space="preserve">hazardních her </w:t>
      </w:r>
      <w:r w:rsidRPr="00B16089">
        <w:rPr>
          <w:rFonts w:cs="Arial"/>
        </w:rPr>
        <w:t xml:space="preserve">by přinesla možnost státem regulovaného provozování charitativních </w:t>
      </w:r>
      <w:r>
        <w:rPr>
          <w:rFonts w:cs="Arial"/>
        </w:rPr>
        <w:t xml:space="preserve">hazardních </w:t>
      </w:r>
      <w:r w:rsidRPr="00B16089">
        <w:rPr>
          <w:rFonts w:cs="Arial"/>
        </w:rPr>
        <w:t>her.</w:t>
      </w:r>
    </w:p>
    <w:p w14:paraId="3B8666A8" w14:textId="433885C4" w:rsidR="00C23581" w:rsidRPr="00A37129" w:rsidRDefault="007461EC" w:rsidP="00A24288">
      <w:r>
        <w:rPr>
          <w:rFonts w:cs="Arial"/>
        </w:rPr>
        <w:t>Pro případnou změnu v této oblasti by bylo nutné podrobněji analyzovat potenciální dopady a rizika případných úprav.</w:t>
      </w:r>
      <w:r w:rsidRPr="00FA13BC">
        <w:rPr>
          <w:rFonts w:cs="Arial"/>
        </w:rPr>
        <w:t xml:space="preserve"> </w:t>
      </w:r>
      <w:r w:rsidR="002C697B">
        <w:rPr>
          <w:rFonts w:cs="Arial"/>
        </w:rPr>
        <w:t>Bylo by</w:t>
      </w:r>
      <w:r w:rsidR="002C697B" w:rsidRPr="00FA13BC">
        <w:rPr>
          <w:rFonts w:cs="Arial"/>
        </w:rPr>
        <w:t xml:space="preserve"> </w:t>
      </w:r>
      <w:r w:rsidR="00C23581" w:rsidRPr="00FA13BC">
        <w:rPr>
          <w:rFonts w:cs="Arial"/>
        </w:rPr>
        <w:t>nezbytné vymez</w:t>
      </w:r>
      <w:r w:rsidR="00BC6F28">
        <w:rPr>
          <w:rFonts w:cs="Arial"/>
        </w:rPr>
        <w:t>it</w:t>
      </w:r>
      <w:r w:rsidR="00C23581" w:rsidRPr="00FA13BC">
        <w:rPr>
          <w:rFonts w:cs="Arial"/>
        </w:rPr>
        <w:t xml:space="preserve"> subjekt, který by mohl charitativní hazardní hru provozovat, </w:t>
      </w:r>
      <w:r>
        <w:rPr>
          <w:rFonts w:cs="Arial"/>
        </w:rPr>
        <w:t>urč</w:t>
      </w:r>
      <w:r w:rsidR="00BC6F28">
        <w:rPr>
          <w:rFonts w:cs="Arial"/>
        </w:rPr>
        <w:t>it</w:t>
      </w:r>
      <w:r>
        <w:rPr>
          <w:rFonts w:cs="Arial"/>
        </w:rPr>
        <w:t xml:space="preserve">, </w:t>
      </w:r>
      <w:r w:rsidR="00C23581" w:rsidRPr="00FA13BC">
        <w:rPr>
          <w:rFonts w:cs="Arial"/>
        </w:rPr>
        <w:t>které hazardní hry by bylo možno provozovat jako charitativní (nabízí se číselné loterie, okamžité loterie, věcné loterie, tomboly, bingo</w:t>
      </w:r>
      <w:r w:rsidR="00C23581">
        <w:rPr>
          <w:rFonts w:cs="Arial"/>
        </w:rPr>
        <w:t>)</w:t>
      </w:r>
      <w:r w:rsidR="00BC6F28">
        <w:rPr>
          <w:rFonts w:cs="Arial"/>
        </w:rPr>
        <w:t xml:space="preserve"> a</w:t>
      </w:r>
      <w:r w:rsidR="00C23581">
        <w:rPr>
          <w:rFonts w:cs="Arial"/>
        </w:rPr>
        <w:t xml:space="preserve"> </w:t>
      </w:r>
      <w:r w:rsidR="00BC6F28">
        <w:rPr>
          <w:rFonts w:cs="Arial"/>
        </w:rPr>
        <w:t>upravit</w:t>
      </w:r>
      <w:r w:rsidR="00C23581">
        <w:rPr>
          <w:rFonts w:cs="Arial"/>
        </w:rPr>
        <w:t xml:space="preserve"> povolovací proces. Právní úpravu by bylo možné navázat na zákon </w:t>
      </w:r>
      <w:r w:rsidR="00BC6F28">
        <w:rPr>
          <w:rFonts w:cs="Arial"/>
        </w:rPr>
        <w:t>č. 117/2001 Sb., o veřejných sbírkách</w:t>
      </w:r>
      <w:r w:rsidR="00841D9F">
        <w:rPr>
          <w:rFonts w:cs="Arial"/>
        </w:rPr>
        <w:t xml:space="preserve"> a o změně některých zákonů, ve </w:t>
      </w:r>
      <w:r w:rsidR="00BC6F28">
        <w:rPr>
          <w:rFonts w:cs="Arial"/>
        </w:rPr>
        <w:t>znění pozdějších předpisů</w:t>
      </w:r>
      <w:r w:rsidR="00C23581">
        <w:rPr>
          <w:rFonts w:cs="Arial"/>
        </w:rPr>
        <w:t xml:space="preserve">. </w:t>
      </w:r>
      <w:r w:rsidR="00BC6F28">
        <w:rPr>
          <w:rFonts w:cs="Arial"/>
        </w:rPr>
        <w:t>Dále by bylo nutné se zabývat i </w:t>
      </w:r>
      <w:r w:rsidR="00C23581">
        <w:rPr>
          <w:rFonts w:cs="Arial"/>
        </w:rPr>
        <w:t>otázkou</w:t>
      </w:r>
      <w:r w:rsidR="00841D9F">
        <w:rPr>
          <w:rFonts w:cs="Arial"/>
        </w:rPr>
        <w:t xml:space="preserve"> požadavků na </w:t>
      </w:r>
      <w:r>
        <w:rPr>
          <w:rFonts w:cs="Arial"/>
        </w:rPr>
        <w:t>provozovatele a</w:t>
      </w:r>
      <w:r w:rsidR="00C23581">
        <w:rPr>
          <w:rFonts w:cs="Arial"/>
        </w:rPr>
        <w:t xml:space="preserve"> </w:t>
      </w:r>
      <w:r w:rsidR="00BC6F28">
        <w:rPr>
          <w:rFonts w:cs="Arial"/>
        </w:rPr>
        <w:t xml:space="preserve">otázkou </w:t>
      </w:r>
      <w:r w:rsidR="00C23581">
        <w:rPr>
          <w:rFonts w:cs="Arial"/>
        </w:rPr>
        <w:t>daně</w:t>
      </w:r>
      <w:r w:rsidR="00C23581" w:rsidRPr="00FA13BC">
        <w:rPr>
          <w:rFonts w:cs="Arial"/>
        </w:rPr>
        <w:t xml:space="preserve"> z charitativní hazardní hry (nabízí se varianta, </w:t>
      </w:r>
      <w:r w:rsidR="00BC6F28">
        <w:rPr>
          <w:rFonts w:cs="Arial"/>
        </w:rPr>
        <w:t>že by se odvádělo</w:t>
      </w:r>
      <w:r w:rsidR="00C23581" w:rsidRPr="00FA13BC">
        <w:rPr>
          <w:rFonts w:cs="Arial"/>
        </w:rPr>
        <w:t xml:space="preserve"> určité procento ze zisku, čímž by se </w:t>
      </w:r>
      <w:r w:rsidR="00C23581">
        <w:rPr>
          <w:rFonts w:cs="Arial"/>
        </w:rPr>
        <w:t>mohlo omezit množství žádostí o </w:t>
      </w:r>
      <w:r w:rsidR="00C23581" w:rsidRPr="00FA13BC">
        <w:rPr>
          <w:rFonts w:cs="Arial"/>
        </w:rPr>
        <w:t>vydání povolení k provozování charitativní hazardní hry</w:t>
      </w:r>
      <w:r w:rsidR="00BC6F28">
        <w:rPr>
          <w:rFonts w:cs="Arial"/>
        </w:rPr>
        <w:t xml:space="preserve"> i </w:t>
      </w:r>
      <w:r>
        <w:rPr>
          <w:rFonts w:cs="Arial"/>
        </w:rPr>
        <w:t>riziko obcházení</w:t>
      </w:r>
      <w:r w:rsidR="00C23581" w:rsidRPr="00FA13BC">
        <w:rPr>
          <w:rFonts w:cs="Arial"/>
        </w:rPr>
        <w:t>)</w:t>
      </w:r>
      <w:r w:rsidR="00C23581">
        <w:rPr>
          <w:rFonts w:cs="Arial"/>
        </w:rPr>
        <w:t>.</w:t>
      </w:r>
    </w:p>
    <w:p w14:paraId="78DA4ED3" w14:textId="77777777" w:rsidR="00C23581" w:rsidRDefault="00C23581" w:rsidP="007029FF">
      <w:pPr>
        <w:pStyle w:val="Nadpis6"/>
      </w:pPr>
      <w:bookmarkStart w:id="17" w:name="_Toc73604712"/>
      <w:r>
        <w:t>Uplatňování výhry u kursové sázky a ostatních hazardních her s uživatelským kontem</w:t>
      </w:r>
      <w:bookmarkEnd w:id="17"/>
    </w:p>
    <w:p w14:paraId="6A0F0017" w14:textId="1F31A2EB" w:rsidR="00C23581" w:rsidRPr="00B16089" w:rsidRDefault="00C23581" w:rsidP="00142E24">
      <w:r w:rsidRPr="00B16089">
        <w:t>Zákon u hazardních her vyjmeno</w:t>
      </w:r>
      <w:r w:rsidR="00DF3FFE">
        <w:t>vaných v § 3 odst. 2 písm. b) a </w:t>
      </w:r>
      <w:r w:rsidRPr="00B16089">
        <w:t xml:space="preserve">e) </w:t>
      </w:r>
      <w:r w:rsidR="00A817E6">
        <w:t xml:space="preserve">zákona o hazardních hrách </w:t>
      </w:r>
      <w:r w:rsidRPr="00B16089">
        <w:t xml:space="preserve">a </w:t>
      </w:r>
      <w:r w:rsidR="00A817E6">
        <w:t xml:space="preserve">u </w:t>
      </w:r>
      <w:r>
        <w:t>internetových her</w:t>
      </w:r>
      <w:r w:rsidRPr="00B16089">
        <w:t xml:space="preserve"> stanoví, že </w:t>
      </w:r>
      <w:r w:rsidR="008044FD">
        <w:t xml:space="preserve">je </w:t>
      </w:r>
      <w:r w:rsidRPr="00B16089">
        <w:t>podmínkou účasti na této hře registrace účastníka hazardní hry. Jak uvádí důvodová zp</w:t>
      </w:r>
      <w:r w:rsidR="00841D9F">
        <w:t>ráva k § 29 </w:t>
      </w:r>
      <w:r w:rsidR="00DF3FFE">
        <w:t>zákona o </w:t>
      </w:r>
      <w:r w:rsidRPr="00B16089">
        <w:t>hazardních hrách: „</w:t>
      </w:r>
      <w:r w:rsidRPr="00B16089">
        <w:rPr>
          <w:i/>
        </w:rPr>
        <w:t>Účelem registrace je tedy ověření tot</w:t>
      </w:r>
      <w:r>
        <w:rPr>
          <w:i/>
        </w:rPr>
        <w:t>ožnosti a věku osoby žádající o </w:t>
      </w:r>
      <w:r w:rsidRPr="00B16089">
        <w:rPr>
          <w:i/>
        </w:rPr>
        <w:t>registraci a následné zřízení uživatelského konta, které umožní oddělit peněžní prostředky účastníka hazardní hry od peněžních prostředků ostatních účastníků</w:t>
      </w:r>
      <w:r w:rsidRPr="00B16089">
        <w:t>.“</w:t>
      </w:r>
    </w:p>
    <w:p w14:paraId="5C8373E8" w14:textId="007CD105" w:rsidR="00C23581" w:rsidRDefault="00C23581" w:rsidP="00142E24">
      <w:pPr>
        <w:rPr>
          <w:rFonts w:cs="Arial"/>
        </w:rPr>
      </w:pPr>
      <w:r>
        <w:rPr>
          <w:rFonts w:cs="Arial"/>
        </w:rPr>
        <w:t>V případě kurs</w:t>
      </w:r>
      <w:r w:rsidRPr="00B16089">
        <w:rPr>
          <w:rFonts w:cs="Arial"/>
        </w:rPr>
        <w:t xml:space="preserve">ových sázek provozovaných formou land-based byla ustálena praxe, </w:t>
      </w:r>
      <w:r w:rsidR="008044FD">
        <w:rPr>
          <w:rFonts w:cs="Arial"/>
        </w:rPr>
        <w:t xml:space="preserve">dle které musí účastník této hazardní hry </w:t>
      </w:r>
      <w:r w:rsidR="00747D5D">
        <w:rPr>
          <w:rFonts w:cs="Arial"/>
        </w:rPr>
        <w:t xml:space="preserve">zpravidla </w:t>
      </w:r>
      <w:r w:rsidR="008044FD">
        <w:rPr>
          <w:rFonts w:cs="Arial"/>
        </w:rPr>
        <w:t>k</w:t>
      </w:r>
      <w:r w:rsidR="008044FD" w:rsidRPr="00B16089">
        <w:rPr>
          <w:rFonts w:cs="Arial"/>
        </w:rPr>
        <w:t xml:space="preserve"> vyplacení výhry </w:t>
      </w:r>
      <w:r w:rsidR="008044FD">
        <w:rPr>
          <w:rFonts w:cs="Arial"/>
        </w:rPr>
        <w:t>doložit sázkový tiket,</w:t>
      </w:r>
      <w:r w:rsidR="008044FD" w:rsidRPr="00B16089">
        <w:rPr>
          <w:rFonts w:cs="Arial"/>
        </w:rPr>
        <w:t xml:space="preserve"> </w:t>
      </w:r>
      <w:r w:rsidRPr="00B16089">
        <w:rPr>
          <w:rFonts w:cs="Arial"/>
        </w:rPr>
        <w:t>ačkoliv má zřízen</w:t>
      </w:r>
      <w:r>
        <w:rPr>
          <w:rFonts w:cs="Arial"/>
        </w:rPr>
        <w:t>o</w:t>
      </w:r>
      <w:r w:rsidRPr="00B16089">
        <w:rPr>
          <w:rFonts w:cs="Arial"/>
        </w:rPr>
        <w:t xml:space="preserve"> uživatelské konto</w:t>
      </w:r>
      <w:r w:rsidR="008044FD">
        <w:rPr>
          <w:rFonts w:cs="Arial"/>
        </w:rPr>
        <w:t xml:space="preserve">, </w:t>
      </w:r>
      <w:r>
        <w:rPr>
          <w:rFonts w:cs="Arial"/>
        </w:rPr>
        <w:t>a to v souladu se schváleným herním plánem. V důsledku uvedeného je zde nerovnost ve způsobu výplaty výhry mezi jednotlivými hazardními hrami, u nichž zákon o hazardních hrách stanoví povinnost zřízení uživatelského konta.</w:t>
      </w:r>
    </w:p>
    <w:p w14:paraId="3A02674B" w14:textId="77777777" w:rsidR="00C23581" w:rsidRDefault="00C23581" w:rsidP="00937B7A">
      <w:pPr>
        <w:pStyle w:val="Nadpis7"/>
      </w:pPr>
      <w:r>
        <w:t>Varianta I. – Zachování současného stavu</w:t>
      </w:r>
    </w:p>
    <w:p w14:paraId="09418430" w14:textId="77777777" w:rsidR="00C23581" w:rsidRDefault="00C23581" w:rsidP="00836C54">
      <w:pPr>
        <w:keepNext/>
      </w:pPr>
      <w:r>
        <w:t>Výhody:</w:t>
      </w:r>
    </w:p>
    <w:p w14:paraId="3178D40B" w14:textId="77777777" w:rsidR="00C23581" w:rsidRDefault="00C23581" w:rsidP="00142E24">
      <w:r>
        <w:t>Za výhodu lze v daném případě považovat skutečnost, že by nedošlo ke změně zavedeného režimu a nebyla tak nutná žádná přizpůsobení dotčených subjektů.</w:t>
      </w:r>
    </w:p>
    <w:p w14:paraId="036B8317" w14:textId="77777777" w:rsidR="00C23581" w:rsidRDefault="00C23581" w:rsidP="00142E24">
      <w:r>
        <w:t>Nevýhody:</w:t>
      </w:r>
    </w:p>
    <w:p w14:paraId="4E90BBB5" w14:textId="77777777" w:rsidR="00C23581" w:rsidRDefault="00C23581" w:rsidP="00142E24">
      <w:pPr>
        <w:rPr>
          <w:rFonts w:cs="Arial"/>
        </w:rPr>
      </w:pPr>
      <w:r>
        <w:rPr>
          <w:rFonts w:cs="Arial"/>
        </w:rPr>
        <w:t>Nerovný přístup mezi jednotlivými hazardními hrami s povinně zřízeným uživatelským kontem.</w:t>
      </w:r>
    </w:p>
    <w:p w14:paraId="217DEAFE" w14:textId="31957ACE" w:rsidR="00C23581" w:rsidRDefault="00C23581" w:rsidP="00937B7A">
      <w:pPr>
        <w:pStyle w:val="Nadpis7"/>
      </w:pPr>
      <w:r>
        <w:t>Varianta II. – Nepodmiňování uplatnění nárok</w:t>
      </w:r>
      <w:r w:rsidR="008670C9">
        <w:t>u na výhru předložením tiketu u </w:t>
      </w:r>
      <w:r>
        <w:t>kursové sázky</w:t>
      </w:r>
    </w:p>
    <w:p w14:paraId="76ACDCC0" w14:textId="77777777" w:rsidR="00C23581" w:rsidRDefault="00C23581" w:rsidP="00142E24">
      <w:r>
        <w:t>Výhody:</w:t>
      </w:r>
    </w:p>
    <w:p w14:paraId="609DA0B8" w14:textId="367140C4" w:rsidR="00C23581" w:rsidRDefault="00C23581" w:rsidP="00142E24">
      <w:r w:rsidRPr="009F3CB5">
        <w:t>Srovnání přístupu k hazardním hrám, u kterých je ze zákona vyžadováno zřízení uživatelského konta.</w:t>
      </w:r>
      <w:r>
        <w:t xml:space="preserve"> Menší zatížení sázej</w:t>
      </w:r>
      <w:r w:rsidR="00591183">
        <w:t>ících, kterým by mohla být výhra</w:t>
      </w:r>
      <w:r>
        <w:t xml:space="preserve"> na</w:t>
      </w:r>
      <w:r w:rsidR="008044FD">
        <w:t> </w:t>
      </w:r>
      <w:r>
        <w:t>uživatelské konto připsána bezprostředně po vyhodnocení sázky, čímž by rovněž došlo k posílení prin</w:t>
      </w:r>
      <w:r w:rsidR="002F74EB">
        <w:t>cipu jednoho uživatelského konta</w:t>
      </w:r>
      <w:r>
        <w:t xml:space="preserve">. </w:t>
      </w:r>
    </w:p>
    <w:p w14:paraId="1A2B8D23" w14:textId="77777777" w:rsidR="00C23581" w:rsidRDefault="00C23581" w:rsidP="00142E24">
      <w:r>
        <w:t>Nevýhody:</w:t>
      </w:r>
    </w:p>
    <w:p w14:paraId="13D22679" w14:textId="5DB028EB" w:rsidR="00C23581" w:rsidRDefault="00C23581" w:rsidP="00142E24">
      <w:r>
        <w:t>V takovém případě by byla nutn</w:t>
      </w:r>
      <w:r w:rsidR="008044FD">
        <w:t>á</w:t>
      </w:r>
      <w:r>
        <w:t xml:space="preserve"> změna právní úpravy či změna zavedené správní praxe Ministerstva financí.</w:t>
      </w:r>
    </w:p>
    <w:p w14:paraId="001AB0A0" w14:textId="77777777" w:rsidR="00C23581" w:rsidRPr="006C7BA9" w:rsidRDefault="00C23581" w:rsidP="00937B7A">
      <w:pPr>
        <w:pStyle w:val="Nadpis7"/>
      </w:pPr>
      <w:r w:rsidRPr="006C7BA9">
        <w:t xml:space="preserve">Hodnocení variant </w:t>
      </w:r>
    </w:p>
    <w:p w14:paraId="1AF6943D" w14:textId="17DB1806" w:rsidR="00C23581" w:rsidRDefault="00C23581" w:rsidP="00142E24">
      <w:r>
        <w:t>Přestože zákon o hazardních hrách v současné době stanoví u konkrétních hazardních her povinnost zřízení uži</w:t>
      </w:r>
      <w:r w:rsidR="002F74EB">
        <w:t>vatelského konta, v případě kurs</w:t>
      </w:r>
      <w:r>
        <w:t xml:space="preserve">ových sázek provozovaných formou land-based byla </w:t>
      </w:r>
      <w:r w:rsidR="00980A89">
        <w:t xml:space="preserve">s ohledem na připomínky provozovatelů k tradici toho provozu a technologickým nákladům </w:t>
      </w:r>
      <w:r>
        <w:t xml:space="preserve">nastavena odlišná správní praxe. </w:t>
      </w:r>
      <w:r w:rsidRPr="009F3CB5">
        <w:t>Změnou</w:t>
      </w:r>
      <w:r>
        <w:t xml:space="preserve"> </w:t>
      </w:r>
      <w:r w:rsidRPr="009F3CB5">
        <w:t xml:space="preserve">by došlo k sjednocení postupu </w:t>
      </w:r>
      <w:r w:rsidR="00DF3FFE">
        <w:t>s ostatními hazardními hrami, u </w:t>
      </w:r>
      <w:r w:rsidRPr="009F3CB5">
        <w:t>kterých je povinně zřizováno uživatelské konto.</w:t>
      </w:r>
    </w:p>
    <w:p w14:paraId="00A19ECA" w14:textId="79D6F53E" w:rsidR="00C23581" w:rsidRPr="001B3F7F" w:rsidRDefault="00C23581" w:rsidP="00142E24">
      <w:r>
        <w:t xml:space="preserve">Vzhledem k těmto skutečnostem se doporučuje změnu buď stávající správní praxe, nebo změnu zákona o hazardních hrách (např. zakotvit v § 10 odst. 5 zákona o hazardních hrách, že </w:t>
      </w:r>
      <w:r w:rsidR="00B2708D" w:rsidRPr="00B2708D">
        <w:t xml:space="preserve">u hazardních her s povinně zřizovaným uživatelským kontem dochází k vyplacení výhry </w:t>
      </w:r>
      <w:r w:rsidR="00B2708D">
        <w:t xml:space="preserve">do určité doby </w:t>
      </w:r>
      <w:r w:rsidR="00B2708D" w:rsidRPr="00B2708D">
        <w:t>právě na uživatelské konto</w:t>
      </w:r>
      <w:r w:rsidR="00CB7DA8">
        <w:t xml:space="preserve">). </w:t>
      </w:r>
      <w:r>
        <w:t>V případě kursové sázky</w:t>
      </w:r>
      <w:r w:rsidR="00C25A0C">
        <w:t xml:space="preserve"> formou</w:t>
      </w:r>
      <w:r>
        <w:t xml:space="preserve"> land-based by sázející žádající o bezhotovostní vyplacení zůstatku z uživatelského konta musel mít ověřený platební prostředek. Pokud by nebyl ověřen platební prostředek, pak by musel sázející požádat o vyplacení zůstatku na pobočce sázkové kanceláře (kde by se prokázal občanským průkazem nebo identifikační kartou), a k vyplacení by došlo v hotovosti. Uvedené by bylo upraveno stejně v případě technické hry provozované formou land</w:t>
      </w:r>
      <w:r w:rsidR="0058795A">
        <w:noBreakHyphen/>
      </w:r>
      <w:r>
        <w:t>based, která má také povinně zřizované uživatelské konto.</w:t>
      </w:r>
    </w:p>
    <w:p w14:paraId="535556D7" w14:textId="77777777" w:rsidR="00C23581" w:rsidRPr="009F3CB5" w:rsidRDefault="00C23581" w:rsidP="007029FF">
      <w:pPr>
        <w:pStyle w:val="Nadpis6"/>
      </w:pPr>
      <w:bookmarkStart w:id="18" w:name="_Toc73604713"/>
      <w:r w:rsidRPr="009F3CB5">
        <w:t>Dlouhodobé výplaty, renty</w:t>
      </w:r>
      <w:bookmarkEnd w:id="18"/>
    </w:p>
    <w:p w14:paraId="0BF15D70" w14:textId="747922CF" w:rsidR="00C23581" w:rsidRPr="0065053C" w:rsidRDefault="00C23581" w:rsidP="00CB7DA8">
      <w:r w:rsidRPr="0065053C">
        <w:t xml:space="preserve">Zákon o hazardních hrách žádným způsobem neupravuje možnost vyplácení výhry ve formě renty nebo jiné formě dlouhodobé výplaty. V praxi </w:t>
      </w:r>
      <w:r>
        <w:t xml:space="preserve">byly Ministerstvu financí předloženy ke schválení </w:t>
      </w:r>
      <w:r w:rsidRPr="0065053C">
        <w:t>herní plán</w:t>
      </w:r>
      <w:r>
        <w:t xml:space="preserve">y, jejichž součástí byla možnost </w:t>
      </w:r>
      <w:r w:rsidRPr="0065053C">
        <w:t xml:space="preserve">vyplácení </w:t>
      </w:r>
      <w:r>
        <w:t xml:space="preserve">výhry </w:t>
      </w:r>
      <w:r w:rsidRPr="0065053C">
        <w:t>f</w:t>
      </w:r>
      <w:r>
        <w:t xml:space="preserve">ormou dlouhodobé výplaty, </w:t>
      </w:r>
      <w:r w:rsidR="0058795A">
        <w:t>u níž měl</w:t>
      </w:r>
      <w:r>
        <w:t xml:space="preserve"> o </w:t>
      </w:r>
      <w:r w:rsidRPr="0065053C">
        <w:t>tom, zda bude nebo nebude výhra vyplacena formou renty, rozhod</w:t>
      </w:r>
      <w:r>
        <w:t>ovat provozovatel na </w:t>
      </w:r>
      <w:r w:rsidRPr="0065053C">
        <w:t>základě svého uvážení</w:t>
      </w:r>
      <w:r w:rsidR="00841D9F">
        <w:t>, a </w:t>
      </w:r>
      <w:r w:rsidR="00841D9F" w:rsidRPr="00841D9F">
        <w:t>to</w:t>
      </w:r>
      <w:r w:rsidR="00B64F2A">
        <w:t xml:space="preserve"> </w:t>
      </w:r>
      <w:r w:rsidR="00841D9F" w:rsidRPr="00841D9F">
        <w:t>až</w:t>
      </w:r>
      <w:r w:rsidR="00B64F2A">
        <w:t xml:space="preserve"> po </w:t>
      </w:r>
      <w:r>
        <w:t>vyhodnocení konkrétní hry. Ministerstvo fi</w:t>
      </w:r>
      <w:r w:rsidR="00841D9F">
        <w:t xml:space="preserve">nancí herní plány v tomto znění </w:t>
      </w:r>
      <w:r w:rsidR="0058795A">
        <w:t>pro </w:t>
      </w:r>
      <w:r w:rsidR="002F74EB">
        <w:t xml:space="preserve">rozpor se zákonem o hazardních hrách </w:t>
      </w:r>
      <w:r>
        <w:t>neschválilo.</w:t>
      </w:r>
    </w:p>
    <w:p w14:paraId="459A3CC5" w14:textId="547641D1" w:rsidR="00C23581" w:rsidRPr="0065053C" w:rsidRDefault="00C23581" w:rsidP="00CB7DA8">
      <w:r w:rsidRPr="0065053C">
        <w:t xml:space="preserve">Problematickým se z hlediska dlouhodobé výplaty výhry může jevit § 10 odst. 5 </w:t>
      </w:r>
      <w:r>
        <w:t xml:space="preserve">zákona o hazardních hrách, </w:t>
      </w:r>
      <w:r w:rsidR="0058795A">
        <w:t>dle kterého je</w:t>
      </w:r>
      <w:r w:rsidRPr="0065053C">
        <w:t xml:space="preserve"> provozovatel </w:t>
      </w:r>
      <w:r w:rsidR="0058795A">
        <w:t>povinen vyplatit výhru ve </w:t>
      </w:r>
      <w:r w:rsidRPr="0065053C">
        <w:t>lhůtě stanovené herním plánem, nejpozději do 60 dnů ode dne uplatnění nároku na výhru sázejícím. V případě dlouhodo</w:t>
      </w:r>
      <w:r w:rsidR="00DF3FFE">
        <w:t>bé renty však nemusí docházet k </w:t>
      </w:r>
      <w:r w:rsidRPr="0065053C">
        <w:t xml:space="preserve">vyplacení celé částky najednou. </w:t>
      </w:r>
    </w:p>
    <w:p w14:paraId="491A3C6A" w14:textId="2E8FF13C" w:rsidR="00C23581" w:rsidRPr="0065053C" w:rsidRDefault="00C23581" w:rsidP="00CB7DA8">
      <w:r>
        <w:t>V současné době je možnost vyplácení renty realizována provozovateli tak, že je výhra převedena na speciální nově zřízený bankovní účet (jehož vlastníkem je výherce)</w:t>
      </w:r>
      <w:r w:rsidRPr="0065053C">
        <w:t>, a odtud js</w:t>
      </w:r>
      <w:r>
        <w:t xml:space="preserve">ou odesílány pravidelné peněžní částky </w:t>
      </w:r>
      <w:r w:rsidRPr="0065053C">
        <w:t xml:space="preserve">na </w:t>
      </w:r>
      <w:r>
        <w:t xml:space="preserve">jiný </w:t>
      </w:r>
      <w:r w:rsidRPr="0065053C">
        <w:t>bankovní účet výherce. Výherce je oprávněn s tímto speciálním účtem na</w:t>
      </w:r>
      <w:r w:rsidR="00DF3FFE">
        <w:t>kládat a </w:t>
      </w:r>
      <w:r w:rsidRPr="0065053C">
        <w:t>může se rozhodnout, že si na svůj účet odešle celou č</w:t>
      </w:r>
      <w:r w:rsidR="00DF3FFE">
        <w:t>ástku (nedochází tedy k </w:t>
      </w:r>
      <w:r>
        <w:t>výplatě</w:t>
      </w:r>
      <w:r w:rsidR="00841D9F">
        <w:t xml:space="preserve"> ve </w:t>
      </w:r>
      <w:r w:rsidRPr="0065053C">
        <w:t>formě rent</w:t>
      </w:r>
      <w:r>
        <w:t>y). Tato forma výplaty výhry ve </w:t>
      </w:r>
      <w:r w:rsidRPr="0065053C">
        <w:t>formě ren</w:t>
      </w:r>
      <w:r w:rsidR="0058795A">
        <w:t>ty nečiní v praxi problém, neboť</w:t>
      </w:r>
      <w:r>
        <w:t xml:space="preserve"> je výhra</w:t>
      </w:r>
      <w:r w:rsidRPr="0065053C">
        <w:t xml:space="preserve"> fakticky vyplacena celá, a</w:t>
      </w:r>
      <w:r w:rsidR="009547A2">
        <w:t> </w:t>
      </w:r>
      <w:r w:rsidRPr="0065053C">
        <w:t>to</w:t>
      </w:r>
      <w:r w:rsidR="009547A2">
        <w:t> </w:t>
      </w:r>
      <w:r w:rsidRPr="0065053C">
        <w:t>v</w:t>
      </w:r>
      <w:r w:rsidR="00DF3FFE">
        <w:t> </w:t>
      </w:r>
      <w:r w:rsidRPr="0065053C">
        <w:t>zákonných lhůtách</w:t>
      </w:r>
      <w:r>
        <w:t>, nicméně se nejedná o rentu v pravém slova smyslu.</w:t>
      </w:r>
      <w:r w:rsidR="00F111C5">
        <w:t xml:space="preserve"> Účet, na který je výhra připsána, musí být v případě internetových her registrovaným platebním účtem. Sázející má vždy možnost se rozhodnout, zda výhru vyplácet tímto způsobem požaduje</w:t>
      </w:r>
      <w:r w:rsidR="009547A2">
        <w:t>,</w:t>
      </w:r>
      <w:r w:rsidR="00B64F2A">
        <w:t xml:space="preserve"> anebo zda </w:t>
      </w:r>
      <w:r w:rsidR="00F111C5">
        <w:t>žádá o výplatu celé výhry najednou.</w:t>
      </w:r>
    </w:p>
    <w:p w14:paraId="0E8C8919" w14:textId="468E4052" w:rsidR="00C23581" w:rsidRDefault="00C23581" w:rsidP="00CB7DA8">
      <w:r w:rsidRPr="0065053C">
        <w:t xml:space="preserve">Zákon o hazardních hrách </w:t>
      </w:r>
      <w:r w:rsidR="00F111C5">
        <w:t>výslovně neupravuje</w:t>
      </w:r>
      <w:r w:rsidR="00F111C5" w:rsidRPr="0065053C">
        <w:t xml:space="preserve"> </w:t>
      </w:r>
      <w:r w:rsidRPr="0065053C">
        <w:t>situace, kdy by p</w:t>
      </w:r>
      <w:r>
        <w:t>rovozovatel poskytoval výhru ve </w:t>
      </w:r>
      <w:r w:rsidRPr="0065053C">
        <w:t>formě skutečné renty, tedy v určitých měsíčních splátkách</w:t>
      </w:r>
      <w:r w:rsidR="009547A2">
        <w:t xml:space="preserve"> </w:t>
      </w:r>
      <w:r w:rsidR="00B64F2A">
        <w:t xml:space="preserve">až do </w:t>
      </w:r>
      <w:r w:rsidRPr="0065053C">
        <w:t>okamžiku, kd</w:t>
      </w:r>
      <w:r>
        <w:t>y by byla vyplacena celá výhra.</w:t>
      </w:r>
    </w:p>
    <w:p w14:paraId="40744EB6" w14:textId="77777777" w:rsidR="00C23581" w:rsidRPr="009F3CB5" w:rsidRDefault="00C23581" w:rsidP="00937B7A">
      <w:pPr>
        <w:pStyle w:val="Nadpis7"/>
      </w:pPr>
      <w:r>
        <w:t>Varianta I</w:t>
      </w:r>
      <w:r w:rsidRPr="009F3CB5">
        <w:t>. – Zachování současného stavu</w:t>
      </w:r>
    </w:p>
    <w:p w14:paraId="48FC72A9" w14:textId="77777777" w:rsidR="00C23581" w:rsidRDefault="00C23581" w:rsidP="00CB7DA8">
      <w:r w:rsidRPr="009F3CB5">
        <w:t>Výhody</w:t>
      </w:r>
      <w:r>
        <w:t>:</w:t>
      </w:r>
    </w:p>
    <w:p w14:paraId="17C78F5E" w14:textId="5B3CE411" w:rsidR="00C23581" w:rsidRDefault="00C23581" w:rsidP="00CB7DA8">
      <w:pPr>
        <w:rPr>
          <w:rFonts w:cs="Arial"/>
        </w:rPr>
      </w:pPr>
      <w:r w:rsidRPr="0065053C">
        <w:rPr>
          <w:rFonts w:cs="Arial"/>
        </w:rPr>
        <w:t xml:space="preserve">Nedochází ke změně současně nastavené správní praxe, </w:t>
      </w:r>
      <w:r w:rsidR="009547A2">
        <w:rPr>
          <w:rFonts w:cs="Arial"/>
        </w:rPr>
        <w:t>podle které</w:t>
      </w:r>
      <w:r w:rsidRPr="0065053C">
        <w:rPr>
          <w:rFonts w:cs="Arial"/>
        </w:rPr>
        <w:t xml:space="preserve"> je třeba vyplatit celou částku najednou.</w:t>
      </w:r>
    </w:p>
    <w:p w14:paraId="5DD3D80C" w14:textId="77777777" w:rsidR="00C23581" w:rsidRDefault="00C23581" w:rsidP="00CB7DA8">
      <w:pPr>
        <w:rPr>
          <w:rFonts w:cs="Arial"/>
        </w:rPr>
      </w:pPr>
      <w:r>
        <w:rPr>
          <w:rFonts w:cs="Arial"/>
        </w:rPr>
        <w:t>Nevýhody:</w:t>
      </w:r>
    </w:p>
    <w:p w14:paraId="23142877" w14:textId="5AA6A7E1" w:rsidR="00C23581" w:rsidRDefault="00C23581" w:rsidP="00CB7DA8">
      <w:r w:rsidRPr="00DE7359">
        <w:t>Jak vyplývá z žádostí o vydání základního povolení, provozovatelé hazardních her by o takovouto možnost vyplácení výher měli zájem. V současné chvíli není možné připustit vyplácení po určitých splátkách</w:t>
      </w:r>
      <w:r w:rsidR="009547A2">
        <w:t>.</w:t>
      </w:r>
      <w:r w:rsidR="00F111C5">
        <w:t xml:space="preserve"> </w:t>
      </w:r>
      <w:r w:rsidR="009547A2">
        <w:t>S</w:t>
      </w:r>
      <w:r w:rsidR="00F111C5">
        <w:t>hora p</w:t>
      </w:r>
      <w:r w:rsidR="003E2373">
        <w:t>opsané řešení představuje</w:t>
      </w:r>
      <w:r w:rsidR="00F111C5">
        <w:t xml:space="preserve"> </w:t>
      </w:r>
      <w:r w:rsidR="002F74EB">
        <w:t>řešení</w:t>
      </w:r>
      <w:r w:rsidR="00F111C5">
        <w:t>, kter</w:t>
      </w:r>
      <w:r w:rsidR="002F74EB">
        <w:t>é</w:t>
      </w:r>
      <w:r w:rsidR="00F111C5">
        <w:t xml:space="preserve"> lze v mantinelech dané právní úpravy akceptovat</w:t>
      </w:r>
      <w:r w:rsidRPr="00DE7359">
        <w:t>.</w:t>
      </w:r>
    </w:p>
    <w:p w14:paraId="57612A7B" w14:textId="0FA1F944" w:rsidR="00C23581" w:rsidRDefault="00C23581" w:rsidP="00937B7A">
      <w:pPr>
        <w:pStyle w:val="Nadpis7"/>
      </w:pPr>
      <w:r>
        <w:t>Varianta II. – Změna zákona o hazardních hrách</w:t>
      </w:r>
      <w:r w:rsidR="00881D2E">
        <w:t xml:space="preserve"> – nastavení podmínek dohody o</w:t>
      </w:r>
      <w:r w:rsidR="00937B7A">
        <w:t> </w:t>
      </w:r>
      <w:r w:rsidR="00881D2E">
        <w:t>dlouhodobé výplatě výhry/renty</w:t>
      </w:r>
    </w:p>
    <w:p w14:paraId="45A794F0" w14:textId="77777777" w:rsidR="00C23581" w:rsidRDefault="00C23581" w:rsidP="00CB7DA8">
      <w:r>
        <w:t>Výhody:</w:t>
      </w:r>
    </w:p>
    <w:p w14:paraId="49099660" w14:textId="0571942D" w:rsidR="00C23581" w:rsidRDefault="00C23581" w:rsidP="00CB7DA8">
      <w:r w:rsidRPr="00DE7359">
        <w:t>Možnost nastavení nové formy vyplácení výher. Provozovatelé by nemuseli vyplácet jednorázově velké částky, což by v konečném dů</w:t>
      </w:r>
      <w:r w:rsidR="00841D9F">
        <w:t xml:space="preserve">sledku mohlo </w:t>
      </w:r>
      <w:r w:rsidR="00B64F2A">
        <w:t xml:space="preserve">být přínosem i pro </w:t>
      </w:r>
      <w:r w:rsidRPr="00DE7359">
        <w:t>výherce.</w:t>
      </w:r>
    </w:p>
    <w:p w14:paraId="0FDABCE4" w14:textId="77777777" w:rsidR="00C23581" w:rsidRDefault="00C23581" w:rsidP="00CB7DA8">
      <w:r>
        <w:t>Nevýhody:</w:t>
      </w:r>
    </w:p>
    <w:p w14:paraId="558D2C67" w14:textId="71C5BEF8" w:rsidR="00C23581" w:rsidRPr="00DE7359" w:rsidRDefault="00C23581" w:rsidP="00CB7DA8">
      <w:r w:rsidRPr="00DE7359">
        <w:t>P</w:t>
      </w:r>
      <w:r>
        <w:t>otřeba novelizace zákona o hazardních hrách. Musel</w:t>
      </w:r>
      <w:r w:rsidR="009547A2">
        <w:t>a</w:t>
      </w:r>
      <w:r w:rsidRPr="00DE7359">
        <w:t xml:space="preserve"> by být konkrétně vymezen</w:t>
      </w:r>
      <w:r>
        <w:t>a</w:t>
      </w:r>
      <w:r w:rsidRPr="00DE7359">
        <w:t xml:space="preserve"> pravidla, aby</w:t>
      </w:r>
      <w:r>
        <w:t xml:space="preserve"> M</w:t>
      </w:r>
      <w:r w:rsidRPr="00DE7359">
        <w:t xml:space="preserve">inisterstvo </w:t>
      </w:r>
      <w:r>
        <w:t xml:space="preserve">financí </w:t>
      </w:r>
      <w:r w:rsidR="009547A2">
        <w:t>ne</w:t>
      </w:r>
      <w:r>
        <w:t xml:space="preserve">muselo dovozovat, </w:t>
      </w:r>
      <w:r w:rsidRPr="00DE7359">
        <w:t>které dlouhodobé výplaty lze schválit v herním plánu a které nikoliv.</w:t>
      </w:r>
      <w:r w:rsidR="00F111C5">
        <w:t xml:space="preserve"> </w:t>
      </w:r>
      <w:r w:rsidR="009547A2">
        <w:t>P</w:t>
      </w:r>
      <w:r w:rsidR="00F111C5">
        <w:t>odstatnou nevýhodou je fakt, že částka výhry by po celou dobu výplaty byla v dispozici provozovatele, což by při dlouhé době výplaty mohlo být poměrně rizikové (nelze vyloučit nečekané ukončení provozu, insolvenci apod.). Uvedené riziko by muselo být v této právní úpravě určitým způsobem eliminováno pojistkami</w:t>
      </w:r>
      <w:r w:rsidR="003E2373">
        <w:t xml:space="preserve"> či jinými prostředky</w:t>
      </w:r>
      <w:r w:rsidR="00F111C5">
        <w:t>, které by zajistily ochranu sázejícího.</w:t>
      </w:r>
    </w:p>
    <w:p w14:paraId="23ED4064" w14:textId="77777777" w:rsidR="00C23581" w:rsidRPr="006C7BA9" w:rsidRDefault="00C23581" w:rsidP="00937B7A">
      <w:pPr>
        <w:pStyle w:val="Nadpis7"/>
      </w:pPr>
      <w:r w:rsidRPr="006C7BA9">
        <w:t xml:space="preserve">Hodnocení variant </w:t>
      </w:r>
    </w:p>
    <w:p w14:paraId="5FCBEF0E" w14:textId="327523E8" w:rsidR="00C23581" w:rsidRDefault="00C23581" w:rsidP="00CB7DA8">
      <w:r w:rsidRPr="0065053C">
        <w:t>Při zachování současného právního stavu není možné vyplácet výhry f</w:t>
      </w:r>
      <w:r>
        <w:t>ormou renty, a to i s ohledem na skutečnost, že nevyplacené výhry jsou po dobu trvání základního povolení nebo povolení k umístění herního pros</w:t>
      </w:r>
      <w:r w:rsidR="008257DD">
        <w:t xml:space="preserve">toru kryty kaucí složenou podle </w:t>
      </w:r>
      <w:r>
        <w:t>zákona o hazardních hrách. V případě, že by docházelo k vyplácení výhry s delším časovým horizontem, není Ministerstvo financí podle stávající právní úpravy schopno zajistit krytí takových výher.</w:t>
      </w:r>
    </w:p>
    <w:p w14:paraId="2D9EC4CD" w14:textId="3D2E63F6" w:rsidR="00C23581" w:rsidRDefault="009547A2" w:rsidP="00CB7DA8">
      <w:r>
        <w:t>Pokud by z</w:t>
      </w:r>
      <w:r w:rsidR="00C23581" w:rsidRPr="0065053C">
        <w:t>měnou zákona bylo umožněno vyplácení výher ve formě renty, představovalo by to výrazný zásah do právn</w:t>
      </w:r>
      <w:r w:rsidR="008257DD">
        <w:t xml:space="preserve">í úpravy s ohledem na lhůty pro </w:t>
      </w:r>
      <w:r w:rsidR="00C23581" w:rsidRPr="0065053C">
        <w:t>vyplácení výher</w:t>
      </w:r>
      <w:r w:rsidR="00C23581">
        <w:t xml:space="preserve"> a zároveň by bylo třeba při stanovení doby, po kterou bude renta vyplácena, respektovat délku povolení a postup v </w:t>
      </w:r>
      <w:r w:rsidR="008257DD">
        <w:t xml:space="preserve">případě, že by provozovatel již </w:t>
      </w:r>
      <w:r w:rsidR="00C23581">
        <w:t>nadále nedisponovat povolením k provozování dané hazardní hry. Mohly by vznikat problémy, pokud by sázejícímu ještě nevznikl nárok na vyplacení konkrétní splátky a provozovatel by zrušil povolení nebo by povolení bylo rušeno z moci úřední, čímž by však nemohl závazek provozovatele vůči sázejícímu zaniknout.</w:t>
      </w:r>
    </w:p>
    <w:p w14:paraId="3EF0C8B6" w14:textId="55D5A8C4" w:rsidR="00C23581" w:rsidRDefault="00C23581" w:rsidP="00CB7DA8">
      <w:r w:rsidRPr="00DE7359">
        <w:t xml:space="preserve">Doporučuje se změna zákona v tom smyslu, že </w:t>
      </w:r>
      <w:r w:rsidR="00B848B3">
        <w:t xml:space="preserve">by </w:t>
      </w:r>
      <w:r w:rsidR="00612C76">
        <w:t>bylo</w:t>
      </w:r>
      <w:r w:rsidR="000B23E5">
        <w:t xml:space="preserve"> upraveno umožnění dlouhodobějšího vyplácení získané výhry za splnění</w:t>
      </w:r>
      <w:r w:rsidR="00612C76">
        <w:t xml:space="preserve"> konkrétních podmínek, které by mimo jiné zajišťovaly dostatečné záruky, viz shora uvedené</w:t>
      </w:r>
      <w:r w:rsidRPr="00DE7359">
        <w:t>. Zákon o hazardních hrách by pouze vymezil základní mantinely, například, že výhra může být vyplácena nejdéle po určitou dobu, pravidla pro časové omezení úhrady nevyplacených výher z</w:t>
      </w:r>
      <w:r w:rsidR="00C25A0C">
        <w:t> </w:t>
      </w:r>
      <w:r w:rsidRPr="00DE7359">
        <w:t>kauce.</w:t>
      </w:r>
    </w:p>
    <w:p w14:paraId="3650B899" w14:textId="77777777" w:rsidR="00C23581" w:rsidRDefault="00C23581" w:rsidP="007029FF">
      <w:pPr>
        <w:pStyle w:val="Nadpis6"/>
      </w:pPr>
      <w:bookmarkStart w:id="19" w:name="_Toc73604714"/>
      <w:r>
        <w:t>Délka uplatnění nároku na výhru vs. vrácení kauce</w:t>
      </w:r>
      <w:bookmarkEnd w:id="19"/>
    </w:p>
    <w:p w14:paraId="51C68E30" w14:textId="5F985F51" w:rsidR="00C23581" w:rsidRPr="0065053C" w:rsidRDefault="00A1173F" w:rsidP="00D01C46">
      <w:r>
        <w:t>V</w:t>
      </w:r>
      <w:r w:rsidRPr="0065053C">
        <w:t xml:space="preserve"> § 10 odst. 6 </w:t>
      </w:r>
      <w:r>
        <w:t>z</w:t>
      </w:r>
      <w:r w:rsidR="00C23581" w:rsidRPr="0065053C">
        <w:t xml:space="preserve">ákon o hazardních hrách </w:t>
      </w:r>
      <w:r>
        <w:t>se stanoví, že sázející může u </w:t>
      </w:r>
      <w:r w:rsidR="00C23581" w:rsidRPr="0065053C">
        <w:t>provozovatele hazardní hry uplatnit právo na výhru nejpozději do 1 roku ode dne vyho</w:t>
      </w:r>
      <w:r w:rsidR="00C23581">
        <w:t>dnocení sázkové příležitosti. V </w:t>
      </w:r>
      <w:r w:rsidR="00C23581" w:rsidRPr="0065053C">
        <w:t xml:space="preserve">případě okamžité loterie pak nejpozději do 1 roku ode dne ukončení prodeje losů, jinak právo zaniká. </w:t>
      </w:r>
      <w:r>
        <w:t>K zajištění závazků vzniklých v </w:t>
      </w:r>
      <w:r w:rsidR="00C23581" w:rsidRPr="0065053C">
        <w:t>souvislosti s provozování hazardních her slouží kauce vymezená v § 89 a § 100 zákona o hazardních hrách. Dle § 89 odst. 4 zákona o hazardních hrách lze kauci použít pouze k úhradě daně z hazardních her a jejího příslušenství, pokuty uložené za přestupek podle zákona o hazardních hrách a nevy</w:t>
      </w:r>
      <w:r w:rsidR="00C704CA">
        <w:t>placených výher. Problematické</w:t>
      </w:r>
      <w:r w:rsidR="00C23581" w:rsidRPr="0065053C">
        <w:t xml:space="preserve"> se ve vztahu k nevyplaceným výhrám jeví </w:t>
      </w:r>
      <w:r w:rsidR="00841D9F">
        <w:t>§ 90 odst. 1 a </w:t>
      </w:r>
      <w:r>
        <w:t>§ </w:t>
      </w:r>
      <w:r w:rsidR="00C23581">
        <w:t>100a odst. </w:t>
      </w:r>
      <w:r w:rsidR="00C23581" w:rsidRPr="0065053C">
        <w:t>1 zákona o hazardních hrách (v případě poskytnutí kauce formou peněžních prostředků) resp. § 90 od</w:t>
      </w:r>
      <w:r w:rsidR="00DF3FFE">
        <w:t>st. 3 a § 100a odst. 3 zákona o </w:t>
      </w:r>
      <w:r w:rsidR="00C23581" w:rsidRPr="0065053C">
        <w:t>hazardních hrách (pokud se jedná o kauci poskytnutou formou bankovní záruky).</w:t>
      </w:r>
    </w:p>
    <w:p w14:paraId="4949A1A7" w14:textId="116F8FC1" w:rsidR="00C23581" w:rsidRPr="0065053C" w:rsidRDefault="00C23581" w:rsidP="00D01C46">
      <w:r w:rsidRPr="0065053C">
        <w:t xml:space="preserve">V případě, kdy dojde k pravomocnému zrušení nebo zániku základního povolení, stávají se složené peněžní prostředky přeplatkem </w:t>
      </w:r>
      <w:r>
        <w:t>provozovatele. Následně běží 90 </w:t>
      </w:r>
      <w:r w:rsidRPr="0065053C">
        <w:t>denní lhůta, ve které dochází k zjišťování, zda je te</w:t>
      </w:r>
      <w:r w:rsidR="00A1173F">
        <w:t>nto přeplatek vratitelný, resp. </w:t>
      </w:r>
      <w:r w:rsidRPr="0065053C">
        <w:t>jestli nejsou u provozovatele evidovány zá</w:t>
      </w:r>
      <w:r w:rsidR="00A1173F">
        <w:t>vazky uvedené v</w:t>
      </w:r>
      <w:r w:rsidR="00CA3260">
        <w:t>  </w:t>
      </w:r>
      <w:r w:rsidR="00A1173F">
        <w:t>§ 89 </w:t>
      </w:r>
      <w:r w:rsidRPr="0065053C">
        <w:t>odst. 4 zákona o hazardních hrách. Uvedená lhůta n</w:t>
      </w:r>
      <w:r>
        <w:t>eběží pouze po dobu vymezenou v </w:t>
      </w:r>
      <w:r w:rsidRPr="0065053C">
        <w:t xml:space="preserve">odstavci 2 téhož ustanovení, tedy, </w:t>
      </w:r>
      <w:r w:rsidR="00A1173F">
        <w:t>pokud je orgánem podle zákona o </w:t>
      </w:r>
      <w:r w:rsidRPr="0065053C">
        <w:t xml:space="preserve">hazardních hrách nebo správcem daně vedeno řízení, jehož </w:t>
      </w:r>
      <w:r>
        <w:t>výsledkem může být rozhodnutí o </w:t>
      </w:r>
      <w:r w:rsidRPr="0065053C">
        <w:t>stanovení daně, poplatku nebo jiného obdobného peněžitého plnění, které bylo zahájeno do 90 dnů ode dne pravomocného zrušení nebo zániku základního povolení.</w:t>
      </w:r>
    </w:p>
    <w:p w14:paraId="28CB51D2" w14:textId="79091618" w:rsidR="00C23581" w:rsidRPr="0065053C" w:rsidRDefault="00C23581" w:rsidP="00D01C46">
      <w:r w:rsidRPr="0065053C">
        <w:t>V praxi pak může dojít k situaci, kdy s provozovatelem není v</w:t>
      </w:r>
      <w:r>
        <w:t>edeno žádné správní řízení, ani </w:t>
      </w:r>
      <w:r w:rsidRPr="0065053C">
        <w:t>toto řízení není zahájeno ve lhůtě 90 dnů ode dne pravomocného zrušení, změny nebo zániku základního povolení</w:t>
      </w:r>
      <w:r>
        <w:t xml:space="preserve"> (zrušení nebo zániku povolení k umístění herního prostoru) a M</w:t>
      </w:r>
      <w:r w:rsidRPr="0065053C">
        <w:t>inisterstvo</w:t>
      </w:r>
      <w:r>
        <w:t xml:space="preserve"> financí</w:t>
      </w:r>
      <w:r w:rsidRPr="0065053C">
        <w:t xml:space="preserve"> tak vrací vratitelný přeplatek dříve, než se prekluduje sázejícímu právo uplatnit výhru u provozovatele. Ačkoliv může být pohledávka sázejícího vůči provozovateli uspokojena z kauce, musí být takový nárok uplatněn</w:t>
      </w:r>
      <w:r w:rsidR="002D0576">
        <w:t xml:space="preserve"> ve lhůtách stanovených zákonem</w:t>
      </w:r>
      <w:r w:rsidRPr="0065053C">
        <w:t>. Zároveň platí, že o této výhře musí být příslušným orgánem veřejné moci pravomocně roz</w:t>
      </w:r>
      <w:r w:rsidR="00DF3FFE">
        <w:t>hodnuto, že má být vyplacena, a </w:t>
      </w:r>
      <w:r>
        <w:t>to předtím, než je přihlášena u M</w:t>
      </w:r>
      <w:r w:rsidRPr="0065053C">
        <w:t>inisterstva</w:t>
      </w:r>
      <w:r>
        <w:t xml:space="preserve"> financí</w:t>
      </w:r>
      <w:r w:rsidRPr="0065053C">
        <w:t>. Zrušením, změnou, zánikem základního povolení</w:t>
      </w:r>
      <w:r>
        <w:t xml:space="preserve"> (zrušením, zánikem povolení k umístění herního prostoru)</w:t>
      </w:r>
      <w:r w:rsidRPr="0065053C">
        <w:t xml:space="preserve"> nezaniká závazek provozovatele uspokojit pohledávku sázejícího, pokud však již došlo k vrácení vratitelného přeplatku, oslabuje se pozice sázejícího </w:t>
      </w:r>
      <w:r w:rsidR="004850C6">
        <w:t>při vymáhání</w:t>
      </w:r>
      <w:r w:rsidRPr="0065053C">
        <w:t xml:space="preserve"> nevyplacené výhry (již zde není zajištění </w:t>
      </w:r>
      <w:r w:rsidR="002D0576">
        <w:t>v podobě kauce</w:t>
      </w:r>
      <w:r>
        <w:t>, nicméně jeho soukromoprávní nárok není dotčen</w:t>
      </w:r>
      <w:r w:rsidRPr="0065053C">
        <w:t>).</w:t>
      </w:r>
    </w:p>
    <w:p w14:paraId="1B0EAA13" w14:textId="5918AB28" w:rsidR="00C23581" w:rsidRDefault="00C23581" w:rsidP="00D01C46">
      <w:r>
        <w:t xml:space="preserve">Dle § 90 odst. 3, případně § 100a odst. 3 </w:t>
      </w:r>
      <w:r w:rsidRPr="0065053C">
        <w:t>z</w:t>
      </w:r>
      <w:r>
        <w:t>ákona o hazardních hrách vyzve M</w:t>
      </w:r>
      <w:r w:rsidRPr="0065053C">
        <w:t>inisterstvo</w:t>
      </w:r>
      <w:r>
        <w:t xml:space="preserve"> financí </w:t>
      </w:r>
      <w:r w:rsidRPr="0065053C">
        <w:t>výstavce bankovní záruky k uh</w:t>
      </w:r>
      <w:r>
        <w:t>razení nedoplatku evidovaného k </w:t>
      </w:r>
      <w:r w:rsidRPr="0065053C">
        <w:t>devadesátému dni ode dne zrušení, změny nebo zániku základního povolení</w:t>
      </w:r>
      <w:r w:rsidR="00841D9F">
        <w:t xml:space="preserve"> nebo </w:t>
      </w:r>
      <w:r>
        <w:t>zrušení, zániku povolení k umístění herního prostoru</w:t>
      </w:r>
      <w:r w:rsidRPr="0065053C">
        <w:t xml:space="preserve"> u celního úřadu nebo správce daně z hazardních her nebo </w:t>
      </w:r>
      <w:r w:rsidR="001C2EE2">
        <w:t>M</w:t>
      </w:r>
      <w:r w:rsidRPr="0065053C">
        <w:t>inisterstva</w:t>
      </w:r>
      <w:r w:rsidR="001C2EE2">
        <w:t xml:space="preserve"> financí</w:t>
      </w:r>
      <w:r w:rsidRPr="0065053C">
        <w:t>. Stejně jako v</w:t>
      </w:r>
      <w:r w:rsidR="00914CAE">
        <w:t> </w:t>
      </w:r>
      <w:r w:rsidRPr="0065053C">
        <w:t>případě kauce složené peněžními prostředky i zde dochází k sit</w:t>
      </w:r>
      <w:r w:rsidR="00841D9F">
        <w:t>uaci, kdy je faktická lhůta pro </w:t>
      </w:r>
      <w:r w:rsidRPr="0065053C">
        <w:t>uplatnění nároku na výhru kratší než uv</w:t>
      </w:r>
      <w:r>
        <w:t>ádí § 10 zákona o </w:t>
      </w:r>
      <w:r w:rsidRPr="0065053C">
        <w:t>hazardních hrách. Přesněji řečeno</w:t>
      </w:r>
      <w:r w:rsidR="004850C6">
        <w:t>,</w:t>
      </w:r>
      <w:r w:rsidRPr="0065053C">
        <w:t xml:space="preserve"> sázející může uplatnit nárok na výhru ve lhůtě 1 roku, avšak pouze po dobu 90 dnů ode dne pravomocného zrušení</w:t>
      </w:r>
      <w:r>
        <w:t>, změny</w:t>
      </w:r>
      <w:r w:rsidRPr="0065053C">
        <w:t xml:space="preserve"> nebo zániku základního povolení</w:t>
      </w:r>
      <w:r>
        <w:t xml:space="preserve"> nebo povolení k umístění herního prostoru</w:t>
      </w:r>
      <w:r w:rsidRPr="0065053C">
        <w:t xml:space="preserve"> může uplatnit </w:t>
      </w:r>
      <w:r w:rsidR="00841D9F">
        <w:t>nárok u </w:t>
      </w:r>
      <w:r>
        <w:t>Ministerstva financí tak, aby k </w:t>
      </w:r>
      <w:r w:rsidRPr="0065053C">
        <w:t>úhradě tohoto závazku došlo z kauce poskytnuté ve</w:t>
      </w:r>
      <w:r w:rsidR="00841D9F">
        <w:t> </w:t>
      </w:r>
      <w:r>
        <w:t>formě bankovní záruky. V </w:t>
      </w:r>
      <w:r w:rsidRPr="0065053C">
        <w:t>případě, že svou výhru upla</w:t>
      </w:r>
      <w:r w:rsidR="00DF3FFE">
        <w:t>tní později, nemůže již dojít k </w:t>
      </w:r>
      <w:r w:rsidR="004850C6">
        <w:t>úhradě z kauce a </w:t>
      </w:r>
      <w:r w:rsidRPr="0065053C">
        <w:t xml:space="preserve">svou pohledávku musí vymáhat </w:t>
      </w:r>
      <w:r w:rsidR="00855246">
        <w:t>soukromoprávní cestou</w:t>
      </w:r>
      <w:r w:rsidRPr="0065053C">
        <w:t>.</w:t>
      </w:r>
    </w:p>
    <w:p w14:paraId="1C9F6B01" w14:textId="77777777" w:rsidR="00C23581" w:rsidRDefault="00C23581" w:rsidP="00937B7A">
      <w:pPr>
        <w:pStyle w:val="Nadpis7"/>
      </w:pPr>
      <w:r>
        <w:t>Varianta I. – Zachování současného stavu</w:t>
      </w:r>
    </w:p>
    <w:p w14:paraId="2AD8BF82" w14:textId="77777777" w:rsidR="00C23581" w:rsidRDefault="00C23581" w:rsidP="00D01C46">
      <w:r>
        <w:t>Výhody:</w:t>
      </w:r>
    </w:p>
    <w:p w14:paraId="5837B644" w14:textId="77777777" w:rsidR="00C23581" w:rsidRDefault="00C23581" w:rsidP="00D01C46">
      <w:r>
        <w:t>Žádné výhody nejsou shledány.</w:t>
      </w:r>
    </w:p>
    <w:p w14:paraId="6C5838F3" w14:textId="45D788E3" w:rsidR="00C23581" w:rsidRDefault="00C23581" w:rsidP="00D01C46">
      <w:r>
        <w:t>Nevýhody:</w:t>
      </w:r>
    </w:p>
    <w:p w14:paraId="0F8DB1D9" w14:textId="05357DFE" w:rsidR="00C23581" w:rsidRDefault="00C23581" w:rsidP="00D01C46">
      <w:r w:rsidRPr="00DE7359">
        <w:t xml:space="preserve">Stát není schopen </w:t>
      </w:r>
      <w:r w:rsidR="004850C6">
        <w:t xml:space="preserve">garantovat zajištění </w:t>
      </w:r>
      <w:r w:rsidR="00855246">
        <w:t>nevyplacených výher, které jsou uplatňovány s větším časovým odstupem po zrušení nebo zániku povolení, byť v zákonné lhůtě pro jejich uplatnění</w:t>
      </w:r>
      <w:r w:rsidRPr="00DE7359">
        <w:t xml:space="preserve">. </w:t>
      </w:r>
    </w:p>
    <w:p w14:paraId="49EC9724" w14:textId="6D5B246C" w:rsidR="00C23581" w:rsidRDefault="00C23581" w:rsidP="00937B7A">
      <w:pPr>
        <w:pStyle w:val="Nadpis7"/>
      </w:pPr>
      <w:r>
        <w:t>Varianta II. – Změna zákona o hazardních hrách</w:t>
      </w:r>
      <w:r w:rsidR="00855246">
        <w:t xml:space="preserve"> v podobě stanovení delší lhůty pro vypořádání závazků</w:t>
      </w:r>
    </w:p>
    <w:p w14:paraId="146F1A98" w14:textId="77777777" w:rsidR="00C23581" w:rsidRDefault="00C23581" w:rsidP="00D01C46">
      <w:r>
        <w:t>Výhody:</w:t>
      </w:r>
    </w:p>
    <w:p w14:paraId="055BFCE2" w14:textId="77777777" w:rsidR="00C23581" w:rsidRDefault="00C23581" w:rsidP="00D01C46">
      <w:r w:rsidRPr="0008187E">
        <w:t>Novelizací zákona by bylo možné posílit pozici účastníka hazardní hry, pakliže by byla stanovena delší lhůta pro vypořádání závazků z kauce složen</w:t>
      </w:r>
      <w:r>
        <w:t>é podle zákona o </w:t>
      </w:r>
      <w:r w:rsidRPr="0008187E">
        <w:t>hazardních hrách.</w:t>
      </w:r>
      <w:r w:rsidRPr="00DE7359">
        <w:t xml:space="preserve"> </w:t>
      </w:r>
    </w:p>
    <w:p w14:paraId="35011E67" w14:textId="77777777" w:rsidR="00C23581" w:rsidRDefault="00C23581" w:rsidP="00836C54">
      <w:pPr>
        <w:keepNext/>
      </w:pPr>
      <w:r>
        <w:t>Nevýhody:</w:t>
      </w:r>
    </w:p>
    <w:p w14:paraId="06F82705" w14:textId="4007CEA8" w:rsidR="00C23581" w:rsidRDefault="00C23581" w:rsidP="00D01C46">
      <w:pPr>
        <w:rPr>
          <w:rFonts w:cs="Arial"/>
        </w:rPr>
      </w:pPr>
      <w:r w:rsidRPr="0065053C">
        <w:rPr>
          <w:rFonts w:cs="Arial"/>
        </w:rPr>
        <w:t xml:space="preserve">Peněžní prostředky provozovatelů hazardních her by byly delší dobu </w:t>
      </w:r>
      <w:r w:rsidR="007961AD">
        <w:rPr>
          <w:rFonts w:cs="Arial"/>
        </w:rPr>
        <w:t>blokovány na </w:t>
      </w:r>
      <w:r w:rsidRPr="0065053C">
        <w:rPr>
          <w:rFonts w:cs="Arial"/>
        </w:rPr>
        <w:t>zvláštním účtu ministerstva nebo by nebyla vrácena/snížena bankovní záruka.</w:t>
      </w:r>
    </w:p>
    <w:p w14:paraId="7F755C79" w14:textId="0D3BD5BE" w:rsidR="00855246" w:rsidRDefault="00855246" w:rsidP="00937B7A">
      <w:pPr>
        <w:pStyle w:val="Nadpis7"/>
      </w:pPr>
      <w:r>
        <w:t>Varianta III. – Změna zákona o hazardních hrách v podobě zvolení jiného způsobu zajištění nevyplacených výher</w:t>
      </w:r>
    </w:p>
    <w:p w14:paraId="4D3534EA" w14:textId="13B53832" w:rsidR="00855246" w:rsidRDefault="00855246" w:rsidP="00D01C46">
      <w:pPr>
        <w:rPr>
          <w:rFonts w:cs="Arial"/>
        </w:rPr>
      </w:pPr>
      <w:r>
        <w:rPr>
          <w:rFonts w:cs="Arial"/>
        </w:rPr>
        <w:t>Výhody:</w:t>
      </w:r>
    </w:p>
    <w:p w14:paraId="4B83A09B" w14:textId="71ED18A5" w:rsidR="00855246" w:rsidRDefault="00855246" w:rsidP="00D01C46">
      <w:pPr>
        <w:rPr>
          <w:rFonts w:cs="Arial"/>
        </w:rPr>
      </w:pPr>
      <w:r>
        <w:rPr>
          <w:rFonts w:cs="Arial"/>
        </w:rPr>
        <w:t>Vzhledem k jiné formě zajištění by jiná koncepce nemusel</w:t>
      </w:r>
      <w:r w:rsidR="00A73176">
        <w:rPr>
          <w:rFonts w:cs="Arial"/>
        </w:rPr>
        <w:t>a</w:t>
      </w:r>
      <w:r w:rsidR="007961AD">
        <w:rPr>
          <w:rFonts w:cs="Arial"/>
        </w:rPr>
        <w:t xml:space="preserve"> způsobovat problém při </w:t>
      </w:r>
      <w:r>
        <w:rPr>
          <w:rFonts w:cs="Arial"/>
        </w:rPr>
        <w:t xml:space="preserve">takto </w:t>
      </w:r>
      <w:r w:rsidR="00A73176">
        <w:rPr>
          <w:rFonts w:cs="Arial"/>
        </w:rPr>
        <w:t xml:space="preserve">kolidujících </w:t>
      </w:r>
      <w:r>
        <w:rPr>
          <w:rFonts w:cs="Arial"/>
        </w:rPr>
        <w:t>lhůtách.</w:t>
      </w:r>
    </w:p>
    <w:p w14:paraId="572174C9" w14:textId="232C70B5" w:rsidR="00855246" w:rsidRDefault="00855246" w:rsidP="00D01C46">
      <w:pPr>
        <w:rPr>
          <w:rFonts w:cs="Arial"/>
        </w:rPr>
      </w:pPr>
      <w:r>
        <w:rPr>
          <w:rFonts w:cs="Arial"/>
        </w:rPr>
        <w:t>Nevýhody:</w:t>
      </w:r>
    </w:p>
    <w:p w14:paraId="03D52656" w14:textId="76D6F175" w:rsidR="00855246" w:rsidRDefault="00564B7A" w:rsidP="00D01C46">
      <w:pPr>
        <w:rPr>
          <w:rFonts w:cs="Arial"/>
        </w:rPr>
      </w:pPr>
      <w:r>
        <w:rPr>
          <w:rFonts w:cs="Arial"/>
        </w:rPr>
        <w:t>Řešení je odvislé od koncepční změny způsobu zajištění nevyplacených výher sázejících.</w:t>
      </w:r>
    </w:p>
    <w:p w14:paraId="4CEB382D" w14:textId="2F439ACE" w:rsidR="00564B7A" w:rsidRDefault="00564B7A" w:rsidP="00937B7A">
      <w:pPr>
        <w:pStyle w:val="Nadpis7"/>
      </w:pPr>
      <w:r>
        <w:t xml:space="preserve">Varianta IV. – </w:t>
      </w:r>
      <w:r w:rsidR="00612C76">
        <w:t>Změna zákona o hazardních hrách v podobě z</w:t>
      </w:r>
      <w:r>
        <w:t>krácení lhůty pro uplatňování nároku na výhru</w:t>
      </w:r>
    </w:p>
    <w:p w14:paraId="75A3FCB6" w14:textId="77777777" w:rsidR="00612C76" w:rsidRDefault="00612C76" w:rsidP="00612C76">
      <w:pPr>
        <w:rPr>
          <w:rFonts w:cs="Arial"/>
        </w:rPr>
      </w:pPr>
      <w:r>
        <w:rPr>
          <w:rFonts w:cs="Arial"/>
        </w:rPr>
        <w:t>Výhody:</w:t>
      </w:r>
    </w:p>
    <w:p w14:paraId="7F073E87" w14:textId="208B9C52" w:rsidR="00612C76" w:rsidRDefault="00612C76" w:rsidP="00612C76">
      <w:pPr>
        <w:rPr>
          <w:rFonts w:cs="Arial"/>
        </w:rPr>
      </w:pPr>
      <w:r>
        <w:rPr>
          <w:rFonts w:cs="Arial"/>
        </w:rPr>
        <w:t>Jednalo by se o minimalistický zásah do zákona o ha</w:t>
      </w:r>
      <w:r w:rsidR="007961AD">
        <w:rPr>
          <w:rFonts w:cs="Arial"/>
        </w:rPr>
        <w:t>zardních hrách, kdy by došlo ke </w:t>
      </w:r>
      <w:r>
        <w:rPr>
          <w:rFonts w:cs="Arial"/>
        </w:rPr>
        <w:t>zkrácení lhůty pro upl</w:t>
      </w:r>
      <w:r w:rsidR="000F5BC7">
        <w:rPr>
          <w:rFonts w:cs="Arial"/>
        </w:rPr>
        <w:t>atnění nároku na výhru a rovněž ke zpřesnění a sjednocení právní úpravy.</w:t>
      </w:r>
    </w:p>
    <w:p w14:paraId="674A15C2" w14:textId="45844992" w:rsidR="00612C76" w:rsidRDefault="00612C76" w:rsidP="00612C76">
      <w:pPr>
        <w:rPr>
          <w:rFonts w:cs="Arial"/>
        </w:rPr>
      </w:pPr>
      <w:r>
        <w:rPr>
          <w:rFonts w:cs="Arial"/>
        </w:rPr>
        <w:t>Nevýhody:</w:t>
      </w:r>
    </w:p>
    <w:p w14:paraId="0EC36AD0" w14:textId="65123777" w:rsidR="00612C76" w:rsidRPr="00612C76" w:rsidRDefault="000F5BC7" w:rsidP="00612C76">
      <w:r>
        <w:t>Sázejícím by byla dána kratší lhůta pro uplatnění jejich nároku. Dále by musely být podrobněji analyzovány dopady do procesu vrácení kauce, tak aby lhůty vzájemně korespondovaly.</w:t>
      </w:r>
    </w:p>
    <w:p w14:paraId="78FD96DF" w14:textId="77777777" w:rsidR="00C23581" w:rsidRPr="006C7BA9" w:rsidRDefault="00C23581" w:rsidP="00937B7A">
      <w:pPr>
        <w:pStyle w:val="Nadpis7"/>
      </w:pPr>
      <w:r w:rsidRPr="006C7BA9">
        <w:t xml:space="preserve">Hodnocení variant </w:t>
      </w:r>
    </w:p>
    <w:p w14:paraId="3391E1B9" w14:textId="31E8D816" w:rsidR="00C23581" w:rsidRDefault="00C23581" w:rsidP="00D01C46">
      <w:r w:rsidRPr="00323D9A">
        <w:t>Zákon odlišuje lhůtu, která je určena pro uplatnění výhry u provozovatele a lhůt</w:t>
      </w:r>
      <w:r w:rsidR="007961AD">
        <w:t>u</w:t>
      </w:r>
      <w:r w:rsidRPr="00323D9A">
        <w:t xml:space="preserve">, která je stanovena k přihlášení výhry u </w:t>
      </w:r>
      <w:r>
        <w:t>M</w:t>
      </w:r>
      <w:r w:rsidRPr="00323D9A">
        <w:t>inisterstva</w:t>
      </w:r>
      <w:r>
        <w:t xml:space="preserve"> financí</w:t>
      </w:r>
      <w:r w:rsidRPr="00323D9A">
        <w:t xml:space="preserve">. Účastník hazardní hry může svou pohledávku uspokojit vůči provozovateli přímo, přesto je jeho pozice </w:t>
      </w:r>
      <w:r w:rsidR="007961AD">
        <w:t>při </w:t>
      </w:r>
      <w:r>
        <w:t>volbě varianty I.</w:t>
      </w:r>
      <w:r w:rsidRPr="00323D9A">
        <w:t xml:space="preserve"> ztížena.</w:t>
      </w:r>
    </w:p>
    <w:p w14:paraId="7E8D41A8" w14:textId="4F8C65F9" w:rsidR="00C23581" w:rsidRDefault="00C23581" w:rsidP="00D01C46">
      <w:pPr>
        <w:rPr>
          <w:rFonts w:cs="Arial"/>
        </w:rPr>
      </w:pPr>
      <w:r w:rsidRPr="0065053C">
        <w:rPr>
          <w:rFonts w:cs="Arial"/>
        </w:rPr>
        <w:t>Novelizace by mohla přinést silnější postavení účastníka hazardní hry v případě vymáhání výhry vůči provozovateli, avšak na úkor delšího procesu vypořádávání závazků provozovatele a s tím související blokování peněžních prostředků/bankovní záruky.</w:t>
      </w:r>
      <w:r w:rsidR="000F5BC7">
        <w:rPr>
          <w:rFonts w:cs="Arial"/>
        </w:rPr>
        <w:t xml:space="preserve"> Naopak u varianty IV. by byla lhůta pro uplatnění nároku na výhru zkrácena. </w:t>
      </w:r>
    </w:p>
    <w:p w14:paraId="0C1CC6DE" w14:textId="2CC5E85E" w:rsidR="00C23581" w:rsidRDefault="00C23581" w:rsidP="00D01C46">
      <w:pPr>
        <w:rPr>
          <w:rFonts w:cs="Arial"/>
        </w:rPr>
      </w:pPr>
      <w:r w:rsidRPr="008F3483">
        <w:rPr>
          <w:rFonts w:cs="Arial"/>
        </w:rPr>
        <w:t>Ministerstvo</w:t>
      </w:r>
      <w:r>
        <w:rPr>
          <w:rFonts w:cs="Arial"/>
        </w:rPr>
        <w:t xml:space="preserve"> financí</w:t>
      </w:r>
      <w:r w:rsidRPr="008F3483">
        <w:rPr>
          <w:rFonts w:cs="Arial"/>
        </w:rPr>
        <w:t xml:space="preserve"> si je vědomo toho, že současná úprava </w:t>
      </w:r>
      <w:r>
        <w:rPr>
          <w:rFonts w:cs="Arial"/>
        </w:rPr>
        <w:t>neumožňuje</w:t>
      </w:r>
      <w:r w:rsidRPr="008F3483">
        <w:rPr>
          <w:rFonts w:cs="Arial"/>
        </w:rPr>
        <w:t xml:space="preserve">, aby byly pokryty všechny </w:t>
      </w:r>
      <w:r>
        <w:rPr>
          <w:rFonts w:cs="Arial"/>
        </w:rPr>
        <w:t>nevyplacené</w:t>
      </w:r>
      <w:r w:rsidRPr="008F3483">
        <w:rPr>
          <w:rFonts w:cs="Arial"/>
        </w:rPr>
        <w:t xml:space="preserve"> výhry uplatněné v zákon</w:t>
      </w:r>
      <w:r w:rsidR="007961AD">
        <w:rPr>
          <w:rFonts w:cs="Arial"/>
        </w:rPr>
        <w:t>né lhůtě stanovené v § 10 </w:t>
      </w:r>
      <w:r>
        <w:rPr>
          <w:rFonts w:cs="Arial"/>
        </w:rPr>
        <w:t>odst. </w:t>
      </w:r>
      <w:r w:rsidRPr="008F3483">
        <w:rPr>
          <w:rFonts w:cs="Arial"/>
        </w:rPr>
        <w:t xml:space="preserve">6 zákona o hazardních hrách. </w:t>
      </w:r>
      <w:r>
        <w:rPr>
          <w:rFonts w:cs="Arial"/>
        </w:rPr>
        <w:t xml:space="preserve">Sázející nepřichází o možnost úhrady nevyplacené výhry přímo u provozovatele. V daném případě bude nutné o této otázce rozhodnout </w:t>
      </w:r>
      <w:r w:rsidR="00C704CA">
        <w:rPr>
          <w:rFonts w:cs="Arial"/>
        </w:rPr>
        <w:t>i </w:t>
      </w:r>
      <w:r>
        <w:rPr>
          <w:rFonts w:cs="Arial"/>
        </w:rPr>
        <w:t>v kontextu navrhovaných či zvažovaných změn v části Kauce.</w:t>
      </w:r>
    </w:p>
    <w:p w14:paraId="4705D770" w14:textId="77777777" w:rsidR="00C23581" w:rsidRPr="00323D9A" w:rsidRDefault="00C23581" w:rsidP="007029FF">
      <w:pPr>
        <w:pStyle w:val="Nadpis6"/>
      </w:pPr>
      <w:bookmarkStart w:id="20" w:name="_Toc73604715"/>
      <w:r>
        <w:t>Lhůta pro vyplacení výhry na uživatelské konto vs. faktické vyplacení výhry bezhotovostně nebo v hotovosti</w:t>
      </w:r>
      <w:bookmarkEnd w:id="20"/>
    </w:p>
    <w:p w14:paraId="4626C4A5" w14:textId="6D7BB3C1" w:rsidR="00C23581" w:rsidRPr="0065053C" w:rsidRDefault="007961AD" w:rsidP="00D01C46">
      <w:r>
        <w:t>V</w:t>
      </w:r>
      <w:r w:rsidRPr="0065053C">
        <w:t xml:space="preserve"> § 10 odst. 5 </w:t>
      </w:r>
      <w:r>
        <w:t>z</w:t>
      </w:r>
      <w:r w:rsidRPr="0065053C">
        <w:t xml:space="preserve">ákon </w:t>
      </w:r>
      <w:r w:rsidR="00C23581" w:rsidRPr="0065053C">
        <w:t>o hazardních hrách stanoví lhůtu k vyplacení výhry, a to 60 dnů ode dne uplatnění nároku na výhru sázejícím. V</w:t>
      </w:r>
      <w:r w:rsidR="00A73176">
        <w:t> praxi vzniká problém, zda s</w:t>
      </w:r>
      <w:r w:rsidR="00C23581" w:rsidRPr="0065053C">
        <w:t>e tato lhůta vztahuje k vyplacení výhry</w:t>
      </w:r>
      <w:r w:rsidR="00C23581">
        <w:t xml:space="preserve"> na uživatelské konto nebo k vyplacení výhry z uživatelského konta. </w:t>
      </w:r>
      <w:r w:rsidR="00C23581" w:rsidRPr="0065053C">
        <w:t>Tato situace dopadá na</w:t>
      </w:r>
      <w:r>
        <w:t> případy, kdy </w:t>
      </w:r>
      <w:r w:rsidR="00345823">
        <w:t>provozovateli vzniká ze </w:t>
      </w:r>
      <w:r w:rsidR="00C23581" w:rsidRPr="0065053C">
        <w:t>zákona povinnost zřídit uživatelské konto</w:t>
      </w:r>
      <w:r>
        <w:t>,</w:t>
      </w:r>
      <w:r w:rsidR="00C23581" w:rsidRPr="0065053C">
        <w:t xml:space="preserve"> </w:t>
      </w:r>
      <w:r>
        <w:t>popř. případ</w:t>
      </w:r>
      <w:r w:rsidR="00C23581" w:rsidRPr="0065053C">
        <w:t xml:space="preserve">, kdy se provozovatel v herním plánu dobrovolně zaváže ke zřízení </w:t>
      </w:r>
      <w:r w:rsidR="00C23581">
        <w:t xml:space="preserve">obdoby </w:t>
      </w:r>
      <w:r w:rsidR="00C23581" w:rsidRPr="0065053C">
        <w:t>uživatelského konta. Uživatelské konto</w:t>
      </w:r>
      <w:r w:rsidR="00C23581" w:rsidRPr="0065053C">
        <w:rPr>
          <w:vertAlign w:val="superscript"/>
        </w:rPr>
        <w:footnoteReference w:id="19"/>
      </w:r>
      <w:r w:rsidR="00C23581" w:rsidRPr="0065053C">
        <w:t xml:space="preserve"> je definováno jako konto, na němž jsou evidovány peněžní prostředky, zejména vklady, sázky a výhry, přičemž tyto prostředky jsou evidovány odděleně od peněžních prostředků ostatních účast</w:t>
      </w:r>
      <w:r w:rsidR="00345823">
        <w:t>níků řízení a provozovatele. Ze </w:t>
      </w:r>
      <w:r w:rsidR="00C23581" w:rsidRPr="0065053C">
        <w:t>zákona o hazardních hrách nevyplývá, že b</w:t>
      </w:r>
      <w:r w:rsidR="00345823">
        <w:t>y tyto prostředky musely být na </w:t>
      </w:r>
      <w:r w:rsidR="00C23581" w:rsidRPr="0065053C">
        <w:t xml:space="preserve">uživatelském kontě uchovávány, </w:t>
      </w:r>
      <w:r>
        <w:t xml:space="preserve">musí být </w:t>
      </w:r>
      <w:r w:rsidR="00C23581" w:rsidRPr="0065053C">
        <w:t>pouze evidovány.</w:t>
      </w:r>
    </w:p>
    <w:p w14:paraId="5852C96D" w14:textId="64C51CD7" w:rsidR="00C23581" w:rsidRPr="0065053C" w:rsidRDefault="00C23581" w:rsidP="00D01C46">
      <w:r>
        <w:t>Ministerstvo financí ve své správní praxi vychází z toho, že v</w:t>
      </w:r>
      <w:r w:rsidRPr="0065053C">
        <w:t xml:space="preserve">ýplata výhry označuje proces, který je zahájen úspěšným uplatněním nároku na výhru a ukončen vyplacením (převedením) této výhry do vlastnictví účastníka hazardní hry, kdy je účastníku hazardní hry umožněna plná realizace vlastnického práva. Z uvedeného vyplývá, že k vyplacení výhry nedojde, pokud provozovatel neumožní plnou realizaci vlastnického práva k výhře. </w:t>
      </w:r>
      <w:r w:rsidR="00523DD3">
        <w:t>R</w:t>
      </w:r>
      <w:r w:rsidRPr="0065053C">
        <w:t xml:space="preserve">ozhodnutím neprovést požadavek účastníka hazardní hry </w:t>
      </w:r>
      <w:r w:rsidR="00B2708D">
        <w:t xml:space="preserve">(např. </w:t>
      </w:r>
      <w:r>
        <w:t>vyplatit</w:t>
      </w:r>
      <w:r w:rsidRPr="0065053C">
        <w:t xml:space="preserve"> výhru</w:t>
      </w:r>
      <w:r>
        <w:t xml:space="preserve"> bezhotovostně</w:t>
      </w:r>
      <w:r w:rsidRPr="0065053C">
        <w:t>, vyplatit výhru v hotovosti, použít j</w:t>
      </w:r>
      <w:r w:rsidR="007961AD">
        <w:t>i</w:t>
      </w:r>
      <w:r w:rsidRPr="0065053C">
        <w:t xml:space="preserve"> do hazardní hry nebo ponechat výhry na uživatelském kontě</w:t>
      </w:r>
      <w:r w:rsidR="00B2708D">
        <w:t>)</w:t>
      </w:r>
      <w:r w:rsidRPr="0065053C">
        <w:t xml:space="preserve"> provozovatel přiznává, že výhra nebyla řádně vyplacena. Do okamžiku, kdy není odmítnut pokyn účastníka hazardní hry k provedení úkonu spočívajícího v nakládání s výhrou (a to způsobem předvídaným zákonem o hazardních hrác</w:t>
      </w:r>
      <w:r>
        <w:t>h nebo herním plánem), se má za </w:t>
      </w:r>
      <w:r w:rsidRPr="0065053C">
        <w:t>to, že výhra byla vyplacena v okamžiku vyplacení na uživatelské konto.</w:t>
      </w:r>
      <w:r>
        <w:t xml:space="preserve"> </w:t>
      </w:r>
    </w:p>
    <w:p w14:paraId="7B06527B" w14:textId="75AA0B5D" w:rsidR="00C23581" w:rsidRPr="0065053C" w:rsidRDefault="00C23581" w:rsidP="00D01C46">
      <w:r w:rsidRPr="0065053C">
        <w:t xml:space="preserve">Povinnost vyplatit výhru ve lhůtě 60 dnů ode dne uplatnění nároku na výhru sázejícím se vztahuje </w:t>
      </w:r>
      <w:r w:rsidR="00523DD3">
        <w:t xml:space="preserve">jak </w:t>
      </w:r>
      <w:r w:rsidRPr="0065053C">
        <w:t xml:space="preserve">na situace, kdy je výhra připsána na uživatelské konto sázejícímu, tak na situace, kdy sázející žádá o </w:t>
      </w:r>
      <w:r>
        <w:t>vyplacení výhry z uživatelského konta, a to buď bezhotovostně, nebo v hotovosti</w:t>
      </w:r>
      <w:r w:rsidRPr="0065053C">
        <w:t>. Převedení výhry na účet sázejícího nebo vyplacení výhry v hotovosti představuje výplatu výhry v širším významu, a je třeba i zde operovat se lhůtou 60 dnů. Na obě lhůty je pak potřeba pohlížet samostatně.</w:t>
      </w:r>
    </w:p>
    <w:p w14:paraId="3C972A80" w14:textId="1782E267" w:rsidR="00C23581" w:rsidRDefault="00C23581" w:rsidP="00D01C46">
      <w:r w:rsidRPr="00DE17B3">
        <w:t>V praxi je problematické samotné identifikování výhry</w:t>
      </w:r>
      <w:r w:rsidR="00A73176">
        <w:t xml:space="preserve"> (vedle vkladů, bonusů)</w:t>
      </w:r>
      <w:r w:rsidRPr="00DE17B3">
        <w:t xml:space="preserve"> z peněžních prostředků evidovaných na uživatelském kontě.</w:t>
      </w:r>
    </w:p>
    <w:p w14:paraId="0E46470C" w14:textId="77777777" w:rsidR="00C23581" w:rsidRDefault="00C23581" w:rsidP="00937B7A">
      <w:pPr>
        <w:pStyle w:val="Nadpis7"/>
      </w:pPr>
      <w:r>
        <w:t>Varianta I. – Zachování současného stavu</w:t>
      </w:r>
    </w:p>
    <w:p w14:paraId="392042F8" w14:textId="77777777" w:rsidR="00C23581" w:rsidRDefault="00C23581" w:rsidP="00A63AB4">
      <w:r>
        <w:t>Výhody:</w:t>
      </w:r>
    </w:p>
    <w:p w14:paraId="25B5F2FF" w14:textId="40403076" w:rsidR="00C23581" w:rsidRDefault="00C23581" w:rsidP="00A63AB4">
      <w:r w:rsidRPr="006F72D7">
        <w:t>Již je nastavena správní praxe, tzn., lhůta se uplatní jak p</w:t>
      </w:r>
      <w:r w:rsidR="00523DD3">
        <w:t>ro vyplacení výhry na </w:t>
      </w:r>
      <w:r w:rsidRPr="006F72D7">
        <w:t>uživatelské konto, tak na vyplacení výhry z uživatelského konta.</w:t>
      </w:r>
    </w:p>
    <w:p w14:paraId="5037DE61" w14:textId="77777777" w:rsidR="00C23581" w:rsidRDefault="00C23581" w:rsidP="00A63AB4">
      <w:r>
        <w:t>Nevýhody:</w:t>
      </w:r>
    </w:p>
    <w:p w14:paraId="0A5AFC7E" w14:textId="77777777" w:rsidR="00C23581" w:rsidRDefault="00C23581" w:rsidP="00A63AB4">
      <w:r w:rsidRPr="006F72D7">
        <w:t>V současné době není zákonem výslovně stanoveno, k čemu je lhůta 60 dnů určena, zda k vyplacení výhry na uživatelské konto či k vyplacení z uživatelského konta bezhotovostně/ v hotovosti. Ustálená správní praxe nemá výslovnou zákonnou oporu a může tak dojít k situaci, kdy soud v rámci soudního řízení dovodí jiný výklad zákona.</w:t>
      </w:r>
    </w:p>
    <w:p w14:paraId="5F952BAA" w14:textId="1BEB5482" w:rsidR="00C23581" w:rsidRDefault="00C23581" w:rsidP="00937B7A">
      <w:pPr>
        <w:pStyle w:val="Nadpis7"/>
      </w:pPr>
      <w:r>
        <w:t>Varianta II. – Změna zákona o hazardních hrách</w:t>
      </w:r>
      <w:r w:rsidR="00B41599">
        <w:t xml:space="preserve"> </w:t>
      </w:r>
      <w:r w:rsidR="00B75983">
        <w:t>– oddělení lhůty pr</w:t>
      </w:r>
      <w:r w:rsidR="00836C54">
        <w:t>o výplatu výhry na uživatelské</w:t>
      </w:r>
      <w:r w:rsidR="00B75983">
        <w:t xml:space="preserve"> konto a vyplacení peněžních prostředků z uživatelského konta</w:t>
      </w:r>
    </w:p>
    <w:p w14:paraId="78B8F3F1" w14:textId="77777777" w:rsidR="00C23581" w:rsidRDefault="00C23581" w:rsidP="00A63AB4">
      <w:r>
        <w:t>Výhody:</w:t>
      </w:r>
    </w:p>
    <w:p w14:paraId="6A7366EC" w14:textId="5581A8BB" w:rsidR="00C23581" w:rsidRDefault="00C23581" w:rsidP="00A63AB4">
      <w:pPr>
        <w:rPr>
          <w:rFonts w:cs="Arial"/>
        </w:rPr>
      </w:pPr>
      <w:r w:rsidRPr="0065053C">
        <w:rPr>
          <w:rFonts w:cs="Arial"/>
        </w:rPr>
        <w:t>Novelizací zákona o hazardních hrách dojde k</w:t>
      </w:r>
      <w:r>
        <w:rPr>
          <w:rFonts w:cs="Arial"/>
        </w:rPr>
        <w:t>e zvýšení právní jistoty</w:t>
      </w:r>
      <w:r w:rsidRPr="0065053C">
        <w:rPr>
          <w:rFonts w:cs="Arial"/>
        </w:rPr>
        <w:t>. Měla by být jednoznačně oddělena lhůta pro vyp</w:t>
      </w:r>
      <w:r>
        <w:rPr>
          <w:rFonts w:cs="Arial"/>
        </w:rPr>
        <w:t>lacení výhry na uživatelské konto</w:t>
      </w:r>
      <w:r w:rsidR="008257DD">
        <w:rPr>
          <w:rFonts w:cs="Arial"/>
        </w:rPr>
        <w:t xml:space="preserve"> a lhůta pro </w:t>
      </w:r>
      <w:r>
        <w:rPr>
          <w:rFonts w:cs="Arial"/>
        </w:rPr>
        <w:t>vyplacení peněžních prostředků z uživatelského konta</w:t>
      </w:r>
      <w:r w:rsidRPr="0065053C">
        <w:rPr>
          <w:rFonts w:cs="Arial"/>
        </w:rPr>
        <w:t xml:space="preserve">, </w:t>
      </w:r>
      <w:r>
        <w:rPr>
          <w:rFonts w:cs="Arial"/>
        </w:rPr>
        <w:t xml:space="preserve">čímž by byla zajištěna vyšší </w:t>
      </w:r>
      <w:r w:rsidR="008670C9">
        <w:rPr>
          <w:rFonts w:cs="Arial"/>
        </w:rPr>
        <w:t>míra ochrany sázejících a došlo</w:t>
      </w:r>
      <w:r w:rsidR="00523DD3">
        <w:rPr>
          <w:rFonts w:cs="Arial"/>
        </w:rPr>
        <w:t xml:space="preserve"> by</w:t>
      </w:r>
      <w:r w:rsidR="008670C9">
        <w:rPr>
          <w:rFonts w:cs="Arial"/>
        </w:rPr>
        <w:t xml:space="preserve"> </w:t>
      </w:r>
      <w:r>
        <w:rPr>
          <w:rFonts w:cs="Arial"/>
        </w:rPr>
        <w:t>k zpřehlednění právní úpravy. Rovněž by zákon o hazardních hrách výslovně upravoval podmínky pro vyplácení všech peněžních prostředků na uživatelském kontě, které nemusí být vždy výhrou.</w:t>
      </w:r>
    </w:p>
    <w:p w14:paraId="68406E08" w14:textId="77777777" w:rsidR="00C23581" w:rsidRDefault="00C23581" w:rsidP="00A63AB4">
      <w:pPr>
        <w:rPr>
          <w:rFonts w:cs="Arial"/>
        </w:rPr>
      </w:pPr>
      <w:r>
        <w:rPr>
          <w:rFonts w:cs="Arial"/>
        </w:rPr>
        <w:t>Nevýhody:</w:t>
      </w:r>
    </w:p>
    <w:p w14:paraId="0ACA243E" w14:textId="77777777" w:rsidR="00C23581" w:rsidRPr="006F72D7" w:rsidRDefault="00C23581" w:rsidP="00A63AB4">
      <w:r>
        <w:t>Žádné nebyly shledány.</w:t>
      </w:r>
    </w:p>
    <w:p w14:paraId="07DD1141" w14:textId="77777777" w:rsidR="00C23581" w:rsidRPr="006C7BA9" w:rsidRDefault="00C23581" w:rsidP="00937B7A">
      <w:pPr>
        <w:pStyle w:val="Nadpis7"/>
      </w:pPr>
      <w:r w:rsidRPr="006C7BA9">
        <w:t xml:space="preserve">Hodnocení variant </w:t>
      </w:r>
    </w:p>
    <w:p w14:paraId="46EB9CF7" w14:textId="77777777" w:rsidR="00C23581" w:rsidRDefault="00C23581" w:rsidP="00A63AB4">
      <w:r w:rsidRPr="0065053C">
        <w:t>V případě, že nedojde k novelizaci tohoto ustanovení, bude nadále v praxi uplatňován výše uvedený výklad, ledaže by byl soudem jako orgánem vykládajícím zákon dovozen v konkrétním případě výklad jiný.</w:t>
      </w:r>
    </w:p>
    <w:p w14:paraId="57F18BF7" w14:textId="5C54F4C0" w:rsidR="00C23581" w:rsidRDefault="00C23581" w:rsidP="00A63AB4">
      <w:r w:rsidRPr="0065053C">
        <w:t xml:space="preserve">Novelizací příslušného ustanovení zákona dojde k vyjasnění současného stavu, </w:t>
      </w:r>
      <w:r w:rsidR="008257DD">
        <w:t xml:space="preserve">kdy </w:t>
      </w:r>
      <w:r w:rsidRPr="0065053C">
        <w:t>musí být výklade</w:t>
      </w:r>
      <w:r>
        <w:t xml:space="preserve">m dovozováno, že </w:t>
      </w:r>
      <w:r w:rsidR="00523DD3">
        <w:t xml:space="preserve">se </w:t>
      </w:r>
      <w:r>
        <w:t>lhůta 60 dnů k </w:t>
      </w:r>
      <w:r w:rsidRPr="0065053C">
        <w:t>vyplacení výhry vztahuje nejen na vyplacení výhry na uživatelské konto, ale také na faktické vyplacení výhry</w:t>
      </w:r>
      <w:r>
        <w:t xml:space="preserve"> z uživatelského konta</w:t>
      </w:r>
      <w:r w:rsidRPr="0065053C">
        <w:t>.</w:t>
      </w:r>
    </w:p>
    <w:p w14:paraId="68937392" w14:textId="22BF947B" w:rsidR="00C23581" w:rsidRDefault="00523DD3" w:rsidP="00A63AB4">
      <w:r>
        <w:t xml:space="preserve">Doporučuje se novelizovat </w:t>
      </w:r>
      <w:r w:rsidR="00C23581">
        <w:t>§ 10 zákona o </w:t>
      </w:r>
      <w:r w:rsidR="00C23581" w:rsidRPr="0065053C">
        <w:t xml:space="preserve">hazardních hrách tak, aby byla </w:t>
      </w:r>
      <w:r w:rsidR="00C23581">
        <w:t>doplněna</w:t>
      </w:r>
      <w:r w:rsidR="00C23581" w:rsidRPr="0065053C">
        <w:t xml:space="preserve"> lhůta pro </w:t>
      </w:r>
      <w:r w:rsidR="00C23581">
        <w:t>připsání</w:t>
      </w:r>
      <w:r w:rsidR="00C23581" w:rsidRPr="0065053C">
        <w:t xml:space="preserve"> výhry na uživatelské konto v případě hazardních her, kde je uživatelské konto</w:t>
      </w:r>
      <w:r w:rsidR="00C23581">
        <w:t xml:space="preserve"> zřizováno ze zákona</w:t>
      </w:r>
      <w:r w:rsidR="00C23581" w:rsidRPr="0065053C">
        <w:t xml:space="preserve"> (nebo dobrov</w:t>
      </w:r>
      <w:r w:rsidR="00C23581">
        <w:t>olně na základě herního plánu</w:t>
      </w:r>
      <w:r w:rsidR="00C23581" w:rsidRPr="00C70D07">
        <w:t>) a druhá lhůta pro vyplacení</w:t>
      </w:r>
      <w:r w:rsidR="00C23581">
        <w:t xml:space="preserve"> výhry (v případě hazardních her bez uživatelského konta – současný stav) nebo</w:t>
      </w:r>
      <w:r w:rsidR="00C23581" w:rsidRPr="00C70D07">
        <w:t xml:space="preserve"> zůstatku</w:t>
      </w:r>
      <w:r w:rsidR="00C23581">
        <w:t xml:space="preserve"> (v případě hazardních her s povinně zřizovaným uživatelským kontem, doporučuje se nahradit</w:t>
      </w:r>
      <w:r w:rsidR="00295B7B">
        <w:t xml:space="preserve"> pojem</w:t>
      </w:r>
      <w:r w:rsidR="00C23581">
        <w:t xml:space="preserve"> </w:t>
      </w:r>
      <w:r w:rsidR="00295B7B">
        <w:t>„</w:t>
      </w:r>
      <w:r w:rsidR="00C23581">
        <w:t>výhr</w:t>
      </w:r>
      <w:r w:rsidR="00295B7B">
        <w:t>a“</w:t>
      </w:r>
      <w:r w:rsidR="00C23581">
        <w:t xml:space="preserve"> pojmem </w:t>
      </w:r>
      <w:r w:rsidR="00295B7B">
        <w:t>„</w:t>
      </w:r>
      <w:r w:rsidR="00C23581">
        <w:t>zůstatek</w:t>
      </w:r>
      <w:r w:rsidR="00295B7B">
        <w:t>“</w:t>
      </w:r>
      <w:r w:rsidR="00C23581">
        <w:t>)</w:t>
      </w:r>
      <w:r w:rsidR="00C23581" w:rsidRPr="00C70D07">
        <w:t>.</w:t>
      </w:r>
      <w:r w:rsidR="00C23581">
        <w:t xml:space="preserve"> Zároveň se doporučuje výrazně zkrátit délku těchto lhůt, a to i s ohledem na skutečnost, že provozovatelé v praxi ve svých herních plánech stanoví kratší lhůty pro výplatu výhry.</w:t>
      </w:r>
    </w:p>
    <w:p w14:paraId="7BC59701" w14:textId="77777777" w:rsidR="00C23581" w:rsidRDefault="00C23581" w:rsidP="007029FF">
      <w:pPr>
        <w:pStyle w:val="Nadpis6"/>
      </w:pPr>
      <w:bookmarkStart w:id="21" w:name="_Toc73604716"/>
      <w:r>
        <w:t>Lhůta pro vyplacení zůstatku nebo jeho části z uživatelského konta</w:t>
      </w:r>
      <w:bookmarkEnd w:id="21"/>
    </w:p>
    <w:p w14:paraId="663F01F0" w14:textId="6A96DF4F" w:rsidR="00C23581" w:rsidRDefault="00C23581" w:rsidP="00A63AB4">
      <w:r w:rsidRPr="00AD1363">
        <w:t>Zákon o hazardních hrách nestanoví podmínky pro vyplácení</w:t>
      </w:r>
      <w:r>
        <w:t xml:space="preserve"> zůstatku nebo jeho části z uživatelského konta</w:t>
      </w:r>
      <w:r w:rsidRPr="00AD1363">
        <w:t xml:space="preserve">, přičemž zůstatek představuje jak vložené peněžní prostředky sázejícího, tak také výhry a případné bonusy poskytnuté provozovatelem. </w:t>
      </w:r>
      <w:r>
        <w:t>V  § 10 </w:t>
      </w:r>
      <w:r w:rsidRPr="00AD1363">
        <w:t>odst. 5 zákona o hazardních hrách se stanoví, v jaké nejzazší možné lhůtě musí dojít k vyplacení výhry sázejícímu, avšak není zde stanovena lhůta pro</w:t>
      </w:r>
      <w:r w:rsidR="008257DD">
        <w:t xml:space="preserve"> </w:t>
      </w:r>
      <w:r w:rsidRPr="00AD1363">
        <w:t>vyplacení zůstatku z uživatelského konta. Přestože provozovatelé v herním plánu ve většině případů upravují lhůty spojené s vyplacením zůstatku na uživatelském kontě, není provozovatel při stanovení této lhůty zákonem o hazardních hrách žádným způsobem limitován.</w:t>
      </w:r>
    </w:p>
    <w:p w14:paraId="1A3A48B4" w14:textId="43CA69DA" w:rsidR="00C23581" w:rsidRDefault="00C23581" w:rsidP="00A63AB4">
      <w:r w:rsidRPr="002A3B0B">
        <w:t xml:space="preserve">Zákon o hazardních hrách </w:t>
      </w:r>
      <w:r>
        <w:t>neupravuje</w:t>
      </w:r>
      <w:r w:rsidRPr="002A3B0B">
        <w:t xml:space="preserve"> </w:t>
      </w:r>
      <w:r>
        <w:t>lhůtu pro vyplacení zůstatku nebo jeho části v případě požadavku sázejícího, ani lhůtu pro vrácení zůstatku z </w:t>
      </w:r>
      <w:r w:rsidRPr="002A3B0B">
        <w:t>uživatelského</w:t>
      </w:r>
      <w:r>
        <w:t xml:space="preserve"> konta v případě, kdy dochází ke</w:t>
      </w:r>
      <w:r w:rsidRPr="002A3B0B">
        <w:t xml:space="preserve"> zrušení uživatelského konta ze strany provozovatele v</w:t>
      </w:r>
      <w:r w:rsidR="00295B7B">
        <w:t> </w:t>
      </w:r>
      <w:r w:rsidRPr="002A3B0B">
        <w:t>souladu s herním plánem např. pro porušení určité povinnosti. Tato lhůta bývá upravena v herním plánu, není však zakotvena v zákoně o hazardních hrách.</w:t>
      </w:r>
    </w:p>
    <w:p w14:paraId="4903E62D" w14:textId="77777777" w:rsidR="00C23581" w:rsidRDefault="00C23581" w:rsidP="00937B7A">
      <w:pPr>
        <w:pStyle w:val="Nadpis7"/>
      </w:pPr>
      <w:r>
        <w:t>Varianta I. – Zachování současného stavu</w:t>
      </w:r>
    </w:p>
    <w:p w14:paraId="35A21C72" w14:textId="77777777" w:rsidR="00C23581" w:rsidRDefault="00C23581" w:rsidP="00A63AB4">
      <w:r>
        <w:t>Výhody:</w:t>
      </w:r>
    </w:p>
    <w:p w14:paraId="10F9A4C3" w14:textId="2A438831" w:rsidR="00BA2631" w:rsidRDefault="00B75983" w:rsidP="00A63AB4">
      <w:r>
        <w:t>Zůstává prostor pro soukromoprávní regulaci, případně pro uvedení lhůty v herním plánu.</w:t>
      </w:r>
    </w:p>
    <w:p w14:paraId="166432C7" w14:textId="77777777" w:rsidR="00C23581" w:rsidRDefault="00C23581" w:rsidP="00A63AB4">
      <w:r>
        <w:t>Nevýhody:</w:t>
      </w:r>
    </w:p>
    <w:p w14:paraId="1CFCC02E" w14:textId="50EB689A" w:rsidR="00C23581" w:rsidRDefault="00C23581" w:rsidP="00A63AB4">
      <w:r>
        <w:t xml:space="preserve">Není zákonem stanovena maximální možná lhůta pro vyplacení zůstatku nebo jeho části z uživatelského konta ani lhůta pro vrácení zůstatku v případě zrušení uživatelského konta, což může v některých případech oslabit pozici jak účastníků hazardních her, tak i </w:t>
      </w:r>
      <w:r w:rsidR="00074813">
        <w:t>dozorující</w:t>
      </w:r>
      <w:r>
        <w:t>ch orgánů.</w:t>
      </w:r>
    </w:p>
    <w:p w14:paraId="27656DEB" w14:textId="21D76609" w:rsidR="00C23581" w:rsidRDefault="00C23581" w:rsidP="00937B7A">
      <w:pPr>
        <w:pStyle w:val="Nadpis7"/>
      </w:pPr>
      <w:r>
        <w:t>Varianta II. – Změna zákona o hazardních hrách</w:t>
      </w:r>
      <w:r w:rsidR="00B75983">
        <w:t xml:space="preserve"> – výslovné stanovení lhůty pro výplatu zůstatku z uživatelského konta</w:t>
      </w:r>
    </w:p>
    <w:p w14:paraId="7936959A" w14:textId="77777777" w:rsidR="00C23581" w:rsidRDefault="00C23581" w:rsidP="00A63AB4">
      <w:r>
        <w:t>Výhody:</w:t>
      </w:r>
    </w:p>
    <w:p w14:paraId="3E162EDB" w14:textId="6110858E" w:rsidR="00C23581" w:rsidRDefault="00C23581" w:rsidP="00A63AB4">
      <w:r>
        <w:t xml:space="preserve">Stanovení nejzazší možné lhůty, ve které musí provozovatel vyplatit sázejícímu zůstatek nebo jeho část z uživatelského konta, případně vrátit zůstatek z uživatelského konta v případě jeho zrušení. Možnost stíhání porušení ustanovení zákona o hazardních hrách nebo herního plánu, </w:t>
      </w:r>
      <w:r w:rsidR="00295B7B">
        <w:t xml:space="preserve">nebude-li </w:t>
      </w:r>
      <w:r>
        <w:t>ve lhůtě vyplaceno.</w:t>
      </w:r>
    </w:p>
    <w:p w14:paraId="74104F69" w14:textId="77777777" w:rsidR="00C23581" w:rsidRDefault="00C23581" w:rsidP="00A63AB4">
      <w:r>
        <w:t>Nevýhody:</w:t>
      </w:r>
    </w:p>
    <w:p w14:paraId="30C376C4" w14:textId="77777777" w:rsidR="00C23581" w:rsidRDefault="00C23581" w:rsidP="00A63AB4">
      <w:r>
        <w:t>Žádné nebyly shledány.</w:t>
      </w:r>
    </w:p>
    <w:p w14:paraId="55B00E59" w14:textId="77777777" w:rsidR="00C23581" w:rsidRPr="006C7BA9" w:rsidRDefault="00C23581" w:rsidP="00937B7A">
      <w:pPr>
        <w:pStyle w:val="Nadpis7"/>
      </w:pPr>
      <w:r w:rsidRPr="006C7BA9">
        <w:t xml:space="preserve">Hodnocení variant </w:t>
      </w:r>
    </w:p>
    <w:p w14:paraId="5E2361AB" w14:textId="77777777" w:rsidR="00C23581" w:rsidRDefault="00C23581" w:rsidP="00A63AB4">
      <w:r>
        <w:t>V případě, že nebude v zákoně o hazardních hrách zakotvena lhůta, ve které musí provozovatel vyplatit sázejícímu zůstatek na uživatelském kontě, bude stanovení délky této lhůty zcela na vůli provozovatele. Nevyplacení zůstatku na uživatelském kontu poté, co o to sázející požádal, nelze kvalifikovat jako přestupek dle zákona o  hazardních hrách, pokud nepůjde o porušení schváleného herního plánu.</w:t>
      </w:r>
    </w:p>
    <w:p w14:paraId="0E66C832" w14:textId="67C615D3" w:rsidR="00C23581" w:rsidRDefault="00C23581" w:rsidP="00A63AB4">
      <w:r>
        <w:t xml:space="preserve">Novelizací zákona o hazardních hrách bude zajištěna větší ochrana peněžních prostředků účastníků hazardních her. </w:t>
      </w:r>
      <w:r w:rsidRPr="0065053C">
        <w:t xml:space="preserve">Doporučuje se novelizovat </w:t>
      </w:r>
      <w:r>
        <w:t>zákon o </w:t>
      </w:r>
      <w:r w:rsidRPr="0065053C">
        <w:t>hazardních hrách tak, aby byla stanovena lhůta pro</w:t>
      </w:r>
      <w:r>
        <w:t xml:space="preserve"> vyplacení zůstatku nebo jeho části z uživatelského konta nebo pro vrácení zůstatku v případě zrušení uživatelského konta. V tomto kontextu se rovněž doporučuje</w:t>
      </w:r>
      <w:r w:rsidR="00D01C46">
        <w:t xml:space="preserve"> zvážit otázku úhrady z kauce u </w:t>
      </w:r>
      <w:r>
        <w:t>nevyplaceného zůstatku z uživatelského konta nik</w:t>
      </w:r>
      <w:r w:rsidR="00D01C46">
        <w:t>oliv pouze nevyplacené výhry, o </w:t>
      </w:r>
      <w:r>
        <w:t>této otázce je třeba rozhodnout v kontextu navrhovaných či zvažovaných změn v části Kauce.</w:t>
      </w:r>
    </w:p>
    <w:p w14:paraId="181AEF4C" w14:textId="77777777" w:rsidR="00C23581" w:rsidRDefault="00C23581" w:rsidP="007029FF">
      <w:pPr>
        <w:pStyle w:val="Nadpis6"/>
      </w:pPr>
      <w:bookmarkStart w:id="22" w:name="_Toc73604717"/>
      <w:r>
        <w:t>Chráněné budovy a sousedství</w:t>
      </w:r>
      <w:bookmarkEnd w:id="22"/>
    </w:p>
    <w:p w14:paraId="5C5AF4E0" w14:textId="7E051019" w:rsidR="00C23581" w:rsidRDefault="00C23581" w:rsidP="00A63AB4">
      <w:r w:rsidRPr="0065053C">
        <w:t>Zákon o hazardních hrách nevymezuje pojem sousedství tak, ja</w:t>
      </w:r>
      <w:r>
        <w:t>k jej znal zákon o loteriích do 31. </w:t>
      </w:r>
      <w:r w:rsidRPr="0065053C">
        <w:t>12.</w:t>
      </w:r>
      <w:r>
        <w:t> </w:t>
      </w:r>
      <w:r w:rsidRPr="0065053C">
        <w:t xml:space="preserve">2011. </w:t>
      </w:r>
      <w:r>
        <w:t xml:space="preserve">Původní návrh zákona o hazardních hrách s pojmem sousedství operoval ve vztahu k provozování technických her, avšak při schvalování tohoto zákona došlo </w:t>
      </w:r>
      <w:r w:rsidR="00B2708D">
        <w:t xml:space="preserve">na základě poslaneckého návrhu </w:t>
      </w:r>
      <w:r>
        <w:t>k vypuštění této části. V důsledku uvedené změny je v současné době § 13 zákona o hazardních hrách neúpln</w:t>
      </w:r>
      <w:r w:rsidR="00295B7B">
        <w:t>ý</w:t>
      </w:r>
      <w:r>
        <w:t xml:space="preserve"> a do určité části logicky nesmysln</w:t>
      </w:r>
      <w:r w:rsidR="00295B7B">
        <w:t>ý</w:t>
      </w:r>
      <w:r>
        <w:t xml:space="preserve">, neboť </w:t>
      </w:r>
      <w:r w:rsidR="00295B7B">
        <w:t xml:space="preserve">jsou </w:t>
      </w:r>
      <w:r>
        <w:t>podle současného znění zákona o hazardních hrách kladeny vyšší nárok</w:t>
      </w:r>
      <w:r w:rsidR="00084931">
        <w:t>y na umístění kurzových sázek a </w:t>
      </w:r>
      <w:r>
        <w:t>totalizátorové hry než na umístění koncových zařízení technické hry, ačkoliv se jedná o výrazně méně škodlivé hazardní hry.</w:t>
      </w:r>
    </w:p>
    <w:p w14:paraId="28710D0B" w14:textId="61B8F4D5" w:rsidR="00C23581" w:rsidRDefault="00C23581" w:rsidP="00A63AB4">
      <w:r>
        <w:t>Institut sousedství představuje neurčitý právní po</w:t>
      </w:r>
      <w:r w:rsidR="00FC7583">
        <w:t>jem, který byl v souvislosti se </w:t>
      </w:r>
      <w:r>
        <w:t xml:space="preserve">zákonem o loteriích </w:t>
      </w:r>
      <w:r w:rsidRPr="0065053C">
        <w:t>vyložen judikaturou</w:t>
      </w:r>
      <w:r w:rsidRPr="0065053C">
        <w:rPr>
          <w:vertAlign w:val="superscript"/>
        </w:rPr>
        <w:footnoteReference w:id="20"/>
      </w:r>
      <w:r w:rsidRPr="0065053C">
        <w:t xml:space="preserve"> a zajišťoval větší ochranu rizikových skupin společnosti. Bránil </w:t>
      </w:r>
      <w:r w:rsidR="00FC7583">
        <w:t>tomu, aby</w:t>
      </w:r>
      <w:r w:rsidRPr="0065053C">
        <w:t xml:space="preserve"> byla provozovna umístěna v bezprostředním okolí např. základní školy. V praxi to znamenalo, že bylo nezbytné s každým jednotlivým povolením zjišťovat, zda se v okruhu 100 metrů nevyskytovala chráněná budova, což zpomalovalo povolovací proces, na druhou stranu byl více naplněn smysl institutu chráněných budov. V současné době je omezeno provozování hazardních her pouze v těchto budovách a není řešeno bezprostřední okolí ani případy propojených budov</w:t>
      </w:r>
      <w:r>
        <w:t>, společné vnitřní dvory</w:t>
      </w:r>
      <w:r w:rsidRPr="0065053C">
        <w:t>, kdy nelze k chráněné budově dojít jinak než okolo provozovny. Zároveň je však třeba z</w:t>
      </w:r>
      <w:r w:rsidR="00345823">
        <w:t>mínit, že na rozdíl od </w:t>
      </w:r>
      <w:r>
        <w:t>zákona o </w:t>
      </w:r>
      <w:r w:rsidRPr="0065053C">
        <w:t xml:space="preserve">loteriích upravuje </w:t>
      </w:r>
      <w:r w:rsidR="00FC7583">
        <w:t>§ </w:t>
      </w:r>
      <w:r w:rsidR="00FC7583" w:rsidRPr="0065053C">
        <w:t xml:space="preserve">66 odst. 2 a 3 </w:t>
      </w:r>
      <w:r w:rsidRPr="0065053C">
        <w:t>zákon</w:t>
      </w:r>
      <w:r w:rsidR="00FC7583">
        <w:t>a</w:t>
      </w:r>
      <w:r w:rsidRPr="0065053C">
        <w:t xml:space="preserve"> o </w:t>
      </w:r>
      <w:r>
        <w:t xml:space="preserve">hazardních hrách </w:t>
      </w:r>
      <w:r w:rsidRPr="0065053C">
        <w:t>vzhled provozoven, kdy provedením těchto ustanovení v praxi docház</w:t>
      </w:r>
      <w:r>
        <w:t>í k bránění vizuální účasti na </w:t>
      </w:r>
      <w:r w:rsidR="00FC7583">
        <w:t xml:space="preserve">hazardních hrách a tím dochází </w:t>
      </w:r>
      <w:r w:rsidRPr="0065053C">
        <w:t>k částečné eliminaci tohoto problému.</w:t>
      </w:r>
    </w:p>
    <w:p w14:paraId="140E2668" w14:textId="364BDDAE" w:rsidR="00C23581" w:rsidRDefault="00C23581" w:rsidP="00A63AB4">
      <w:r>
        <w:t xml:space="preserve">Existence tzv. chráněných budov </w:t>
      </w:r>
      <w:r w:rsidR="00FC7583">
        <w:t xml:space="preserve">s </w:t>
      </w:r>
      <w:r>
        <w:t xml:space="preserve">sebou nese určitou sníženou míru právní jistoty, neboť může docházet k situacím, kdy je vydáno povolení k umístění herního prostoru a následně bude ve stejné budově zřízena např. ambulance lékaře nebo nějaké zařízení pro volnočasové aktivity dětí. V takovém případě by bylo nezbytné přistoupit k rušení povolení k umístění herního prostoru </w:t>
      </w:r>
      <w:r w:rsidR="00FC7583">
        <w:t>dle</w:t>
      </w:r>
      <w:r>
        <w:t xml:space="preserve"> § 103 odst. 2 písm. b) zákona </w:t>
      </w:r>
      <w:r w:rsidR="00FC7583">
        <w:t>o </w:t>
      </w:r>
      <w:r>
        <w:t>hazardních hrách. K uvedenému v minulosti docháze</w:t>
      </w:r>
      <w:r w:rsidR="00FC7583">
        <w:t>lo i podle zákona o loteriích a </w:t>
      </w:r>
      <w:r>
        <w:t xml:space="preserve">bylo to ze strany provozovatelů napadáno u soudu. V případě, že </w:t>
      </w:r>
      <w:r w:rsidR="00FC7583">
        <w:t>by došlo k </w:t>
      </w:r>
      <w:r>
        <w:t>zavedení tzv. sousedství od chráněných budov</w:t>
      </w:r>
      <w:r w:rsidR="00464D1A">
        <w:t>,</w:t>
      </w:r>
      <w:r>
        <w:t xml:space="preserve"> je vznik těchto situací ještě pravděpodobnější.</w:t>
      </w:r>
    </w:p>
    <w:p w14:paraId="7DE41B3A" w14:textId="77777777" w:rsidR="00C23581" w:rsidRDefault="00C23581" w:rsidP="00937B7A">
      <w:pPr>
        <w:pStyle w:val="Nadpis7"/>
      </w:pPr>
      <w:r>
        <w:t>Varianta I. – Zachování současného stavu</w:t>
      </w:r>
    </w:p>
    <w:p w14:paraId="32F569CC" w14:textId="77777777" w:rsidR="00C23581" w:rsidRDefault="00C23581" w:rsidP="00A63AB4">
      <w:r>
        <w:t>Výhody:</w:t>
      </w:r>
    </w:p>
    <w:p w14:paraId="0BE875FA" w14:textId="77777777" w:rsidR="00C23581" w:rsidRDefault="00C23581" w:rsidP="00A63AB4">
      <w:r>
        <w:t>Větší právní jistota provozovatelů.</w:t>
      </w:r>
    </w:p>
    <w:p w14:paraId="7002BA81" w14:textId="77777777" w:rsidR="00C23581" w:rsidRDefault="00C23581" w:rsidP="00A63AB4">
      <w:r>
        <w:t>Nevýhody:</w:t>
      </w:r>
    </w:p>
    <w:p w14:paraId="33B9DA07" w14:textId="5932E0B0" w:rsidR="00C23581" w:rsidRDefault="00464D1A" w:rsidP="00A63AB4">
      <w:pPr>
        <w:rPr>
          <w:rFonts w:cs="Arial"/>
        </w:rPr>
      </w:pPr>
      <w:r>
        <w:rPr>
          <w:rFonts w:cs="Arial"/>
        </w:rPr>
        <w:t xml:space="preserve">Může docházet k situacím, kdy </w:t>
      </w:r>
      <w:r w:rsidR="00C23581" w:rsidRPr="0065053C">
        <w:rPr>
          <w:rFonts w:cs="Arial"/>
        </w:rPr>
        <w:t>je provozovna povolena v bezprostřední blízkosti chráněné budovy</w:t>
      </w:r>
      <w:r w:rsidR="00C23581">
        <w:rPr>
          <w:rFonts w:cs="Arial"/>
        </w:rPr>
        <w:t xml:space="preserve"> nebo kdy bude více budov sdílet společný dvůr a bude nezbytné projít kolem provozovny (např. děti procházející přes dvůr kolem provozovny, </w:t>
      </w:r>
      <w:r w:rsidR="00FC7583">
        <w:rPr>
          <w:rFonts w:cs="Arial"/>
        </w:rPr>
        <w:t>protože</w:t>
      </w:r>
      <w:r w:rsidR="00C23581">
        <w:rPr>
          <w:rFonts w:cs="Arial"/>
        </w:rPr>
        <w:t xml:space="preserve"> se potřebují dostat do jiné budovy)</w:t>
      </w:r>
      <w:r w:rsidR="00C23581" w:rsidRPr="0065053C">
        <w:rPr>
          <w:rFonts w:cs="Arial"/>
        </w:rPr>
        <w:t>. Ačkoliv důsl</w:t>
      </w:r>
      <w:r w:rsidR="00FC7583">
        <w:rPr>
          <w:rFonts w:cs="Arial"/>
        </w:rPr>
        <w:t>edným dodržením § 66 </w:t>
      </w:r>
      <w:r w:rsidR="00C23581" w:rsidRPr="0065053C">
        <w:rPr>
          <w:rFonts w:cs="Arial"/>
        </w:rPr>
        <w:t xml:space="preserve">odst. 2 a 3 zákona o hazardních hrách dochází k bránění vizuální účasti na hazardní hře, nelze pochybovat o tom, že může </w:t>
      </w:r>
      <w:r w:rsidR="00FC7583">
        <w:rPr>
          <w:rFonts w:cs="Arial"/>
        </w:rPr>
        <w:t>být ohrožen</w:t>
      </w:r>
      <w:r w:rsidR="00C23581" w:rsidRPr="0065053C">
        <w:rPr>
          <w:rFonts w:cs="Arial"/>
        </w:rPr>
        <w:t xml:space="preserve"> účel vzniku tzv. chráněných budov.</w:t>
      </w:r>
    </w:p>
    <w:p w14:paraId="7BEE1F6C" w14:textId="31228870" w:rsidR="00C23581" w:rsidRDefault="00C23581" w:rsidP="00937B7A">
      <w:pPr>
        <w:pStyle w:val="Nadpis7"/>
      </w:pPr>
      <w:r>
        <w:t>Varianta II. – Změna zákona o hazardních hrách</w:t>
      </w:r>
      <w:r w:rsidR="00446BDF">
        <w:t xml:space="preserve"> – znovu zavedení tzv. sousedství chráněných budov</w:t>
      </w:r>
    </w:p>
    <w:p w14:paraId="79386D1D" w14:textId="77777777" w:rsidR="00C23581" w:rsidRDefault="00C23581" w:rsidP="00A30B6D">
      <w:r>
        <w:t>Výhody:</w:t>
      </w:r>
    </w:p>
    <w:p w14:paraId="04BEED8C" w14:textId="06FE2A45" w:rsidR="00C23581" w:rsidRDefault="00C23581" w:rsidP="00A30B6D">
      <w:r w:rsidRPr="00B93C84">
        <w:t>V případě, že by došlo k novelizaci §</w:t>
      </w:r>
      <w:r w:rsidR="00DF3FFE">
        <w:t xml:space="preserve"> 13 zákona o hazardních hrách </w:t>
      </w:r>
      <w:r w:rsidR="00FC7583">
        <w:t>a</w:t>
      </w:r>
      <w:r w:rsidRPr="00B93C84">
        <w:t xml:space="preserve"> bylo doplněno tzv. sousedství chráněných budov, byla by zajištěna větší ochrana rizikových skupin společnosti před negativními dopady provozován</w:t>
      </w:r>
      <w:r w:rsidR="00FC7583">
        <w:t>í hazardních her. Není pochyb o </w:t>
      </w:r>
      <w:r w:rsidRPr="00B93C84">
        <w:t xml:space="preserve">tom, že ačkoliv není umožněna vizuální účast na hazardní hře (např. v důsledku zatemnění oken provozovny), každý ví, co se </w:t>
      </w:r>
      <w:r w:rsidR="00FC7583">
        <w:t>v daných prostorech odehrává. V </w:t>
      </w:r>
      <w:r w:rsidRPr="00B93C84">
        <w:t>konečném důsledku můž</w:t>
      </w:r>
      <w:r>
        <w:t>e docházet k situacím, kdy je v </w:t>
      </w:r>
      <w:r w:rsidRPr="00B93C84">
        <w:t>bezprostřední blízkosti léčebny osob závislých na hazardních hrách povolena herna či kasino.</w:t>
      </w:r>
    </w:p>
    <w:p w14:paraId="2BABB8A7" w14:textId="77777777" w:rsidR="00C23581" w:rsidRDefault="00C23581" w:rsidP="00A30B6D">
      <w:r>
        <w:t>Nevýhody:</w:t>
      </w:r>
    </w:p>
    <w:p w14:paraId="75D79942" w14:textId="2FC353BA" w:rsidR="00C23581" w:rsidRDefault="00C23581" w:rsidP="00A30B6D">
      <w:r w:rsidRPr="0065053C">
        <w:rPr>
          <w:rFonts w:cs="Arial"/>
        </w:rPr>
        <w:t>Muselo by dojít k přesnému vymezení pojmu sousedství, aby zavedení tohoto institutu nemělo neg</w:t>
      </w:r>
      <w:r w:rsidR="009C68FB">
        <w:rPr>
          <w:rFonts w:cs="Arial"/>
        </w:rPr>
        <w:t>ativní dopad na povolovací</w:t>
      </w:r>
      <w:r w:rsidRPr="0065053C">
        <w:rPr>
          <w:rFonts w:cs="Arial"/>
        </w:rPr>
        <w:t xml:space="preserve"> řízení. Přestože již v minulosti vznikla judikatura vymezující tento poj</w:t>
      </w:r>
      <w:r>
        <w:rPr>
          <w:rFonts w:cs="Arial"/>
        </w:rPr>
        <w:t>em, nelze vyloučit, že by proti </w:t>
      </w:r>
      <w:r w:rsidRPr="0065053C">
        <w:rPr>
          <w:rFonts w:cs="Arial"/>
        </w:rPr>
        <w:t>zavedení tohoto institutu brojili provozova</w:t>
      </w:r>
      <w:r>
        <w:rPr>
          <w:rFonts w:cs="Arial"/>
        </w:rPr>
        <w:t>telé a napadali by rozhodnutí o </w:t>
      </w:r>
      <w:r w:rsidRPr="0065053C">
        <w:rPr>
          <w:rFonts w:cs="Arial"/>
        </w:rPr>
        <w:t xml:space="preserve">nepovolení v důsledku sousedství chráněných budov. V minulosti byl napadán způsob měření </w:t>
      </w:r>
      <w:r>
        <w:rPr>
          <w:rFonts w:cs="Arial"/>
        </w:rPr>
        <w:t>sousedství</w:t>
      </w:r>
      <w:r w:rsidR="00FC7583">
        <w:rPr>
          <w:rFonts w:cs="Arial"/>
        </w:rPr>
        <w:t>.</w:t>
      </w:r>
      <w:r>
        <w:rPr>
          <w:rFonts w:cs="Arial"/>
        </w:rPr>
        <w:t xml:space="preserve"> </w:t>
      </w:r>
      <w:r w:rsidR="00FC7583">
        <w:rPr>
          <w:rFonts w:cs="Arial"/>
        </w:rPr>
        <w:t>Z</w:t>
      </w:r>
      <w:r>
        <w:rPr>
          <w:rFonts w:cs="Arial"/>
        </w:rPr>
        <w:t xml:space="preserve">de by navíc musela být tato otázka posuzována v rámci správního řízení o vydání povolení k umístění herního prostoru, což je i stav podle stávající právní úpravy. </w:t>
      </w:r>
    </w:p>
    <w:p w14:paraId="6B1F7AD3" w14:textId="77777777" w:rsidR="00C23581" w:rsidRPr="006C7BA9" w:rsidRDefault="00C23581" w:rsidP="00937B7A">
      <w:pPr>
        <w:pStyle w:val="Nadpis7"/>
      </w:pPr>
      <w:r w:rsidRPr="006C7BA9">
        <w:t xml:space="preserve">Hodnocení variant </w:t>
      </w:r>
    </w:p>
    <w:p w14:paraId="31B7E89D" w14:textId="64EBB116" w:rsidR="00C23581" w:rsidRDefault="00C23581" w:rsidP="001770A0">
      <w:r w:rsidRPr="0065053C">
        <w:t xml:space="preserve">Smyslem zákona o hazardních hrách je </w:t>
      </w:r>
      <w:r w:rsidR="00464D1A">
        <w:t xml:space="preserve">zejména </w:t>
      </w:r>
      <w:r w:rsidRPr="0065053C">
        <w:t>ochrana rizikových skupin společnosti, již v současné době brání vizuální účasti na hazardní hře těm osobám, kterým nebyl umožněn vstup do provozo</w:t>
      </w:r>
      <w:r>
        <w:t>vny. K ochraně společnosti před </w:t>
      </w:r>
      <w:r w:rsidRPr="0065053C">
        <w:t>negativními dopady provozování hazardních h</w:t>
      </w:r>
      <w:r>
        <w:t>er dochází ve velké míře již na </w:t>
      </w:r>
      <w:r w:rsidRPr="0065053C">
        <w:t>základně současného znění zákona o hazardních hrách.</w:t>
      </w:r>
    </w:p>
    <w:p w14:paraId="7763A187" w14:textId="0FB995CF" w:rsidR="00C23581" w:rsidRDefault="00C23581" w:rsidP="001770A0">
      <w:r w:rsidRPr="0065053C">
        <w:t xml:space="preserve">Změnou zákona by byla zajištěna větší ochrana ohrožených skupin společnosti. Pojem sousedství by bylo nezbytné vymezit dostatečně přesně, případně stanovit, jakým způsobem bude probíhat měření případné vzdálenosti od chráněných budov. </w:t>
      </w:r>
      <w:r w:rsidR="004F09D3">
        <w:t>Sousedství by mohlo</w:t>
      </w:r>
      <w:r w:rsidRPr="0065053C">
        <w:t xml:space="preserve"> být </w:t>
      </w:r>
      <w:r>
        <w:t>důvodem pro zamítnutí žádosti o </w:t>
      </w:r>
      <w:r w:rsidRPr="0065053C">
        <w:t xml:space="preserve">umístění herního prostoru a v konečném důsledku </w:t>
      </w:r>
      <w:r w:rsidR="004F09D3">
        <w:t xml:space="preserve">by </w:t>
      </w:r>
      <w:r w:rsidRPr="0065053C">
        <w:t>m</w:t>
      </w:r>
      <w:r w:rsidR="004F09D3">
        <w:t>ohl</w:t>
      </w:r>
      <w:r w:rsidRPr="0065053C">
        <w:t xml:space="preserve"> být provozovateli</w:t>
      </w:r>
      <w:r w:rsidR="00345823">
        <w:t xml:space="preserve"> napadán jak způsob měření, tak </w:t>
      </w:r>
      <w:r w:rsidRPr="0065053C">
        <w:t>vymezení chráněných budov (jako tomu bylo v minulosti).</w:t>
      </w:r>
      <w:r>
        <w:t xml:space="preserve"> Je zde riziko, že bude docházet k rušení povolení v důsledku sousedství chráněných budov.</w:t>
      </w:r>
    </w:p>
    <w:p w14:paraId="4438B7B9" w14:textId="345DB420" w:rsidR="00C23581" w:rsidRDefault="00C23581" w:rsidP="001770A0">
      <w:r>
        <w:t xml:space="preserve">S ohledem na </w:t>
      </w:r>
      <w:r w:rsidR="004F09D3">
        <w:t>nelogičnosti (přísnější režim c</w:t>
      </w:r>
      <w:r w:rsidR="008257DD">
        <w:t xml:space="preserve">hráněných budov je stanoven pro </w:t>
      </w:r>
      <w:r w:rsidR="004F09D3">
        <w:t>kursovou sázku a totalizátorovou hru, nikoliv však již pro nejvíce rizikovou technickou hru)</w:t>
      </w:r>
      <w:r>
        <w:t xml:space="preserve">, </w:t>
      </w:r>
      <w:r w:rsidR="004F09D3">
        <w:t>které</w:t>
      </w:r>
      <w:r>
        <w:t xml:space="preserve"> v současné době vykazuje § 13 zákona o hazardních hrách, </w:t>
      </w:r>
      <w:r w:rsidR="00B2708D">
        <w:t>se doporučuje</w:t>
      </w:r>
      <w:r>
        <w:t xml:space="preserve"> novelizace tohoto ustanovení. Mělo by dojít k reflektování blízkosti chráněných budov, avšak vymezení konkrétní vzdálenosti se jeví jako nevhod</w:t>
      </w:r>
      <w:r w:rsidR="00345823">
        <w:t>né a </w:t>
      </w:r>
      <w:r>
        <w:t>bylo by tak vhodné více obecné vymezení. Stejně jako v případě reklamy na</w:t>
      </w:r>
      <w:r w:rsidR="00345823">
        <w:t> </w:t>
      </w:r>
      <w:r>
        <w:t>hazardní hry by mělo být přistoupeno k vymezení určitého okruhu budov v blízkosti chráněných budov.</w:t>
      </w:r>
    </w:p>
    <w:p w14:paraId="4EECFB77" w14:textId="77777777" w:rsidR="00C23581" w:rsidRDefault="00C23581" w:rsidP="007029FF">
      <w:pPr>
        <w:pStyle w:val="Nadpis6"/>
      </w:pPr>
      <w:bookmarkStart w:id="23" w:name="_Toc73604718"/>
      <w:r>
        <w:t>Chráněné budovy a provozování tombol</w:t>
      </w:r>
      <w:bookmarkEnd w:id="23"/>
    </w:p>
    <w:p w14:paraId="7477D41A" w14:textId="09D41169" w:rsidR="00C23581" w:rsidRDefault="004F09D3" w:rsidP="001770A0">
      <w:r>
        <w:t xml:space="preserve">V </w:t>
      </w:r>
      <w:r w:rsidRPr="0065053C">
        <w:t>§ 50 odst. 5</w:t>
      </w:r>
      <w:r>
        <w:t xml:space="preserve"> z</w:t>
      </w:r>
      <w:r w:rsidR="00C23581" w:rsidRPr="0065053C">
        <w:t>ákon o loteriích stanovil, že loterie a jiné podobné hry</w:t>
      </w:r>
      <w:r>
        <w:t>,</w:t>
      </w:r>
      <w:r w:rsidR="00C23581" w:rsidRPr="0065053C">
        <w:t xml:space="preserve"> s výjimkou </w:t>
      </w:r>
      <w:r w:rsidR="00221C60">
        <w:t>věcných loterií</w:t>
      </w:r>
      <w:r w:rsidR="00C23581" w:rsidRPr="0065053C">
        <w:t xml:space="preserve"> </w:t>
      </w:r>
      <w:r w:rsidRPr="004F09D3">
        <w:t>s herní jistinou do 200 000 K</w:t>
      </w:r>
      <w:r>
        <w:t>č</w:t>
      </w:r>
      <w:r w:rsidRPr="0065053C">
        <w:t xml:space="preserve"> </w:t>
      </w:r>
      <w:r w:rsidR="00C23581" w:rsidRPr="0065053C">
        <w:t xml:space="preserve">a tombol </w:t>
      </w:r>
      <w:r w:rsidRPr="004F09D3">
        <w:t>s herní jistinou do 50 000 Kč</w:t>
      </w:r>
      <w:r>
        <w:t xml:space="preserve">, </w:t>
      </w:r>
      <w:r w:rsidR="00C23581" w:rsidRPr="0065053C">
        <w:t>nesmí být provozovány v tzv.</w:t>
      </w:r>
      <w:r>
        <w:t> </w:t>
      </w:r>
      <w:r w:rsidR="00C23581" w:rsidRPr="0065053C">
        <w:t>chráněný</w:t>
      </w:r>
      <w:r w:rsidR="00C23581">
        <w:t xml:space="preserve">ch budovách. </w:t>
      </w:r>
      <w:r w:rsidR="00516713">
        <w:t xml:space="preserve">V § </w:t>
      </w:r>
      <w:r w:rsidR="00516713" w:rsidRPr="0065053C">
        <w:t xml:space="preserve">13 </w:t>
      </w:r>
      <w:r w:rsidR="00516713">
        <w:t>z</w:t>
      </w:r>
      <w:r w:rsidR="00C23581">
        <w:t>ákon</w:t>
      </w:r>
      <w:r w:rsidR="00516713">
        <w:t>a</w:t>
      </w:r>
      <w:r w:rsidR="00C23581">
        <w:t xml:space="preserve"> o </w:t>
      </w:r>
      <w:r w:rsidR="00F744D5">
        <w:t xml:space="preserve">hazardních hrách </w:t>
      </w:r>
      <w:r w:rsidR="00516713">
        <w:t xml:space="preserve">se </w:t>
      </w:r>
      <w:r w:rsidR="00C23581" w:rsidRPr="0065053C">
        <w:t>stanoví, že v objektech v tomto ustanovení vyjmenovaných je zakázáno provozování všech hazardních her bez rozdílu.</w:t>
      </w:r>
      <w:r w:rsidR="00516713">
        <w:t xml:space="preserve"> Do </w:t>
      </w:r>
      <w:r w:rsidR="00C23581">
        <w:t>31.</w:t>
      </w:r>
      <w:r w:rsidR="001770A0">
        <w:t> </w:t>
      </w:r>
      <w:r w:rsidR="00C23581">
        <w:t>12.</w:t>
      </w:r>
      <w:r w:rsidR="001770A0">
        <w:t> </w:t>
      </w:r>
      <w:r w:rsidR="00C23581">
        <w:t>2020 tak nemohla být žádná tombola p</w:t>
      </w:r>
      <w:r w:rsidR="00516713">
        <w:t>rovozována např. v zařízení pro </w:t>
      </w:r>
      <w:r w:rsidR="00C23581">
        <w:t xml:space="preserve">volnočasové aktivity dětí a mládeže. </w:t>
      </w:r>
      <w:r w:rsidR="00345823">
        <w:t>Zákon o </w:t>
      </w:r>
      <w:r w:rsidR="00C23581" w:rsidRPr="00130C25">
        <w:t xml:space="preserve">hazardních hrách byl novelizován zákonem č. 527/2020 Sb., kterým byl doplněn </w:t>
      </w:r>
      <w:r w:rsidR="00345823">
        <w:t>§ </w:t>
      </w:r>
      <w:r w:rsidR="00C23581" w:rsidRPr="00130C25">
        <w:t>61 odst. 3</w:t>
      </w:r>
      <w:r w:rsidR="00516713">
        <w:t xml:space="preserve"> zákona o hazardních hrách</w:t>
      </w:r>
      <w:r w:rsidR="00C23581" w:rsidRPr="00130C25">
        <w:t>. Dle tohoto ustanovení se na tomboly s herní jistinou, jejíž výše nepřekročí 100 000 Kč, neuplat</w:t>
      </w:r>
      <w:r w:rsidR="00C23581">
        <w:t>ní vymezená ustanovení zákona o </w:t>
      </w:r>
      <w:r w:rsidR="00C23581" w:rsidRPr="00130C25">
        <w:t>hazardních hrách. Mez</w:t>
      </w:r>
      <w:r w:rsidR="00C23581">
        <w:t>i tato ustanovení byl doplněn také § </w:t>
      </w:r>
      <w:r w:rsidR="00C23581" w:rsidRPr="00130C25">
        <w:t xml:space="preserve">13 </w:t>
      </w:r>
      <w:r w:rsidR="00516713">
        <w:t>zákona o hazardních hrách upravující tzv. </w:t>
      </w:r>
      <w:r w:rsidR="00C23581" w:rsidRPr="00130C25">
        <w:t>chráněné budovy.</w:t>
      </w:r>
    </w:p>
    <w:p w14:paraId="3410DB6A" w14:textId="77777777" w:rsidR="00C23581" w:rsidRDefault="00C23581" w:rsidP="007029FF">
      <w:pPr>
        <w:pStyle w:val="Nadpis6"/>
      </w:pPr>
      <w:bookmarkStart w:id="24" w:name="_Toc73604719"/>
      <w:r>
        <w:t>Definice číselné loterie vs. uhodnutí nevylosovaného čísla</w:t>
      </w:r>
      <w:bookmarkEnd w:id="24"/>
    </w:p>
    <w:p w14:paraId="05BE2FA1" w14:textId="000AB1CD" w:rsidR="00C23581" w:rsidRPr="0065053C" w:rsidRDefault="00516713" w:rsidP="001770A0">
      <w:r>
        <w:t>V</w:t>
      </w:r>
      <w:r w:rsidRPr="0065053C">
        <w:t xml:space="preserve"> § 18 odst. 2</w:t>
      </w:r>
      <w:r>
        <w:t xml:space="preserve"> z</w:t>
      </w:r>
      <w:r w:rsidR="00C23581" w:rsidRPr="0065053C">
        <w:t>ákon</w:t>
      </w:r>
      <w:r>
        <w:t>a</w:t>
      </w:r>
      <w:r w:rsidR="00C23581" w:rsidRPr="0065053C">
        <w:t xml:space="preserve"> o hazardních hrách</w:t>
      </w:r>
      <w:r>
        <w:t xml:space="preserve"> se</w:t>
      </w:r>
      <w:r w:rsidR="00C23581" w:rsidRPr="0065053C">
        <w:t xml:space="preserve"> definuje, co se rozumí číselnou loterií. Konkrétně se zde uvádí, že se jedná o hazardní hru, u níž je výhra podmíněna uhodnutím určitého čísla, několika čísel, kombinace čísel nebo číselného pořadí. Jedním ze způsobů stanovení výhry u číselné loterie je násobek sázky podle toho, jak z omezeného počtu čísel tažených při slosování uhodl sázející herním plánem určený počet tažených čísel. Definice číselné loterie v § 2 písm. c) zákona o loteriích taktéž operovala s pojmem „tažená čísla“. </w:t>
      </w:r>
      <w:r>
        <w:t>V</w:t>
      </w:r>
      <w:r w:rsidRPr="0065053C">
        <w:t xml:space="preserve">  § 5 odst. </w:t>
      </w:r>
      <w:r>
        <w:t>7 s</w:t>
      </w:r>
      <w:r w:rsidR="00C23581" w:rsidRPr="0065053C">
        <w:t>lovensk</w:t>
      </w:r>
      <w:r>
        <w:t>ého</w:t>
      </w:r>
      <w:r w:rsidR="00C23581" w:rsidRPr="0065053C">
        <w:t xml:space="preserve"> zákon</w:t>
      </w:r>
      <w:r>
        <w:t>a o </w:t>
      </w:r>
      <w:r w:rsidR="00C23581" w:rsidRPr="0065053C">
        <w:t xml:space="preserve">hazardných hrách </w:t>
      </w:r>
      <w:r>
        <w:t>se uvádí téměř identická</w:t>
      </w:r>
      <w:r w:rsidR="00C23581" w:rsidRPr="0065053C">
        <w:t xml:space="preserve"> definic</w:t>
      </w:r>
      <w:r>
        <w:t>e</w:t>
      </w:r>
      <w:r w:rsidR="00C23581" w:rsidRPr="0065053C">
        <w:t xml:space="preserve"> číselné loterie.</w:t>
      </w:r>
    </w:p>
    <w:p w14:paraId="6C35D6DA" w14:textId="6D64986A" w:rsidR="00C23581" w:rsidRDefault="00C23581" w:rsidP="001770A0">
      <w:r w:rsidRPr="0065053C">
        <w:t xml:space="preserve">Uvedená definice neumožňuje nastavení výhry tak, aby vyhrálo jak číslo, které </w:t>
      </w:r>
      <w:r>
        <w:t>bylo v losování taženo, tak</w:t>
      </w:r>
      <w:r w:rsidRPr="0065053C">
        <w:t xml:space="preserve"> číslo, které nebylo v losování taženo. V p</w:t>
      </w:r>
      <w:r w:rsidR="00516713">
        <w:t>raxi dochází ke </w:t>
      </w:r>
      <w:r>
        <w:t>kritice, že </w:t>
      </w:r>
      <w:r w:rsidRPr="0065053C">
        <w:t>současná definice neumožňuje provozování „tradiční čís</w:t>
      </w:r>
      <w:r>
        <w:t>elné loterie“, kdy sázející při </w:t>
      </w:r>
      <w:r w:rsidRPr="0065053C">
        <w:t>určitém typu sázky vyhrává menší částku, i když neuhodn</w:t>
      </w:r>
      <w:r>
        <w:t>e žádné z tažených čísel. V současnosti je </w:t>
      </w:r>
      <w:r w:rsidRPr="0065053C">
        <w:t>situace řešena přes provoz</w:t>
      </w:r>
      <w:r>
        <w:t>ování</w:t>
      </w:r>
      <w:r w:rsidRPr="0065053C">
        <w:t xml:space="preserve"> doplňkové loterie. Změnou definice v tom smyslu, že </w:t>
      </w:r>
      <w:r>
        <w:t>by výhra nebyla vázána pouze na </w:t>
      </w:r>
      <w:r w:rsidR="008257DD">
        <w:t xml:space="preserve">uhodnutí, ale </w:t>
      </w:r>
      <w:r w:rsidRPr="0065053C">
        <w:t>p</w:t>
      </w:r>
      <w:r>
        <w:t>odmiňovala by ji volbou čísel a </w:t>
      </w:r>
      <w:r w:rsidRPr="0065053C">
        <w:t>slosováním s odkazem na herní plán, by mohlo</w:t>
      </w:r>
      <w:r w:rsidR="00464D1A">
        <w:t xml:space="preserve"> dojít k ú</w:t>
      </w:r>
      <w:r w:rsidRPr="0065053C">
        <w:t>pravě současného stavu.</w:t>
      </w:r>
    </w:p>
    <w:p w14:paraId="68805F35" w14:textId="77777777" w:rsidR="00C23581" w:rsidRDefault="00C23581" w:rsidP="00937B7A">
      <w:pPr>
        <w:pStyle w:val="Nadpis7"/>
      </w:pPr>
      <w:r>
        <w:t>Varianta I. – Zachování současného stavu</w:t>
      </w:r>
    </w:p>
    <w:p w14:paraId="1FD15164" w14:textId="77777777" w:rsidR="00C23581" w:rsidRDefault="00C23581" w:rsidP="00F744D5">
      <w:r>
        <w:t>Výhody:</w:t>
      </w:r>
    </w:p>
    <w:p w14:paraId="3C2C3AB3" w14:textId="5488C6CF" w:rsidR="00C23581" w:rsidRDefault="00C23581" w:rsidP="00F744D5">
      <w:r>
        <w:t>Jedná se o jednoznačnou ustálenou definici číselné loterie, jak ji obsahuje obdobně též slovenská úprava.</w:t>
      </w:r>
    </w:p>
    <w:p w14:paraId="07D4C8E9" w14:textId="77777777" w:rsidR="00C23581" w:rsidRDefault="00C23581" w:rsidP="00F744D5">
      <w:r>
        <w:t>Nevýhody:</w:t>
      </w:r>
    </w:p>
    <w:p w14:paraId="092C4AFF" w14:textId="5DE39621" w:rsidR="00C23581" w:rsidRDefault="00C23581" w:rsidP="00F744D5">
      <w:pPr>
        <w:rPr>
          <w:rFonts w:cs="Arial"/>
        </w:rPr>
      </w:pPr>
      <w:r>
        <w:rPr>
          <w:rFonts w:cs="Arial"/>
        </w:rPr>
        <w:t>Nelze schválit provozování číselné</w:t>
      </w:r>
      <w:r w:rsidR="00B05746">
        <w:rPr>
          <w:rFonts w:cs="Arial"/>
        </w:rPr>
        <w:t xml:space="preserve"> loterie, </w:t>
      </w:r>
      <w:r w:rsidR="00516713">
        <w:rPr>
          <w:rFonts w:cs="Arial"/>
        </w:rPr>
        <w:t>v níž</w:t>
      </w:r>
      <w:r w:rsidR="00B05746">
        <w:rPr>
          <w:rFonts w:cs="Arial"/>
        </w:rPr>
        <w:t xml:space="preserve"> by vyhrála</w:t>
      </w:r>
      <w:r>
        <w:rPr>
          <w:rFonts w:cs="Arial"/>
        </w:rPr>
        <w:t xml:space="preserve"> jak čísla, která byla tažena, tak čísla, která zůstala v osudí. Uvedené by mohlo působit zmatečně.</w:t>
      </w:r>
    </w:p>
    <w:p w14:paraId="0345BC88" w14:textId="153106A0" w:rsidR="00C23581" w:rsidRDefault="00C23581" w:rsidP="00937B7A">
      <w:pPr>
        <w:pStyle w:val="Nadpis7"/>
      </w:pPr>
      <w:r>
        <w:t>Varianta II. – Změna zákona o hazardních hrách</w:t>
      </w:r>
      <w:r w:rsidR="00446BDF">
        <w:t xml:space="preserve"> – úprava definice číselné loterie</w:t>
      </w:r>
    </w:p>
    <w:p w14:paraId="255E611C" w14:textId="77777777" w:rsidR="00C23581" w:rsidRDefault="00C23581" w:rsidP="001770A0">
      <w:r>
        <w:t>Výhody:</w:t>
      </w:r>
    </w:p>
    <w:p w14:paraId="30C02F64" w14:textId="0B23A3EC" w:rsidR="00C23581" w:rsidRDefault="00C23581" w:rsidP="001770A0">
      <w:pPr>
        <w:rPr>
          <w:rFonts w:cs="Arial"/>
        </w:rPr>
      </w:pPr>
      <w:r w:rsidRPr="0087084C">
        <w:rPr>
          <w:rFonts w:cs="Arial"/>
        </w:rPr>
        <w:t xml:space="preserve">Úpravou definice číselných loterií by bylo umožněno provozování určitého druhu „tradičních loterií“, </w:t>
      </w:r>
      <w:r w:rsidR="00B80131">
        <w:rPr>
          <w:rFonts w:cs="Arial"/>
        </w:rPr>
        <w:t>v nichž</w:t>
      </w:r>
      <w:r w:rsidRPr="0087084C">
        <w:rPr>
          <w:rFonts w:cs="Arial"/>
        </w:rPr>
        <w:t xml:space="preserve"> může vyhrát jak sázející, který uhodl potřebné množstv</w:t>
      </w:r>
      <w:r w:rsidR="00B80131">
        <w:rPr>
          <w:rFonts w:cs="Arial"/>
        </w:rPr>
        <w:t xml:space="preserve">í vylosovaných čísel, tak také </w:t>
      </w:r>
      <w:r w:rsidRPr="0087084C">
        <w:rPr>
          <w:rFonts w:cs="Arial"/>
        </w:rPr>
        <w:t xml:space="preserve">sázející, který neuhodl žádné číslo. Pravděpodobnost, že sázející neuhodne žádné číslo je malá, může to však záležet na podmínkách stanovených v herním plánu (více čísel v osudí, menší množství tipovaných čísel).   </w:t>
      </w:r>
    </w:p>
    <w:p w14:paraId="57E6CCFE" w14:textId="77777777" w:rsidR="00C23581" w:rsidRDefault="00C23581" w:rsidP="001770A0">
      <w:pPr>
        <w:rPr>
          <w:rFonts w:cs="Arial"/>
        </w:rPr>
      </w:pPr>
      <w:r>
        <w:rPr>
          <w:rFonts w:cs="Arial"/>
        </w:rPr>
        <w:t>Nevýhody:</w:t>
      </w:r>
    </w:p>
    <w:p w14:paraId="4C5318EB" w14:textId="7FEA9A9A" w:rsidR="00C23581" w:rsidRPr="001F2D09" w:rsidRDefault="00C23581" w:rsidP="001770A0">
      <w:r w:rsidRPr="0087084C">
        <w:rPr>
          <w:rFonts w:cs="Arial"/>
        </w:rPr>
        <w:t>Nastavením pravidel v herním plánu by mohlo doch</w:t>
      </w:r>
      <w:r w:rsidR="00B80131">
        <w:rPr>
          <w:rFonts w:cs="Arial"/>
        </w:rPr>
        <w:t>ázet k obcházení § 4 odst. 1 </w:t>
      </w:r>
      <w:r w:rsidRPr="0087084C">
        <w:rPr>
          <w:rFonts w:cs="Arial"/>
        </w:rPr>
        <w:t xml:space="preserve">písm. d) zákona o hazardních hrách, kde je uvedeno, že </w:t>
      </w:r>
      <w:r w:rsidR="00B80131" w:rsidRPr="0087084C">
        <w:rPr>
          <w:rFonts w:cs="Arial"/>
        </w:rPr>
        <w:t xml:space="preserve">je </w:t>
      </w:r>
      <w:r w:rsidRPr="0087084C">
        <w:rPr>
          <w:rFonts w:cs="Arial"/>
        </w:rPr>
        <w:t xml:space="preserve">sázka nevratným plněním, a to v případě, že by výhra v tomto případě odpovídala výši sázky. Uvedené může zvyšovat rizikovost hazardní hry, neboť může být pro </w:t>
      </w:r>
      <w:r w:rsidR="00355D41">
        <w:rPr>
          <w:rFonts w:cs="Arial"/>
        </w:rPr>
        <w:t>účastníka hazardní hry</w:t>
      </w:r>
      <w:r w:rsidR="00355D41" w:rsidRPr="0087084C">
        <w:rPr>
          <w:rFonts w:cs="Arial"/>
        </w:rPr>
        <w:t xml:space="preserve"> </w:t>
      </w:r>
      <w:r w:rsidRPr="0087084C">
        <w:rPr>
          <w:rFonts w:cs="Arial"/>
        </w:rPr>
        <w:t>atraktivnější v důsledku dojmu, že lze hrát hazardní hru bez rizika.</w:t>
      </w:r>
    </w:p>
    <w:p w14:paraId="2AEFD7BF" w14:textId="77777777" w:rsidR="00C23581" w:rsidRPr="006C7BA9" w:rsidRDefault="00C23581" w:rsidP="00937B7A">
      <w:pPr>
        <w:pStyle w:val="Nadpis7"/>
      </w:pPr>
      <w:r w:rsidRPr="006C7BA9">
        <w:t xml:space="preserve">Hodnocení variant </w:t>
      </w:r>
    </w:p>
    <w:p w14:paraId="4E349533" w14:textId="77777777" w:rsidR="00C23581" w:rsidRDefault="00C23581" w:rsidP="001770A0">
      <w:r>
        <w:t>Přestože nelze schválit tuto konkrétní formu číselné loterie, je umožněno provozování této loterie ve formě doplňkové hry k hlavní číselné loterii.</w:t>
      </w:r>
    </w:p>
    <w:p w14:paraId="524CA50F" w14:textId="1EA6151D" w:rsidR="00C23581" w:rsidRDefault="00C23581" w:rsidP="001770A0">
      <w:r w:rsidRPr="0087084C">
        <w:t>Úprava zákonné definice by umožnila provozování u</w:t>
      </w:r>
      <w:r w:rsidR="008257DD">
        <w:t xml:space="preserve">rčitého druhu hazardní hry, kdy </w:t>
      </w:r>
      <w:r w:rsidRPr="0087084C">
        <w:t>v jeden okamžik budou výherní jak čísla tažená, tak čísla, která zůstala v osudí. Tato úprava by znamenala posuzování každého konkrétního herního plánu v tom smyslu, aby nedocházelo k obcházení zákona a vracení sázky v případě, že nebude uhodnuto žádné číslo.</w:t>
      </w:r>
      <w:r>
        <w:t xml:space="preserve"> Zároveň je třeba upozornit, že </w:t>
      </w:r>
      <w:r w:rsidRPr="0087084C">
        <w:t xml:space="preserve">současná úprava nebrání provozování dané hry, pouze je nezbytné tuto hru </w:t>
      </w:r>
      <w:r w:rsidR="00B80131">
        <w:t>povolit samostatně s odkazem na </w:t>
      </w:r>
      <w:r w:rsidRPr="0087084C">
        <w:t>slosování jiné číselné loterie.</w:t>
      </w:r>
    </w:p>
    <w:p w14:paraId="616520FD" w14:textId="77777777" w:rsidR="00C23581" w:rsidRDefault="00C23581" w:rsidP="001770A0">
      <w:r>
        <w:t>Doporučuje se z</w:t>
      </w:r>
      <w:r w:rsidRPr="0065053C">
        <w:t>achování současného stavu, který umožňuje provozování této hry v rámci doplňkové hry.</w:t>
      </w:r>
      <w:r>
        <w:t xml:space="preserve"> Ministerstvo financí se domnívá, že zásah do definice by byl příliš zásadní a mohl mít dopad i na ostatní číselné loterie, přičemž přínos by nebyl tak výrazný.</w:t>
      </w:r>
    </w:p>
    <w:p w14:paraId="7FAF835E" w14:textId="0D1D32CD" w:rsidR="00C23581" w:rsidRPr="00C87FBE" w:rsidRDefault="00C23581" w:rsidP="007029FF">
      <w:pPr>
        <w:pStyle w:val="Nadpis6"/>
      </w:pPr>
      <w:bookmarkStart w:id="25" w:name="_Toc73604720"/>
      <w:r>
        <w:t xml:space="preserve">Vyplácení výhry v případě živé hry </w:t>
      </w:r>
      <w:r w:rsidR="00C25A0C">
        <w:t xml:space="preserve">formou </w:t>
      </w:r>
      <w:r>
        <w:t>land-based</w:t>
      </w:r>
      <w:bookmarkEnd w:id="25"/>
    </w:p>
    <w:p w14:paraId="0B4F97DA" w14:textId="786BF432" w:rsidR="00C23581" w:rsidRDefault="00B80131" w:rsidP="001770A0">
      <w:r>
        <w:t>V § 10 z</w:t>
      </w:r>
      <w:r w:rsidR="00C23581">
        <w:t>ákon</w:t>
      </w:r>
      <w:r>
        <w:t>a</w:t>
      </w:r>
      <w:r w:rsidR="00C23581">
        <w:t xml:space="preserve"> o hazardních hrách </w:t>
      </w:r>
      <w:r>
        <w:t>je definováno</w:t>
      </w:r>
      <w:r w:rsidR="00C23581">
        <w:t>, co je považováno za výhru</w:t>
      </w:r>
      <w:r>
        <w:t>.</w:t>
      </w:r>
      <w:r w:rsidR="00C23581">
        <w:t xml:space="preserve"> </w:t>
      </w:r>
      <w:r>
        <w:t>P</w:t>
      </w:r>
      <w:r w:rsidR="00C23581">
        <w:t>rimárně představují výhru peněžní prostředky, pouze v případě věcné loterie, okamžité loterie a tomboly mohou být předmětem výhry i hmotné věci nebo služby. Z uvedeného vyplývá, že v případě živé hry nelze dle znění tohoto ustanovení hovořit o hodnotových žetonech jako o výhře.</w:t>
      </w:r>
      <w:r>
        <w:t xml:space="preserve"> Tato skutečnost vyplývá také z</w:t>
      </w:r>
      <w:r w:rsidR="00C23581">
        <w:t xml:space="preserve"> §</w:t>
      </w:r>
      <w:r>
        <w:t> </w:t>
      </w:r>
      <w:r w:rsidR="00C23581">
        <w:t>58 odst. 7 zákona o hazardních hrách, dle kterého je provozovat</w:t>
      </w:r>
      <w:r>
        <w:t>el povinen vyplácet výhru proti </w:t>
      </w:r>
      <w:r w:rsidR="00C23581">
        <w:t xml:space="preserve">hodnotovým žetonům předloženým v pokladně kasina. </w:t>
      </w:r>
    </w:p>
    <w:p w14:paraId="07812C7D" w14:textId="1E97F782" w:rsidR="00C23581" w:rsidRDefault="00C23581" w:rsidP="00CE5920">
      <w:r>
        <w:t xml:space="preserve">Z povahy průběhu živé hry v kasinu vyplývá, že ne </w:t>
      </w:r>
      <w:r w:rsidR="00B80131">
        <w:t>všechny hodnotové žetony, které </w:t>
      </w:r>
      <w:r>
        <w:t xml:space="preserve">si účastník hazardní hry nakoupí na pokladně kasina, musí být vloženy do hry živé hry. Fakticky může docházet k situacím, kdy si účastník živé hry sice hodnotové žetony nakoupí, ale do hry vůbec vloženy nejsou a následně je na pokladně kasina smění zpět na peněžní prostředky. Tuto skutečnost již nyní odráží </w:t>
      </w:r>
      <w:r w:rsidR="00B80131">
        <w:t>§</w:t>
      </w:r>
      <w:r w:rsidR="00B76889">
        <w:t> </w:t>
      </w:r>
      <w:r w:rsidR="00B80131">
        <w:t>15</w:t>
      </w:r>
      <w:r w:rsidR="00B76889">
        <w:t> </w:t>
      </w:r>
      <w:r w:rsidR="00B80131">
        <w:t>odst.</w:t>
      </w:r>
      <w:r w:rsidR="00B76889">
        <w:t> </w:t>
      </w:r>
      <w:r w:rsidR="00B80131">
        <w:t>4</w:t>
      </w:r>
      <w:r w:rsidR="00B76889">
        <w:t> </w:t>
      </w:r>
      <w:r w:rsidR="00B80131">
        <w:t>písm.</w:t>
      </w:r>
      <w:r w:rsidR="00B76889">
        <w:t> </w:t>
      </w:r>
      <w:r w:rsidR="00B80131">
        <w:t>b) zákona o hazardních hrách</w:t>
      </w:r>
      <w:r w:rsidR="00B76889">
        <w:t>, jakožto</w:t>
      </w:r>
      <w:r w:rsidR="00B80131">
        <w:t xml:space="preserve"> </w:t>
      </w:r>
      <w:r>
        <w:t>speciální ustanovení pro výpočet výše nastavených sebeomezujících opatření. Za výhru by v kontextu živé hry provozované v kasinu měly být považovány pouze peněžní prostředky, které sázející získal na základě účasti na</w:t>
      </w:r>
      <w:r w:rsidR="00B76889">
        <w:t> </w:t>
      </w:r>
      <w:r>
        <w:t>živé h</w:t>
      </w:r>
      <w:r w:rsidR="00B76889">
        <w:t>ře</w:t>
      </w:r>
      <w:r>
        <w:t xml:space="preserve"> po splněn</w:t>
      </w:r>
      <w:r w:rsidR="00345823">
        <w:t>í podmínek pro získání výhry. I </w:t>
      </w:r>
      <w:r>
        <w:t xml:space="preserve">v takovém případě jsou tyto prostředky označovány </w:t>
      </w:r>
      <w:r w:rsidR="00B76889">
        <w:t xml:space="preserve">§ 58 odst. 7 </w:t>
      </w:r>
      <w:r>
        <w:t>zákon</w:t>
      </w:r>
      <w:r w:rsidR="00B76889">
        <w:t>a</w:t>
      </w:r>
      <w:r>
        <w:t xml:space="preserve"> o</w:t>
      </w:r>
      <w:r w:rsidR="00345823">
        <w:t> </w:t>
      </w:r>
      <w:r>
        <w:t>hazardních hrách jako výhra. Naopak hodnotové žetony by bylo spíše možné přip</w:t>
      </w:r>
      <w:r w:rsidR="00B76889">
        <w:t>odobnit peněžním prostředkům na </w:t>
      </w:r>
      <w:r>
        <w:t xml:space="preserve">uživatelském kontu. </w:t>
      </w:r>
    </w:p>
    <w:p w14:paraId="34CA042A" w14:textId="77777777" w:rsidR="00C23581" w:rsidRDefault="00C23581" w:rsidP="00937B7A">
      <w:pPr>
        <w:pStyle w:val="Nadpis7"/>
      </w:pPr>
      <w:r>
        <w:t>Varianta I. – Zachování současného stavu</w:t>
      </w:r>
    </w:p>
    <w:p w14:paraId="450E9846" w14:textId="77777777" w:rsidR="00C23581" w:rsidRDefault="00C23581" w:rsidP="001770A0">
      <w:r>
        <w:t>Výhody:</w:t>
      </w:r>
    </w:p>
    <w:p w14:paraId="5BF492AD" w14:textId="77777777" w:rsidR="00C23581" w:rsidRDefault="00C23581" w:rsidP="001770A0">
      <w:r>
        <w:t>Žádné nebyly zjištěny.</w:t>
      </w:r>
    </w:p>
    <w:p w14:paraId="50ABE5E4" w14:textId="77777777" w:rsidR="00C23581" w:rsidRDefault="00C23581" w:rsidP="001770A0">
      <w:r>
        <w:t>Nevýhody:</w:t>
      </w:r>
    </w:p>
    <w:p w14:paraId="6D9F3D02" w14:textId="51839709" w:rsidR="00C23581" w:rsidRDefault="00C23581" w:rsidP="001770A0">
      <w:r w:rsidRPr="00032107">
        <w:t xml:space="preserve">V současné době </w:t>
      </w:r>
      <w:r>
        <w:t xml:space="preserve">není právní úprava konzistentní a </w:t>
      </w:r>
      <w:r w:rsidRPr="00032107">
        <w:t xml:space="preserve">rozchází </w:t>
      </w:r>
      <w:r>
        <w:t xml:space="preserve">se </w:t>
      </w:r>
      <w:r w:rsidRPr="00032107">
        <w:t>s praxí, dle které</w:t>
      </w:r>
      <w:r>
        <w:t xml:space="preserve"> je za výhru považována výhra u </w:t>
      </w:r>
      <w:r w:rsidRPr="00032107">
        <w:t>jednotlivých hracích stolů v hodnotových žetonech (viz</w:t>
      </w:r>
      <w:r w:rsidR="008257DD">
        <w:t xml:space="preserve"> </w:t>
      </w:r>
      <w:r>
        <w:t>§ 15 odst. 4 zákona o hazardních hrách, reportingová vyhláška), nikoliv částka vyplacená na pokladně.</w:t>
      </w:r>
    </w:p>
    <w:p w14:paraId="10F4661F" w14:textId="27D106CA" w:rsidR="00C23581" w:rsidRDefault="00C23581" w:rsidP="00937B7A">
      <w:pPr>
        <w:pStyle w:val="Nadpis7"/>
      </w:pPr>
      <w:r>
        <w:t>Varianta II. – Změna zákona o hazardních hrách</w:t>
      </w:r>
      <w:r w:rsidR="00446BDF">
        <w:t xml:space="preserve"> – úprava v tom smyslu, že </w:t>
      </w:r>
      <w:r w:rsidR="00B56F2E">
        <w:t>hodnotové</w:t>
      </w:r>
      <w:r w:rsidR="00446BDF">
        <w:t xml:space="preserve"> žetony </w:t>
      </w:r>
      <w:r w:rsidR="00B56F2E">
        <w:t>představují peněžní prostředky na uživatelském kontu</w:t>
      </w:r>
    </w:p>
    <w:p w14:paraId="0AFE786D" w14:textId="77777777" w:rsidR="00C23581" w:rsidRDefault="00C23581" w:rsidP="001770A0">
      <w:r>
        <w:t>Výhody:</w:t>
      </w:r>
    </w:p>
    <w:p w14:paraId="5F5E93CF" w14:textId="77777777" w:rsidR="00C23581" w:rsidRDefault="00C23581" w:rsidP="001770A0">
      <w:r w:rsidRPr="00032107">
        <w:t xml:space="preserve">Sjednocení zákonné úpravy a </w:t>
      </w:r>
      <w:r>
        <w:t>uvedení do souladu s praxí</w:t>
      </w:r>
      <w:r w:rsidRPr="00032107">
        <w:t>.</w:t>
      </w:r>
    </w:p>
    <w:p w14:paraId="4A595E77" w14:textId="30F3D521" w:rsidR="00C23581" w:rsidRDefault="00C23581" w:rsidP="001770A0">
      <w:r>
        <w:t>Nevýhody:</w:t>
      </w:r>
    </w:p>
    <w:p w14:paraId="6189D525" w14:textId="77777777" w:rsidR="00C23581" w:rsidRDefault="00C23581" w:rsidP="001770A0">
      <w:r>
        <w:t>Při řešení by měla být brána v potaz také problematika hracích žetonů</w:t>
      </w:r>
      <w:r w:rsidRPr="000F3472">
        <w:t>, které ve své podstatě také představují výhru, avšak každý hrací</w:t>
      </w:r>
      <w:r>
        <w:t xml:space="preserve"> žeton může mít jinou hodnotu u jednotlivých hracích stolů a následně dochází k jejich směně za žetony hodnotové.</w:t>
      </w:r>
    </w:p>
    <w:p w14:paraId="7FC2C514" w14:textId="77777777" w:rsidR="00C23581" w:rsidRPr="006C7BA9" w:rsidRDefault="00C23581" w:rsidP="00937B7A">
      <w:pPr>
        <w:pStyle w:val="Nadpis7"/>
      </w:pPr>
      <w:r w:rsidRPr="006C7BA9">
        <w:t xml:space="preserve">Hodnocení variant </w:t>
      </w:r>
    </w:p>
    <w:p w14:paraId="6E0F8BE5" w14:textId="29046AD9" w:rsidR="00C23581" w:rsidRDefault="00C23581" w:rsidP="001770A0">
      <w:r w:rsidRPr="000F3472">
        <w:t>Úpravou jednotlivých ustanovení zákona</w:t>
      </w:r>
      <w:r w:rsidR="00B76889">
        <w:t xml:space="preserve"> o hazardních hrách</w:t>
      </w:r>
      <w:r w:rsidRPr="000F3472">
        <w:t xml:space="preserve"> může dojít k narovnání současného stavu, kdy je za výhru podle zákona považována až částka vyplacená na pokladně kasina oproti hodnotovým žetonům, přestože tato směna nemusí být vždy pouze na základě výhry.</w:t>
      </w:r>
    </w:p>
    <w:p w14:paraId="6576C54D" w14:textId="14F9F564" w:rsidR="00C23581" w:rsidRDefault="00C23581" w:rsidP="001770A0">
      <w:r w:rsidRPr="00032107">
        <w:t xml:space="preserve">Doporučuje se doplnění § 10 zákona o hazardních hrách v tom smyslu, že výhrou v případě živé hry jsou nejenom peněžní prostředky, ale také hodnotové žetony. Zároveň je potřeba upravit </w:t>
      </w:r>
      <w:r>
        <w:t>§ 58 odst. 7 zákona o </w:t>
      </w:r>
      <w:r w:rsidRPr="00032107">
        <w:t xml:space="preserve">hazardních hrách. </w:t>
      </w:r>
      <w:r w:rsidR="00B76889">
        <w:t>Jelikož </w:t>
      </w:r>
      <w:r>
        <w:t>hodnotové žetony nemají bez provozovatele žádnou hodnotu, je nezbytné považovat tyto hodnotové žetony za obdobu zůstatku</w:t>
      </w:r>
      <w:r w:rsidR="00B76889">
        <w:t xml:space="preserve"> na uživatelském kontu, přičemž </w:t>
      </w:r>
      <w:r>
        <w:t>na pokladně kasina dochází fakticky k výplatě výhry (případně zůstatku). S ohledem na uvedené je nezbytné zachycení jedné lhůty pro výplatu peněžních prostředků proti předloženým hodnotovým žetonům. Na rozdíl od ostatních hazardních her by měla být tyto lhůta výrazně kratší, a to s ohledem na skutečnost, že je zakázáno odnášet žetony z kasina.</w:t>
      </w:r>
    </w:p>
    <w:p w14:paraId="187C1795" w14:textId="77777777" w:rsidR="00C23581" w:rsidRDefault="00C23581" w:rsidP="007029FF">
      <w:pPr>
        <w:pStyle w:val="Nadpis6"/>
      </w:pPr>
      <w:bookmarkStart w:id="26" w:name="_Toc73604721"/>
      <w:r>
        <w:t>Potvrzení o uzavřené sázce</w:t>
      </w:r>
      <w:bookmarkEnd w:id="26"/>
    </w:p>
    <w:p w14:paraId="6BA1653A" w14:textId="429A0779" w:rsidR="00245D1F" w:rsidRDefault="00B76889" w:rsidP="001770A0">
      <w:r>
        <w:t>V z</w:t>
      </w:r>
      <w:r w:rsidR="00C23581" w:rsidRPr="008B0B98">
        <w:t>ákon</w:t>
      </w:r>
      <w:r>
        <w:t>ě</w:t>
      </w:r>
      <w:r w:rsidR="00C23581" w:rsidRPr="008B0B98">
        <w:t xml:space="preserve"> o hazardních hrách absentuje explicitní povinnost provozovatelů hazardních her vystavovat účastníkům hazardních her potvrzení o uzavřené sázce, kromě jediného specifického druhu hazardní hry</w:t>
      </w:r>
      <w:r w:rsidR="00C23581">
        <w:t>,</w:t>
      </w:r>
      <w:r w:rsidR="00C23581" w:rsidRPr="008B0B98">
        <w:t xml:space="preserve"> a to živé kursov</w:t>
      </w:r>
      <w:r>
        <w:t>é sázky v § 28 odst. </w:t>
      </w:r>
      <w:r w:rsidR="00C23581">
        <w:t>2 zákona o </w:t>
      </w:r>
      <w:r w:rsidR="00C23581" w:rsidRPr="008B0B98">
        <w:t>hazardních hrách. Nastave</w:t>
      </w:r>
      <w:r>
        <w:t>ní této povinnosti se jeví jako</w:t>
      </w:r>
      <w:r w:rsidR="008257DD">
        <w:t xml:space="preserve"> </w:t>
      </w:r>
      <w:r w:rsidR="00C23581" w:rsidRPr="008B0B98">
        <w:t xml:space="preserve">vhodné u určitých druhů hazardních her, u kterých dochází k časovému </w:t>
      </w:r>
      <w:r w:rsidR="00C23581">
        <w:t>prodlení mezi uzavřením sázky a </w:t>
      </w:r>
      <w:r w:rsidR="00C23581" w:rsidRPr="008B0B98">
        <w:t>samotným vyhodnocením sázky, což je typické především pro loterie, kursové sázky a totalizátorovou hru. Vzh</w:t>
      </w:r>
      <w:r>
        <w:t>ledem k této absenci v zákoně o </w:t>
      </w:r>
      <w:r w:rsidR="00C23581" w:rsidRPr="008B0B98">
        <w:t>hazardních hrách by bylo vhodné</w:t>
      </w:r>
      <w:r w:rsidR="00C23581">
        <w:t xml:space="preserve"> zejména</w:t>
      </w:r>
      <w:r w:rsidR="00C23581" w:rsidRPr="008B0B98">
        <w:t xml:space="preserve"> u výše uvedených druhů hazardních</w:t>
      </w:r>
      <w:r w:rsidR="00C23581">
        <w:t xml:space="preserve"> her tuto povinnost do zákona o </w:t>
      </w:r>
      <w:r w:rsidR="00C23581" w:rsidRPr="008B0B98">
        <w:t>hazardních hrách zakotvit.</w:t>
      </w:r>
      <w:r w:rsidR="00C23581">
        <w:t xml:space="preserve"> V potaz by měla být brána rovněž evidence na uživatelském kontě.</w:t>
      </w:r>
    </w:p>
    <w:p w14:paraId="530933AA" w14:textId="0FC5E357" w:rsidR="006C6138" w:rsidRDefault="006C6138" w:rsidP="00FE4ABA">
      <w:pPr>
        <w:pStyle w:val="Nadpis3"/>
      </w:pPr>
      <w:bookmarkStart w:id="27" w:name="_Toc71631362"/>
      <w:bookmarkStart w:id="28" w:name="_Toc73604722"/>
      <w:r w:rsidRPr="004B6EDB">
        <w:t xml:space="preserve">Seznam tabulek, </w:t>
      </w:r>
      <w:bookmarkEnd w:id="27"/>
      <w:r w:rsidR="00A8041E">
        <w:t>obrázků a grafů</w:t>
      </w:r>
      <w:bookmarkEnd w:id="28"/>
    </w:p>
    <w:p w14:paraId="760F18C4" w14:textId="77777777" w:rsidR="00A8041E" w:rsidRDefault="006C6138" w:rsidP="00B71714">
      <w:pPr>
        <w:pStyle w:val="Nadpis4"/>
        <w:rPr>
          <w:noProof/>
        </w:rPr>
      </w:pPr>
      <w:bookmarkStart w:id="29" w:name="_Toc71631363"/>
      <w:bookmarkStart w:id="30" w:name="_Toc73604723"/>
      <w:r w:rsidRPr="004B6EDB">
        <w:t>Grafy</w:t>
      </w:r>
      <w:bookmarkEnd w:id="29"/>
      <w:bookmarkEnd w:id="30"/>
      <w:r w:rsidR="00A05B57" w:rsidRPr="004B6EDB">
        <w:fldChar w:fldCharType="begin"/>
      </w:r>
      <w:r w:rsidR="00A05B57" w:rsidRPr="004B6EDB">
        <w:instrText xml:space="preserve"> TOC \h \z \c "Graf č." </w:instrText>
      </w:r>
      <w:r w:rsidR="00A05B57" w:rsidRPr="004B6EDB">
        <w:fldChar w:fldCharType="separate"/>
      </w:r>
    </w:p>
    <w:p w14:paraId="3C361828" w14:textId="5E7B248E" w:rsidR="00A8041E" w:rsidRPr="00A8041E" w:rsidRDefault="00FA4A50">
      <w:pPr>
        <w:pStyle w:val="Seznamobrzk"/>
        <w:tabs>
          <w:tab w:val="right" w:leader="dot" w:pos="9062"/>
        </w:tabs>
        <w:rPr>
          <w:rFonts w:asciiTheme="minorHAnsi" w:eastAsiaTheme="minorEastAsia" w:hAnsiTheme="minorHAnsi"/>
          <w:noProof/>
          <w:sz w:val="22"/>
          <w:lang w:eastAsia="cs-CZ"/>
        </w:rPr>
      </w:pPr>
      <w:hyperlink w:anchor="_Toc73533075" w:history="1">
        <w:r w:rsidR="00A8041E" w:rsidRPr="00A8041E">
          <w:rPr>
            <w:rStyle w:val="Hypertextovodkaz"/>
            <w:noProof/>
          </w:rPr>
          <w:t>Graf č. 1: Zastoupení prvků (český jazyk, telefon +420, měna, umožnění registrace s uvedením ČR) u blokovaných stránek – data k 20. 4. 2021</w:t>
        </w:r>
        <w:r w:rsidR="00A8041E" w:rsidRPr="00A8041E">
          <w:rPr>
            <w:noProof/>
            <w:webHidden/>
          </w:rPr>
          <w:tab/>
        </w:r>
        <w:r w:rsidR="00A8041E" w:rsidRPr="00A8041E">
          <w:rPr>
            <w:noProof/>
            <w:webHidden/>
          </w:rPr>
          <w:fldChar w:fldCharType="begin"/>
        </w:r>
        <w:r w:rsidR="00A8041E" w:rsidRPr="00A8041E">
          <w:rPr>
            <w:noProof/>
            <w:webHidden/>
          </w:rPr>
          <w:instrText xml:space="preserve"> PAGEREF _Toc73533075 \h </w:instrText>
        </w:r>
        <w:r w:rsidR="00A8041E" w:rsidRPr="00A8041E">
          <w:rPr>
            <w:noProof/>
            <w:webHidden/>
          </w:rPr>
        </w:r>
        <w:r w:rsidR="00A8041E" w:rsidRPr="00A8041E">
          <w:rPr>
            <w:noProof/>
            <w:webHidden/>
          </w:rPr>
          <w:fldChar w:fldCharType="separate"/>
        </w:r>
        <w:r w:rsidR="00A8041E" w:rsidRPr="00A8041E">
          <w:rPr>
            <w:noProof/>
            <w:webHidden/>
          </w:rPr>
          <w:t>8</w:t>
        </w:r>
        <w:r w:rsidR="00A8041E" w:rsidRPr="00A8041E">
          <w:rPr>
            <w:noProof/>
            <w:webHidden/>
          </w:rPr>
          <w:fldChar w:fldCharType="end"/>
        </w:r>
      </w:hyperlink>
    </w:p>
    <w:p w14:paraId="6C264040" w14:textId="77777777" w:rsidR="00160F3C" w:rsidRDefault="00A05B57" w:rsidP="00160F3C">
      <w:pPr>
        <w:pStyle w:val="Textdopisu"/>
      </w:pPr>
      <w:r w:rsidRPr="004B6EDB">
        <w:fldChar w:fldCharType="end"/>
      </w:r>
    </w:p>
    <w:p w14:paraId="544B2DF6" w14:textId="2B86C452" w:rsidR="00A8041E" w:rsidRPr="00A05B57" w:rsidRDefault="00A05B57" w:rsidP="00160F3C">
      <w:pPr>
        <w:pStyle w:val="Textdopisu"/>
      </w:pPr>
      <w:r>
        <w:t>Tabulky a obrázky nejsou v této části zahrnuty.</w:t>
      </w:r>
    </w:p>
    <w:p w14:paraId="1E68E19A" w14:textId="77777777" w:rsidR="00FE4ABA" w:rsidRDefault="00A8041E" w:rsidP="00A8041E">
      <w:pPr>
        <w:pStyle w:val="Nadpis3"/>
        <w:rPr>
          <w:noProof/>
        </w:rPr>
      </w:pPr>
      <w:bookmarkStart w:id="31" w:name="_Toc73604724"/>
      <w:r>
        <w:t>Obsah</w:t>
      </w:r>
      <w:bookmarkEnd w:id="31"/>
      <w:r>
        <w:fldChar w:fldCharType="begin"/>
      </w:r>
      <w:r>
        <w:instrText xml:space="preserve"> TOC \o "1-6" \h \z \u </w:instrText>
      </w:r>
      <w:r>
        <w:fldChar w:fldCharType="separate"/>
      </w:r>
    </w:p>
    <w:p w14:paraId="73A33A56" w14:textId="280C0E3A" w:rsidR="00FE4ABA" w:rsidRDefault="00FA4A50">
      <w:pPr>
        <w:pStyle w:val="Obsah3"/>
        <w:tabs>
          <w:tab w:val="left" w:pos="1200"/>
          <w:tab w:val="right" w:leader="dot" w:pos="9062"/>
        </w:tabs>
        <w:rPr>
          <w:rFonts w:asciiTheme="minorHAnsi" w:eastAsiaTheme="minorEastAsia" w:hAnsiTheme="minorHAnsi"/>
          <w:noProof/>
          <w:sz w:val="22"/>
          <w:lang w:eastAsia="cs-CZ"/>
        </w:rPr>
      </w:pPr>
      <w:hyperlink w:anchor="_Toc73604700" w:history="1">
        <w:r w:rsidR="00FE4ABA" w:rsidRPr="00270FD2">
          <w:rPr>
            <w:rStyle w:val="Hypertextovodkaz"/>
            <w:noProof/>
          </w:rPr>
          <w:t>1.1</w:t>
        </w:r>
        <w:r w:rsidR="00FE4ABA">
          <w:rPr>
            <w:rFonts w:asciiTheme="minorHAnsi" w:eastAsiaTheme="minorEastAsia" w:hAnsiTheme="minorHAnsi"/>
            <w:noProof/>
            <w:sz w:val="22"/>
            <w:lang w:eastAsia="cs-CZ"/>
          </w:rPr>
          <w:tab/>
        </w:r>
        <w:r w:rsidR="00FE4ABA" w:rsidRPr="00270FD2">
          <w:rPr>
            <w:rStyle w:val="Hypertextovodkaz"/>
            <w:noProof/>
          </w:rPr>
          <w:t>Konkrétní popis regulace obsažené v zákoně o loteriích</w:t>
        </w:r>
        <w:r w:rsidR="00FE4ABA">
          <w:rPr>
            <w:noProof/>
            <w:webHidden/>
          </w:rPr>
          <w:tab/>
        </w:r>
        <w:r w:rsidR="00FE4ABA">
          <w:rPr>
            <w:noProof/>
            <w:webHidden/>
          </w:rPr>
          <w:fldChar w:fldCharType="begin"/>
        </w:r>
        <w:r w:rsidR="00FE4ABA">
          <w:rPr>
            <w:noProof/>
            <w:webHidden/>
          </w:rPr>
          <w:instrText xml:space="preserve"> PAGEREF _Toc73604700 \h </w:instrText>
        </w:r>
        <w:r w:rsidR="00FE4ABA">
          <w:rPr>
            <w:noProof/>
            <w:webHidden/>
          </w:rPr>
        </w:r>
        <w:r w:rsidR="00FE4ABA">
          <w:rPr>
            <w:noProof/>
            <w:webHidden/>
          </w:rPr>
          <w:fldChar w:fldCharType="separate"/>
        </w:r>
        <w:r w:rsidR="00FE4ABA">
          <w:rPr>
            <w:noProof/>
            <w:webHidden/>
          </w:rPr>
          <w:t>1</w:t>
        </w:r>
        <w:r w:rsidR="00FE4ABA">
          <w:rPr>
            <w:noProof/>
            <w:webHidden/>
          </w:rPr>
          <w:fldChar w:fldCharType="end"/>
        </w:r>
      </w:hyperlink>
    </w:p>
    <w:p w14:paraId="5801E243" w14:textId="5F50AF0F" w:rsidR="00FE4ABA" w:rsidRDefault="00FA4A50">
      <w:pPr>
        <w:pStyle w:val="Obsah3"/>
        <w:tabs>
          <w:tab w:val="left" w:pos="1200"/>
          <w:tab w:val="right" w:leader="dot" w:pos="9062"/>
        </w:tabs>
        <w:rPr>
          <w:rFonts w:asciiTheme="minorHAnsi" w:eastAsiaTheme="minorEastAsia" w:hAnsiTheme="minorHAnsi"/>
          <w:noProof/>
          <w:sz w:val="22"/>
          <w:lang w:eastAsia="cs-CZ"/>
        </w:rPr>
      </w:pPr>
      <w:hyperlink w:anchor="_Toc73604701" w:history="1">
        <w:r w:rsidR="00FE4ABA" w:rsidRPr="00270FD2">
          <w:rPr>
            <w:rStyle w:val="Hypertextovodkaz"/>
            <w:noProof/>
          </w:rPr>
          <w:t>1.2</w:t>
        </w:r>
        <w:r w:rsidR="00FE4ABA">
          <w:rPr>
            <w:rFonts w:asciiTheme="minorHAnsi" w:eastAsiaTheme="minorEastAsia" w:hAnsiTheme="minorHAnsi"/>
            <w:noProof/>
            <w:sz w:val="22"/>
            <w:lang w:eastAsia="cs-CZ"/>
          </w:rPr>
          <w:tab/>
        </w:r>
        <w:r w:rsidR="00FE4ABA" w:rsidRPr="00270FD2">
          <w:rPr>
            <w:rStyle w:val="Hypertextovodkaz"/>
            <w:noProof/>
          </w:rPr>
          <w:t>Konkrétní popis regulace obsažené v zákoně o hazardních hrách</w:t>
        </w:r>
        <w:r w:rsidR="00FE4ABA">
          <w:rPr>
            <w:noProof/>
            <w:webHidden/>
          </w:rPr>
          <w:tab/>
        </w:r>
        <w:r w:rsidR="00FE4ABA">
          <w:rPr>
            <w:noProof/>
            <w:webHidden/>
          </w:rPr>
          <w:fldChar w:fldCharType="begin"/>
        </w:r>
        <w:r w:rsidR="00FE4ABA">
          <w:rPr>
            <w:noProof/>
            <w:webHidden/>
          </w:rPr>
          <w:instrText xml:space="preserve"> PAGEREF _Toc73604701 \h </w:instrText>
        </w:r>
        <w:r w:rsidR="00FE4ABA">
          <w:rPr>
            <w:noProof/>
            <w:webHidden/>
          </w:rPr>
        </w:r>
        <w:r w:rsidR="00FE4ABA">
          <w:rPr>
            <w:noProof/>
            <w:webHidden/>
          </w:rPr>
          <w:fldChar w:fldCharType="separate"/>
        </w:r>
        <w:r w:rsidR="00FE4ABA">
          <w:rPr>
            <w:noProof/>
            <w:webHidden/>
          </w:rPr>
          <w:t>1</w:t>
        </w:r>
        <w:r w:rsidR="00FE4ABA">
          <w:rPr>
            <w:noProof/>
            <w:webHidden/>
          </w:rPr>
          <w:fldChar w:fldCharType="end"/>
        </w:r>
      </w:hyperlink>
    </w:p>
    <w:p w14:paraId="5B520944" w14:textId="252FD14E"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02" w:history="1">
        <w:r w:rsidR="00FE4ABA" w:rsidRPr="00270FD2">
          <w:rPr>
            <w:rStyle w:val="Hypertextovodkaz"/>
            <w:noProof/>
          </w:rPr>
          <w:t>i.</w:t>
        </w:r>
        <w:r w:rsidR="00FE4ABA">
          <w:rPr>
            <w:rFonts w:asciiTheme="minorHAnsi" w:eastAsiaTheme="minorEastAsia" w:hAnsiTheme="minorHAnsi"/>
            <w:noProof/>
            <w:sz w:val="22"/>
            <w:lang w:eastAsia="cs-CZ"/>
          </w:rPr>
          <w:tab/>
        </w:r>
        <w:r w:rsidR="00FE4ABA" w:rsidRPr="00270FD2">
          <w:rPr>
            <w:rStyle w:val="Hypertextovodkaz"/>
            <w:noProof/>
          </w:rPr>
          <w:t>Účastník hazardní hry, sázející</w:t>
        </w:r>
        <w:r w:rsidR="00FE4ABA">
          <w:rPr>
            <w:noProof/>
            <w:webHidden/>
          </w:rPr>
          <w:tab/>
        </w:r>
        <w:r w:rsidR="00FE4ABA">
          <w:rPr>
            <w:noProof/>
            <w:webHidden/>
          </w:rPr>
          <w:fldChar w:fldCharType="begin"/>
        </w:r>
        <w:r w:rsidR="00FE4ABA">
          <w:rPr>
            <w:noProof/>
            <w:webHidden/>
          </w:rPr>
          <w:instrText xml:space="preserve"> PAGEREF _Toc73604702 \h </w:instrText>
        </w:r>
        <w:r w:rsidR="00FE4ABA">
          <w:rPr>
            <w:noProof/>
            <w:webHidden/>
          </w:rPr>
        </w:r>
        <w:r w:rsidR="00FE4ABA">
          <w:rPr>
            <w:noProof/>
            <w:webHidden/>
          </w:rPr>
          <w:fldChar w:fldCharType="separate"/>
        </w:r>
        <w:r w:rsidR="00FE4ABA">
          <w:rPr>
            <w:noProof/>
            <w:webHidden/>
          </w:rPr>
          <w:t>2</w:t>
        </w:r>
        <w:r w:rsidR="00FE4ABA">
          <w:rPr>
            <w:noProof/>
            <w:webHidden/>
          </w:rPr>
          <w:fldChar w:fldCharType="end"/>
        </w:r>
      </w:hyperlink>
    </w:p>
    <w:p w14:paraId="753A693D" w14:textId="7DEAD598"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03" w:history="1">
        <w:r w:rsidR="00FE4ABA" w:rsidRPr="00270FD2">
          <w:rPr>
            <w:rStyle w:val="Hypertextovodkaz"/>
            <w:noProof/>
          </w:rPr>
          <w:t>ii.</w:t>
        </w:r>
        <w:r w:rsidR="00FE4ABA">
          <w:rPr>
            <w:rFonts w:asciiTheme="minorHAnsi" w:eastAsiaTheme="minorEastAsia" w:hAnsiTheme="minorHAnsi"/>
            <w:noProof/>
            <w:sz w:val="22"/>
            <w:lang w:eastAsia="cs-CZ"/>
          </w:rPr>
          <w:tab/>
        </w:r>
        <w:r w:rsidR="00FE4ABA" w:rsidRPr="00270FD2">
          <w:rPr>
            <w:rStyle w:val="Hypertextovodkaz"/>
            <w:noProof/>
          </w:rPr>
          <w:t>Vklad a sázka</w:t>
        </w:r>
        <w:r w:rsidR="00FE4ABA">
          <w:rPr>
            <w:noProof/>
            <w:webHidden/>
          </w:rPr>
          <w:tab/>
        </w:r>
        <w:r w:rsidR="00FE4ABA">
          <w:rPr>
            <w:noProof/>
            <w:webHidden/>
          </w:rPr>
          <w:fldChar w:fldCharType="begin"/>
        </w:r>
        <w:r w:rsidR="00FE4ABA">
          <w:rPr>
            <w:noProof/>
            <w:webHidden/>
          </w:rPr>
          <w:instrText xml:space="preserve"> PAGEREF _Toc73604703 \h </w:instrText>
        </w:r>
        <w:r w:rsidR="00FE4ABA">
          <w:rPr>
            <w:noProof/>
            <w:webHidden/>
          </w:rPr>
        </w:r>
        <w:r w:rsidR="00FE4ABA">
          <w:rPr>
            <w:noProof/>
            <w:webHidden/>
          </w:rPr>
          <w:fldChar w:fldCharType="separate"/>
        </w:r>
        <w:r w:rsidR="00FE4ABA">
          <w:rPr>
            <w:noProof/>
            <w:webHidden/>
          </w:rPr>
          <w:t>3</w:t>
        </w:r>
        <w:r w:rsidR="00FE4ABA">
          <w:rPr>
            <w:noProof/>
            <w:webHidden/>
          </w:rPr>
          <w:fldChar w:fldCharType="end"/>
        </w:r>
      </w:hyperlink>
    </w:p>
    <w:p w14:paraId="5CE44CCF" w14:textId="59B5778A"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04" w:history="1">
        <w:r w:rsidR="00FE4ABA" w:rsidRPr="00270FD2">
          <w:rPr>
            <w:rStyle w:val="Hypertextovodkaz"/>
            <w:noProof/>
          </w:rPr>
          <w:t>iii.</w:t>
        </w:r>
        <w:r w:rsidR="00FE4ABA">
          <w:rPr>
            <w:rFonts w:asciiTheme="minorHAnsi" w:eastAsiaTheme="minorEastAsia" w:hAnsiTheme="minorHAnsi"/>
            <w:noProof/>
            <w:sz w:val="22"/>
            <w:lang w:eastAsia="cs-CZ"/>
          </w:rPr>
          <w:tab/>
        </w:r>
        <w:r w:rsidR="00FE4ABA" w:rsidRPr="00270FD2">
          <w:rPr>
            <w:rStyle w:val="Hypertextovodkaz"/>
            <w:noProof/>
          </w:rPr>
          <w:t>Provozování hazardní hry a provozovatel</w:t>
        </w:r>
        <w:r w:rsidR="00FE4ABA">
          <w:rPr>
            <w:noProof/>
            <w:webHidden/>
          </w:rPr>
          <w:tab/>
        </w:r>
        <w:r w:rsidR="00FE4ABA">
          <w:rPr>
            <w:noProof/>
            <w:webHidden/>
          </w:rPr>
          <w:fldChar w:fldCharType="begin"/>
        </w:r>
        <w:r w:rsidR="00FE4ABA">
          <w:rPr>
            <w:noProof/>
            <w:webHidden/>
          </w:rPr>
          <w:instrText xml:space="preserve"> PAGEREF _Toc73604704 \h </w:instrText>
        </w:r>
        <w:r w:rsidR="00FE4ABA">
          <w:rPr>
            <w:noProof/>
            <w:webHidden/>
          </w:rPr>
        </w:r>
        <w:r w:rsidR="00FE4ABA">
          <w:rPr>
            <w:noProof/>
            <w:webHidden/>
          </w:rPr>
          <w:fldChar w:fldCharType="separate"/>
        </w:r>
        <w:r w:rsidR="00FE4ABA">
          <w:rPr>
            <w:noProof/>
            <w:webHidden/>
          </w:rPr>
          <w:t>4</w:t>
        </w:r>
        <w:r w:rsidR="00FE4ABA">
          <w:rPr>
            <w:noProof/>
            <w:webHidden/>
          </w:rPr>
          <w:fldChar w:fldCharType="end"/>
        </w:r>
      </w:hyperlink>
    </w:p>
    <w:p w14:paraId="3D638095" w14:textId="69F1A73D"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05" w:history="1">
        <w:r w:rsidR="00FE4ABA" w:rsidRPr="00270FD2">
          <w:rPr>
            <w:rStyle w:val="Hypertextovodkaz"/>
            <w:noProof/>
          </w:rPr>
          <w:t>iv.</w:t>
        </w:r>
        <w:r w:rsidR="00FE4ABA">
          <w:rPr>
            <w:rFonts w:asciiTheme="minorHAnsi" w:eastAsiaTheme="minorEastAsia" w:hAnsiTheme="minorHAnsi"/>
            <w:noProof/>
            <w:sz w:val="22"/>
            <w:lang w:eastAsia="cs-CZ"/>
          </w:rPr>
          <w:tab/>
        </w:r>
        <w:r w:rsidR="00FE4ABA" w:rsidRPr="00270FD2">
          <w:rPr>
            <w:rStyle w:val="Hypertextovodkaz"/>
            <w:noProof/>
          </w:rPr>
          <w:t>Výhra</w:t>
        </w:r>
        <w:r w:rsidR="00FE4ABA">
          <w:rPr>
            <w:noProof/>
            <w:webHidden/>
          </w:rPr>
          <w:tab/>
        </w:r>
        <w:r w:rsidR="00FE4ABA">
          <w:rPr>
            <w:noProof/>
            <w:webHidden/>
          </w:rPr>
          <w:fldChar w:fldCharType="begin"/>
        </w:r>
        <w:r w:rsidR="00FE4ABA">
          <w:rPr>
            <w:noProof/>
            <w:webHidden/>
          </w:rPr>
          <w:instrText xml:space="preserve"> PAGEREF _Toc73604705 \h </w:instrText>
        </w:r>
        <w:r w:rsidR="00FE4ABA">
          <w:rPr>
            <w:noProof/>
            <w:webHidden/>
          </w:rPr>
        </w:r>
        <w:r w:rsidR="00FE4ABA">
          <w:rPr>
            <w:noProof/>
            <w:webHidden/>
          </w:rPr>
          <w:fldChar w:fldCharType="separate"/>
        </w:r>
        <w:r w:rsidR="00FE4ABA">
          <w:rPr>
            <w:noProof/>
            <w:webHidden/>
          </w:rPr>
          <w:t>5</w:t>
        </w:r>
        <w:r w:rsidR="00FE4ABA">
          <w:rPr>
            <w:noProof/>
            <w:webHidden/>
          </w:rPr>
          <w:fldChar w:fldCharType="end"/>
        </w:r>
      </w:hyperlink>
    </w:p>
    <w:p w14:paraId="2D48B6BC" w14:textId="5017B69C"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06" w:history="1">
        <w:r w:rsidR="00FE4ABA" w:rsidRPr="00270FD2">
          <w:rPr>
            <w:rStyle w:val="Hypertextovodkaz"/>
            <w:noProof/>
          </w:rPr>
          <w:t>v.</w:t>
        </w:r>
        <w:r w:rsidR="00FE4ABA">
          <w:rPr>
            <w:rFonts w:asciiTheme="minorHAnsi" w:eastAsiaTheme="minorEastAsia" w:hAnsiTheme="minorHAnsi"/>
            <w:noProof/>
            <w:sz w:val="22"/>
            <w:lang w:eastAsia="cs-CZ"/>
          </w:rPr>
          <w:tab/>
        </w:r>
        <w:r w:rsidR="00FE4ABA" w:rsidRPr="00270FD2">
          <w:rPr>
            <w:rStyle w:val="Hypertextovodkaz"/>
            <w:noProof/>
          </w:rPr>
          <w:t>Prostory, ve kterých nelze provozovat hazardní hry</w:t>
        </w:r>
        <w:r w:rsidR="00FE4ABA">
          <w:rPr>
            <w:noProof/>
            <w:webHidden/>
          </w:rPr>
          <w:tab/>
        </w:r>
        <w:r w:rsidR="00FE4ABA">
          <w:rPr>
            <w:noProof/>
            <w:webHidden/>
          </w:rPr>
          <w:fldChar w:fldCharType="begin"/>
        </w:r>
        <w:r w:rsidR="00FE4ABA">
          <w:rPr>
            <w:noProof/>
            <w:webHidden/>
          </w:rPr>
          <w:instrText xml:space="preserve"> PAGEREF _Toc73604706 \h </w:instrText>
        </w:r>
        <w:r w:rsidR="00FE4ABA">
          <w:rPr>
            <w:noProof/>
            <w:webHidden/>
          </w:rPr>
        </w:r>
        <w:r w:rsidR="00FE4ABA">
          <w:rPr>
            <w:noProof/>
            <w:webHidden/>
          </w:rPr>
          <w:fldChar w:fldCharType="separate"/>
        </w:r>
        <w:r w:rsidR="00FE4ABA">
          <w:rPr>
            <w:noProof/>
            <w:webHidden/>
          </w:rPr>
          <w:t>6</w:t>
        </w:r>
        <w:r w:rsidR="00FE4ABA">
          <w:rPr>
            <w:noProof/>
            <w:webHidden/>
          </w:rPr>
          <w:fldChar w:fldCharType="end"/>
        </w:r>
      </w:hyperlink>
    </w:p>
    <w:p w14:paraId="599725A2" w14:textId="41A91A85"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07" w:history="1">
        <w:r w:rsidR="00FE4ABA" w:rsidRPr="00270FD2">
          <w:rPr>
            <w:rStyle w:val="Hypertextovodkaz"/>
            <w:noProof/>
          </w:rPr>
          <w:t>vi.</w:t>
        </w:r>
        <w:r w:rsidR="00FE4ABA">
          <w:rPr>
            <w:rFonts w:asciiTheme="minorHAnsi" w:eastAsiaTheme="minorEastAsia" w:hAnsiTheme="minorHAnsi"/>
            <w:noProof/>
            <w:sz w:val="22"/>
            <w:lang w:eastAsia="cs-CZ"/>
          </w:rPr>
          <w:tab/>
        </w:r>
        <w:r w:rsidR="00FE4ABA" w:rsidRPr="00270FD2">
          <w:rPr>
            <w:rStyle w:val="Hypertextovodkaz"/>
            <w:noProof/>
          </w:rPr>
          <w:t>Cílení</w:t>
        </w:r>
        <w:r w:rsidR="00FE4ABA">
          <w:rPr>
            <w:noProof/>
            <w:webHidden/>
          </w:rPr>
          <w:tab/>
        </w:r>
        <w:r w:rsidR="00FE4ABA">
          <w:rPr>
            <w:noProof/>
            <w:webHidden/>
          </w:rPr>
          <w:fldChar w:fldCharType="begin"/>
        </w:r>
        <w:r w:rsidR="00FE4ABA">
          <w:rPr>
            <w:noProof/>
            <w:webHidden/>
          </w:rPr>
          <w:instrText xml:space="preserve"> PAGEREF _Toc73604707 \h </w:instrText>
        </w:r>
        <w:r w:rsidR="00FE4ABA">
          <w:rPr>
            <w:noProof/>
            <w:webHidden/>
          </w:rPr>
        </w:r>
        <w:r w:rsidR="00FE4ABA">
          <w:rPr>
            <w:noProof/>
            <w:webHidden/>
          </w:rPr>
          <w:fldChar w:fldCharType="separate"/>
        </w:r>
        <w:r w:rsidR="00FE4ABA">
          <w:rPr>
            <w:noProof/>
            <w:webHidden/>
          </w:rPr>
          <w:t>7</w:t>
        </w:r>
        <w:r w:rsidR="00FE4ABA">
          <w:rPr>
            <w:noProof/>
            <w:webHidden/>
          </w:rPr>
          <w:fldChar w:fldCharType="end"/>
        </w:r>
      </w:hyperlink>
    </w:p>
    <w:p w14:paraId="168BA1CE" w14:textId="6143F220" w:rsidR="00FE4ABA" w:rsidRDefault="00FA4A50">
      <w:pPr>
        <w:pStyle w:val="Obsah3"/>
        <w:tabs>
          <w:tab w:val="left" w:pos="1200"/>
          <w:tab w:val="right" w:leader="dot" w:pos="9062"/>
        </w:tabs>
        <w:rPr>
          <w:rFonts w:asciiTheme="minorHAnsi" w:eastAsiaTheme="minorEastAsia" w:hAnsiTheme="minorHAnsi"/>
          <w:noProof/>
          <w:sz w:val="22"/>
          <w:lang w:eastAsia="cs-CZ"/>
        </w:rPr>
      </w:pPr>
      <w:hyperlink w:anchor="_Toc73604708" w:history="1">
        <w:r w:rsidR="00FE4ABA" w:rsidRPr="00270FD2">
          <w:rPr>
            <w:rStyle w:val="Hypertextovodkaz"/>
            <w:noProof/>
          </w:rPr>
          <w:t>1.3</w:t>
        </w:r>
        <w:r w:rsidR="00FE4ABA">
          <w:rPr>
            <w:rFonts w:asciiTheme="minorHAnsi" w:eastAsiaTheme="minorEastAsia" w:hAnsiTheme="minorHAnsi"/>
            <w:noProof/>
            <w:sz w:val="22"/>
            <w:lang w:eastAsia="cs-CZ"/>
          </w:rPr>
          <w:tab/>
        </w:r>
        <w:r w:rsidR="00FE4ABA" w:rsidRPr="00270FD2">
          <w:rPr>
            <w:rStyle w:val="Hypertextovodkaz"/>
            <w:noProof/>
          </w:rPr>
          <w:t>Konkrétní popis nástrojů, včetně oblastí, na které by bylo vhodné se v budoucnu zaměřit, a návrh doporučení či možných variant řešení</w:t>
        </w:r>
        <w:r w:rsidR="00FE4ABA">
          <w:rPr>
            <w:noProof/>
            <w:webHidden/>
          </w:rPr>
          <w:tab/>
        </w:r>
        <w:r w:rsidR="00FE4ABA">
          <w:rPr>
            <w:noProof/>
            <w:webHidden/>
          </w:rPr>
          <w:fldChar w:fldCharType="begin"/>
        </w:r>
        <w:r w:rsidR="00FE4ABA">
          <w:rPr>
            <w:noProof/>
            <w:webHidden/>
          </w:rPr>
          <w:instrText xml:space="preserve"> PAGEREF _Toc73604708 \h </w:instrText>
        </w:r>
        <w:r w:rsidR="00FE4ABA">
          <w:rPr>
            <w:noProof/>
            <w:webHidden/>
          </w:rPr>
        </w:r>
        <w:r w:rsidR="00FE4ABA">
          <w:rPr>
            <w:noProof/>
            <w:webHidden/>
          </w:rPr>
          <w:fldChar w:fldCharType="separate"/>
        </w:r>
        <w:r w:rsidR="00FE4ABA">
          <w:rPr>
            <w:noProof/>
            <w:webHidden/>
          </w:rPr>
          <w:t>9</w:t>
        </w:r>
        <w:r w:rsidR="00FE4ABA">
          <w:rPr>
            <w:noProof/>
            <w:webHidden/>
          </w:rPr>
          <w:fldChar w:fldCharType="end"/>
        </w:r>
      </w:hyperlink>
    </w:p>
    <w:p w14:paraId="05CB092C" w14:textId="0224FED7"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09" w:history="1">
        <w:r w:rsidR="00FE4ABA" w:rsidRPr="00270FD2">
          <w:rPr>
            <w:rStyle w:val="Hypertextovodkaz"/>
            <w:noProof/>
          </w:rPr>
          <w:t>i.</w:t>
        </w:r>
        <w:r w:rsidR="00FE4ABA">
          <w:rPr>
            <w:rFonts w:asciiTheme="minorHAnsi" w:eastAsiaTheme="minorEastAsia" w:hAnsiTheme="minorHAnsi"/>
            <w:noProof/>
            <w:sz w:val="22"/>
            <w:lang w:eastAsia="cs-CZ"/>
          </w:rPr>
          <w:tab/>
        </w:r>
        <w:r w:rsidR="00FE4ABA" w:rsidRPr="00270FD2">
          <w:rPr>
            <w:rStyle w:val="Hypertextovodkaz"/>
            <w:noProof/>
          </w:rPr>
          <w:t>Definice cílení a zaměření se podle § 2 odst. 2 zákona o hazardních hrách</w:t>
        </w:r>
        <w:r w:rsidR="00FE4ABA">
          <w:rPr>
            <w:noProof/>
            <w:webHidden/>
          </w:rPr>
          <w:tab/>
        </w:r>
        <w:r w:rsidR="00FE4ABA">
          <w:rPr>
            <w:noProof/>
            <w:webHidden/>
          </w:rPr>
          <w:fldChar w:fldCharType="begin"/>
        </w:r>
        <w:r w:rsidR="00FE4ABA">
          <w:rPr>
            <w:noProof/>
            <w:webHidden/>
          </w:rPr>
          <w:instrText xml:space="preserve"> PAGEREF _Toc73604709 \h </w:instrText>
        </w:r>
        <w:r w:rsidR="00FE4ABA">
          <w:rPr>
            <w:noProof/>
            <w:webHidden/>
          </w:rPr>
        </w:r>
        <w:r w:rsidR="00FE4ABA">
          <w:rPr>
            <w:noProof/>
            <w:webHidden/>
          </w:rPr>
          <w:fldChar w:fldCharType="separate"/>
        </w:r>
        <w:r w:rsidR="00FE4ABA">
          <w:rPr>
            <w:noProof/>
            <w:webHidden/>
          </w:rPr>
          <w:t>9</w:t>
        </w:r>
        <w:r w:rsidR="00FE4ABA">
          <w:rPr>
            <w:noProof/>
            <w:webHidden/>
          </w:rPr>
          <w:fldChar w:fldCharType="end"/>
        </w:r>
      </w:hyperlink>
    </w:p>
    <w:p w14:paraId="592B8C56" w14:textId="012BF132"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0" w:history="1">
        <w:r w:rsidR="00FE4ABA" w:rsidRPr="00270FD2">
          <w:rPr>
            <w:rStyle w:val="Hypertextovodkaz"/>
            <w:noProof/>
          </w:rPr>
          <w:t>ii.</w:t>
        </w:r>
        <w:r w:rsidR="00FE4ABA">
          <w:rPr>
            <w:rFonts w:asciiTheme="minorHAnsi" w:eastAsiaTheme="minorEastAsia" w:hAnsiTheme="minorHAnsi"/>
            <w:noProof/>
            <w:sz w:val="22"/>
            <w:lang w:eastAsia="cs-CZ"/>
          </w:rPr>
          <w:tab/>
        </w:r>
        <w:r w:rsidR="00FE4ABA" w:rsidRPr="00270FD2">
          <w:rPr>
            <w:rStyle w:val="Hypertextovodkaz"/>
            <w:noProof/>
          </w:rPr>
          <w:t>Sázka vs. předplatné vs. trvalý příkaz</w:t>
        </w:r>
        <w:r w:rsidR="00FE4ABA">
          <w:rPr>
            <w:noProof/>
            <w:webHidden/>
          </w:rPr>
          <w:tab/>
        </w:r>
        <w:r w:rsidR="00FE4ABA">
          <w:rPr>
            <w:noProof/>
            <w:webHidden/>
          </w:rPr>
          <w:fldChar w:fldCharType="begin"/>
        </w:r>
        <w:r w:rsidR="00FE4ABA">
          <w:rPr>
            <w:noProof/>
            <w:webHidden/>
          </w:rPr>
          <w:instrText xml:space="preserve"> PAGEREF _Toc73604710 \h </w:instrText>
        </w:r>
        <w:r w:rsidR="00FE4ABA">
          <w:rPr>
            <w:noProof/>
            <w:webHidden/>
          </w:rPr>
        </w:r>
        <w:r w:rsidR="00FE4ABA">
          <w:rPr>
            <w:noProof/>
            <w:webHidden/>
          </w:rPr>
          <w:fldChar w:fldCharType="separate"/>
        </w:r>
        <w:r w:rsidR="00FE4ABA">
          <w:rPr>
            <w:noProof/>
            <w:webHidden/>
          </w:rPr>
          <w:t>13</w:t>
        </w:r>
        <w:r w:rsidR="00FE4ABA">
          <w:rPr>
            <w:noProof/>
            <w:webHidden/>
          </w:rPr>
          <w:fldChar w:fldCharType="end"/>
        </w:r>
      </w:hyperlink>
    </w:p>
    <w:p w14:paraId="76B3B7A6" w14:textId="3892506D"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1" w:history="1">
        <w:r w:rsidR="00FE4ABA" w:rsidRPr="00270FD2">
          <w:rPr>
            <w:rStyle w:val="Hypertextovodkaz"/>
            <w:noProof/>
          </w:rPr>
          <w:t>iii.</w:t>
        </w:r>
        <w:r w:rsidR="00FE4ABA">
          <w:rPr>
            <w:rFonts w:asciiTheme="minorHAnsi" w:eastAsiaTheme="minorEastAsia" w:hAnsiTheme="minorHAnsi"/>
            <w:noProof/>
            <w:sz w:val="22"/>
            <w:lang w:eastAsia="cs-CZ"/>
          </w:rPr>
          <w:tab/>
        </w:r>
        <w:r w:rsidR="00FE4ABA" w:rsidRPr="00270FD2">
          <w:rPr>
            <w:rStyle w:val="Hypertextovodkaz"/>
            <w:noProof/>
          </w:rPr>
          <w:t>Provozování charitativní hazardní hry</w:t>
        </w:r>
        <w:r w:rsidR="00FE4ABA">
          <w:rPr>
            <w:noProof/>
            <w:webHidden/>
          </w:rPr>
          <w:tab/>
        </w:r>
        <w:r w:rsidR="00FE4ABA">
          <w:rPr>
            <w:noProof/>
            <w:webHidden/>
          </w:rPr>
          <w:fldChar w:fldCharType="begin"/>
        </w:r>
        <w:r w:rsidR="00FE4ABA">
          <w:rPr>
            <w:noProof/>
            <w:webHidden/>
          </w:rPr>
          <w:instrText xml:space="preserve"> PAGEREF _Toc73604711 \h </w:instrText>
        </w:r>
        <w:r w:rsidR="00FE4ABA">
          <w:rPr>
            <w:noProof/>
            <w:webHidden/>
          </w:rPr>
        </w:r>
        <w:r w:rsidR="00FE4ABA">
          <w:rPr>
            <w:noProof/>
            <w:webHidden/>
          </w:rPr>
          <w:fldChar w:fldCharType="separate"/>
        </w:r>
        <w:r w:rsidR="00FE4ABA">
          <w:rPr>
            <w:noProof/>
            <w:webHidden/>
          </w:rPr>
          <w:t>15</w:t>
        </w:r>
        <w:r w:rsidR="00FE4ABA">
          <w:rPr>
            <w:noProof/>
            <w:webHidden/>
          </w:rPr>
          <w:fldChar w:fldCharType="end"/>
        </w:r>
      </w:hyperlink>
    </w:p>
    <w:p w14:paraId="67995789" w14:textId="6F64B33B"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2" w:history="1">
        <w:r w:rsidR="00FE4ABA" w:rsidRPr="00270FD2">
          <w:rPr>
            <w:rStyle w:val="Hypertextovodkaz"/>
            <w:noProof/>
          </w:rPr>
          <w:t>iv.</w:t>
        </w:r>
        <w:r w:rsidR="00FE4ABA">
          <w:rPr>
            <w:rFonts w:asciiTheme="minorHAnsi" w:eastAsiaTheme="minorEastAsia" w:hAnsiTheme="minorHAnsi"/>
            <w:noProof/>
            <w:sz w:val="22"/>
            <w:lang w:eastAsia="cs-CZ"/>
          </w:rPr>
          <w:tab/>
        </w:r>
        <w:r w:rsidR="00FE4ABA" w:rsidRPr="00270FD2">
          <w:rPr>
            <w:rStyle w:val="Hypertextovodkaz"/>
            <w:noProof/>
          </w:rPr>
          <w:t>Uplatňování výhry u kursové sázky a ostatních hazardních her s uživatelským kontem</w:t>
        </w:r>
        <w:r w:rsidR="00FE4ABA">
          <w:rPr>
            <w:noProof/>
            <w:webHidden/>
          </w:rPr>
          <w:tab/>
        </w:r>
        <w:r w:rsidR="00FE4ABA">
          <w:rPr>
            <w:noProof/>
            <w:webHidden/>
          </w:rPr>
          <w:fldChar w:fldCharType="begin"/>
        </w:r>
        <w:r w:rsidR="00FE4ABA">
          <w:rPr>
            <w:noProof/>
            <w:webHidden/>
          </w:rPr>
          <w:instrText xml:space="preserve"> PAGEREF _Toc73604712 \h </w:instrText>
        </w:r>
        <w:r w:rsidR="00FE4ABA">
          <w:rPr>
            <w:noProof/>
            <w:webHidden/>
          </w:rPr>
        </w:r>
        <w:r w:rsidR="00FE4ABA">
          <w:rPr>
            <w:noProof/>
            <w:webHidden/>
          </w:rPr>
          <w:fldChar w:fldCharType="separate"/>
        </w:r>
        <w:r w:rsidR="00FE4ABA">
          <w:rPr>
            <w:noProof/>
            <w:webHidden/>
          </w:rPr>
          <w:t>16</w:t>
        </w:r>
        <w:r w:rsidR="00FE4ABA">
          <w:rPr>
            <w:noProof/>
            <w:webHidden/>
          </w:rPr>
          <w:fldChar w:fldCharType="end"/>
        </w:r>
      </w:hyperlink>
    </w:p>
    <w:p w14:paraId="00C002E8" w14:textId="2C27A72A"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3" w:history="1">
        <w:r w:rsidR="00FE4ABA" w:rsidRPr="00270FD2">
          <w:rPr>
            <w:rStyle w:val="Hypertextovodkaz"/>
            <w:noProof/>
          </w:rPr>
          <w:t>v.</w:t>
        </w:r>
        <w:r w:rsidR="00FE4ABA">
          <w:rPr>
            <w:rFonts w:asciiTheme="minorHAnsi" w:eastAsiaTheme="minorEastAsia" w:hAnsiTheme="minorHAnsi"/>
            <w:noProof/>
            <w:sz w:val="22"/>
            <w:lang w:eastAsia="cs-CZ"/>
          </w:rPr>
          <w:tab/>
        </w:r>
        <w:r w:rsidR="00FE4ABA" w:rsidRPr="00270FD2">
          <w:rPr>
            <w:rStyle w:val="Hypertextovodkaz"/>
            <w:noProof/>
          </w:rPr>
          <w:t>Dlouhodobé výplaty, renty</w:t>
        </w:r>
        <w:r w:rsidR="00FE4ABA">
          <w:rPr>
            <w:noProof/>
            <w:webHidden/>
          </w:rPr>
          <w:tab/>
        </w:r>
        <w:r w:rsidR="00FE4ABA">
          <w:rPr>
            <w:noProof/>
            <w:webHidden/>
          </w:rPr>
          <w:fldChar w:fldCharType="begin"/>
        </w:r>
        <w:r w:rsidR="00FE4ABA">
          <w:rPr>
            <w:noProof/>
            <w:webHidden/>
          </w:rPr>
          <w:instrText xml:space="preserve"> PAGEREF _Toc73604713 \h </w:instrText>
        </w:r>
        <w:r w:rsidR="00FE4ABA">
          <w:rPr>
            <w:noProof/>
            <w:webHidden/>
          </w:rPr>
        </w:r>
        <w:r w:rsidR="00FE4ABA">
          <w:rPr>
            <w:noProof/>
            <w:webHidden/>
          </w:rPr>
          <w:fldChar w:fldCharType="separate"/>
        </w:r>
        <w:r w:rsidR="00FE4ABA">
          <w:rPr>
            <w:noProof/>
            <w:webHidden/>
          </w:rPr>
          <w:t>17</w:t>
        </w:r>
        <w:r w:rsidR="00FE4ABA">
          <w:rPr>
            <w:noProof/>
            <w:webHidden/>
          </w:rPr>
          <w:fldChar w:fldCharType="end"/>
        </w:r>
      </w:hyperlink>
    </w:p>
    <w:p w14:paraId="613C337B" w14:textId="5B95B706"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4" w:history="1">
        <w:r w:rsidR="00FE4ABA" w:rsidRPr="00270FD2">
          <w:rPr>
            <w:rStyle w:val="Hypertextovodkaz"/>
            <w:noProof/>
          </w:rPr>
          <w:t>vi.</w:t>
        </w:r>
        <w:r w:rsidR="00FE4ABA">
          <w:rPr>
            <w:rFonts w:asciiTheme="minorHAnsi" w:eastAsiaTheme="minorEastAsia" w:hAnsiTheme="minorHAnsi"/>
            <w:noProof/>
            <w:sz w:val="22"/>
            <w:lang w:eastAsia="cs-CZ"/>
          </w:rPr>
          <w:tab/>
        </w:r>
        <w:r w:rsidR="00FE4ABA" w:rsidRPr="00270FD2">
          <w:rPr>
            <w:rStyle w:val="Hypertextovodkaz"/>
            <w:noProof/>
          </w:rPr>
          <w:t>Délka uplatnění nároku na výhru vs. vrácení kauce</w:t>
        </w:r>
        <w:r w:rsidR="00FE4ABA">
          <w:rPr>
            <w:noProof/>
            <w:webHidden/>
          </w:rPr>
          <w:tab/>
        </w:r>
        <w:r w:rsidR="00FE4ABA">
          <w:rPr>
            <w:noProof/>
            <w:webHidden/>
          </w:rPr>
          <w:fldChar w:fldCharType="begin"/>
        </w:r>
        <w:r w:rsidR="00FE4ABA">
          <w:rPr>
            <w:noProof/>
            <w:webHidden/>
          </w:rPr>
          <w:instrText xml:space="preserve"> PAGEREF _Toc73604714 \h </w:instrText>
        </w:r>
        <w:r w:rsidR="00FE4ABA">
          <w:rPr>
            <w:noProof/>
            <w:webHidden/>
          </w:rPr>
        </w:r>
        <w:r w:rsidR="00FE4ABA">
          <w:rPr>
            <w:noProof/>
            <w:webHidden/>
          </w:rPr>
          <w:fldChar w:fldCharType="separate"/>
        </w:r>
        <w:r w:rsidR="00FE4ABA">
          <w:rPr>
            <w:noProof/>
            <w:webHidden/>
          </w:rPr>
          <w:t>19</w:t>
        </w:r>
        <w:r w:rsidR="00FE4ABA">
          <w:rPr>
            <w:noProof/>
            <w:webHidden/>
          </w:rPr>
          <w:fldChar w:fldCharType="end"/>
        </w:r>
      </w:hyperlink>
    </w:p>
    <w:p w14:paraId="5D8FCE2C" w14:textId="197948B0"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5" w:history="1">
        <w:r w:rsidR="00FE4ABA" w:rsidRPr="00270FD2">
          <w:rPr>
            <w:rStyle w:val="Hypertextovodkaz"/>
            <w:noProof/>
          </w:rPr>
          <w:t>vii.</w:t>
        </w:r>
        <w:r w:rsidR="00FE4ABA">
          <w:rPr>
            <w:rFonts w:asciiTheme="minorHAnsi" w:eastAsiaTheme="minorEastAsia" w:hAnsiTheme="minorHAnsi"/>
            <w:noProof/>
            <w:sz w:val="22"/>
            <w:lang w:eastAsia="cs-CZ"/>
          </w:rPr>
          <w:tab/>
        </w:r>
        <w:r w:rsidR="00FE4ABA" w:rsidRPr="00270FD2">
          <w:rPr>
            <w:rStyle w:val="Hypertextovodkaz"/>
            <w:noProof/>
          </w:rPr>
          <w:t>Lhůta pro vyplacení výhry na uživatelské konto vs. faktické vyplacení výhry bezhotovostně nebo v hotovosti</w:t>
        </w:r>
        <w:r w:rsidR="00FE4ABA">
          <w:rPr>
            <w:noProof/>
            <w:webHidden/>
          </w:rPr>
          <w:tab/>
        </w:r>
        <w:r w:rsidR="00FE4ABA">
          <w:rPr>
            <w:noProof/>
            <w:webHidden/>
          </w:rPr>
          <w:fldChar w:fldCharType="begin"/>
        </w:r>
        <w:r w:rsidR="00FE4ABA">
          <w:rPr>
            <w:noProof/>
            <w:webHidden/>
          </w:rPr>
          <w:instrText xml:space="preserve"> PAGEREF _Toc73604715 \h </w:instrText>
        </w:r>
        <w:r w:rsidR="00FE4ABA">
          <w:rPr>
            <w:noProof/>
            <w:webHidden/>
          </w:rPr>
        </w:r>
        <w:r w:rsidR="00FE4ABA">
          <w:rPr>
            <w:noProof/>
            <w:webHidden/>
          </w:rPr>
          <w:fldChar w:fldCharType="separate"/>
        </w:r>
        <w:r w:rsidR="00FE4ABA">
          <w:rPr>
            <w:noProof/>
            <w:webHidden/>
          </w:rPr>
          <w:t>21</w:t>
        </w:r>
        <w:r w:rsidR="00FE4ABA">
          <w:rPr>
            <w:noProof/>
            <w:webHidden/>
          </w:rPr>
          <w:fldChar w:fldCharType="end"/>
        </w:r>
      </w:hyperlink>
    </w:p>
    <w:p w14:paraId="70E56724" w14:textId="333742A0" w:rsidR="00FE4ABA" w:rsidRDefault="00FA4A50">
      <w:pPr>
        <w:pStyle w:val="Obsah6"/>
        <w:tabs>
          <w:tab w:val="left" w:pos="1767"/>
          <w:tab w:val="right" w:leader="dot" w:pos="9062"/>
        </w:tabs>
        <w:rPr>
          <w:rFonts w:asciiTheme="minorHAnsi" w:eastAsiaTheme="minorEastAsia" w:hAnsiTheme="minorHAnsi"/>
          <w:noProof/>
          <w:sz w:val="22"/>
          <w:lang w:eastAsia="cs-CZ"/>
        </w:rPr>
      </w:pPr>
      <w:hyperlink w:anchor="_Toc73604716" w:history="1">
        <w:r w:rsidR="00FE4ABA" w:rsidRPr="00270FD2">
          <w:rPr>
            <w:rStyle w:val="Hypertextovodkaz"/>
            <w:noProof/>
          </w:rPr>
          <w:t>viii.</w:t>
        </w:r>
        <w:r w:rsidR="00FE4ABA">
          <w:rPr>
            <w:rFonts w:asciiTheme="minorHAnsi" w:eastAsiaTheme="minorEastAsia" w:hAnsiTheme="minorHAnsi"/>
            <w:noProof/>
            <w:sz w:val="22"/>
            <w:lang w:eastAsia="cs-CZ"/>
          </w:rPr>
          <w:tab/>
        </w:r>
        <w:r w:rsidR="00FE4ABA" w:rsidRPr="00270FD2">
          <w:rPr>
            <w:rStyle w:val="Hypertextovodkaz"/>
            <w:noProof/>
          </w:rPr>
          <w:t>Lhůta pro vyplacení zůstatku nebo jeho části z uživatelského konta</w:t>
        </w:r>
        <w:r w:rsidR="00FE4ABA">
          <w:rPr>
            <w:noProof/>
            <w:webHidden/>
          </w:rPr>
          <w:tab/>
        </w:r>
        <w:r w:rsidR="00FE4ABA">
          <w:rPr>
            <w:noProof/>
            <w:webHidden/>
          </w:rPr>
          <w:fldChar w:fldCharType="begin"/>
        </w:r>
        <w:r w:rsidR="00FE4ABA">
          <w:rPr>
            <w:noProof/>
            <w:webHidden/>
          </w:rPr>
          <w:instrText xml:space="preserve"> PAGEREF _Toc73604716 \h </w:instrText>
        </w:r>
        <w:r w:rsidR="00FE4ABA">
          <w:rPr>
            <w:noProof/>
            <w:webHidden/>
          </w:rPr>
        </w:r>
        <w:r w:rsidR="00FE4ABA">
          <w:rPr>
            <w:noProof/>
            <w:webHidden/>
          </w:rPr>
          <w:fldChar w:fldCharType="separate"/>
        </w:r>
        <w:r w:rsidR="00FE4ABA">
          <w:rPr>
            <w:noProof/>
            <w:webHidden/>
          </w:rPr>
          <w:t>23</w:t>
        </w:r>
        <w:r w:rsidR="00FE4ABA">
          <w:rPr>
            <w:noProof/>
            <w:webHidden/>
          </w:rPr>
          <w:fldChar w:fldCharType="end"/>
        </w:r>
      </w:hyperlink>
    </w:p>
    <w:p w14:paraId="2BB2C544" w14:textId="67A8BA2E"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7" w:history="1">
        <w:r w:rsidR="00FE4ABA" w:rsidRPr="00270FD2">
          <w:rPr>
            <w:rStyle w:val="Hypertextovodkaz"/>
            <w:noProof/>
          </w:rPr>
          <w:t>ix.</w:t>
        </w:r>
        <w:r w:rsidR="00FE4ABA">
          <w:rPr>
            <w:rFonts w:asciiTheme="minorHAnsi" w:eastAsiaTheme="minorEastAsia" w:hAnsiTheme="minorHAnsi"/>
            <w:noProof/>
            <w:sz w:val="22"/>
            <w:lang w:eastAsia="cs-CZ"/>
          </w:rPr>
          <w:tab/>
        </w:r>
        <w:r w:rsidR="00FE4ABA" w:rsidRPr="00270FD2">
          <w:rPr>
            <w:rStyle w:val="Hypertextovodkaz"/>
            <w:noProof/>
          </w:rPr>
          <w:t>Chráněné budovy a sousedství</w:t>
        </w:r>
        <w:r w:rsidR="00FE4ABA">
          <w:rPr>
            <w:noProof/>
            <w:webHidden/>
          </w:rPr>
          <w:tab/>
        </w:r>
        <w:r w:rsidR="00FE4ABA">
          <w:rPr>
            <w:noProof/>
            <w:webHidden/>
          </w:rPr>
          <w:fldChar w:fldCharType="begin"/>
        </w:r>
        <w:r w:rsidR="00FE4ABA">
          <w:rPr>
            <w:noProof/>
            <w:webHidden/>
          </w:rPr>
          <w:instrText xml:space="preserve"> PAGEREF _Toc73604717 \h </w:instrText>
        </w:r>
        <w:r w:rsidR="00FE4ABA">
          <w:rPr>
            <w:noProof/>
            <w:webHidden/>
          </w:rPr>
        </w:r>
        <w:r w:rsidR="00FE4ABA">
          <w:rPr>
            <w:noProof/>
            <w:webHidden/>
          </w:rPr>
          <w:fldChar w:fldCharType="separate"/>
        </w:r>
        <w:r w:rsidR="00FE4ABA">
          <w:rPr>
            <w:noProof/>
            <w:webHidden/>
          </w:rPr>
          <w:t>24</w:t>
        </w:r>
        <w:r w:rsidR="00FE4ABA">
          <w:rPr>
            <w:noProof/>
            <w:webHidden/>
          </w:rPr>
          <w:fldChar w:fldCharType="end"/>
        </w:r>
      </w:hyperlink>
    </w:p>
    <w:p w14:paraId="04469ED8" w14:textId="543B778F"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8" w:history="1">
        <w:r w:rsidR="00FE4ABA" w:rsidRPr="00270FD2">
          <w:rPr>
            <w:rStyle w:val="Hypertextovodkaz"/>
            <w:noProof/>
          </w:rPr>
          <w:t>x.</w:t>
        </w:r>
        <w:r w:rsidR="00FE4ABA">
          <w:rPr>
            <w:rFonts w:asciiTheme="minorHAnsi" w:eastAsiaTheme="minorEastAsia" w:hAnsiTheme="minorHAnsi"/>
            <w:noProof/>
            <w:sz w:val="22"/>
            <w:lang w:eastAsia="cs-CZ"/>
          </w:rPr>
          <w:tab/>
        </w:r>
        <w:r w:rsidR="00FE4ABA" w:rsidRPr="00270FD2">
          <w:rPr>
            <w:rStyle w:val="Hypertextovodkaz"/>
            <w:noProof/>
          </w:rPr>
          <w:t>Chráněné budovy a provozování tombol</w:t>
        </w:r>
        <w:r w:rsidR="00FE4ABA">
          <w:rPr>
            <w:noProof/>
            <w:webHidden/>
          </w:rPr>
          <w:tab/>
        </w:r>
        <w:r w:rsidR="00FE4ABA">
          <w:rPr>
            <w:noProof/>
            <w:webHidden/>
          </w:rPr>
          <w:fldChar w:fldCharType="begin"/>
        </w:r>
        <w:r w:rsidR="00FE4ABA">
          <w:rPr>
            <w:noProof/>
            <w:webHidden/>
          </w:rPr>
          <w:instrText xml:space="preserve"> PAGEREF _Toc73604718 \h </w:instrText>
        </w:r>
        <w:r w:rsidR="00FE4ABA">
          <w:rPr>
            <w:noProof/>
            <w:webHidden/>
          </w:rPr>
        </w:r>
        <w:r w:rsidR="00FE4ABA">
          <w:rPr>
            <w:noProof/>
            <w:webHidden/>
          </w:rPr>
          <w:fldChar w:fldCharType="separate"/>
        </w:r>
        <w:r w:rsidR="00FE4ABA">
          <w:rPr>
            <w:noProof/>
            <w:webHidden/>
          </w:rPr>
          <w:t>26</w:t>
        </w:r>
        <w:r w:rsidR="00FE4ABA">
          <w:rPr>
            <w:noProof/>
            <w:webHidden/>
          </w:rPr>
          <w:fldChar w:fldCharType="end"/>
        </w:r>
      </w:hyperlink>
    </w:p>
    <w:p w14:paraId="24486F7B" w14:textId="2C7F2782"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19" w:history="1">
        <w:r w:rsidR="00FE4ABA" w:rsidRPr="00270FD2">
          <w:rPr>
            <w:rStyle w:val="Hypertextovodkaz"/>
            <w:noProof/>
          </w:rPr>
          <w:t>xi.</w:t>
        </w:r>
        <w:r w:rsidR="00FE4ABA">
          <w:rPr>
            <w:rFonts w:asciiTheme="minorHAnsi" w:eastAsiaTheme="minorEastAsia" w:hAnsiTheme="minorHAnsi"/>
            <w:noProof/>
            <w:sz w:val="22"/>
            <w:lang w:eastAsia="cs-CZ"/>
          </w:rPr>
          <w:tab/>
        </w:r>
        <w:r w:rsidR="00FE4ABA" w:rsidRPr="00270FD2">
          <w:rPr>
            <w:rStyle w:val="Hypertextovodkaz"/>
            <w:noProof/>
          </w:rPr>
          <w:t>Definice číselné loterie vs. uhodnutí nevylosovaného čísla</w:t>
        </w:r>
        <w:r w:rsidR="00FE4ABA">
          <w:rPr>
            <w:noProof/>
            <w:webHidden/>
          </w:rPr>
          <w:tab/>
        </w:r>
        <w:r w:rsidR="00FE4ABA">
          <w:rPr>
            <w:noProof/>
            <w:webHidden/>
          </w:rPr>
          <w:fldChar w:fldCharType="begin"/>
        </w:r>
        <w:r w:rsidR="00FE4ABA">
          <w:rPr>
            <w:noProof/>
            <w:webHidden/>
          </w:rPr>
          <w:instrText xml:space="preserve"> PAGEREF _Toc73604719 \h </w:instrText>
        </w:r>
        <w:r w:rsidR="00FE4ABA">
          <w:rPr>
            <w:noProof/>
            <w:webHidden/>
          </w:rPr>
        </w:r>
        <w:r w:rsidR="00FE4ABA">
          <w:rPr>
            <w:noProof/>
            <w:webHidden/>
          </w:rPr>
          <w:fldChar w:fldCharType="separate"/>
        </w:r>
        <w:r w:rsidR="00FE4ABA">
          <w:rPr>
            <w:noProof/>
            <w:webHidden/>
          </w:rPr>
          <w:t>26</w:t>
        </w:r>
        <w:r w:rsidR="00FE4ABA">
          <w:rPr>
            <w:noProof/>
            <w:webHidden/>
          </w:rPr>
          <w:fldChar w:fldCharType="end"/>
        </w:r>
      </w:hyperlink>
    </w:p>
    <w:p w14:paraId="09E97F34" w14:textId="1BFD18C9" w:rsidR="00FE4ABA" w:rsidRDefault="00FA4A50">
      <w:pPr>
        <w:pStyle w:val="Obsah6"/>
        <w:tabs>
          <w:tab w:val="left" w:pos="1760"/>
          <w:tab w:val="right" w:leader="dot" w:pos="9062"/>
        </w:tabs>
        <w:rPr>
          <w:rFonts w:asciiTheme="minorHAnsi" w:eastAsiaTheme="minorEastAsia" w:hAnsiTheme="minorHAnsi"/>
          <w:noProof/>
          <w:sz w:val="22"/>
          <w:lang w:eastAsia="cs-CZ"/>
        </w:rPr>
      </w:pPr>
      <w:hyperlink w:anchor="_Toc73604720" w:history="1">
        <w:r w:rsidR="00FE4ABA" w:rsidRPr="00270FD2">
          <w:rPr>
            <w:rStyle w:val="Hypertextovodkaz"/>
            <w:noProof/>
          </w:rPr>
          <w:t>xii.</w:t>
        </w:r>
        <w:r w:rsidR="00FE4ABA">
          <w:rPr>
            <w:rFonts w:asciiTheme="minorHAnsi" w:eastAsiaTheme="minorEastAsia" w:hAnsiTheme="minorHAnsi"/>
            <w:noProof/>
            <w:sz w:val="22"/>
            <w:lang w:eastAsia="cs-CZ"/>
          </w:rPr>
          <w:tab/>
        </w:r>
        <w:r w:rsidR="00FE4ABA" w:rsidRPr="00270FD2">
          <w:rPr>
            <w:rStyle w:val="Hypertextovodkaz"/>
            <w:noProof/>
          </w:rPr>
          <w:t>Vyplácení výhry v případě živé hry formou land-based</w:t>
        </w:r>
        <w:r w:rsidR="00FE4ABA">
          <w:rPr>
            <w:noProof/>
            <w:webHidden/>
          </w:rPr>
          <w:tab/>
        </w:r>
        <w:r w:rsidR="00FE4ABA">
          <w:rPr>
            <w:noProof/>
            <w:webHidden/>
          </w:rPr>
          <w:fldChar w:fldCharType="begin"/>
        </w:r>
        <w:r w:rsidR="00FE4ABA">
          <w:rPr>
            <w:noProof/>
            <w:webHidden/>
          </w:rPr>
          <w:instrText xml:space="preserve"> PAGEREF _Toc73604720 \h </w:instrText>
        </w:r>
        <w:r w:rsidR="00FE4ABA">
          <w:rPr>
            <w:noProof/>
            <w:webHidden/>
          </w:rPr>
        </w:r>
        <w:r w:rsidR="00FE4ABA">
          <w:rPr>
            <w:noProof/>
            <w:webHidden/>
          </w:rPr>
          <w:fldChar w:fldCharType="separate"/>
        </w:r>
        <w:r w:rsidR="00FE4ABA">
          <w:rPr>
            <w:noProof/>
            <w:webHidden/>
          </w:rPr>
          <w:t>28</w:t>
        </w:r>
        <w:r w:rsidR="00FE4ABA">
          <w:rPr>
            <w:noProof/>
            <w:webHidden/>
          </w:rPr>
          <w:fldChar w:fldCharType="end"/>
        </w:r>
      </w:hyperlink>
    </w:p>
    <w:p w14:paraId="5DC1A63C" w14:textId="60C87ADC" w:rsidR="00FE4ABA" w:rsidRDefault="00FA4A50">
      <w:pPr>
        <w:pStyle w:val="Obsah6"/>
        <w:tabs>
          <w:tab w:val="left" w:pos="1767"/>
          <w:tab w:val="right" w:leader="dot" w:pos="9062"/>
        </w:tabs>
        <w:rPr>
          <w:rFonts w:asciiTheme="minorHAnsi" w:eastAsiaTheme="minorEastAsia" w:hAnsiTheme="minorHAnsi"/>
          <w:noProof/>
          <w:sz w:val="22"/>
          <w:lang w:eastAsia="cs-CZ"/>
        </w:rPr>
      </w:pPr>
      <w:hyperlink w:anchor="_Toc73604721" w:history="1">
        <w:r w:rsidR="00FE4ABA" w:rsidRPr="00270FD2">
          <w:rPr>
            <w:rStyle w:val="Hypertextovodkaz"/>
            <w:noProof/>
          </w:rPr>
          <w:t>xiii.</w:t>
        </w:r>
        <w:r w:rsidR="00FE4ABA">
          <w:rPr>
            <w:rFonts w:asciiTheme="minorHAnsi" w:eastAsiaTheme="minorEastAsia" w:hAnsiTheme="minorHAnsi"/>
            <w:noProof/>
            <w:sz w:val="22"/>
            <w:lang w:eastAsia="cs-CZ"/>
          </w:rPr>
          <w:tab/>
        </w:r>
        <w:r w:rsidR="00FE4ABA" w:rsidRPr="00270FD2">
          <w:rPr>
            <w:rStyle w:val="Hypertextovodkaz"/>
            <w:noProof/>
          </w:rPr>
          <w:t>Potvrzení o uzavřené sázce</w:t>
        </w:r>
        <w:r w:rsidR="00FE4ABA">
          <w:rPr>
            <w:noProof/>
            <w:webHidden/>
          </w:rPr>
          <w:tab/>
        </w:r>
        <w:r w:rsidR="00FE4ABA">
          <w:rPr>
            <w:noProof/>
            <w:webHidden/>
          </w:rPr>
          <w:fldChar w:fldCharType="begin"/>
        </w:r>
        <w:r w:rsidR="00FE4ABA">
          <w:rPr>
            <w:noProof/>
            <w:webHidden/>
          </w:rPr>
          <w:instrText xml:space="preserve"> PAGEREF _Toc73604721 \h </w:instrText>
        </w:r>
        <w:r w:rsidR="00FE4ABA">
          <w:rPr>
            <w:noProof/>
            <w:webHidden/>
          </w:rPr>
        </w:r>
        <w:r w:rsidR="00FE4ABA">
          <w:rPr>
            <w:noProof/>
            <w:webHidden/>
          </w:rPr>
          <w:fldChar w:fldCharType="separate"/>
        </w:r>
        <w:r w:rsidR="00FE4ABA">
          <w:rPr>
            <w:noProof/>
            <w:webHidden/>
          </w:rPr>
          <w:t>29</w:t>
        </w:r>
        <w:r w:rsidR="00FE4ABA">
          <w:rPr>
            <w:noProof/>
            <w:webHidden/>
          </w:rPr>
          <w:fldChar w:fldCharType="end"/>
        </w:r>
      </w:hyperlink>
    </w:p>
    <w:p w14:paraId="69133C69" w14:textId="7BDA4864" w:rsidR="00FE4ABA" w:rsidRDefault="00FA4A50">
      <w:pPr>
        <w:pStyle w:val="Obsah3"/>
        <w:tabs>
          <w:tab w:val="left" w:pos="1200"/>
          <w:tab w:val="right" w:leader="dot" w:pos="9062"/>
        </w:tabs>
        <w:rPr>
          <w:rFonts w:asciiTheme="minorHAnsi" w:eastAsiaTheme="minorEastAsia" w:hAnsiTheme="minorHAnsi"/>
          <w:noProof/>
          <w:sz w:val="22"/>
          <w:lang w:eastAsia="cs-CZ"/>
        </w:rPr>
      </w:pPr>
      <w:hyperlink w:anchor="_Toc73604722" w:history="1">
        <w:r w:rsidR="00FE4ABA" w:rsidRPr="00270FD2">
          <w:rPr>
            <w:rStyle w:val="Hypertextovodkaz"/>
            <w:noProof/>
          </w:rPr>
          <w:t>1.4</w:t>
        </w:r>
        <w:r w:rsidR="00FE4ABA">
          <w:rPr>
            <w:rFonts w:asciiTheme="minorHAnsi" w:eastAsiaTheme="minorEastAsia" w:hAnsiTheme="minorHAnsi"/>
            <w:noProof/>
            <w:sz w:val="22"/>
            <w:lang w:eastAsia="cs-CZ"/>
          </w:rPr>
          <w:tab/>
        </w:r>
        <w:r w:rsidR="00FE4ABA" w:rsidRPr="00270FD2">
          <w:rPr>
            <w:rStyle w:val="Hypertextovodkaz"/>
            <w:noProof/>
          </w:rPr>
          <w:t>Seznam tabulek, obrázků a grafů</w:t>
        </w:r>
        <w:r w:rsidR="00FE4ABA">
          <w:rPr>
            <w:noProof/>
            <w:webHidden/>
          </w:rPr>
          <w:tab/>
        </w:r>
        <w:r w:rsidR="00FE4ABA">
          <w:rPr>
            <w:noProof/>
            <w:webHidden/>
          </w:rPr>
          <w:fldChar w:fldCharType="begin"/>
        </w:r>
        <w:r w:rsidR="00FE4ABA">
          <w:rPr>
            <w:noProof/>
            <w:webHidden/>
          </w:rPr>
          <w:instrText xml:space="preserve"> PAGEREF _Toc73604722 \h </w:instrText>
        </w:r>
        <w:r w:rsidR="00FE4ABA">
          <w:rPr>
            <w:noProof/>
            <w:webHidden/>
          </w:rPr>
        </w:r>
        <w:r w:rsidR="00FE4ABA">
          <w:rPr>
            <w:noProof/>
            <w:webHidden/>
          </w:rPr>
          <w:fldChar w:fldCharType="separate"/>
        </w:r>
        <w:r w:rsidR="00FE4ABA">
          <w:rPr>
            <w:noProof/>
            <w:webHidden/>
          </w:rPr>
          <w:t>30</w:t>
        </w:r>
        <w:r w:rsidR="00FE4ABA">
          <w:rPr>
            <w:noProof/>
            <w:webHidden/>
          </w:rPr>
          <w:fldChar w:fldCharType="end"/>
        </w:r>
      </w:hyperlink>
    </w:p>
    <w:p w14:paraId="22018893" w14:textId="33C70C5C" w:rsidR="00FE4ABA" w:rsidRDefault="00FA4A50">
      <w:pPr>
        <w:pStyle w:val="Obsah4"/>
        <w:tabs>
          <w:tab w:val="left" w:pos="1540"/>
          <w:tab w:val="right" w:leader="dot" w:pos="9062"/>
        </w:tabs>
        <w:rPr>
          <w:rFonts w:asciiTheme="minorHAnsi" w:eastAsiaTheme="minorEastAsia" w:hAnsiTheme="minorHAnsi"/>
          <w:noProof/>
          <w:sz w:val="22"/>
          <w:lang w:eastAsia="cs-CZ"/>
        </w:rPr>
      </w:pPr>
      <w:hyperlink w:anchor="_Toc73604723" w:history="1">
        <w:r w:rsidR="00FE4ABA" w:rsidRPr="00270FD2">
          <w:rPr>
            <w:rStyle w:val="Hypertextovodkaz"/>
            <w:noProof/>
          </w:rPr>
          <w:t>1.4.1</w:t>
        </w:r>
        <w:r w:rsidR="00FE4ABA">
          <w:rPr>
            <w:rFonts w:asciiTheme="minorHAnsi" w:eastAsiaTheme="minorEastAsia" w:hAnsiTheme="minorHAnsi"/>
            <w:noProof/>
            <w:sz w:val="22"/>
            <w:lang w:eastAsia="cs-CZ"/>
          </w:rPr>
          <w:tab/>
        </w:r>
        <w:r w:rsidR="00FE4ABA" w:rsidRPr="00270FD2">
          <w:rPr>
            <w:rStyle w:val="Hypertextovodkaz"/>
            <w:noProof/>
          </w:rPr>
          <w:t>Grafy</w:t>
        </w:r>
        <w:r w:rsidR="00FE4ABA">
          <w:rPr>
            <w:noProof/>
            <w:webHidden/>
          </w:rPr>
          <w:tab/>
        </w:r>
        <w:r w:rsidR="00FE4ABA">
          <w:rPr>
            <w:noProof/>
            <w:webHidden/>
          </w:rPr>
          <w:fldChar w:fldCharType="begin"/>
        </w:r>
        <w:r w:rsidR="00FE4ABA">
          <w:rPr>
            <w:noProof/>
            <w:webHidden/>
          </w:rPr>
          <w:instrText xml:space="preserve"> PAGEREF _Toc73604723 \h </w:instrText>
        </w:r>
        <w:r w:rsidR="00FE4ABA">
          <w:rPr>
            <w:noProof/>
            <w:webHidden/>
          </w:rPr>
        </w:r>
        <w:r w:rsidR="00FE4ABA">
          <w:rPr>
            <w:noProof/>
            <w:webHidden/>
          </w:rPr>
          <w:fldChar w:fldCharType="separate"/>
        </w:r>
        <w:r w:rsidR="00FE4ABA">
          <w:rPr>
            <w:noProof/>
            <w:webHidden/>
          </w:rPr>
          <w:t>30</w:t>
        </w:r>
        <w:r w:rsidR="00FE4ABA">
          <w:rPr>
            <w:noProof/>
            <w:webHidden/>
          </w:rPr>
          <w:fldChar w:fldCharType="end"/>
        </w:r>
      </w:hyperlink>
    </w:p>
    <w:p w14:paraId="2FE12F9E" w14:textId="24E0EB62" w:rsidR="00FE4ABA" w:rsidRDefault="00FA4A50">
      <w:pPr>
        <w:pStyle w:val="Obsah3"/>
        <w:tabs>
          <w:tab w:val="left" w:pos="1200"/>
          <w:tab w:val="right" w:leader="dot" w:pos="9062"/>
        </w:tabs>
        <w:rPr>
          <w:rFonts w:asciiTheme="minorHAnsi" w:eastAsiaTheme="minorEastAsia" w:hAnsiTheme="minorHAnsi"/>
          <w:noProof/>
          <w:sz w:val="22"/>
          <w:lang w:eastAsia="cs-CZ"/>
        </w:rPr>
      </w:pPr>
      <w:hyperlink w:anchor="_Toc73604724" w:history="1">
        <w:r w:rsidR="00FE4ABA" w:rsidRPr="00270FD2">
          <w:rPr>
            <w:rStyle w:val="Hypertextovodkaz"/>
            <w:noProof/>
          </w:rPr>
          <w:t>1.5</w:t>
        </w:r>
        <w:r w:rsidR="00FE4ABA">
          <w:rPr>
            <w:rFonts w:asciiTheme="minorHAnsi" w:eastAsiaTheme="minorEastAsia" w:hAnsiTheme="minorHAnsi"/>
            <w:noProof/>
            <w:sz w:val="22"/>
            <w:lang w:eastAsia="cs-CZ"/>
          </w:rPr>
          <w:tab/>
        </w:r>
        <w:r w:rsidR="00FE4ABA" w:rsidRPr="00270FD2">
          <w:rPr>
            <w:rStyle w:val="Hypertextovodkaz"/>
            <w:noProof/>
          </w:rPr>
          <w:t>Obsah</w:t>
        </w:r>
        <w:r w:rsidR="00FE4ABA">
          <w:rPr>
            <w:noProof/>
            <w:webHidden/>
          </w:rPr>
          <w:tab/>
        </w:r>
        <w:r w:rsidR="00FE4ABA">
          <w:rPr>
            <w:noProof/>
            <w:webHidden/>
          </w:rPr>
          <w:fldChar w:fldCharType="begin"/>
        </w:r>
        <w:r w:rsidR="00FE4ABA">
          <w:rPr>
            <w:noProof/>
            <w:webHidden/>
          </w:rPr>
          <w:instrText xml:space="preserve"> PAGEREF _Toc73604724 \h </w:instrText>
        </w:r>
        <w:r w:rsidR="00FE4ABA">
          <w:rPr>
            <w:noProof/>
            <w:webHidden/>
          </w:rPr>
        </w:r>
        <w:r w:rsidR="00FE4ABA">
          <w:rPr>
            <w:noProof/>
            <w:webHidden/>
          </w:rPr>
          <w:fldChar w:fldCharType="separate"/>
        </w:r>
        <w:r w:rsidR="00FE4ABA">
          <w:rPr>
            <w:noProof/>
            <w:webHidden/>
          </w:rPr>
          <w:t>30</w:t>
        </w:r>
        <w:r w:rsidR="00FE4ABA">
          <w:rPr>
            <w:noProof/>
            <w:webHidden/>
          </w:rPr>
          <w:fldChar w:fldCharType="end"/>
        </w:r>
      </w:hyperlink>
    </w:p>
    <w:p w14:paraId="4A806C4F" w14:textId="3C462028" w:rsidR="00A8041E" w:rsidRPr="00A8041E" w:rsidRDefault="00A8041E" w:rsidP="00A8041E">
      <w:r>
        <w:fldChar w:fldCharType="end"/>
      </w:r>
    </w:p>
    <w:sectPr w:rsidR="00A8041E" w:rsidRPr="00A8041E" w:rsidSect="001374C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6288B" w14:textId="77777777" w:rsidR="004F09D3" w:rsidRDefault="004F09D3" w:rsidP="000B15C0">
      <w:pPr>
        <w:spacing w:after="0"/>
      </w:pPr>
      <w:r>
        <w:separator/>
      </w:r>
    </w:p>
  </w:endnote>
  <w:endnote w:type="continuationSeparator" w:id="0">
    <w:p w14:paraId="23FBFCFB" w14:textId="77777777" w:rsidR="004F09D3" w:rsidRDefault="004F09D3" w:rsidP="000B15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6731D" w14:textId="77777777" w:rsidR="003253B4" w:rsidRDefault="003253B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624917"/>
      <w:docPartObj>
        <w:docPartGallery w:val="Page Numbers (Bottom of Page)"/>
        <w:docPartUnique/>
      </w:docPartObj>
    </w:sdtPr>
    <w:sdtEndPr/>
    <w:sdtContent>
      <w:p w14:paraId="2FC70D84" w14:textId="7D7E4A04" w:rsidR="004F09D3" w:rsidRDefault="004F09D3">
        <w:pPr>
          <w:pStyle w:val="Zpat"/>
          <w:jc w:val="right"/>
        </w:pPr>
        <w:r>
          <w:fldChar w:fldCharType="begin"/>
        </w:r>
        <w:r>
          <w:instrText>PAGE   \* MERGEFORMAT</w:instrText>
        </w:r>
        <w:r>
          <w:fldChar w:fldCharType="separate"/>
        </w:r>
        <w:r w:rsidR="00FA4A50">
          <w:rPr>
            <w:noProof/>
          </w:rPr>
          <w:t>1</w:t>
        </w:r>
        <w:r>
          <w:fldChar w:fldCharType="end"/>
        </w:r>
      </w:p>
    </w:sdtContent>
  </w:sdt>
  <w:p w14:paraId="4169847C" w14:textId="77777777" w:rsidR="004F09D3" w:rsidRDefault="004F09D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A84CB" w14:textId="77777777" w:rsidR="003253B4" w:rsidRDefault="003253B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4E16A" w14:textId="77777777" w:rsidR="004F09D3" w:rsidRDefault="004F09D3" w:rsidP="000B15C0">
      <w:pPr>
        <w:spacing w:after="0"/>
      </w:pPr>
      <w:r>
        <w:separator/>
      </w:r>
    </w:p>
  </w:footnote>
  <w:footnote w:type="continuationSeparator" w:id="0">
    <w:p w14:paraId="19F0C722" w14:textId="77777777" w:rsidR="004F09D3" w:rsidRDefault="004F09D3" w:rsidP="000B15C0">
      <w:pPr>
        <w:spacing w:after="0"/>
      </w:pPr>
      <w:r>
        <w:continuationSeparator/>
      </w:r>
    </w:p>
  </w:footnote>
  <w:footnote w:id="1">
    <w:p w14:paraId="1B14C38D" w14:textId="52FA9226" w:rsidR="004F09D3" w:rsidRDefault="004F09D3" w:rsidP="00C23581">
      <w:pPr>
        <w:pStyle w:val="Textpoznpodarou"/>
        <w:jc w:val="both"/>
      </w:pPr>
      <w:r w:rsidRPr="00163E33">
        <w:rPr>
          <w:rStyle w:val="Znakapoznpodarou"/>
          <w:rFonts w:ascii="Arial" w:hAnsi="Arial" w:cs="Arial"/>
        </w:rPr>
        <w:footnoteRef/>
      </w:r>
      <w:r w:rsidRPr="00163E33">
        <w:rPr>
          <w:rFonts w:ascii="Arial" w:hAnsi="Arial" w:cs="Arial"/>
        </w:rPr>
        <w:t xml:space="preserve"> S využitím tohoto ustanovení byly povoleny kurzové sázky a turnajové nebo hotovostní sázkové hry provozované za pomoci karet. Způsob provozování se vša</w:t>
      </w:r>
      <w:r>
        <w:rPr>
          <w:rFonts w:ascii="Arial" w:hAnsi="Arial" w:cs="Arial"/>
        </w:rPr>
        <w:t>k od provozování podle zákona o </w:t>
      </w:r>
      <w:r w:rsidRPr="00163E33">
        <w:rPr>
          <w:rFonts w:ascii="Arial" w:hAnsi="Arial" w:cs="Arial"/>
        </w:rPr>
        <w:t>hazardních hrách výrazně odlišoval.</w:t>
      </w:r>
    </w:p>
  </w:footnote>
  <w:footnote w:id="2">
    <w:p w14:paraId="069EB119" w14:textId="77777777" w:rsidR="004F09D3" w:rsidRPr="00904368" w:rsidRDefault="004F09D3" w:rsidP="00C23581">
      <w:pPr>
        <w:spacing w:after="0"/>
        <w:rPr>
          <w:rFonts w:cs="Arial"/>
          <w:sz w:val="20"/>
          <w:szCs w:val="20"/>
        </w:rPr>
      </w:pPr>
      <w:r w:rsidRPr="00904368">
        <w:rPr>
          <w:rStyle w:val="Znakapoznpodarou"/>
          <w:rFonts w:cs="Arial"/>
          <w:sz w:val="20"/>
          <w:szCs w:val="20"/>
        </w:rPr>
        <w:footnoteRef/>
      </w:r>
      <w:r w:rsidRPr="00904368">
        <w:rPr>
          <w:rFonts w:cs="Arial"/>
          <w:sz w:val="20"/>
          <w:szCs w:val="20"/>
        </w:rPr>
        <w:t xml:space="preserve"> Za předpokladu, že v povolení budou všechny podmínky provozování takové loterie a jiné podobné hry podrobně stanoveny, zejména opatření k zamezení hry osobám, kt</w:t>
      </w:r>
      <w:r>
        <w:rPr>
          <w:rFonts w:cs="Arial"/>
          <w:sz w:val="20"/>
          <w:szCs w:val="20"/>
        </w:rPr>
        <w:t>eré nedovršily věku 18 let, a k </w:t>
      </w:r>
      <w:r w:rsidRPr="00904368">
        <w:rPr>
          <w:rFonts w:cs="Arial"/>
          <w:sz w:val="20"/>
          <w:szCs w:val="20"/>
        </w:rPr>
        <w:t>zajištění veřejného pořádku.</w:t>
      </w:r>
    </w:p>
  </w:footnote>
  <w:footnote w:id="3">
    <w:p w14:paraId="10FCBA64" w14:textId="3EC21849" w:rsidR="004F09D3" w:rsidRPr="00CE5920" w:rsidRDefault="004F09D3" w:rsidP="00C23581">
      <w:pPr>
        <w:pStyle w:val="Textpoznpodarou"/>
        <w:jc w:val="both"/>
        <w:rPr>
          <w:rFonts w:ascii="Arial" w:hAnsi="Arial" w:cs="Arial"/>
        </w:rPr>
      </w:pPr>
      <w:r w:rsidRPr="00CE5920">
        <w:rPr>
          <w:rStyle w:val="Znakapoznpodarou"/>
          <w:rFonts w:ascii="Arial" w:hAnsi="Arial" w:cs="Arial"/>
        </w:rPr>
        <w:footnoteRef/>
      </w:r>
      <w:r w:rsidRPr="00CE5920">
        <w:rPr>
          <w:rFonts w:ascii="Arial" w:hAnsi="Arial" w:cs="Arial"/>
        </w:rPr>
        <w:t xml:space="preserve"> Zákon o hazardních hrách oproti předchozí právní úp</w:t>
      </w:r>
      <w:r w:rsidR="004D29B2">
        <w:rPr>
          <w:rFonts w:ascii="Arial" w:hAnsi="Arial" w:cs="Arial"/>
        </w:rPr>
        <w:t>ravě nereguluje provozování</w:t>
      </w:r>
      <w:r w:rsidRPr="00CE5920">
        <w:rPr>
          <w:rFonts w:ascii="Arial" w:hAnsi="Arial" w:cs="Arial"/>
        </w:rPr>
        <w:t xml:space="preserve"> spotřebitelských loterií, a to s ohledem na skutečnost, že tato oblast je plně harmonizovaná a nelze ji nad rámec evropské úpravy dále rozšiřovat. S ohledem na uvedené jsou spotřebitelské soutěže v současné době posuzovány jako obchodní praktiky obecně, neuvedené v příloze I směrnice 2005/29/ES.</w:t>
      </w:r>
    </w:p>
  </w:footnote>
  <w:footnote w:id="4">
    <w:p w14:paraId="4A874B8B" w14:textId="2B69F728" w:rsidR="004F09D3" w:rsidRPr="00663D26" w:rsidRDefault="004F09D3" w:rsidP="00663D26">
      <w:pPr>
        <w:pStyle w:val="Textpoznpodarou"/>
        <w:jc w:val="both"/>
        <w:rPr>
          <w:rFonts w:ascii="Arial" w:hAnsi="Arial" w:cs="Arial"/>
        </w:rPr>
      </w:pPr>
      <w:r w:rsidRPr="00663D26">
        <w:rPr>
          <w:rStyle w:val="Znakapoznpodarou"/>
          <w:rFonts w:ascii="Arial" w:hAnsi="Arial" w:cs="Arial"/>
        </w:rPr>
        <w:footnoteRef/>
      </w:r>
      <w:r w:rsidRPr="00663D26">
        <w:rPr>
          <w:rFonts w:ascii="Arial" w:hAnsi="Arial" w:cs="Arial"/>
        </w:rPr>
        <w:t xml:space="preserve"> Důvodová zpráva k § 5 zákona o hazardních hrách</w:t>
      </w:r>
      <w:r>
        <w:rPr>
          <w:rFonts w:ascii="Arial" w:hAnsi="Arial" w:cs="Arial"/>
        </w:rPr>
        <w:t>.</w:t>
      </w:r>
    </w:p>
  </w:footnote>
  <w:footnote w:id="5">
    <w:p w14:paraId="4369FCB2" w14:textId="4C7DF6DC" w:rsidR="004F09D3" w:rsidRDefault="004F09D3" w:rsidP="00663D26">
      <w:pPr>
        <w:pStyle w:val="Textpoznpodarou"/>
        <w:jc w:val="both"/>
      </w:pPr>
      <w:r w:rsidRPr="00663D26">
        <w:rPr>
          <w:rStyle w:val="Znakapoznpodarou"/>
          <w:rFonts w:ascii="Arial" w:hAnsi="Arial" w:cs="Arial"/>
        </w:rPr>
        <w:footnoteRef/>
      </w:r>
      <w:r w:rsidRPr="00663D26">
        <w:rPr>
          <w:rFonts w:ascii="Arial" w:hAnsi="Arial" w:cs="Arial"/>
        </w:rPr>
        <w:t xml:space="preserve"> Rozhodnutí nejvyššího správního soudu ze dne 10. 12. 2020, sp. zn. 1 As 255/2020-72</w:t>
      </w:r>
      <w:r>
        <w:rPr>
          <w:rFonts w:ascii="Arial" w:hAnsi="Arial" w:cs="Arial"/>
        </w:rPr>
        <w:t>.</w:t>
      </w:r>
    </w:p>
  </w:footnote>
  <w:footnote w:id="6">
    <w:p w14:paraId="54101367" w14:textId="52FB53DE" w:rsidR="004F09D3" w:rsidRPr="00CE5920" w:rsidRDefault="004F09D3" w:rsidP="00CE5920">
      <w:pPr>
        <w:pStyle w:val="Textpoznpodarou"/>
        <w:jc w:val="both"/>
        <w:rPr>
          <w:rFonts w:ascii="Arial" w:hAnsi="Arial" w:cs="Arial"/>
        </w:rPr>
      </w:pPr>
      <w:r w:rsidRPr="00CE5920">
        <w:rPr>
          <w:rStyle w:val="Znakapoznpodarou"/>
          <w:rFonts w:ascii="Arial" w:hAnsi="Arial" w:cs="Arial"/>
        </w:rPr>
        <w:footnoteRef/>
      </w:r>
      <w:r w:rsidRPr="00CE5920">
        <w:rPr>
          <w:rFonts w:ascii="Arial" w:hAnsi="Arial" w:cs="Arial"/>
        </w:rPr>
        <w:t xml:space="preserve"> Důvodová zpráva k § 10 zákona o hazardních hrách.</w:t>
      </w:r>
    </w:p>
  </w:footnote>
  <w:footnote w:id="7">
    <w:p w14:paraId="07C52EFD" w14:textId="70CF6D9C" w:rsidR="004F09D3" w:rsidRPr="00B451B8" w:rsidRDefault="004F09D3" w:rsidP="00B451B8">
      <w:pPr>
        <w:pStyle w:val="Textpoznpodarou"/>
        <w:jc w:val="both"/>
        <w:rPr>
          <w:rFonts w:ascii="Arial" w:hAnsi="Arial" w:cs="Arial"/>
        </w:rPr>
      </w:pPr>
      <w:r w:rsidRPr="00B451B8">
        <w:rPr>
          <w:rStyle w:val="Znakapoznpodarou"/>
          <w:rFonts w:ascii="Arial" w:hAnsi="Arial" w:cs="Arial"/>
        </w:rPr>
        <w:footnoteRef/>
      </w:r>
      <w:r w:rsidRPr="00B451B8">
        <w:rPr>
          <w:rFonts w:ascii="Arial" w:hAnsi="Arial" w:cs="Arial"/>
        </w:rPr>
        <w:t xml:space="preserve"> Rozsudek Městského soudu v Praze ze dne 7. 9. 2020, sp. zn. 5 Af 25/2017- 41.</w:t>
      </w:r>
    </w:p>
  </w:footnote>
  <w:footnote w:id="8">
    <w:p w14:paraId="32A847D9" w14:textId="755CE561" w:rsidR="004F09D3" w:rsidRPr="00163E33" w:rsidRDefault="004F09D3" w:rsidP="00C23581">
      <w:pPr>
        <w:pStyle w:val="Textpoznpodarou"/>
        <w:jc w:val="both"/>
        <w:rPr>
          <w:rFonts w:ascii="Arial" w:hAnsi="Arial" w:cs="Arial"/>
        </w:rPr>
      </w:pPr>
      <w:r w:rsidRPr="00163E33">
        <w:rPr>
          <w:rStyle w:val="Znakapoznpodarou"/>
          <w:rFonts w:ascii="Arial" w:hAnsi="Arial" w:cs="Arial"/>
        </w:rPr>
        <w:footnoteRef/>
      </w:r>
      <w:r w:rsidRPr="00163E33">
        <w:rPr>
          <w:rFonts w:ascii="Arial" w:hAnsi="Arial" w:cs="Arial"/>
        </w:rPr>
        <w:t xml:space="preserve"> Zákon o hazardních hrách umožňuje vydat základní povolení právnickým osobám, které mimo jiné splňují podmínku umístění sídla v České republice, jiném členském státě Evropské unie nebo ve státě, který je smluvní stranou Dohody o Evropském hospodářském prostoru </w:t>
      </w:r>
      <w:r w:rsidRPr="00416190">
        <w:rPr>
          <w:rFonts w:ascii="Arial" w:hAnsi="Arial" w:cs="Arial"/>
        </w:rPr>
        <w:t xml:space="preserve">(v podrobnostech se odkazuje </w:t>
      </w:r>
      <w:r w:rsidR="00355D41">
        <w:rPr>
          <w:rFonts w:ascii="Arial" w:hAnsi="Arial" w:cs="Arial"/>
        </w:rPr>
        <w:t>na Přílohu č. 9</w:t>
      </w:r>
      <w:r w:rsidR="007B55BA">
        <w:rPr>
          <w:rFonts w:ascii="Arial" w:hAnsi="Arial" w:cs="Arial"/>
        </w:rPr>
        <w:t> </w:t>
      </w:r>
      <w:r w:rsidR="00355D41">
        <w:rPr>
          <w:rFonts w:ascii="Arial" w:hAnsi="Arial" w:cs="Arial"/>
        </w:rPr>
        <w:t>P</w:t>
      </w:r>
      <w:r w:rsidRPr="00416190">
        <w:rPr>
          <w:rFonts w:ascii="Arial" w:hAnsi="Arial" w:cs="Arial"/>
        </w:rPr>
        <w:t>ovolovací</w:t>
      </w:r>
      <w:r>
        <w:rPr>
          <w:rFonts w:ascii="Arial" w:hAnsi="Arial" w:cs="Arial"/>
        </w:rPr>
        <w:t xml:space="preserve"> řízení).</w:t>
      </w:r>
    </w:p>
  </w:footnote>
  <w:footnote w:id="9">
    <w:p w14:paraId="7CD9228D" w14:textId="77777777" w:rsidR="004F09D3" w:rsidRPr="00D26C4A" w:rsidRDefault="004F09D3" w:rsidP="00C23581">
      <w:pPr>
        <w:pStyle w:val="Textpoznpodarou"/>
        <w:jc w:val="both"/>
        <w:rPr>
          <w:rFonts w:ascii="Arial" w:hAnsi="Arial" w:cs="Arial"/>
        </w:rPr>
      </w:pPr>
      <w:r w:rsidRPr="00D26C4A">
        <w:rPr>
          <w:rStyle w:val="Znakapoznpodarou"/>
          <w:rFonts w:ascii="Arial" w:hAnsi="Arial" w:cs="Arial"/>
        </w:rPr>
        <w:footnoteRef/>
      </w:r>
      <w:r w:rsidRPr="00D26C4A">
        <w:rPr>
          <w:rFonts w:ascii="Arial" w:hAnsi="Arial" w:cs="Arial"/>
        </w:rPr>
        <w:t xml:space="preserve"> Představované do listopadu 2019 především Ministerstvem financí, od listopadu 2019 pak celními úřady. </w:t>
      </w:r>
    </w:p>
  </w:footnote>
  <w:footnote w:id="10">
    <w:p w14:paraId="374CF562" w14:textId="77777777" w:rsidR="004F09D3" w:rsidRPr="005D5E6C" w:rsidRDefault="004F09D3" w:rsidP="00C23581">
      <w:pPr>
        <w:pStyle w:val="Textpoznpodarou"/>
        <w:jc w:val="both"/>
        <w:rPr>
          <w:rFonts w:ascii="Arial" w:hAnsi="Arial" w:cs="Arial"/>
        </w:rPr>
      </w:pPr>
      <w:r w:rsidRPr="005D5E6C">
        <w:rPr>
          <w:rStyle w:val="Znakapoznpodarou"/>
          <w:rFonts w:ascii="Arial" w:hAnsi="Arial" w:cs="Arial"/>
        </w:rPr>
        <w:footnoteRef/>
      </w:r>
      <w:r w:rsidRPr="005D5E6C">
        <w:rPr>
          <w:rFonts w:ascii="Arial" w:hAnsi="Arial" w:cs="Arial"/>
        </w:rPr>
        <w:t xml:space="preserve"> Očekává se, že tento nárůst bude způsoben jak nárůstem počtu osob zapsaných </w:t>
      </w:r>
      <w:r>
        <w:rPr>
          <w:rFonts w:ascii="Arial" w:hAnsi="Arial" w:cs="Arial"/>
        </w:rPr>
        <w:t xml:space="preserve">v Rejstříku vyloučených osob </w:t>
      </w:r>
      <w:r w:rsidRPr="005D5E6C">
        <w:rPr>
          <w:rFonts w:ascii="Arial" w:hAnsi="Arial" w:cs="Arial"/>
        </w:rPr>
        <w:t>na vlastní žádost (což vša</w:t>
      </w:r>
      <w:r>
        <w:rPr>
          <w:rFonts w:ascii="Arial" w:hAnsi="Arial" w:cs="Arial"/>
        </w:rPr>
        <w:t>k neznamená, že se v jisté</w:t>
      </w:r>
      <w:r w:rsidRPr="005D5E6C">
        <w:rPr>
          <w:rFonts w:ascii="Arial" w:hAnsi="Arial" w:cs="Arial"/>
        </w:rPr>
        <w:t xml:space="preserve"> chvíli nepokusí hazardní hry opět účastnit) a osob zapsaných </w:t>
      </w:r>
      <w:r>
        <w:rPr>
          <w:rFonts w:ascii="Arial" w:hAnsi="Arial" w:cs="Arial"/>
        </w:rPr>
        <w:t>Rejstříku vyloučených osob z moci úřední.</w:t>
      </w:r>
    </w:p>
  </w:footnote>
  <w:footnote w:id="11">
    <w:p w14:paraId="1E6E8892" w14:textId="1A97A26D" w:rsidR="004F09D3" w:rsidRDefault="004F09D3" w:rsidP="00C23581">
      <w:pPr>
        <w:pStyle w:val="Textpoznpodarou"/>
        <w:jc w:val="both"/>
      </w:pPr>
      <w:r w:rsidRPr="005D5E6C">
        <w:rPr>
          <w:rStyle w:val="Znakapoznpodarou"/>
          <w:rFonts w:ascii="Arial" w:hAnsi="Arial" w:cs="Arial"/>
        </w:rPr>
        <w:footnoteRef/>
      </w:r>
      <w:r w:rsidRPr="005D5E6C">
        <w:rPr>
          <w:rFonts w:ascii="Arial" w:hAnsi="Arial" w:cs="Arial"/>
        </w:rPr>
        <w:t xml:space="preserve"> Vzhledem k tomu, že tyto hazardní hry nejsou považovány za provozované na území České republiky, jejich provozovatelé nepodléhají povinnosti k dani z hazardních her, byť realizují zisky z finančních prostředků z území České republiky. Zároveň ani </w:t>
      </w:r>
      <w:r w:rsidR="00664E7B">
        <w:rPr>
          <w:rFonts w:ascii="Arial" w:hAnsi="Arial" w:cs="Arial"/>
        </w:rPr>
        <w:t>nejsou provozovány v rozporu se </w:t>
      </w:r>
      <w:r w:rsidRPr="005D5E6C">
        <w:rPr>
          <w:rFonts w:ascii="Arial" w:hAnsi="Arial" w:cs="Arial"/>
        </w:rPr>
        <w:t>zákonem</w:t>
      </w:r>
      <w:r>
        <w:rPr>
          <w:rFonts w:ascii="Arial" w:hAnsi="Arial" w:cs="Arial"/>
        </w:rPr>
        <w:t>,</w:t>
      </w:r>
      <w:r w:rsidRPr="005D5E6C">
        <w:rPr>
          <w:rFonts w:ascii="Arial" w:hAnsi="Arial" w:cs="Arial"/>
        </w:rPr>
        <w:t xml:space="preserve"> a není tak možné přistoupit k jejich dodatečnému zdan</w:t>
      </w:r>
      <w:r>
        <w:rPr>
          <w:rFonts w:ascii="Arial" w:hAnsi="Arial" w:cs="Arial"/>
        </w:rPr>
        <w:t>ění, jak k tomu běžně dochází u </w:t>
      </w:r>
      <w:r w:rsidRPr="005D5E6C">
        <w:rPr>
          <w:rFonts w:ascii="Arial" w:hAnsi="Arial" w:cs="Arial"/>
        </w:rPr>
        <w:t>nelegálních provozovatelů hazardních her.</w:t>
      </w:r>
    </w:p>
  </w:footnote>
  <w:footnote w:id="12">
    <w:p w14:paraId="117A05F5" w14:textId="52520802" w:rsidR="004F09D3" w:rsidRPr="005D5E6C" w:rsidRDefault="004F09D3" w:rsidP="00C23581">
      <w:pPr>
        <w:pStyle w:val="Textpoznpodarou"/>
        <w:jc w:val="both"/>
        <w:rPr>
          <w:rFonts w:ascii="Arial" w:hAnsi="Arial" w:cs="Arial"/>
        </w:rPr>
      </w:pPr>
      <w:r w:rsidRPr="005D5E6C">
        <w:rPr>
          <w:rStyle w:val="Znakapoznpodarou"/>
          <w:rFonts w:ascii="Arial" w:hAnsi="Arial" w:cs="Arial"/>
        </w:rPr>
        <w:footnoteRef/>
      </w:r>
      <w:r w:rsidRPr="005D5E6C">
        <w:rPr>
          <w:rFonts w:ascii="Arial" w:hAnsi="Arial" w:cs="Arial"/>
        </w:rPr>
        <w:t xml:space="preserve"> Jedná se o nezanedbatelnou skupinu, v roce 2019 pobývalo na úz</w:t>
      </w:r>
      <w:r>
        <w:rPr>
          <w:rFonts w:ascii="Arial" w:hAnsi="Arial" w:cs="Arial"/>
        </w:rPr>
        <w:t>emí České republiky přibližně 300 000 </w:t>
      </w:r>
      <w:r w:rsidRPr="005D5E6C">
        <w:rPr>
          <w:rFonts w:ascii="Arial" w:hAnsi="Arial" w:cs="Arial"/>
        </w:rPr>
        <w:t>cizinců s trvalým pobytem, přičemž je zde setrvalý trend růstu.</w:t>
      </w:r>
    </w:p>
  </w:footnote>
  <w:footnote w:id="13">
    <w:p w14:paraId="11435555" w14:textId="77777777" w:rsidR="004F09D3" w:rsidRPr="005D5E6C" w:rsidRDefault="004F09D3" w:rsidP="00C23581">
      <w:pPr>
        <w:pStyle w:val="Textpoznpodarou"/>
        <w:jc w:val="both"/>
        <w:rPr>
          <w:rFonts w:ascii="Arial" w:hAnsi="Arial" w:cs="Arial"/>
        </w:rPr>
      </w:pPr>
      <w:r w:rsidRPr="00FD3ED5">
        <w:rPr>
          <w:rStyle w:val="Znakapoznpodarou"/>
          <w:rFonts w:ascii="Arial" w:hAnsi="Arial" w:cs="Arial"/>
        </w:rPr>
        <w:footnoteRef/>
      </w:r>
      <w:r w:rsidRPr="00FD3ED5">
        <w:rPr>
          <w:rFonts w:ascii="Arial" w:hAnsi="Arial" w:cs="Arial"/>
        </w:rPr>
        <w:t xml:space="preserve"> Dle odhadů Ministerstva zahraničí v současnosti žije v evropských státech přibližně 600 – 700 tisíc osob, u kterých lze důvodně předpokládat znalost českého jazyka (jedná se o občany České republiky).</w:t>
      </w:r>
    </w:p>
  </w:footnote>
  <w:footnote w:id="14">
    <w:p w14:paraId="5F2D62BD" w14:textId="77777777" w:rsidR="004F09D3" w:rsidRDefault="004F09D3" w:rsidP="00C23581">
      <w:pPr>
        <w:pStyle w:val="Textpoznpodarou"/>
        <w:jc w:val="both"/>
      </w:pPr>
      <w:r w:rsidRPr="005D5E6C">
        <w:rPr>
          <w:rStyle w:val="Znakapoznpodarou"/>
          <w:rFonts w:ascii="Arial" w:hAnsi="Arial" w:cs="Arial"/>
        </w:rPr>
        <w:footnoteRef/>
      </w:r>
      <w:r w:rsidRPr="005D5E6C">
        <w:rPr>
          <w:rFonts w:ascii="Arial" w:hAnsi="Arial" w:cs="Arial"/>
        </w:rPr>
        <w:t xml:space="preserve"> Např. hodnocení míry využití českého jazyka, neboť ten často není využit v plné míře.</w:t>
      </w:r>
    </w:p>
  </w:footnote>
  <w:footnote w:id="15">
    <w:p w14:paraId="6B31C3B9" w14:textId="54AEE4A3" w:rsidR="004F09D3" w:rsidRPr="005D5E6C" w:rsidRDefault="004F09D3" w:rsidP="00C23581">
      <w:pPr>
        <w:pStyle w:val="Textpoznpodarou"/>
        <w:jc w:val="both"/>
        <w:rPr>
          <w:rFonts w:ascii="Arial" w:hAnsi="Arial" w:cs="Arial"/>
        </w:rPr>
      </w:pPr>
      <w:r w:rsidRPr="005D5E6C">
        <w:rPr>
          <w:rStyle w:val="Znakapoznpodarou"/>
          <w:rFonts w:ascii="Arial" w:hAnsi="Arial" w:cs="Arial"/>
        </w:rPr>
        <w:footnoteRef/>
      </w:r>
      <w:r w:rsidRPr="005D5E6C">
        <w:rPr>
          <w:rFonts w:ascii="Arial" w:hAnsi="Arial" w:cs="Arial"/>
        </w:rPr>
        <w:t xml:space="preserve"> Tento přístup využívá řada členských zemí Evropské unie, např. Francie, Belgie, Řecko, Lotyšsko nebo Slovinsko (blíže studie Evaluation of Regulatory Tools for Enfo</w:t>
      </w:r>
      <w:r w:rsidR="00664E7B">
        <w:rPr>
          <w:rFonts w:ascii="Arial" w:hAnsi="Arial" w:cs="Arial"/>
        </w:rPr>
        <w:t>rcing Online Gambling Rules and </w:t>
      </w:r>
      <w:r w:rsidRPr="005D5E6C">
        <w:rPr>
          <w:rFonts w:ascii="Arial" w:hAnsi="Arial" w:cs="Arial"/>
        </w:rPr>
        <w:t xml:space="preserve">Channelling Demand towards Controlled Offer z roku 2018). </w:t>
      </w:r>
    </w:p>
  </w:footnote>
  <w:footnote w:id="16">
    <w:p w14:paraId="6F2E92F4" w14:textId="6C795225" w:rsidR="004F09D3" w:rsidRPr="005D5E6C" w:rsidRDefault="004F09D3" w:rsidP="00C23581">
      <w:pPr>
        <w:pStyle w:val="Textpoznpodarou"/>
        <w:jc w:val="both"/>
        <w:rPr>
          <w:rFonts w:ascii="Arial" w:hAnsi="Arial" w:cs="Arial"/>
        </w:rPr>
      </w:pPr>
      <w:r w:rsidRPr="005D5E6C">
        <w:rPr>
          <w:rStyle w:val="Znakapoznpodarou"/>
          <w:rFonts w:ascii="Arial" w:hAnsi="Arial" w:cs="Arial"/>
        </w:rPr>
        <w:footnoteRef/>
      </w:r>
      <w:r w:rsidRPr="005D5E6C">
        <w:rPr>
          <w:rFonts w:ascii="Arial" w:hAnsi="Arial" w:cs="Arial"/>
        </w:rPr>
        <w:t xml:space="preserve"> Za běžného účastníka se považuje osoba, která nečiní aktivní kroky vstupu na internetovou stránku ve smyslu překonání blokace ze strany poskytovatelů připojení k internetu </w:t>
      </w:r>
      <w:r w:rsidRPr="00743F42">
        <w:rPr>
          <w:rFonts w:ascii="Arial" w:hAnsi="Arial" w:cs="Arial"/>
        </w:rPr>
        <w:t xml:space="preserve">(dále se </w:t>
      </w:r>
      <w:r>
        <w:rPr>
          <w:rFonts w:ascii="Arial" w:hAnsi="Arial" w:cs="Arial"/>
        </w:rPr>
        <w:t>odkazuje</w:t>
      </w:r>
      <w:r w:rsidRPr="00743F42">
        <w:rPr>
          <w:rFonts w:ascii="Arial" w:hAnsi="Arial" w:cs="Arial"/>
        </w:rPr>
        <w:t xml:space="preserve"> </w:t>
      </w:r>
      <w:r w:rsidR="00664E7B">
        <w:rPr>
          <w:rFonts w:ascii="Arial" w:hAnsi="Arial" w:cs="Arial"/>
        </w:rPr>
        <w:t>na </w:t>
      </w:r>
      <w:r w:rsidR="00355D41">
        <w:rPr>
          <w:rFonts w:ascii="Arial" w:hAnsi="Arial" w:cs="Arial"/>
        </w:rPr>
        <w:t>Přílohu č. 8</w:t>
      </w:r>
      <w:r w:rsidR="007B55BA">
        <w:rPr>
          <w:rFonts w:ascii="Arial" w:hAnsi="Arial" w:cs="Arial"/>
        </w:rPr>
        <w:t xml:space="preserve"> </w:t>
      </w:r>
      <w:r w:rsidR="00355D41">
        <w:rPr>
          <w:rFonts w:ascii="Arial" w:hAnsi="Arial" w:cs="Arial"/>
        </w:rPr>
        <w:t>N</w:t>
      </w:r>
      <w:r>
        <w:rPr>
          <w:rFonts w:ascii="Arial" w:hAnsi="Arial" w:cs="Arial"/>
        </w:rPr>
        <w:t>epovolené internetové hry</w:t>
      </w:r>
      <w:r w:rsidRPr="00743F42">
        <w:rPr>
          <w:rFonts w:ascii="Arial" w:hAnsi="Arial" w:cs="Arial"/>
        </w:rPr>
        <w:t>)</w:t>
      </w:r>
      <w:r>
        <w:rPr>
          <w:rFonts w:ascii="Arial" w:hAnsi="Arial" w:cs="Arial"/>
        </w:rPr>
        <w:t>.</w:t>
      </w:r>
    </w:p>
  </w:footnote>
  <w:footnote w:id="17">
    <w:p w14:paraId="68C8997E" w14:textId="77777777" w:rsidR="004F09D3" w:rsidRPr="00893738" w:rsidRDefault="004F09D3" w:rsidP="00C23581">
      <w:pPr>
        <w:pStyle w:val="Textpoznpodarou"/>
        <w:jc w:val="both"/>
        <w:rPr>
          <w:rFonts w:ascii="Arial" w:hAnsi="Arial" w:cs="Arial"/>
        </w:rPr>
      </w:pPr>
      <w:r w:rsidRPr="00893738">
        <w:rPr>
          <w:rStyle w:val="Znakapoznpodarou"/>
          <w:rFonts w:ascii="Arial" w:hAnsi="Arial" w:cs="Arial"/>
        </w:rPr>
        <w:footnoteRef/>
      </w:r>
      <w:r w:rsidRPr="00893738">
        <w:rPr>
          <w:rFonts w:ascii="Arial" w:hAnsi="Arial" w:cs="Arial"/>
        </w:rPr>
        <w:t xml:space="preserve"> Toto by mělo dopad i na řízení o výmazu internetových stránek ze Seznamu nepovolených internetových her (dále se odkazuje na část Nepovolené internetové hry).</w:t>
      </w:r>
    </w:p>
  </w:footnote>
  <w:footnote w:id="18">
    <w:p w14:paraId="72B5648A" w14:textId="77777777" w:rsidR="004F09D3" w:rsidRDefault="004F09D3" w:rsidP="00C23581">
      <w:pPr>
        <w:pStyle w:val="Textpoznpodarou"/>
        <w:jc w:val="both"/>
      </w:pPr>
      <w:r w:rsidRPr="00893738">
        <w:rPr>
          <w:rStyle w:val="Znakapoznpodarou"/>
          <w:rFonts w:ascii="Arial" w:hAnsi="Arial" w:cs="Arial"/>
        </w:rPr>
        <w:footnoteRef/>
      </w:r>
      <w:r w:rsidRPr="00893738">
        <w:rPr>
          <w:rFonts w:ascii="Arial" w:hAnsi="Arial" w:cs="Arial"/>
        </w:rPr>
        <w:t xml:space="preserve"> Ke dni 15. 3. 2021 se na slovenském seznamu zakázaných internetových stránek vyskytuje 389 stránek. Toto číslo však není shodné s počtem soudně zakázaných internetových stránek. Soudních příkazu na zamezení přístupu k internetové stránce v této oblasti je ke dni 19. 3. 2021 vydaných 129.</w:t>
      </w:r>
    </w:p>
  </w:footnote>
  <w:footnote w:id="19">
    <w:p w14:paraId="33DF064F" w14:textId="1F0360A0" w:rsidR="004F09D3" w:rsidRPr="001F2D09" w:rsidRDefault="004F09D3" w:rsidP="00C23581">
      <w:pPr>
        <w:pStyle w:val="Textpoznpodarou"/>
        <w:jc w:val="both"/>
        <w:rPr>
          <w:rFonts w:ascii="Arial" w:hAnsi="Arial" w:cs="Arial"/>
        </w:rPr>
      </w:pPr>
      <w:r w:rsidRPr="001F2D09">
        <w:rPr>
          <w:rStyle w:val="Znakapoznpodarou"/>
          <w:rFonts w:ascii="Arial" w:hAnsi="Arial" w:cs="Arial"/>
        </w:rPr>
        <w:footnoteRef/>
      </w:r>
      <w:r w:rsidR="00245D1F">
        <w:rPr>
          <w:rFonts w:ascii="Arial" w:hAnsi="Arial" w:cs="Arial"/>
        </w:rPr>
        <w:t xml:space="preserve"> </w:t>
      </w:r>
      <w:r w:rsidRPr="001F2D09">
        <w:rPr>
          <w:rFonts w:ascii="Arial" w:hAnsi="Arial" w:cs="Arial"/>
        </w:rPr>
        <w:t>§ 29 odst. 3, § 44 odst. 3 a § 76 odst. 3 zákona o hazardních hrách.</w:t>
      </w:r>
    </w:p>
  </w:footnote>
  <w:footnote w:id="20">
    <w:p w14:paraId="0E01C810" w14:textId="77777777" w:rsidR="004F09D3" w:rsidRPr="001F2D09" w:rsidRDefault="004F09D3" w:rsidP="00C23581">
      <w:pPr>
        <w:pStyle w:val="Textpoznpodarou"/>
        <w:jc w:val="both"/>
        <w:rPr>
          <w:rFonts w:ascii="Arial" w:hAnsi="Arial" w:cs="Arial"/>
        </w:rPr>
      </w:pPr>
      <w:r w:rsidRPr="001F2D09">
        <w:rPr>
          <w:rStyle w:val="Znakapoznpodarou"/>
          <w:rFonts w:ascii="Arial" w:hAnsi="Arial" w:cs="Arial"/>
        </w:rPr>
        <w:footnoteRef/>
      </w:r>
      <w:r w:rsidRPr="001F2D09">
        <w:rPr>
          <w:rFonts w:ascii="Arial" w:hAnsi="Arial" w:cs="Arial"/>
        </w:rPr>
        <w:t xml:space="preserve"> Rozsudek Nejvyššího správního soudu ze dne 23. 4. 2009, sp. zn. 9 Afs 79/2008-101</w:t>
      </w:r>
      <w:r>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03D69" w14:textId="77777777" w:rsidR="003253B4" w:rsidRDefault="003253B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F10EF" w14:textId="76FF85A5" w:rsidR="004F09D3" w:rsidRPr="00FA4A50" w:rsidRDefault="004F09D3" w:rsidP="00B93D39">
    <w:pPr>
      <w:pStyle w:val="Zhlav"/>
      <w:jc w:val="right"/>
      <w:rPr>
        <w:sz w:val="20"/>
      </w:rPr>
    </w:pPr>
    <w:bookmarkStart w:id="32" w:name="_GoBack"/>
    <w:r w:rsidRPr="00FA4A50">
      <w:rPr>
        <w:sz w:val="20"/>
      </w:rPr>
      <w:t xml:space="preserve">Příloha č. 2 </w:t>
    </w:r>
    <w:r w:rsidR="003253B4" w:rsidRPr="00FA4A50">
      <w:rPr>
        <w:sz w:val="20"/>
      </w:rPr>
      <w:t>Hodnocení dopadů regulace zákona o hazardních hrách a souvisejících právních předpisů</w:t>
    </w:r>
  </w:p>
  <w:bookmarkEnd w:id="32"/>
  <w:p w14:paraId="73C4648A" w14:textId="77777777" w:rsidR="004F09D3" w:rsidRPr="00FA4A50" w:rsidRDefault="004F09D3">
    <w:pPr>
      <w:pStyle w:val="Zhlav"/>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B5E8" w14:textId="77777777" w:rsidR="003253B4" w:rsidRDefault="003253B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6307"/>
    <w:multiLevelType w:val="hybridMultilevel"/>
    <w:tmpl w:val="9F003C40"/>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773337"/>
    <w:multiLevelType w:val="multilevel"/>
    <w:tmpl w:val="879C007C"/>
    <w:lvl w:ilvl="0">
      <w:start w:val="1"/>
      <w:numFmt w:val="decimal"/>
      <w:pStyle w:val="Nadpis5"/>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isLg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4AA0057"/>
    <w:multiLevelType w:val="hybridMultilevel"/>
    <w:tmpl w:val="66621C1E"/>
    <w:lvl w:ilvl="0" w:tplc="F3E666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3B5FB1"/>
    <w:multiLevelType w:val="hybridMultilevel"/>
    <w:tmpl w:val="D0CCBAD8"/>
    <w:lvl w:ilvl="0" w:tplc="0EF899C6">
      <w:start w:val="1"/>
      <w:numFmt w:val="lowerRoman"/>
      <w:pStyle w:val="Nadpis6"/>
      <w:lvlText w:val="%1."/>
      <w:lvlJc w:val="right"/>
      <w:pPr>
        <w:ind w:left="502"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2E30856"/>
    <w:multiLevelType w:val="hybridMultilevel"/>
    <w:tmpl w:val="9F6471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654466"/>
    <w:multiLevelType w:val="hybridMultilevel"/>
    <w:tmpl w:val="9290458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3D81AA4"/>
    <w:multiLevelType w:val="hybridMultilevel"/>
    <w:tmpl w:val="332C77D2"/>
    <w:lvl w:ilvl="0" w:tplc="42AAD64E">
      <w:start w:val="1"/>
      <w:numFmt w:val="decimal"/>
      <w:pStyle w:val="slovanodstavec"/>
      <w:suff w:val="space"/>
      <w:lvlText w:val="[%1]"/>
      <w:lvlJc w:val="left"/>
      <w:pPr>
        <w:ind w:left="284" w:firstLine="0"/>
      </w:pPr>
      <w:rPr>
        <w:rFonts w:hint="default"/>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7" w15:restartNumberingAfterBreak="0">
    <w:nsid w:val="387E72AA"/>
    <w:multiLevelType w:val="hybridMultilevel"/>
    <w:tmpl w:val="4C884E74"/>
    <w:lvl w:ilvl="0" w:tplc="33A236F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8737E6B"/>
    <w:multiLevelType w:val="hybridMultilevel"/>
    <w:tmpl w:val="62A834B2"/>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F3A0050"/>
    <w:multiLevelType w:val="multilevel"/>
    <w:tmpl w:val="999A51A2"/>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1003"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0"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6BF26585"/>
    <w:multiLevelType w:val="hybridMultilevel"/>
    <w:tmpl w:val="21FAF0FA"/>
    <w:lvl w:ilvl="0" w:tplc="061E03B6">
      <w:start w:val="1"/>
      <w:numFmt w:val="upperLetter"/>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1FB70A6"/>
    <w:multiLevelType w:val="hybridMultilevel"/>
    <w:tmpl w:val="A02A033C"/>
    <w:lvl w:ilvl="0" w:tplc="20305B7C">
      <w:start w:val="1"/>
      <w:numFmt w:val="decimal"/>
      <w:pStyle w:val="Dvodovzprvakbodu"/>
      <w:suff w:val="space"/>
      <w:lvlText w:val="K bodu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3"/>
    <w:lvlOverride w:ilvl="0">
      <w:startOverride w:val="1"/>
    </w:lvlOverride>
  </w:num>
  <w:num w:numId="5">
    <w:abstractNumId w:val="8"/>
  </w:num>
  <w:num w:numId="6">
    <w:abstractNumId w:val="1"/>
  </w:num>
  <w:num w:numId="7">
    <w:abstractNumId w:val="3"/>
    <w:lvlOverride w:ilvl="0">
      <w:startOverride w:val="1"/>
    </w:lvlOverride>
  </w:num>
  <w:num w:numId="8">
    <w:abstractNumId w:val="6"/>
  </w:num>
  <w:num w:numId="9">
    <w:abstractNumId w:val="3"/>
    <w:lvlOverride w:ilvl="0">
      <w:startOverride w:val="1"/>
    </w:lvlOverride>
  </w:num>
  <w:num w:numId="10">
    <w:abstractNumId w:val="0"/>
  </w:num>
  <w:num w:numId="11">
    <w:abstractNumId w:val="3"/>
    <w:lvlOverride w:ilvl="0">
      <w:startOverride w:val="1"/>
    </w:lvlOverride>
  </w:num>
  <w:num w:numId="12">
    <w:abstractNumId w:val="3"/>
    <w:lvlOverride w:ilvl="0">
      <w:startOverride w:val="1"/>
    </w:lvlOverride>
  </w:num>
  <w:num w:numId="13">
    <w:abstractNumId w:val="2"/>
  </w:num>
  <w:num w:numId="14">
    <w:abstractNumId w:val="5"/>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12"/>
  </w:num>
  <w:num w:numId="20">
    <w:abstractNumId w:val="4"/>
  </w:num>
  <w:num w:numId="21">
    <w:abstractNumId w:val="7"/>
  </w:num>
  <w:num w:numId="22">
    <w:abstractNumId w:val="10"/>
  </w:num>
  <w:num w:numId="23">
    <w:abstractNumId w:val="9"/>
  </w:num>
  <w:num w:numId="2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0109"/>
    <w:rsid w:val="00000574"/>
    <w:rsid w:val="00004257"/>
    <w:rsid w:val="00004CAA"/>
    <w:rsid w:val="00005302"/>
    <w:rsid w:val="0000634B"/>
    <w:rsid w:val="00007B49"/>
    <w:rsid w:val="000105E5"/>
    <w:rsid w:val="00013073"/>
    <w:rsid w:val="00014CAE"/>
    <w:rsid w:val="000158EC"/>
    <w:rsid w:val="000221D3"/>
    <w:rsid w:val="00022940"/>
    <w:rsid w:val="00026175"/>
    <w:rsid w:val="00027647"/>
    <w:rsid w:val="00043E6C"/>
    <w:rsid w:val="00053691"/>
    <w:rsid w:val="00066D81"/>
    <w:rsid w:val="00073563"/>
    <w:rsid w:val="00074813"/>
    <w:rsid w:val="0007706F"/>
    <w:rsid w:val="00077666"/>
    <w:rsid w:val="00080B69"/>
    <w:rsid w:val="00080D2A"/>
    <w:rsid w:val="0008162A"/>
    <w:rsid w:val="000836D4"/>
    <w:rsid w:val="00084931"/>
    <w:rsid w:val="00093CD6"/>
    <w:rsid w:val="0009655B"/>
    <w:rsid w:val="00097F70"/>
    <w:rsid w:val="000A28D2"/>
    <w:rsid w:val="000A6A88"/>
    <w:rsid w:val="000B01A0"/>
    <w:rsid w:val="000B15C0"/>
    <w:rsid w:val="000B16B5"/>
    <w:rsid w:val="000B23E5"/>
    <w:rsid w:val="000B3AC7"/>
    <w:rsid w:val="000B406A"/>
    <w:rsid w:val="000B58A2"/>
    <w:rsid w:val="000C0A07"/>
    <w:rsid w:val="000C198C"/>
    <w:rsid w:val="000C27B8"/>
    <w:rsid w:val="000C38C0"/>
    <w:rsid w:val="000C52C2"/>
    <w:rsid w:val="000C5BEF"/>
    <w:rsid w:val="000C6602"/>
    <w:rsid w:val="000D01F0"/>
    <w:rsid w:val="000D04BD"/>
    <w:rsid w:val="000E4FD5"/>
    <w:rsid w:val="000E5B21"/>
    <w:rsid w:val="000E6348"/>
    <w:rsid w:val="000F26C0"/>
    <w:rsid w:val="000F5BC7"/>
    <w:rsid w:val="0010145E"/>
    <w:rsid w:val="00102FAA"/>
    <w:rsid w:val="00104E85"/>
    <w:rsid w:val="001134E1"/>
    <w:rsid w:val="00115126"/>
    <w:rsid w:val="001374C4"/>
    <w:rsid w:val="00142D3F"/>
    <w:rsid w:val="00142E24"/>
    <w:rsid w:val="00146097"/>
    <w:rsid w:val="001462E9"/>
    <w:rsid w:val="00151439"/>
    <w:rsid w:val="00156AD0"/>
    <w:rsid w:val="001608EB"/>
    <w:rsid w:val="00160F3C"/>
    <w:rsid w:val="001627C6"/>
    <w:rsid w:val="00171027"/>
    <w:rsid w:val="00171292"/>
    <w:rsid w:val="00176A3A"/>
    <w:rsid w:val="001770A0"/>
    <w:rsid w:val="0018359B"/>
    <w:rsid w:val="00185EB7"/>
    <w:rsid w:val="0018733A"/>
    <w:rsid w:val="001875E6"/>
    <w:rsid w:val="00187F36"/>
    <w:rsid w:val="001A3165"/>
    <w:rsid w:val="001A58FF"/>
    <w:rsid w:val="001B287C"/>
    <w:rsid w:val="001B5AA0"/>
    <w:rsid w:val="001C2EE2"/>
    <w:rsid w:val="001C327C"/>
    <w:rsid w:val="001C5AA1"/>
    <w:rsid w:val="001C6495"/>
    <w:rsid w:val="001D1A8B"/>
    <w:rsid w:val="001E6B79"/>
    <w:rsid w:val="001F0F94"/>
    <w:rsid w:val="001F3D5C"/>
    <w:rsid w:val="001F505B"/>
    <w:rsid w:val="00212609"/>
    <w:rsid w:val="00212908"/>
    <w:rsid w:val="00212DD1"/>
    <w:rsid w:val="00217926"/>
    <w:rsid w:val="00221C60"/>
    <w:rsid w:val="00243706"/>
    <w:rsid w:val="002447E0"/>
    <w:rsid w:val="00244A60"/>
    <w:rsid w:val="00245D1F"/>
    <w:rsid w:val="00252F3F"/>
    <w:rsid w:val="00253244"/>
    <w:rsid w:val="00262235"/>
    <w:rsid w:val="00272425"/>
    <w:rsid w:val="002777FD"/>
    <w:rsid w:val="00280B85"/>
    <w:rsid w:val="0028393C"/>
    <w:rsid w:val="00291A25"/>
    <w:rsid w:val="00295B7B"/>
    <w:rsid w:val="002A127E"/>
    <w:rsid w:val="002A3493"/>
    <w:rsid w:val="002A436B"/>
    <w:rsid w:val="002A6FEA"/>
    <w:rsid w:val="002A71F0"/>
    <w:rsid w:val="002B6979"/>
    <w:rsid w:val="002B70AD"/>
    <w:rsid w:val="002C06BC"/>
    <w:rsid w:val="002C479A"/>
    <w:rsid w:val="002C697B"/>
    <w:rsid w:val="002C73AB"/>
    <w:rsid w:val="002D0576"/>
    <w:rsid w:val="002D389C"/>
    <w:rsid w:val="002D3FC9"/>
    <w:rsid w:val="002D502D"/>
    <w:rsid w:val="002E0B98"/>
    <w:rsid w:val="002E0DEB"/>
    <w:rsid w:val="002E13BB"/>
    <w:rsid w:val="002E6EC3"/>
    <w:rsid w:val="002F042E"/>
    <w:rsid w:val="002F0AB2"/>
    <w:rsid w:val="002F1AA6"/>
    <w:rsid w:val="002F6E38"/>
    <w:rsid w:val="002F74EB"/>
    <w:rsid w:val="002F7CCB"/>
    <w:rsid w:val="00300B5A"/>
    <w:rsid w:val="00312257"/>
    <w:rsid w:val="00314835"/>
    <w:rsid w:val="003253B4"/>
    <w:rsid w:val="00326066"/>
    <w:rsid w:val="00326224"/>
    <w:rsid w:val="00332623"/>
    <w:rsid w:val="00333AA1"/>
    <w:rsid w:val="003405C9"/>
    <w:rsid w:val="0034328E"/>
    <w:rsid w:val="003455C5"/>
    <w:rsid w:val="00345823"/>
    <w:rsid w:val="00345AB2"/>
    <w:rsid w:val="00346482"/>
    <w:rsid w:val="003519E5"/>
    <w:rsid w:val="00355872"/>
    <w:rsid w:val="00355C85"/>
    <w:rsid w:val="00355D41"/>
    <w:rsid w:val="00356E50"/>
    <w:rsid w:val="0035740C"/>
    <w:rsid w:val="00365ED5"/>
    <w:rsid w:val="00367E3E"/>
    <w:rsid w:val="00371C23"/>
    <w:rsid w:val="00372887"/>
    <w:rsid w:val="00374764"/>
    <w:rsid w:val="00380BDE"/>
    <w:rsid w:val="003A402C"/>
    <w:rsid w:val="003A7BA6"/>
    <w:rsid w:val="003B0BE0"/>
    <w:rsid w:val="003B2EC2"/>
    <w:rsid w:val="003B66F3"/>
    <w:rsid w:val="003B6C8F"/>
    <w:rsid w:val="003C3B30"/>
    <w:rsid w:val="003C56B1"/>
    <w:rsid w:val="003C60E7"/>
    <w:rsid w:val="003D18CD"/>
    <w:rsid w:val="003D24FE"/>
    <w:rsid w:val="003E0670"/>
    <w:rsid w:val="003E096A"/>
    <w:rsid w:val="003E2373"/>
    <w:rsid w:val="003E3D23"/>
    <w:rsid w:val="003F10B6"/>
    <w:rsid w:val="003F2FCF"/>
    <w:rsid w:val="003F387B"/>
    <w:rsid w:val="003F5CAB"/>
    <w:rsid w:val="00401956"/>
    <w:rsid w:val="004046E6"/>
    <w:rsid w:val="0041088F"/>
    <w:rsid w:val="0041134D"/>
    <w:rsid w:val="00430225"/>
    <w:rsid w:val="004325D3"/>
    <w:rsid w:val="004411E4"/>
    <w:rsid w:val="00441501"/>
    <w:rsid w:val="00446BDF"/>
    <w:rsid w:val="00451241"/>
    <w:rsid w:val="00462D07"/>
    <w:rsid w:val="00464D1A"/>
    <w:rsid w:val="004655AF"/>
    <w:rsid w:val="00474584"/>
    <w:rsid w:val="0047503E"/>
    <w:rsid w:val="00476848"/>
    <w:rsid w:val="004850C6"/>
    <w:rsid w:val="004850EA"/>
    <w:rsid w:val="00486536"/>
    <w:rsid w:val="00487953"/>
    <w:rsid w:val="00490B1D"/>
    <w:rsid w:val="004926A8"/>
    <w:rsid w:val="00492738"/>
    <w:rsid w:val="0049575B"/>
    <w:rsid w:val="004958BE"/>
    <w:rsid w:val="004A016E"/>
    <w:rsid w:val="004A65D7"/>
    <w:rsid w:val="004B30A2"/>
    <w:rsid w:val="004B315F"/>
    <w:rsid w:val="004B565C"/>
    <w:rsid w:val="004B56B8"/>
    <w:rsid w:val="004B6EDB"/>
    <w:rsid w:val="004C29BC"/>
    <w:rsid w:val="004C3D53"/>
    <w:rsid w:val="004C4C28"/>
    <w:rsid w:val="004C633C"/>
    <w:rsid w:val="004D16B0"/>
    <w:rsid w:val="004D29B2"/>
    <w:rsid w:val="004D51B3"/>
    <w:rsid w:val="004D6B92"/>
    <w:rsid w:val="004D71A1"/>
    <w:rsid w:val="004E2D3E"/>
    <w:rsid w:val="004E5980"/>
    <w:rsid w:val="004F09D3"/>
    <w:rsid w:val="004F7FA9"/>
    <w:rsid w:val="005104A7"/>
    <w:rsid w:val="00513AB2"/>
    <w:rsid w:val="00516713"/>
    <w:rsid w:val="00523DD3"/>
    <w:rsid w:val="0053147B"/>
    <w:rsid w:val="00536221"/>
    <w:rsid w:val="005400B5"/>
    <w:rsid w:val="005434CB"/>
    <w:rsid w:val="0054392E"/>
    <w:rsid w:val="005479DF"/>
    <w:rsid w:val="00551308"/>
    <w:rsid w:val="00554064"/>
    <w:rsid w:val="00557CBF"/>
    <w:rsid w:val="00560FF2"/>
    <w:rsid w:val="00564B7A"/>
    <w:rsid w:val="005668D0"/>
    <w:rsid w:val="00566A5F"/>
    <w:rsid w:val="0056765F"/>
    <w:rsid w:val="00573400"/>
    <w:rsid w:val="0057379B"/>
    <w:rsid w:val="005800BA"/>
    <w:rsid w:val="00585E81"/>
    <w:rsid w:val="00586306"/>
    <w:rsid w:val="0058795A"/>
    <w:rsid w:val="00590069"/>
    <w:rsid w:val="0059012E"/>
    <w:rsid w:val="0059042D"/>
    <w:rsid w:val="00591183"/>
    <w:rsid w:val="00594ACC"/>
    <w:rsid w:val="005A2D9E"/>
    <w:rsid w:val="005A3711"/>
    <w:rsid w:val="005A3887"/>
    <w:rsid w:val="005A3CEC"/>
    <w:rsid w:val="005A46BA"/>
    <w:rsid w:val="005B094B"/>
    <w:rsid w:val="005B14F0"/>
    <w:rsid w:val="005B1C9D"/>
    <w:rsid w:val="005B7826"/>
    <w:rsid w:val="005B7872"/>
    <w:rsid w:val="005C17BC"/>
    <w:rsid w:val="005C5CB0"/>
    <w:rsid w:val="005C68C5"/>
    <w:rsid w:val="005D1ED1"/>
    <w:rsid w:val="005D57F0"/>
    <w:rsid w:val="005D5A1D"/>
    <w:rsid w:val="005E0822"/>
    <w:rsid w:val="005E1892"/>
    <w:rsid w:val="005E483F"/>
    <w:rsid w:val="005E7CF9"/>
    <w:rsid w:val="005F0913"/>
    <w:rsid w:val="005F2BF7"/>
    <w:rsid w:val="0060728E"/>
    <w:rsid w:val="00607CAF"/>
    <w:rsid w:val="00610772"/>
    <w:rsid w:val="00612C76"/>
    <w:rsid w:val="00614A99"/>
    <w:rsid w:val="006167E0"/>
    <w:rsid w:val="00620052"/>
    <w:rsid w:val="0062249A"/>
    <w:rsid w:val="00623962"/>
    <w:rsid w:val="00624C9A"/>
    <w:rsid w:val="0062638C"/>
    <w:rsid w:val="00631134"/>
    <w:rsid w:val="00633850"/>
    <w:rsid w:val="00651FFD"/>
    <w:rsid w:val="00661F7B"/>
    <w:rsid w:val="006623FB"/>
    <w:rsid w:val="00663D26"/>
    <w:rsid w:val="006646BC"/>
    <w:rsid w:val="00664DD7"/>
    <w:rsid w:val="00664E7B"/>
    <w:rsid w:val="0067013C"/>
    <w:rsid w:val="00675437"/>
    <w:rsid w:val="00677EE3"/>
    <w:rsid w:val="00682014"/>
    <w:rsid w:val="0068376E"/>
    <w:rsid w:val="0068398A"/>
    <w:rsid w:val="0068742F"/>
    <w:rsid w:val="006A33C7"/>
    <w:rsid w:val="006A5382"/>
    <w:rsid w:val="006A6EB5"/>
    <w:rsid w:val="006A7F20"/>
    <w:rsid w:val="006B0917"/>
    <w:rsid w:val="006B3B31"/>
    <w:rsid w:val="006C1388"/>
    <w:rsid w:val="006C6138"/>
    <w:rsid w:val="006E155B"/>
    <w:rsid w:val="006E2226"/>
    <w:rsid w:val="006E2F93"/>
    <w:rsid w:val="006E491B"/>
    <w:rsid w:val="006F0DCD"/>
    <w:rsid w:val="006F5B28"/>
    <w:rsid w:val="006F6635"/>
    <w:rsid w:val="006F6833"/>
    <w:rsid w:val="00700AF7"/>
    <w:rsid w:val="007029FF"/>
    <w:rsid w:val="0070451D"/>
    <w:rsid w:val="00716167"/>
    <w:rsid w:val="00716452"/>
    <w:rsid w:val="00732D8A"/>
    <w:rsid w:val="007337CD"/>
    <w:rsid w:val="00743824"/>
    <w:rsid w:val="007461EC"/>
    <w:rsid w:val="00747D5D"/>
    <w:rsid w:val="00755B08"/>
    <w:rsid w:val="00757025"/>
    <w:rsid w:val="00764ED9"/>
    <w:rsid w:val="00771199"/>
    <w:rsid w:val="00782572"/>
    <w:rsid w:val="00782E29"/>
    <w:rsid w:val="007858C5"/>
    <w:rsid w:val="007868C9"/>
    <w:rsid w:val="00794535"/>
    <w:rsid w:val="007961AD"/>
    <w:rsid w:val="007A02EE"/>
    <w:rsid w:val="007A1BCF"/>
    <w:rsid w:val="007A1D1F"/>
    <w:rsid w:val="007A5916"/>
    <w:rsid w:val="007B0331"/>
    <w:rsid w:val="007B40AE"/>
    <w:rsid w:val="007B55BA"/>
    <w:rsid w:val="007C16F1"/>
    <w:rsid w:val="007C268C"/>
    <w:rsid w:val="007C6C67"/>
    <w:rsid w:val="007D4ED3"/>
    <w:rsid w:val="007D6A29"/>
    <w:rsid w:val="007E0AFD"/>
    <w:rsid w:val="007E3008"/>
    <w:rsid w:val="007E65E4"/>
    <w:rsid w:val="007F210B"/>
    <w:rsid w:val="007F39FE"/>
    <w:rsid w:val="007F6299"/>
    <w:rsid w:val="008044FD"/>
    <w:rsid w:val="0080488B"/>
    <w:rsid w:val="00804C0F"/>
    <w:rsid w:val="00806EFA"/>
    <w:rsid w:val="00807112"/>
    <w:rsid w:val="0081036E"/>
    <w:rsid w:val="008112EF"/>
    <w:rsid w:val="00813A0C"/>
    <w:rsid w:val="0081764C"/>
    <w:rsid w:val="0082296B"/>
    <w:rsid w:val="00823BCD"/>
    <w:rsid w:val="008257DD"/>
    <w:rsid w:val="00825AC3"/>
    <w:rsid w:val="00826BD3"/>
    <w:rsid w:val="008315E5"/>
    <w:rsid w:val="00832F49"/>
    <w:rsid w:val="00833F03"/>
    <w:rsid w:val="00836C54"/>
    <w:rsid w:val="0084015B"/>
    <w:rsid w:val="00841D9F"/>
    <w:rsid w:val="00842920"/>
    <w:rsid w:val="00845E7B"/>
    <w:rsid w:val="00845F94"/>
    <w:rsid w:val="008460A8"/>
    <w:rsid w:val="00847F0E"/>
    <w:rsid w:val="00855246"/>
    <w:rsid w:val="00857710"/>
    <w:rsid w:val="008670C9"/>
    <w:rsid w:val="00867CA8"/>
    <w:rsid w:val="00880008"/>
    <w:rsid w:val="00881D2E"/>
    <w:rsid w:val="00893738"/>
    <w:rsid w:val="008A16A9"/>
    <w:rsid w:val="008A2BD4"/>
    <w:rsid w:val="008A3F48"/>
    <w:rsid w:val="008C315E"/>
    <w:rsid w:val="008C5BBB"/>
    <w:rsid w:val="008C7024"/>
    <w:rsid w:val="008D17F6"/>
    <w:rsid w:val="008D3782"/>
    <w:rsid w:val="008D4CD9"/>
    <w:rsid w:val="008D66DF"/>
    <w:rsid w:val="008E5C1F"/>
    <w:rsid w:val="008E64CB"/>
    <w:rsid w:val="008F29F4"/>
    <w:rsid w:val="009131FD"/>
    <w:rsid w:val="00914CAE"/>
    <w:rsid w:val="009161F9"/>
    <w:rsid w:val="00916F46"/>
    <w:rsid w:val="00923C0E"/>
    <w:rsid w:val="0093049B"/>
    <w:rsid w:val="00931FB4"/>
    <w:rsid w:val="00937B7A"/>
    <w:rsid w:val="00944C4F"/>
    <w:rsid w:val="0094557C"/>
    <w:rsid w:val="00946740"/>
    <w:rsid w:val="009514AA"/>
    <w:rsid w:val="00951A32"/>
    <w:rsid w:val="009547A2"/>
    <w:rsid w:val="00955065"/>
    <w:rsid w:val="00966AF9"/>
    <w:rsid w:val="0097002E"/>
    <w:rsid w:val="00970F4B"/>
    <w:rsid w:val="0097219C"/>
    <w:rsid w:val="00972B08"/>
    <w:rsid w:val="00974162"/>
    <w:rsid w:val="00975D49"/>
    <w:rsid w:val="0098040A"/>
    <w:rsid w:val="00980A89"/>
    <w:rsid w:val="009A0C66"/>
    <w:rsid w:val="009A0D1C"/>
    <w:rsid w:val="009A22BE"/>
    <w:rsid w:val="009A3AC9"/>
    <w:rsid w:val="009A4D4B"/>
    <w:rsid w:val="009A6498"/>
    <w:rsid w:val="009B160E"/>
    <w:rsid w:val="009B584F"/>
    <w:rsid w:val="009B7FF1"/>
    <w:rsid w:val="009C2EFD"/>
    <w:rsid w:val="009C4326"/>
    <w:rsid w:val="009C4AD8"/>
    <w:rsid w:val="009C5A9E"/>
    <w:rsid w:val="009C6020"/>
    <w:rsid w:val="009C68FB"/>
    <w:rsid w:val="009D39D1"/>
    <w:rsid w:val="009D57AA"/>
    <w:rsid w:val="009D7420"/>
    <w:rsid w:val="009D78E0"/>
    <w:rsid w:val="009E1039"/>
    <w:rsid w:val="009E1F67"/>
    <w:rsid w:val="009E688B"/>
    <w:rsid w:val="009E7C9E"/>
    <w:rsid w:val="009F0ED0"/>
    <w:rsid w:val="009F23FC"/>
    <w:rsid w:val="00A018B6"/>
    <w:rsid w:val="00A05B57"/>
    <w:rsid w:val="00A1173F"/>
    <w:rsid w:val="00A14435"/>
    <w:rsid w:val="00A1754F"/>
    <w:rsid w:val="00A22B18"/>
    <w:rsid w:val="00A24288"/>
    <w:rsid w:val="00A302AF"/>
    <w:rsid w:val="00A30B6D"/>
    <w:rsid w:val="00A354F8"/>
    <w:rsid w:val="00A42B7C"/>
    <w:rsid w:val="00A46191"/>
    <w:rsid w:val="00A550A4"/>
    <w:rsid w:val="00A5554B"/>
    <w:rsid w:val="00A63AB4"/>
    <w:rsid w:val="00A645EA"/>
    <w:rsid w:val="00A67DB7"/>
    <w:rsid w:val="00A73176"/>
    <w:rsid w:val="00A77567"/>
    <w:rsid w:val="00A8041E"/>
    <w:rsid w:val="00A817E6"/>
    <w:rsid w:val="00A819C3"/>
    <w:rsid w:val="00A82ACD"/>
    <w:rsid w:val="00A836FA"/>
    <w:rsid w:val="00A86C84"/>
    <w:rsid w:val="00A87951"/>
    <w:rsid w:val="00A87DC8"/>
    <w:rsid w:val="00A87F1B"/>
    <w:rsid w:val="00A91632"/>
    <w:rsid w:val="00A9637F"/>
    <w:rsid w:val="00AA1713"/>
    <w:rsid w:val="00AA2421"/>
    <w:rsid w:val="00AA6B32"/>
    <w:rsid w:val="00AA6E74"/>
    <w:rsid w:val="00AB1D84"/>
    <w:rsid w:val="00AB5ADA"/>
    <w:rsid w:val="00AB7708"/>
    <w:rsid w:val="00AC0A4E"/>
    <w:rsid w:val="00AC1900"/>
    <w:rsid w:val="00AC4870"/>
    <w:rsid w:val="00AC4BAA"/>
    <w:rsid w:val="00AD3B22"/>
    <w:rsid w:val="00AE76A5"/>
    <w:rsid w:val="00AF25A0"/>
    <w:rsid w:val="00AF54BD"/>
    <w:rsid w:val="00AF5771"/>
    <w:rsid w:val="00AF64B2"/>
    <w:rsid w:val="00B01C1B"/>
    <w:rsid w:val="00B053C0"/>
    <w:rsid w:val="00B05746"/>
    <w:rsid w:val="00B06AF5"/>
    <w:rsid w:val="00B10479"/>
    <w:rsid w:val="00B11A9D"/>
    <w:rsid w:val="00B152A9"/>
    <w:rsid w:val="00B16116"/>
    <w:rsid w:val="00B2283F"/>
    <w:rsid w:val="00B26637"/>
    <w:rsid w:val="00B2708D"/>
    <w:rsid w:val="00B33A00"/>
    <w:rsid w:val="00B344C0"/>
    <w:rsid w:val="00B34DD0"/>
    <w:rsid w:val="00B41599"/>
    <w:rsid w:val="00B451B8"/>
    <w:rsid w:val="00B45B41"/>
    <w:rsid w:val="00B46247"/>
    <w:rsid w:val="00B56CAC"/>
    <w:rsid w:val="00B56EB6"/>
    <w:rsid w:val="00B56F2E"/>
    <w:rsid w:val="00B60FFF"/>
    <w:rsid w:val="00B63F99"/>
    <w:rsid w:val="00B64F2A"/>
    <w:rsid w:val="00B658DF"/>
    <w:rsid w:val="00B66A33"/>
    <w:rsid w:val="00B67E82"/>
    <w:rsid w:val="00B71714"/>
    <w:rsid w:val="00B75983"/>
    <w:rsid w:val="00B76889"/>
    <w:rsid w:val="00B80131"/>
    <w:rsid w:val="00B81E14"/>
    <w:rsid w:val="00B81EA8"/>
    <w:rsid w:val="00B848B3"/>
    <w:rsid w:val="00B91238"/>
    <w:rsid w:val="00B92D90"/>
    <w:rsid w:val="00B93D39"/>
    <w:rsid w:val="00B94AF8"/>
    <w:rsid w:val="00B94C24"/>
    <w:rsid w:val="00B96839"/>
    <w:rsid w:val="00BA2631"/>
    <w:rsid w:val="00BA368C"/>
    <w:rsid w:val="00BA3974"/>
    <w:rsid w:val="00BA6CE1"/>
    <w:rsid w:val="00BA6E89"/>
    <w:rsid w:val="00BB021E"/>
    <w:rsid w:val="00BB319C"/>
    <w:rsid w:val="00BB477D"/>
    <w:rsid w:val="00BB724C"/>
    <w:rsid w:val="00BC0930"/>
    <w:rsid w:val="00BC1E08"/>
    <w:rsid w:val="00BC6F28"/>
    <w:rsid w:val="00BC774D"/>
    <w:rsid w:val="00BC7E71"/>
    <w:rsid w:val="00BD153C"/>
    <w:rsid w:val="00BD44C2"/>
    <w:rsid w:val="00BE6341"/>
    <w:rsid w:val="00BF117B"/>
    <w:rsid w:val="00C059C8"/>
    <w:rsid w:val="00C116DF"/>
    <w:rsid w:val="00C11CE2"/>
    <w:rsid w:val="00C23581"/>
    <w:rsid w:val="00C25248"/>
    <w:rsid w:val="00C25A0C"/>
    <w:rsid w:val="00C26C28"/>
    <w:rsid w:val="00C31D46"/>
    <w:rsid w:val="00C334E0"/>
    <w:rsid w:val="00C36E0E"/>
    <w:rsid w:val="00C419BB"/>
    <w:rsid w:val="00C452F0"/>
    <w:rsid w:val="00C52B93"/>
    <w:rsid w:val="00C53223"/>
    <w:rsid w:val="00C54BD1"/>
    <w:rsid w:val="00C55173"/>
    <w:rsid w:val="00C63BEF"/>
    <w:rsid w:val="00C66301"/>
    <w:rsid w:val="00C704CA"/>
    <w:rsid w:val="00C757BB"/>
    <w:rsid w:val="00C82EB9"/>
    <w:rsid w:val="00C85A38"/>
    <w:rsid w:val="00C876E8"/>
    <w:rsid w:val="00CA3260"/>
    <w:rsid w:val="00CB0D72"/>
    <w:rsid w:val="00CB1C17"/>
    <w:rsid w:val="00CB7DA8"/>
    <w:rsid w:val="00CC288C"/>
    <w:rsid w:val="00CC28D0"/>
    <w:rsid w:val="00CC3ADA"/>
    <w:rsid w:val="00CC4544"/>
    <w:rsid w:val="00CC4C64"/>
    <w:rsid w:val="00CD2A48"/>
    <w:rsid w:val="00CD4076"/>
    <w:rsid w:val="00CD5C90"/>
    <w:rsid w:val="00CE3927"/>
    <w:rsid w:val="00CE510A"/>
    <w:rsid w:val="00CE5920"/>
    <w:rsid w:val="00CF1F22"/>
    <w:rsid w:val="00CF371A"/>
    <w:rsid w:val="00CF396C"/>
    <w:rsid w:val="00D01C46"/>
    <w:rsid w:val="00D1177F"/>
    <w:rsid w:val="00D136E2"/>
    <w:rsid w:val="00D200F4"/>
    <w:rsid w:val="00D268BB"/>
    <w:rsid w:val="00D270F6"/>
    <w:rsid w:val="00D37D32"/>
    <w:rsid w:val="00D439F3"/>
    <w:rsid w:val="00D50F42"/>
    <w:rsid w:val="00D57EF6"/>
    <w:rsid w:val="00D62F6D"/>
    <w:rsid w:val="00D657A9"/>
    <w:rsid w:val="00D75053"/>
    <w:rsid w:val="00D816CB"/>
    <w:rsid w:val="00D81DB7"/>
    <w:rsid w:val="00D82FF2"/>
    <w:rsid w:val="00D841C5"/>
    <w:rsid w:val="00D9123C"/>
    <w:rsid w:val="00D97324"/>
    <w:rsid w:val="00DA2E14"/>
    <w:rsid w:val="00DA6ED0"/>
    <w:rsid w:val="00DB5C92"/>
    <w:rsid w:val="00DB797D"/>
    <w:rsid w:val="00DC0204"/>
    <w:rsid w:val="00DC4D0E"/>
    <w:rsid w:val="00DD296C"/>
    <w:rsid w:val="00DE3533"/>
    <w:rsid w:val="00DE5EC6"/>
    <w:rsid w:val="00DE69EF"/>
    <w:rsid w:val="00DF0790"/>
    <w:rsid w:val="00DF3FFE"/>
    <w:rsid w:val="00DF518E"/>
    <w:rsid w:val="00DF5C96"/>
    <w:rsid w:val="00DF5F16"/>
    <w:rsid w:val="00DF7542"/>
    <w:rsid w:val="00E1370A"/>
    <w:rsid w:val="00E17489"/>
    <w:rsid w:val="00E177A0"/>
    <w:rsid w:val="00E222C6"/>
    <w:rsid w:val="00E27CA5"/>
    <w:rsid w:val="00E30B2C"/>
    <w:rsid w:val="00E501B5"/>
    <w:rsid w:val="00E67B87"/>
    <w:rsid w:val="00E74487"/>
    <w:rsid w:val="00E766E2"/>
    <w:rsid w:val="00E76D2D"/>
    <w:rsid w:val="00E824EE"/>
    <w:rsid w:val="00E912B3"/>
    <w:rsid w:val="00E95132"/>
    <w:rsid w:val="00E95AF3"/>
    <w:rsid w:val="00EA1A7E"/>
    <w:rsid w:val="00EA2745"/>
    <w:rsid w:val="00EA4222"/>
    <w:rsid w:val="00EA7158"/>
    <w:rsid w:val="00EB38DD"/>
    <w:rsid w:val="00EB3CDF"/>
    <w:rsid w:val="00EB413F"/>
    <w:rsid w:val="00EC0053"/>
    <w:rsid w:val="00EC45AE"/>
    <w:rsid w:val="00EC4C1C"/>
    <w:rsid w:val="00EC7460"/>
    <w:rsid w:val="00EC7903"/>
    <w:rsid w:val="00ED675E"/>
    <w:rsid w:val="00ED74E9"/>
    <w:rsid w:val="00EF0625"/>
    <w:rsid w:val="00EF47D3"/>
    <w:rsid w:val="00EF4A67"/>
    <w:rsid w:val="00EF59ED"/>
    <w:rsid w:val="00F01AC4"/>
    <w:rsid w:val="00F111C5"/>
    <w:rsid w:val="00F114A6"/>
    <w:rsid w:val="00F12FC9"/>
    <w:rsid w:val="00F16D8B"/>
    <w:rsid w:val="00F17831"/>
    <w:rsid w:val="00F221A7"/>
    <w:rsid w:val="00F25086"/>
    <w:rsid w:val="00F27101"/>
    <w:rsid w:val="00F323D5"/>
    <w:rsid w:val="00F33DCF"/>
    <w:rsid w:val="00F342E2"/>
    <w:rsid w:val="00F34B3D"/>
    <w:rsid w:val="00F371B5"/>
    <w:rsid w:val="00F4448B"/>
    <w:rsid w:val="00F52FA0"/>
    <w:rsid w:val="00F62C6C"/>
    <w:rsid w:val="00F73138"/>
    <w:rsid w:val="00F744D5"/>
    <w:rsid w:val="00F7512B"/>
    <w:rsid w:val="00F7569B"/>
    <w:rsid w:val="00F75C6C"/>
    <w:rsid w:val="00F75ED2"/>
    <w:rsid w:val="00F86E44"/>
    <w:rsid w:val="00FA4A50"/>
    <w:rsid w:val="00FA556D"/>
    <w:rsid w:val="00FB6F7C"/>
    <w:rsid w:val="00FC65A7"/>
    <w:rsid w:val="00FC7583"/>
    <w:rsid w:val="00FD1121"/>
    <w:rsid w:val="00FE4ABA"/>
    <w:rsid w:val="00FF4613"/>
    <w:rsid w:val="00FF65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242B"/>
  <w15:docId w15:val="{394890A5-A431-4323-80C1-8B1A62249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80B85"/>
    <w:pPr>
      <w:spacing w:line="240" w:lineRule="auto"/>
      <w:jc w:val="both"/>
    </w:pPr>
    <w:rPr>
      <w:rFonts w:ascii="Arial" w:hAnsi="Arial"/>
      <w:sz w:val="24"/>
    </w:rPr>
  </w:style>
  <w:style w:type="paragraph" w:styleId="Nadpis1">
    <w:name w:val="heading 1"/>
    <w:basedOn w:val="Normln"/>
    <w:next w:val="Normln"/>
    <w:link w:val="Nadpis1Char"/>
    <w:uiPriority w:val="9"/>
    <w:qFormat/>
    <w:rsid w:val="00280B85"/>
    <w:pPr>
      <w:keepNext/>
      <w:keepLines/>
      <w:numPr>
        <w:numId w:val="1"/>
      </w:numPr>
      <w:spacing w:before="240" w:after="120" w:line="259" w:lineRule="auto"/>
      <w:ind w:left="0" w:firstLine="0"/>
      <w:outlineLvl w:val="0"/>
    </w:pPr>
    <w:rPr>
      <w:rFonts w:eastAsiaTheme="majorEastAsia" w:cstheme="majorBidi"/>
      <w:b/>
      <w:sz w:val="40"/>
      <w:szCs w:val="32"/>
    </w:rPr>
  </w:style>
  <w:style w:type="paragraph" w:styleId="Nadpis2">
    <w:name w:val="heading 2"/>
    <w:basedOn w:val="Normln"/>
    <w:next w:val="Normln"/>
    <w:link w:val="Nadpis2Char"/>
    <w:autoRedefine/>
    <w:uiPriority w:val="9"/>
    <w:unhideWhenUsed/>
    <w:qFormat/>
    <w:rsid w:val="00280B85"/>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280B85"/>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A018B6"/>
    <w:pPr>
      <w:keepNext/>
      <w:keepLines/>
      <w:numPr>
        <w:ilvl w:val="3"/>
        <w:numId w:val="1"/>
      </w:numPr>
      <w:spacing w:before="240" w:after="120"/>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280B85"/>
    <w:pPr>
      <w:keepNext/>
      <w:keepLines/>
      <w:numPr>
        <w:numId w:val="6"/>
      </w:numPr>
      <w:spacing w:before="240" w:after="120" w:line="259" w:lineRule="auto"/>
      <w:ind w:left="714" w:hanging="357"/>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677EE3"/>
    <w:pPr>
      <w:keepNext/>
      <w:keepLines/>
      <w:numPr>
        <w:numId w:val="3"/>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937B7A"/>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280B85"/>
    <w:pPr>
      <w:keepNext/>
      <w:keepLines/>
      <w:numPr>
        <w:ilvl w:val="7"/>
        <w:numId w:val="1"/>
      </w:numPr>
      <w:spacing w:before="240" w:after="120" w:line="259" w:lineRule="auto"/>
      <w:ind w:left="0" w:firstLine="0"/>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A018B6"/>
    <w:pPr>
      <w:keepNext/>
      <w:keepLines/>
      <w:numPr>
        <w:ilvl w:val="8"/>
        <w:numId w:val="1"/>
      </w:numPr>
      <w:spacing w:before="240" w:after="120"/>
      <w:ind w:left="1582" w:hanging="1582"/>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0B85"/>
    <w:rPr>
      <w:rFonts w:ascii="Arial" w:eastAsiaTheme="majorEastAsia" w:hAnsi="Arial" w:cstheme="majorBidi"/>
      <w:b/>
      <w:sz w:val="40"/>
      <w:szCs w:val="32"/>
    </w:rPr>
  </w:style>
  <w:style w:type="character" w:customStyle="1" w:styleId="Nadpis2Char">
    <w:name w:val="Nadpis 2 Char"/>
    <w:basedOn w:val="Standardnpsmoodstavce"/>
    <w:link w:val="Nadpis2"/>
    <w:uiPriority w:val="9"/>
    <w:rsid w:val="00280B85"/>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280B85"/>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A018B6"/>
    <w:rPr>
      <w:rFonts w:ascii="Arial" w:eastAsiaTheme="majorEastAsia" w:hAnsi="Arial" w:cstheme="majorBidi"/>
      <w:b/>
      <w:iCs/>
      <w:sz w:val="28"/>
    </w:rPr>
  </w:style>
  <w:style w:type="character" w:customStyle="1" w:styleId="Nadpis5Char">
    <w:name w:val="Nadpis 5 Char"/>
    <w:basedOn w:val="Standardnpsmoodstavce"/>
    <w:link w:val="Nadpis5"/>
    <w:uiPriority w:val="9"/>
    <w:rsid w:val="00280B85"/>
    <w:rPr>
      <w:rFonts w:ascii="Arial" w:eastAsiaTheme="majorEastAsia" w:hAnsi="Arial" w:cstheme="majorBidi"/>
      <w:b/>
      <w:sz w:val="24"/>
    </w:rPr>
  </w:style>
  <w:style w:type="character" w:customStyle="1" w:styleId="Nadpis6Char">
    <w:name w:val="Nadpis 6 Char"/>
    <w:basedOn w:val="Standardnpsmoodstavce"/>
    <w:link w:val="Nadpis6"/>
    <w:uiPriority w:val="9"/>
    <w:rsid w:val="004046E6"/>
    <w:rPr>
      <w:rFonts w:ascii="Arial" w:eastAsiaTheme="majorEastAsia" w:hAnsi="Arial" w:cstheme="majorBidi"/>
      <w:b/>
      <w:sz w:val="24"/>
    </w:rPr>
  </w:style>
  <w:style w:type="character" w:customStyle="1" w:styleId="Nadpis7Char">
    <w:name w:val="Nadpis 7 Char"/>
    <w:basedOn w:val="Standardnpsmoodstavce"/>
    <w:link w:val="Nadpis7"/>
    <w:uiPriority w:val="9"/>
    <w:rsid w:val="00937B7A"/>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280B85"/>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A018B6"/>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qFormat/>
    <w:rsid w:val="006F5B28"/>
    <w:rPr>
      <w:sz w:val="16"/>
      <w:szCs w:val="16"/>
    </w:rPr>
  </w:style>
  <w:style w:type="paragraph" w:styleId="Textkomente">
    <w:name w:val="annotation text"/>
    <w:basedOn w:val="Normln"/>
    <w:link w:val="TextkomenteChar"/>
    <w:uiPriority w:val="99"/>
    <w:unhideWhenUsed/>
    <w:qFormat/>
    <w:rsid w:val="006F5B28"/>
    <w:rPr>
      <w:sz w:val="20"/>
      <w:szCs w:val="20"/>
    </w:rPr>
  </w:style>
  <w:style w:type="character" w:customStyle="1" w:styleId="TextkomenteChar">
    <w:name w:val="Text komentáře Char"/>
    <w:basedOn w:val="Standardnpsmoodstavce"/>
    <w:link w:val="Textkomente"/>
    <w:uiPriority w:val="99"/>
    <w:rsid w:val="006F5B28"/>
    <w:rPr>
      <w:rFonts w:ascii="Arial" w:hAnsi="Arial"/>
      <w:sz w:val="20"/>
      <w:szCs w:val="20"/>
    </w:rPr>
  </w:style>
  <w:style w:type="paragraph" w:styleId="Odstavecseseznamem">
    <w:name w:val="List Paragraph"/>
    <w:basedOn w:val="Normln"/>
    <w:link w:val="OdstavecseseznamemChar"/>
    <w:uiPriority w:val="34"/>
    <w:qFormat/>
    <w:rsid w:val="006F5B28"/>
    <w:pPr>
      <w:ind w:left="720"/>
      <w:contextualSpacing/>
      <w:jc w:val="left"/>
    </w:pPr>
    <w:rPr>
      <w:rFonts w:ascii="Calibri" w:eastAsia="Calibri" w:hAnsi="Calibri" w:cs="Times New Roman"/>
      <w:sz w:val="22"/>
    </w:rPr>
  </w:style>
  <w:style w:type="character" w:customStyle="1" w:styleId="OdstavecseseznamemChar">
    <w:name w:val="Odstavec se seznamem Char"/>
    <w:basedOn w:val="Standardnpsmoodstavce"/>
    <w:link w:val="Odstavecseseznamem"/>
    <w:uiPriority w:val="99"/>
    <w:locked/>
    <w:rsid w:val="006B3B31"/>
    <w:rPr>
      <w:rFonts w:ascii="Calibri" w:eastAsia="Calibri" w:hAnsi="Calibri" w:cs="Times New Roman"/>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paragraph" w:styleId="Nadpisobsahu">
    <w:name w:val="TOC Heading"/>
    <w:basedOn w:val="Nadpis1"/>
    <w:next w:val="Normln"/>
    <w:uiPriority w:val="39"/>
    <w:unhideWhenUsed/>
    <w:qFormat/>
    <w:rsid w:val="003519E5"/>
    <w:pPr>
      <w:numPr>
        <w:numId w:val="0"/>
      </w:numPr>
      <w:spacing w:before="480" w:after="0" w:line="276" w:lineRule="auto"/>
      <w:jc w:val="left"/>
      <w:outlineLvl w:val="9"/>
    </w:pPr>
    <w:rPr>
      <w:rFonts w:asciiTheme="majorHAnsi" w:hAnsiTheme="majorHAnsi"/>
      <w:bCs/>
      <w:color w:val="2E74B5" w:themeColor="accent1" w:themeShade="BF"/>
      <w:sz w:val="28"/>
      <w:szCs w:val="28"/>
      <w:lang w:eastAsia="cs-CZ"/>
    </w:rPr>
  </w:style>
  <w:style w:type="paragraph" w:styleId="Obsah2">
    <w:name w:val="toc 2"/>
    <w:basedOn w:val="Normln"/>
    <w:next w:val="Normln"/>
    <w:autoRedefine/>
    <w:uiPriority w:val="39"/>
    <w:unhideWhenUsed/>
    <w:rsid w:val="003519E5"/>
    <w:pPr>
      <w:spacing w:after="100"/>
      <w:ind w:left="240"/>
    </w:pPr>
  </w:style>
  <w:style w:type="paragraph" w:styleId="Obsah3">
    <w:name w:val="toc 3"/>
    <w:basedOn w:val="Normln"/>
    <w:next w:val="Normln"/>
    <w:autoRedefine/>
    <w:uiPriority w:val="39"/>
    <w:unhideWhenUsed/>
    <w:rsid w:val="003519E5"/>
    <w:pPr>
      <w:spacing w:after="100"/>
      <w:ind w:left="480"/>
    </w:pPr>
  </w:style>
  <w:style w:type="paragraph" w:styleId="Obsah1">
    <w:name w:val="toc 1"/>
    <w:basedOn w:val="Normln"/>
    <w:next w:val="Normln"/>
    <w:autoRedefine/>
    <w:uiPriority w:val="39"/>
    <w:unhideWhenUsed/>
    <w:rsid w:val="00614A99"/>
    <w:pPr>
      <w:spacing w:after="100"/>
    </w:pPr>
  </w:style>
  <w:style w:type="paragraph" w:styleId="Textpoznpodarou">
    <w:name w:val="footnote text"/>
    <w:basedOn w:val="Normln"/>
    <w:link w:val="TextpoznpodarouChar"/>
    <w:uiPriority w:val="99"/>
    <w:semiHidden/>
    <w:unhideWhenUsed/>
    <w:rsid w:val="000B15C0"/>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semiHidden/>
    <w:rsid w:val="000B15C0"/>
    <w:rPr>
      <w:sz w:val="20"/>
      <w:szCs w:val="20"/>
    </w:rPr>
  </w:style>
  <w:style w:type="character" w:styleId="Znakapoznpodarou">
    <w:name w:val="footnote reference"/>
    <w:basedOn w:val="Standardnpsmoodstavce"/>
    <w:uiPriority w:val="99"/>
    <w:semiHidden/>
    <w:unhideWhenUsed/>
    <w:rsid w:val="000B15C0"/>
    <w:rPr>
      <w:vertAlign w:val="superscript"/>
    </w:rPr>
  </w:style>
  <w:style w:type="paragraph" w:styleId="Normlnweb">
    <w:name w:val="Normal (Web)"/>
    <w:basedOn w:val="Normln"/>
    <w:uiPriority w:val="99"/>
    <w:unhideWhenUsed/>
    <w:rsid w:val="00CE3927"/>
    <w:pPr>
      <w:spacing w:before="100" w:beforeAutospacing="1" w:after="100" w:afterAutospacing="1"/>
      <w:jc w:val="left"/>
    </w:pPr>
    <w:rPr>
      <w:rFonts w:ascii="Times New Roman" w:eastAsia="Times New Roman" w:hAnsi="Times New Roman" w:cs="Times New Roman"/>
      <w:szCs w:val="24"/>
      <w:lang w:eastAsia="cs-CZ"/>
    </w:rPr>
  </w:style>
  <w:style w:type="character" w:styleId="Siln">
    <w:name w:val="Strong"/>
    <w:basedOn w:val="Standardnpsmoodstavce"/>
    <w:uiPriority w:val="22"/>
    <w:qFormat/>
    <w:rsid w:val="00CE3927"/>
    <w:rPr>
      <w:b/>
      <w:bCs/>
    </w:rPr>
  </w:style>
  <w:style w:type="paragraph" w:styleId="Revize">
    <w:name w:val="Revision"/>
    <w:hidden/>
    <w:uiPriority w:val="99"/>
    <w:semiHidden/>
    <w:rsid w:val="00013073"/>
    <w:pPr>
      <w:spacing w:after="0" w:line="240" w:lineRule="auto"/>
    </w:pPr>
    <w:rPr>
      <w:rFonts w:ascii="Arial" w:hAnsi="Arial"/>
      <w:sz w:val="24"/>
    </w:rPr>
  </w:style>
  <w:style w:type="character" w:customStyle="1" w:styleId="tlid-translation">
    <w:name w:val="tlid-translation"/>
    <w:basedOn w:val="Standardnpsmoodstavce"/>
    <w:rsid w:val="009D57AA"/>
  </w:style>
  <w:style w:type="paragraph" w:customStyle="1" w:styleId="Default">
    <w:name w:val="Default"/>
    <w:rsid w:val="009D57AA"/>
    <w:pPr>
      <w:autoSpaceDE w:val="0"/>
      <w:autoSpaceDN w:val="0"/>
      <w:adjustRightInd w:val="0"/>
      <w:spacing w:after="0" w:line="240" w:lineRule="auto"/>
    </w:pPr>
    <w:rPr>
      <w:rFonts w:ascii="Cambria" w:hAnsi="Cambria" w:cs="Cambria"/>
      <w:color w:val="000000"/>
      <w:sz w:val="24"/>
      <w:szCs w:val="24"/>
    </w:rPr>
  </w:style>
  <w:style w:type="character" w:styleId="Sledovanodkaz">
    <w:name w:val="FollowedHyperlink"/>
    <w:basedOn w:val="Standardnpsmoodstavce"/>
    <w:uiPriority w:val="99"/>
    <w:semiHidden/>
    <w:unhideWhenUsed/>
    <w:rsid w:val="00BB724C"/>
    <w:rPr>
      <w:color w:val="954F72" w:themeColor="followedHyperlink"/>
      <w:u w:val="single"/>
    </w:rPr>
  </w:style>
  <w:style w:type="paragraph" w:styleId="Zhlav">
    <w:name w:val="header"/>
    <w:basedOn w:val="Normln"/>
    <w:link w:val="ZhlavChar"/>
    <w:uiPriority w:val="99"/>
    <w:unhideWhenUsed/>
    <w:rsid w:val="00C116DF"/>
    <w:pPr>
      <w:tabs>
        <w:tab w:val="center" w:pos="4536"/>
        <w:tab w:val="right" w:pos="9072"/>
      </w:tabs>
      <w:spacing w:after="0"/>
    </w:pPr>
  </w:style>
  <w:style w:type="character" w:customStyle="1" w:styleId="ZhlavChar">
    <w:name w:val="Záhlaví Char"/>
    <w:basedOn w:val="Standardnpsmoodstavce"/>
    <w:link w:val="Zhlav"/>
    <w:uiPriority w:val="99"/>
    <w:rsid w:val="00C116DF"/>
    <w:rPr>
      <w:rFonts w:ascii="Arial" w:hAnsi="Arial"/>
      <w:sz w:val="24"/>
    </w:rPr>
  </w:style>
  <w:style w:type="paragraph" w:styleId="Zpat">
    <w:name w:val="footer"/>
    <w:basedOn w:val="Normln"/>
    <w:link w:val="ZpatChar"/>
    <w:uiPriority w:val="99"/>
    <w:unhideWhenUsed/>
    <w:rsid w:val="00C116DF"/>
    <w:pPr>
      <w:tabs>
        <w:tab w:val="center" w:pos="4536"/>
        <w:tab w:val="right" w:pos="9072"/>
      </w:tabs>
      <w:spacing w:after="0"/>
    </w:pPr>
  </w:style>
  <w:style w:type="character" w:customStyle="1" w:styleId="ZpatChar">
    <w:name w:val="Zápatí Char"/>
    <w:basedOn w:val="Standardnpsmoodstavce"/>
    <w:link w:val="Zpat"/>
    <w:uiPriority w:val="99"/>
    <w:rsid w:val="00C116DF"/>
    <w:rPr>
      <w:rFonts w:ascii="Arial" w:hAnsi="Arial"/>
      <w:sz w:val="24"/>
    </w:rPr>
  </w:style>
  <w:style w:type="paragraph" w:customStyle="1" w:styleId="Textdopisu">
    <w:name w:val="Text dopisu"/>
    <w:basedOn w:val="Normln"/>
    <w:qFormat/>
    <w:rsid w:val="002E13BB"/>
    <w:pPr>
      <w:spacing w:after="240"/>
    </w:pPr>
    <w:rPr>
      <w:rFonts w:eastAsia="Times New Roman" w:cs="Arial"/>
      <w:szCs w:val="20"/>
      <w:lang w:eastAsia="cs-CZ"/>
    </w:rPr>
  </w:style>
  <w:style w:type="paragraph" w:customStyle="1" w:styleId="slovanodstavec">
    <w:name w:val="Číslovaný odstavec"/>
    <w:basedOn w:val="Normln"/>
    <w:qFormat/>
    <w:rsid w:val="00B658DF"/>
    <w:pPr>
      <w:numPr>
        <w:numId w:val="8"/>
      </w:numPr>
      <w:ind w:left="0"/>
    </w:pPr>
    <w:rPr>
      <w:rFonts w:asciiTheme="minorHAnsi" w:hAnsiTheme="minorHAnsi"/>
      <w:sz w:val="23"/>
      <w:szCs w:val="23"/>
    </w:rPr>
  </w:style>
  <w:style w:type="character" w:customStyle="1" w:styleId="upd">
    <w:name w:val="upd"/>
    <w:basedOn w:val="Standardnpsmoodstavce"/>
    <w:rsid w:val="00D816CB"/>
  </w:style>
  <w:style w:type="character" w:styleId="Zdraznn">
    <w:name w:val="Emphasis"/>
    <w:basedOn w:val="Standardnpsmoodstavce"/>
    <w:uiPriority w:val="20"/>
    <w:qFormat/>
    <w:rsid w:val="00C23581"/>
    <w:rPr>
      <w:i/>
      <w:iCs/>
    </w:rPr>
  </w:style>
  <w:style w:type="paragraph" w:customStyle="1" w:styleId="Dvodovzprva">
    <w:name w:val="Důvodová zpráva"/>
    <w:basedOn w:val="Normln"/>
    <w:link w:val="DvodovzprvaChar"/>
    <w:uiPriority w:val="99"/>
    <w:qFormat/>
    <w:rsid w:val="00DF0790"/>
    <w:pPr>
      <w:spacing w:before="120" w:after="0"/>
    </w:pPr>
    <w:rPr>
      <w:rFonts w:eastAsia="Times New Roman" w:cs="Times New Roman"/>
      <w:color w:val="0000FF"/>
      <w:szCs w:val="20"/>
      <w:lang w:eastAsia="cs-CZ"/>
    </w:rPr>
  </w:style>
  <w:style w:type="character" w:customStyle="1" w:styleId="DvodovzprvaChar">
    <w:name w:val="Důvodová zpráva Char"/>
    <w:link w:val="Dvodovzprva"/>
    <w:uiPriority w:val="99"/>
    <w:locked/>
    <w:rsid w:val="00DF0790"/>
    <w:rPr>
      <w:rFonts w:ascii="Arial" w:eastAsia="Times New Roman" w:hAnsi="Arial" w:cs="Times New Roman"/>
      <w:color w:val="0000FF"/>
      <w:sz w:val="24"/>
      <w:szCs w:val="20"/>
      <w:lang w:eastAsia="cs-CZ"/>
    </w:rPr>
  </w:style>
  <w:style w:type="paragraph" w:customStyle="1" w:styleId="Dvodovzprvakbodu">
    <w:name w:val="Důvodová zpráva (k bodu)"/>
    <w:basedOn w:val="Dvodovzprva"/>
    <w:next w:val="Dvodovzprva"/>
    <w:qFormat/>
    <w:rsid w:val="00DF0790"/>
    <w:pPr>
      <w:keepNext/>
      <w:numPr>
        <w:numId w:val="19"/>
      </w:numPr>
      <w:tabs>
        <w:tab w:val="num" w:pos="360"/>
      </w:tabs>
      <w:ind w:left="502" w:hanging="360"/>
      <w:outlineLvl w:val="7"/>
    </w:pPr>
    <w:rPr>
      <w:b/>
    </w:rPr>
  </w:style>
  <w:style w:type="paragraph" w:styleId="Seznamobrzk">
    <w:name w:val="table of figures"/>
    <w:basedOn w:val="Normln"/>
    <w:next w:val="Normln"/>
    <w:uiPriority w:val="99"/>
    <w:unhideWhenUsed/>
    <w:rsid w:val="00764ED9"/>
    <w:pPr>
      <w:spacing w:after="0"/>
    </w:pPr>
  </w:style>
  <w:style w:type="paragraph" w:customStyle="1" w:styleId="text">
    <w:name w:val="text"/>
    <w:basedOn w:val="Normln"/>
    <w:rsid w:val="00A14435"/>
    <w:pPr>
      <w:spacing w:before="120" w:after="0"/>
      <w:ind w:firstLine="357"/>
    </w:pPr>
    <w:rPr>
      <w:rFonts w:ascii="Times New Roman" w:eastAsia="Calibri" w:hAnsi="Times New Roman" w:cs="Times New Roman"/>
      <w:szCs w:val="24"/>
      <w:lang w:eastAsia="cs-CZ"/>
    </w:rPr>
  </w:style>
  <w:style w:type="paragraph" w:customStyle="1" w:styleId="zdvodnn">
    <w:name w:val="zdůvodnění"/>
    <w:basedOn w:val="Normln"/>
    <w:rsid w:val="00A14435"/>
    <w:pPr>
      <w:keepNext/>
      <w:spacing w:before="240" w:after="120"/>
    </w:pPr>
    <w:rPr>
      <w:rFonts w:ascii="Times New Roman" w:eastAsia="Calibri" w:hAnsi="Times New Roman" w:cs="Times New Roman"/>
      <w:b/>
      <w:bCs/>
      <w:szCs w:val="24"/>
      <w:lang w:eastAsia="cs-CZ"/>
    </w:rPr>
  </w:style>
  <w:style w:type="character" w:customStyle="1" w:styleId="acopre1">
    <w:name w:val="acopre1"/>
    <w:basedOn w:val="Standardnpsmoodstavce"/>
    <w:rsid w:val="00A14435"/>
  </w:style>
  <w:style w:type="paragraph" w:styleId="Obsah6">
    <w:name w:val="toc 6"/>
    <w:basedOn w:val="Normln"/>
    <w:next w:val="Normln"/>
    <w:autoRedefine/>
    <w:uiPriority w:val="39"/>
    <w:unhideWhenUsed/>
    <w:rsid w:val="00A8041E"/>
    <w:pPr>
      <w:spacing w:after="100"/>
      <w:ind w:left="1200"/>
    </w:pPr>
  </w:style>
  <w:style w:type="paragraph" w:styleId="Obsah4">
    <w:name w:val="toc 4"/>
    <w:basedOn w:val="Normln"/>
    <w:next w:val="Normln"/>
    <w:autoRedefine/>
    <w:uiPriority w:val="39"/>
    <w:unhideWhenUsed/>
    <w:rsid w:val="00A8041E"/>
    <w:pPr>
      <w:spacing w:after="100"/>
      <w:ind w:left="720"/>
    </w:pPr>
  </w:style>
  <w:style w:type="paragraph" w:styleId="Bezmezer">
    <w:name w:val="No Spacing"/>
    <w:uiPriority w:val="1"/>
    <w:qFormat/>
    <w:rsid w:val="00160F3C"/>
    <w:pPr>
      <w:spacing w:after="0" w:line="240" w:lineRule="auto"/>
      <w:jc w:val="both"/>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265376">
      <w:bodyDiv w:val="1"/>
      <w:marLeft w:val="0"/>
      <w:marRight w:val="0"/>
      <w:marTop w:val="0"/>
      <w:marBottom w:val="0"/>
      <w:divBdr>
        <w:top w:val="none" w:sz="0" w:space="0" w:color="auto"/>
        <w:left w:val="none" w:sz="0" w:space="0" w:color="auto"/>
        <w:bottom w:val="none" w:sz="0" w:space="0" w:color="auto"/>
        <w:right w:val="none" w:sz="0" w:space="0" w:color="auto"/>
      </w:divBdr>
    </w:div>
    <w:div w:id="977151306">
      <w:bodyDiv w:val="1"/>
      <w:marLeft w:val="0"/>
      <w:marRight w:val="0"/>
      <w:marTop w:val="0"/>
      <w:marBottom w:val="0"/>
      <w:divBdr>
        <w:top w:val="none" w:sz="0" w:space="0" w:color="auto"/>
        <w:left w:val="none" w:sz="0" w:space="0" w:color="auto"/>
        <w:bottom w:val="none" w:sz="0" w:space="0" w:color="auto"/>
        <w:right w:val="none" w:sz="0" w:space="0" w:color="auto"/>
      </w:divBdr>
    </w:div>
    <w:div w:id="1440444377">
      <w:bodyDiv w:val="1"/>
      <w:marLeft w:val="0"/>
      <w:marRight w:val="0"/>
      <w:marTop w:val="0"/>
      <w:marBottom w:val="0"/>
      <w:divBdr>
        <w:top w:val="none" w:sz="0" w:space="0" w:color="auto"/>
        <w:left w:val="none" w:sz="0" w:space="0" w:color="auto"/>
        <w:bottom w:val="none" w:sz="0" w:space="0" w:color="auto"/>
        <w:right w:val="none" w:sz="0" w:space="0" w:color="auto"/>
      </w:divBdr>
      <w:divsChild>
        <w:div w:id="1205409752">
          <w:marLeft w:val="360"/>
          <w:marRight w:val="0"/>
          <w:marTop w:val="200"/>
          <w:marBottom w:val="0"/>
          <w:divBdr>
            <w:top w:val="none" w:sz="0" w:space="0" w:color="auto"/>
            <w:left w:val="none" w:sz="0" w:space="0" w:color="auto"/>
            <w:bottom w:val="none" w:sz="0" w:space="0" w:color="auto"/>
            <w:right w:val="none" w:sz="0" w:space="0" w:color="auto"/>
          </w:divBdr>
        </w:div>
        <w:div w:id="243758223">
          <w:marLeft w:val="360"/>
          <w:marRight w:val="0"/>
          <w:marTop w:val="200"/>
          <w:marBottom w:val="0"/>
          <w:divBdr>
            <w:top w:val="none" w:sz="0" w:space="0" w:color="auto"/>
            <w:left w:val="none" w:sz="0" w:space="0" w:color="auto"/>
            <w:bottom w:val="none" w:sz="0" w:space="0" w:color="auto"/>
            <w:right w:val="none" w:sz="0" w:space="0" w:color="auto"/>
          </w:divBdr>
        </w:div>
        <w:div w:id="657272405">
          <w:marLeft w:val="360"/>
          <w:marRight w:val="0"/>
          <w:marTop w:val="200"/>
          <w:marBottom w:val="0"/>
          <w:divBdr>
            <w:top w:val="none" w:sz="0" w:space="0" w:color="auto"/>
            <w:left w:val="none" w:sz="0" w:space="0" w:color="auto"/>
            <w:bottom w:val="none" w:sz="0" w:space="0" w:color="auto"/>
            <w:right w:val="none" w:sz="0" w:space="0" w:color="auto"/>
          </w:divBdr>
        </w:div>
        <w:div w:id="866724259">
          <w:marLeft w:val="360"/>
          <w:marRight w:val="0"/>
          <w:marTop w:val="200"/>
          <w:marBottom w:val="0"/>
          <w:divBdr>
            <w:top w:val="none" w:sz="0" w:space="0" w:color="auto"/>
            <w:left w:val="none" w:sz="0" w:space="0" w:color="auto"/>
            <w:bottom w:val="none" w:sz="0" w:space="0" w:color="auto"/>
            <w:right w:val="none" w:sz="0" w:space="0" w:color="auto"/>
          </w:divBdr>
        </w:div>
      </w:divsChild>
    </w:div>
    <w:div w:id="1922181634">
      <w:bodyDiv w:val="1"/>
      <w:marLeft w:val="0"/>
      <w:marRight w:val="0"/>
      <w:marTop w:val="0"/>
      <w:marBottom w:val="0"/>
      <w:divBdr>
        <w:top w:val="none" w:sz="0" w:space="0" w:color="auto"/>
        <w:left w:val="none" w:sz="0" w:space="0" w:color="auto"/>
        <w:bottom w:val="none" w:sz="0" w:space="0" w:color="auto"/>
        <w:right w:val="none" w:sz="0" w:space="0" w:color="auto"/>
      </w:divBdr>
    </w:div>
    <w:div w:id="2077123608">
      <w:bodyDiv w:val="1"/>
      <w:marLeft w:val="0"/>
      <w:marRight w:val="0"/>
      <w:marTop w:val="0"/>
      <w:marBottom w:val="0"/>
      <w:divBdr>
        <w:top w:val="none" w:sz="0" w:space="0" w:color="auto"/>
        <w:left w:val="none" w:sz="0" w:space="0" w:color="auto"/>
        <w:bottom w:val="none" w:sz="0" w:space="0" w:color="auto"/>
        <w:right w:val="none" w:sz="0" w:space="0" w:color="auto"/>
      </w:divBdr>
      <w:divsChild>
        <w:div w:id="65256073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URAD\NS1\ODBORY\Odbor73\19_Projekt%20anal&#253;zy\T&#201;MATA\mini%20anal&#253;zy\AKTUALNI_od_13_10_2020_vse%20nov&#233;%20ukl&#225;dat%20sem\Cileni_Cenda_F1\statistika%20blokace_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List1!$R$184</c:f>
              <c:strCache>
                <c:ptCount val="1"/>
                <c:pt idx="0">
                  <c:v>Ano</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List1!$Q$185:$Q$188</c:f>
              <c:strCache>
                <c:ptCount val="4"/>
                <c:pt idx="0">
                  <c:v>Jazyk</c:v>
                </c:pt>
                <c:pt idx="1">
                  <c:v>Telefon</c:v>
                </c:pt>
                <c:pt idx="2">
                  <c:v>Měna</c:v>
                </c:pt>
                <c:pt idx="3">
                  <c:v>Registrace s výběrem ČR</c:v>
                </c:pt>
              </c:strCache>
            </c:strRef>
          </c:cat>
          <c:val>
            <c:numRef>
              <c:f>List1!$R$185:$R$188</c:f>
              <c:numCache>
                <c:formatCode>General</c:formatCode>
                <c:ptCount val="4"/>
                <c:pt idx="0">
                  <c:v>134</c:v>
                </c:pt>
                <c:pt idx="1">
                  <c:v>86</c:v>
                </c:pt>
                <c:pt idx="2">
                  <c:v>123</c:v>
                </c:pt>
                <c:pt idx="3">
                  <c:v>157</c:v>
                </c:pt>
              </c:numCache>
            </c:numRef>
          </c:val>
          <c:extLst>
            <c:ext xmlns:c16="http://schemas.microsoft.com/office/drawing/2014/chart" uri="{C3380CC4-5D6E-409C-BE32-E72D297353CC}">
              <c16:uniqueId val="{00000000-312E-4788-8714-BA65DF466F71}"/>
            </c:ext>
          </c:extLst>
        </c:ser>
        <c:ser>
          <c:idx val="1"/>
          <c:order val="1"/>
          <c:tx>
            <c:strRef>
              <c:f>List1!$S$184</c:f>
              <c:strCache>
                <c:ptCount val="1"/>
                <c:pt idx="0">
                  <c:v>Ne</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List1!$Q$185:$Q$188</c:f>
              <c:strCache>
                <c:ptCount val="4"/>
                <c:pt idx="0">
                  <c:v>Jazyk</c:v>
                </c:pt>
                <c:pt idx="1">
                  <c:v>Telefon</c:v>
                </c:pt>
                <c:pt idx="2">
                  <c:v>Měna</c:v>
                </c:pt>
                <c:pt idx="3">
                  <c:v>Registrace s výběrem ČR</c:v>
                </c:pt>
              </c:strCache>
            </c:strRef>
          </c:cat>
          <c:val>
            <c:numRef>
              <c:f>List1!$S$185:$S$188</c:f>
              <c:numCache>
                <c:formatCode>General</c:formatCode>
                <c:ptCount val="4"/>
                <c:pt idx="0">
                  <c:v>47</c:v>
                </c:pt>
                <c:pt idx="1">
                  <c:v>95</c:v>
                </c:pt>
                <c:pt idx="2">
                  <c:v>58</c:v>
                </c:pt>
                <c:pt idx="3">
                  <c:v>24</c:v>
                </c:pt>
              </c:numCache>
            </c:numRef>
          </c:val>
          <c:extLst>
            <c:ext xmlns:c16="http://schemas.microsoft.com/office/drawing/2014/chart" uri="{C3380CC4-5D6E-409C-BE32-E72D297353CC}">
              <c16:uniqueId val="{00000001-312E-4788-8714-BA65DF466F71}"/>
            </c:ext>
          </c:extLst>
        </c:ser>
        <c:dLbls>
          <c:showLegendKey val="0"/>
          <c:showVal val="0"/>
          <c:showCatName val="0"/>
          <c:showSerName val="0"/>
          <c:showPercent val="0"/>
          <c:showBubbleSize val="0"/>
        </c:dLbls>
        <c:gapWidth val="150"/>
        <c:overlap val="100"/>
        <c:axId val="42515840"/>
        <c:axId val="43095168"/>
      </c:barChart>
      <c:catAx>
        <c:axId val="4251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3095168"/>
        <c:crosses val="autoZero"/>
        <c:auto val="1"/>
        <c:lblAlgn val="ctr"/>
        <c:lblOffset val="100"/>
        <c:noMultiLvlLbl val="0"/>
      </c:catAx>
      <c:valAx>
        <c:axId val="43095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2515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4FEAF-4289-4219-B7DF-BF5482D51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12394</Words>
  <Characters>73129</Characters>
  <Application>Microsoft Office Word</Application>
  <DocSecurity>0</DocSecurity>
  <Lines>609</Lines>
  <Paragraphs>170</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85353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Poláková Karolína</dc:creator>
  <cp:lastModifiedBy>Nespěšná Petra Mgr. Bc.</cp:lastModifiedBy>
  <cp:revision>4</cp:revision>
  <dcterms:created xsi:type="dcterms:W3CDTF">2021-06-03T09:02:00Z</dcterms:created>
  <dcterms:modified xsi:type="dcterms:W3CDTF">2021-06-03T09:42:00Z</dcterms:modified>
</cp:coreProperties>
</file>