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BF667A" w14:textId="3DEDE122" w:rsidR="00317382" w:rsidRDefault="00317382" w:rsidP="00317382">
      <w:pPr>
        <w:pStyle w:val="Nadpis2"/>
        <w:numPr>
          <w:ilvl w:val="0"/>
          <w:numId w:val="0"/>
        </w:numPr>
        <w:ind w:left="578"/>
      </w:pPr>
      <w:bookmarkStart w:id="0" w:name="_Toc73611565"/>
      <w:r>
        <w:t>Druhy hazardní</w:t>
      </w:r>
      <w:r w:rsidR="00F51476">
        <w:t>ch</w:t>
      </w:r>
      <w:r>
        <w:t xml:space="preserve"> her</w:t>
      </w:r>
      <w:bookmarkEnd w:id="0"/>
    </w:p>
    <w:p w14:paraId="00D3A7D8" w14:textId="18256AF8" w:rsidR="002E6EC3" w:rsidRDefault="00B24045" w:rsidP="00317382">
      <w:pPr>
        <w:pStyle w:val="Nadpis2"/>
      </w:pPr>
      <w:bookmarkStart w:id="1" w:name="_Toc73611566"/>
      <w:r>
        <w:t>Loterie</w:t>
      </w:r>
      <w:bookmarkEnd w:id="1"/>
    </w:p>
    <w:p w14:paraId="52DAC496" w14:textId="16E7DE8D" w:rsidR="004411E4" w:rsidRPr="00317382" w:rsidRDefault="004411E4" w:rsidP="00317382">
      <w:pPr>
        <w:pStyle w:val="Nadpis3"/>
      </w:pPr>
      <w:bookmarkStart w:id="2" w:name="_Toc73611567"/>
      <w:r w:rsidRPr="00317382">
        <w:t>Ko</w:t>
      </w:r>
      <w:r w:rsidR="00317382">
        <w:t>nkrétní popis regulace</w:t>
      </w:r>
      <w:r w:rsidRPr="00317382">
        <w:t xml:space="preserve"> obsažené v zákoně o</w:t>
      </w:r>
      <w:r w:rsidR="009E0911" w:rsidRPr="00317382">
        <w:t> </w:t>
      </w:r>
      <w:r w:rsidRPr="00317382">
        <w:t>loteriích</w:t>
      </w:r>
      <w:bookmarkEnd w:id="2"/>
    </w:p>
    <w:p w14:paraId="4E2E7CC3" w14:textId="37FA1312" w:rsidR="004A0AAC" w:rsidRPr="00843D3F" w:rsidRDefault="00320A6E" w:rsidP="0084158A">
      <w:pPr>
        <w:rPr>
          <w:rFonts w:cs="Arial"/>
          <w:szCs w:val="24"/>
        </w:rPr>
      </w:pPr>
      <w:r>
        <w:t xml:space="preserve">Provozování loterie bylo upraveno v zákoně o loteriích a jiných podobných hrách. </w:t>
      </w:r>
      <w:r w:rsidR="007904E7">
        <w:t xml:space="preserve">Zákon o loteriích však neupravoval provozování loterií prostřednictvím internetu. </w:t>
      </w:r>
      <w:r w:rsidR="00824CA0">
        <w:t>Úhrnná výše výher byla stanovena na rozpětí 20</w:t>
      </w:r>
      <w:r w:rsidR="002055C2">
        <w:t xml:space="preserve"> </w:t>
      </w:r>
      <w:r w:rsidR="00824CA0">
        <w:t>% - 60</w:t>
      </w:r>
      <w:r w:rsidR="002055C2">
        <w:t xml:space="preserve"> </w:t>
      </w:r>
      <w:r w:rsidR="00824CA0">
        <w:t>% (případně až 70</w:t>
      </w:r>
      <w:r w:rsidR="002055C2">
        <w:t xml:space="preserve"> </w:t>
      </w:r>
      <w:r w:rsidR="00824CA0">
        <w:t>%).</w:t>
      </w:r>
      <w:r w:rsidR="00317382">
        <w:t xml:space="preserve"> </w:t>
      </w:r>
      <w:r w:rsidR="00440EFC">
        <w:rPr>
          <w:rFonts w:cs="Arial"/>
          <w:szCs w:val="24"/>
        </w:rPr>
        <w:t xml:space="preserve">Kontrola losů </w:t>
      </w:r>
      <w:r w:rsidR="00980D00">
        <w:rPr>
          <w:rFonts w:cs="Arial"/>
          <w:szCs w:val="24"/>
        </w:rPr>
        <w:t xml:space="preserve">okamžité loterie </w:t>
      </w:r>
      <w:r w:rsidR="00440EFC">
        <w:rPr>
          <w:rFonts w:cs="Arial"/>
          <w:szCs w:val="24"/>
        </w:rPr>
        <w:t xml:space="preserve">probíhala dle zákona o loteriích pouze namátkově a </w:t>
      </w:r>
      <w:r w:rsidR="00471982" w:rsidRPr="00843D3F">
        <w:rPr>
          <w:rFonts w:cs="Arial"/>
          <w:szCs w:val="24"/>
        </w:rPr>
        <w:t>za pří</w:t>
      </w:r>
      <w:r w:rsidR="00440EFC">
        <w:rPr>
          <w:rFonts w:cs="Arial"/>
          <w:szCs w:val="24"/>
        </w:rPr>
        <w:t>tomnosti orgánu státního dozoru</w:t>
      </w:r>
      <w:r w:rsidR="00471982" w:rsidRPr="00843D3F">
        <w:rPr>
          <w:rFonts w:cs="Arial"/>
          <w:szCs w:val="24"/>
        </w:rPr>
        <w:t xml:space="preserve">. </w:t>
      </w:r>
    </w:p>
    <w:p w14:paraId="03ADCD33" w14:textId="1842DF3C" w:rsidR="004411E4" w:rsidRDefault="00356E50" w:rsidP="00317382">
      <w:pPr>
        <w:pStyle w:val="Nadpis3"/>
      </w:pPr>
      <w:bookmarkStart w:id="3" w:name="_Toc73611568"/>
      <w:r>
        <w:t>Konkrétní pop</w:t>
      </w:r>
      <w:r w:rsidR="00317382">
        <w:t>is regulace obsažené v zákoně o </w:t>
      </w:r>
      <w:r>
        <w:t>hazardních hrách</w:t>
      </w:r>
      <w:bookmarkEnd w:id="3"/>
    </w:p>
    <w:p w14:paraId="6C7AE347" w14:textId="748CBEB0" w:rsidR="00B24045" w:rsidRPr="00843D3F" w:rsidRDefault="00B45123" w:rsidP="002055C2">
      <w:r>
        <w:t>V</w:t>
      </w:r>
      <w:r w:rsidR="00B24045" w:rsidRPr="00843D3F">
        <w:t xml:space="preserve"> § 18 až § 26 </w:t>
      </w:r>
      <w:r>
        <w:t xml:space="preserve">zákon o hazardních hrách </w:t>
      </w:r>
      <w:r w:rsidR="00B24045" w:rsidRPr="00843D3F">
        <w:t xml:space="preserve">stanoví podmínky pro provozování loterie. Právní úprava provozování loterií byla ve </w:t>
      </w:r>
      <w:r w:rsidR="00B24045" w:rsidRPr="00317382">
        <w:rPr>
          <w:b/>
        </w:rPr>
        <w:t>velké míře převzata</w:t>
      </w:r>
      <w:r w:rsidR="00824CA0" w:rsidRPr="00317382">
        <w:rPr>
          <w:b/>
        </w:rPr>
        <w:t xml:space="preserve"> ze zákona o loteriích</w:t>
      </w:r>
      <w:r w:rsidR="00824CA0">
        <w:t xml:space="preserve"> a jiných podobných hrách</w:t>
      </w:r>
      <w:r w:rsidR="00B24045" w:rsidRPr="00843D3F">
        <w:t xml:space="preserve"> do zákona o hazardních hrách, nově </w:t>
      </w:r>
      <w:r w:rsidR="00177645">
        <w:t xml:space="preserve">je </w:t>
      </w:r>
      <w:r w:rsidR="00B24045" w:rsidRPr="00843D3F">
        <w:t xml:space="preserve">však </w:t>
      </w:r>
      <w:r w:rsidR="00B24045" w:rsidRPr="00317382">
        <w:rPr>
          <w:b/>
        </w:rPr>
        <w:t>umožněno i provozování prostřednictvím internetu</w:t>
      </w:r>
      <w:r w:rsidR="009B2086">
        <w:t xml:space="preserve">. </w:t>
      </w:r>
      <w:r w:rsidR="00B24045" w:rsidRPr="00843D3F">
        <w:t xml:space="preserve">Loteriemi se dle zákona o hazardních hrách rozumí </w:t>
      </w:r>
      <w:r w:rsidR="00B24045" w:rsidRPr="00317382">
        <w:rPr>
          <w:b/>
        </w:rPr>
        <w:t xml:space="preserve">loterie číselné, </w:t>
      </w:r>
      <w:r w:rsidR="00317382">
        <w:rPr>
          <w:b/>
        </w:rPr>
        <w:t xml:space="preserve">peněžité, </w:t>
      </w:r>
      <w:r w:rsidR="00B24045" w:rsidRPr="00317382">
        <w:rPr>
          <w:b/>
        </w:rPr>
        <w:t>věcné a okamžité</w:t>
      </w:r>
      <w:r w:rsidR="00B24045" w:rsidRPr="00843D3F">
        <w:t>.</w:t>
      </w:r>
    </w:p>
    <w:p w14:paraId="416E086A" w14:textId="4CDEC591" w:rsidR="00B24045" w:rsidRPr="00843D3F" w:rsidRDefault="00B24045" w:rsidP="002055C2">
      <w:r w:rsidRPr="00317382">
        <w:rPr>
          <w:b/>
        </w:rPr>
        <w:t>Číselnou loterii</w:t>
      </w:r>
      <w:r w:rsidRPr="00843D3F">
        <w:t xml:space="preserve"> zákon o hazardních hrách definuje jako hru, u níž je výhra podmíněna uhodnutím čísel, která budou tažena ve slosování. Stanovit čísla, která by mohla být tažena v rámci slosování, může buď sám sázející, nebo mohou být náhodně vygenerována přímo provozovatelem za použití generátoru náhodných čísel. Na rozdíl od ostatních druhů loterií se tedy nevydávají losy. Výhra se vypočítává podle počtu výherců nebo úhrnné výše sázek předem stanoveným podílem, nebo se stanoví násobkem sázky podle toho, jak z omezeného počtu </w:t>
      </w:r>
      <w:r w:rsidR="00994FCA">
        <w:t>čísel tažených při slosování uh</w:t>
      </w:r>
      <w:r w:rsidRPr="00843D3F">
        <w:t xml:space="preserve">odl sázející herním plánem určený počet tažených čísel. Tento způsob výpočtu výhry zůstává v zákoně o hazardních hrách stejný jako v zákoně o loteriích. </w:t>
      </w:r>
    </w:p>
    <w:p w14:paraId="35459A75" w14:textId="77777777" w:rsidR="00B24045" w:rsidRPr="00843D3F" w:rsidRDefault="00B24045" w:rsidP="002055C2">
      <w:r w:rsidRPr="00317382">
        <w:rPr>
          <w:b/>
        </w:rPr>
        <w:t>Peněžité a věcné loterie</w:t>
      </w:r>
      <w:r w:rsidRPr="00843D3F">
        <w:t xml:space="preserve"> jsou loterie, jejichž podstatou jsou losy určené ke slosování a výhra je podmíněna vylosováním určitého losu. Do slosování jsou u těchto loterií zahrnuty všechny vydané losy.</w:t>
      </w:r>
    </w:p>
    <w:p w14:paraId="4A434D13" w14:textId="6CC4BDEB" w:rsidR="00B24045" w:rsidRPr="00843D3F" w:rsidRDefault="00B24045" w:rsidP="002055C2">
      <w:r w:rsidRPr="00317382">
        <w:rPr>
          <w:b/>
        </w:rPr>
        <w:t>Okamžitá loterie</w:t>
      </w:r>
      <w:r w:rsidRPr="00843D3F">
        <w:t xml:space="preserve"> je loterie, jejíž podstatou jsou losy určené k setření zakryté části losu, která obsahuje informaci o případné výhře. Na rozdíl od předchozích druhů loterií se</w:t>
      </w:r>
      <w:r>
        <w:t> </w:t>
      </w:r>
      <w:r w:rsidR="00317382">
        <w:t>tak sázející</w:t>
      </w:r>
      <w:r w:rsidRPr="00843D3F">
        <w:t xml:space="preserve"> v případě okamžitých loterií dozví informaci o výhře okamžitě, a</w:t>
      </w:r>
      <w:r>
        <w:t> </w:t>
      </w:r>
      <w:r w:rsidRPr="00843D3F">
        <w:t>to</w:t>
      </w:r>
      <w:r>
        <w:t> </w:t>
      </w:r>
      <w:r w:rsidRPr="00843D3F">
        <w:t>bezprostředně po setření zakrytých polí na losu.</w:t>
      </w:r>
    </w:p>
    <w:p w14:paraId="12F0B230" w14:textId="2E9DF98A" w:rsidR="00B24045" w:rsidRPr="00843D3F" w:rsidRDefault="00B24045" w:rsidP="002055C2">
      <w:r w:rsidRPr="00843D3F">
        <w:t>U loterií provozovaných</w:t>
      </w:r>
      <w:r w:rsidR="00787DBE">
        <w:t xml:space="preserve"> formou</w:t>
      </w:r>
      <w:r w:rsidRPr="00843D3F">
        <w:t xml:space="preserve"> </w:t>
      </w:r>
      <w:r w:rsidRPr="00317382">
        <w:rPr>
          <w:b/>
        </w:rPr>
        <w:t>land-based</w:t>
      </w:r>
      <w:r w:rsidRPr="00843D3F">
        <w:t xml:space="preserve"> je nutné </w:t>
      </w:r>
      <w:r w:rsidRPr="00317382">
        <w:rPr>
          <w:b/>
        </w:rPr>
        <w:t>nárok na výhru prokázat</w:t>
      </w:r>
      <w:r w:rsidR="007F6CD8">
        <w:t>,</w:t>
      </w:r>
      <w:r w:rsidRPr="00843D3F">
        <w:t xml:space="preserve"> a</w:t>
      </w:r>
      <w:r w:rsidR="00ED00C1">
        <w:t> </w:t>
      </w:r>
      <w:r w:rsidRPr="00843D3F">
        <w:t>to</w:t>
      </w:r>
      <w:r w:rsidR="00ED00C1">
        <w:t> </w:t>
      </w:r>
      <w:r w:rsidRPr="00843D3F">
        <w:t>buď předložením sázkového tiketu v případě číselné loterie, případně losem okamžité, peněžité či věcné loterie</w:t>
      </w:r>
      <w:r w:rsidR="00317382">
        <w:t xml:space="preserve">, jelikož k účasti na </w:t>
      </w:r>
      <w:r w:rsidR="00FD4A51">
        <w:t>loterii</w:t>
      </w:r>
      <w:r w:rsidR="00317382">
        <w:t xml:space="preserve"> </w:t>
      </w:r>
      <w:r w:rsidR="009B3C8E">
        <w:t>provozované formou land</w:t>
      </w:r>
      <w:r w:rsidR="009B3C8E">
        <w:noBreakHyphen/>
        <w:t xml:space="preserve">based </w:t>
      </w:r>
      <w:r w:rsidR="00317382">
        <w:t>není třeba registrace</w:t>
      </w:r>
      <w:r w:rsidR="006A1B83">
        <w:t>.</w:t>
      </w:r>
      <w:r w:rsidRPr="00843D3F">
        <w:t xml:space="preserve"> </w:t>
      </w:r>
      <w:r w:rsidR="006A1B83">
        <w:t>U</w:t>
      </w:r>
      <w:r w:rsidRPr="00843D3F">
        <w:t xml:space="preserve"> internetových loterií není nárok na výhru nutné uplatňovat, probíhá automaticky ihned po vyhodnocení </w:t>
      </w:r>
      <w:r w:rsidR="00980D00">
        <w:t xml:space="preserve">slosování </w:t>
      </w:r>
      <w:r w:rsidRPr="00843D3F">
        <w:t>loterie</w:t>
      </w:r>
      <w:r w:rsidR="00980D00">
        <w:t xml:space="preserve"> nebo setření losu okamžité loterie</w:t>
      </w:r>
      <w:r w:rsidRPr="00843D3F">
        <w:t>.</w:t>
      </w:r>
    </w:p>
    <w:p w14:paraId="36F09E93" w14:textId="20A196CA" w:rsidR="00B24045" w:rsidRPr="00843D3F" w:rsidRDefault="00B24045" w:rsidP="002055C2">
      <w:r w:rsidRPr="00843D3F">
        <w:t xml:space="preserve">Zákon o hazardních hrách nově umožňuje taktéž provozovat </w:t>
      </w:r>
      <w:r w:rsidRPr="00317382">
        <w:rPr>
          <w:b/>
        </w:rPr>
        <w:t>sdílenou loterii</w:t>
      </w:r>
      <w:r w:rsidRPr="00843D3F">
        <w:t xml:space="preserve">. Sdílené loterie jsou v zákoně o hazardních hrách upraveny zcela nově a představují společně s doplňkovými loteriemi další druh loterií. Sdílené loterie představují institut, který je </w:t>
      </w:r>
      <w:r w:rsidRPr="00843D3F">
        <w:lastRenderedPageBreak/>
        <w:t>koncipován jako způsob provozování jednotlivých výše uvedených druhů loterií. Jedná se o spojení více provozovatelů, a to pouze v rámci Evropské unie, resp. Evropského hospodářského prostoru, za účelem sdílení herní jistiny. Všichni provozovatelé zapojení do sdílené loterie musí mít platné povolení k provozování dané loterie na</w:t>
      </w:r>
      <w:r>
        <w:t> </w:t>
      </w:r>
      <w:r w:rsidRPr="00843D3F">
        <w:t>území některého ze států Evropské unie či Evropského hospodářského prostoru nebo musí být k takovému provozování na území některého z výše uvedených států jinak oprávněni (např. na základě ohlášení atd.). Tento způsob provozování znamená navýšení množství sázek a dává účastníkům hazardní hry šanci na mnohonásobně vyšší výhru. Touto formou dochází mimo jiné ke zvýšení atraktivity hazardní hry pro</w:t>
      </w:r>
      <w:r>
        <w:t> </w:t>
      </w:r>
      <w:r w:rsidRPr="00843D3F">
        <w:t>účastníky hazardní hry. Slosování probíhá vždy společně pro všechny provozovatele, kteří ke sdílené loterii přistoupili. Odpovědnost za řádné provozování loterie, zejména za ochranu účastníků sdílené loterie, i za splnění všech povinností stanovených zákonem o hazardních hrách, má ten provozovatel, u něhož byla sázka přijata. Pro sdílenou loterii je nutné</w:t>
      </w:r>
      <w:r w:rsidR="009B3C8E">
        <w:t xml:space="preserve"> mít zvláštní povolení vydané k </w:t>
      </w:r>
      <w:r w:rsidRPr="00843D3F">
        <w:t>základnímu povolení pro provozování loterie.</w:t>
      </w:r>
    </w:p>
    <w:p w14:paraId="48003DA6" w14:textId="01CF0B17" w:rsidR="00B24045" w:rsidRPr="00843D3F" w:rsidRDefault="00B24045" w:rsidP="002055C2">
      <w:r w:rsidRPr="00843D3F">
        <w:t>Vzhledem k nutnosti zajištění splnění podmínky pro výši úhrnné ceny výher, která nesmí být nižší než 40</w:t>
      </w:r>
      <w:r w:rsidR="00B04D9C">
        <w:t xml:space="preserve"> </w:t>
      </w:r>
      <w:r w:rsidRPr="00843D3F">
        <w:t>% a vyšší než 80</w:t>
      </w:r>
      <w:r w:rsidR="00B04D9C">
        <w:t xml:space="preserve"> </w:t>
      </w:r>
      <w:r w:rsidRPr="00843D3F">
        <w:t>% herní jistiny a pravděpodobnosti výhry, která</w:t>
      </w:r>
      <w:r>
        <w:t> </w:t>
      </w:r>
      <w:r w:rsidR="000A4109">
        <w:t>nesmí být nižší než 1:</w:t>
      </w:r>
      <w:r w:rsidRPr="00843D3F">
        <w:t xml:space="preserve">200, je vytvořen institut tzv. </w:t>
      </w:r>
      <w:r w:rsidRPr="00317382">
        <w:rPr>
          <w:b/>
        </w:rPr>
        <w:t>doplňkové loterie</w:t>
      </w:r>
      <w:r w:rsidRPr="00843D3F">
        <w:t>, kdy</w:t>
      </w:r>
      <w:r>
        <w:t> </w:t>
      </w:r>
      <w:r w:rsidRPr="00843D3F">
        <w:t>podmínkou účasti na doplňkové loterii je i účast na loterii základní. Tento institut je využíván především u číselných loterií, neboť u nich nelze stanovit předem přesnou výši výherní jistiny, která je v závěru odvislá od konečného počtu správně tipujících sázejících. Konkrétní podmínky doplňkové loterie musí být, stejně jako podmínky loterie primární, uvedeny v herním plánu, který je předmětem sc</w:t>
      </w:r>
      <w:r w:rsidR="00BB4D5B">
        <w:t>hválení v </w:t>
      </w:r>
      <w:r w:rsidRPr="00843D3F">
        <w:t>rámci vydání základního povolení. Ustanovení jednotlivých druhů loterií se na danou doplňkovou loteri</w:t>
      </w:r>
      <w:r w:rsidR="009B2086">
        <w:t xml:space="preserve">i použijí přiměřeně, jelikož </w:t>
      </w:r>
      <w:r w:rsidRPr="00843D3F">
        <w:t xml:space="preserve">se jedná o jakousi kvaziloterii, </w:t>
      </w:r>
      <w:r w:rsidR="00BB4D5B">
        <w:t>u </w:t>
      </w:r>
      <w:r w:rsidR="009B2086">
        <w:t xml:space="preserve">níž </w:t>
      </w:r>
      <w:r w:rsidRPr="00843D3F">
        <w:t>nebude vždy možné, aby splnila všechny podmínky stanovené zákonem o</w:t>
      </w:r>
      <w:r>
        <w:t> </w:t>
      </w:r>
      <w:r w:rsidRPr="00843D3F">
        <w:t>hazardních hrách pro loterie (např. zakoupením sázkového tiketu v rámci číselné loterie se sázející bude současně účastnit i loterie věcné, který je loterií doplňkovou).</w:t>
      </w:r>
    </w:p>
    <w:p w14:paraId="4C49F7C0" w14:textId="4B08B454" w:rsidR="00B24045" w:rsidRPr="00843D3F" w:rsidRDefault="00B24045" w:rsidP="002055C2">
      <w:r w:rsidRPr="00843D3F">
        <w:t xml:space="preserve">K obecným podmínkám provozu loterií patří </w:t>
      </w:r>
      <w:r w:rsidRPr="00F41ABC">
        <w:rPr>
          <w:b/>
        </w:rPr>
        <w:t>výše úhrnné ceny výher</w:t>
      </w:r>
      <w:r w:rsidRPr="00843D3F">
        <w:t xml:space="preserve">, která je stanovena v rozmezí </w:t>
      </w:r>
      <w:r w:rsidRPr="00F41ABC">
        <w:rPr>
          <w:b/>
        </w:rPr>
        <w:t>40</w:t>
      </w:r>
      <w:r w:rsidR="000A4109" w:rsidRPr="00F41ABC">
        <w:rPr>
          <w:b/>
        </w:rPr>
        <w:t xml:space="preserve"> </w:t>
      </w:r>
      <w:r w:rsidRPr="00F41ABC">
        <w:rPr>
          <w:b/>
        </w:rPr>
        <w:t>% a</w:t>
      </w:r>
      <w:r w:rsidR="00F41ABC" w:rsidRPr="00F41ABC">
        <w:rPr>
          <w:b/>
        </w:rPr>
        <w:t>ž</w:t>
      </w:r>
      <w:r w:rsidRPr="00F41ABC">
        <w:rPr>
          <w:b/>
        </w:rPr>
        <w:t xml:space="preserve"> 80</w:t>
      </w:r>
      <w:r w:rsidR="000A4109" w:rsidRPr="00F41ABC">
        <w:rPr>
          <w:b/>
        </w:rPr>
        <w:t xml:space="preserve"> </w:t>
      </w:r>
      <w:r w:rsidRPr="00F41ABC">
        <w:rPr>
          <w:b/>
        </w:rPr>
        <w:t>%</w:t>
      </w:r>
      <w:r w:rsidR="00F41ABC" w:rsidRPr="00F41ABC">
        <w:rPr>
          <w:b/>
        </w:rPr>
        <w:t xml:space="preserve"> herní jistiny</w:t>
      </w:r>
      <w:r w:rsidRPr="00843D3F">
        <w:t>. S</w:t>
      </w:r>
      <w:r w:rsidR="00F41ABC">
        <w:t>tanovením tohoto limitu došlo k </w:t>
      </w:r>
      <w:r w:rsidRPr="00843D3F">
        <w:t>navýšení herní jistiny oproti zákonu o loteriích</w:t>
      </w:r>
      <w:r w:rsidR="00F41ABC">
        <w:t>, v jehož úpravě však již šlo v </w:t>
      </w:r>
      <w:r w:rsidRPr="00843D3F">
        <w:t>odůvodněných případech nastavit úhrnnou cenu výher až na 70 % herní jistiny. Stanovení maximální výše úhrnné ceny výher je nástrojem k zajištění minimálního dílčíh</w:t>
      </w:r>
      <w:r w:rsidR="009B2086">
        <w:t>o základu daně z hazardních her</w:t>
      </w:r>
      <w:r w:rsidRPr="00843D3F">
        <w:t xml:space="preserve">. Důvodem je zvláštní </w:t>
      </w:r>
      <w:r w:rsidR="00F41ABC">
        <w:t>povaha tohoto typu podnikání, u </w:t>
      </w:r>
      <w:r w:rsidRPr="00843D3F">
        <w:t xml:space="preserve">kterého bylo prokázáno, že generuje vysoké </w:t>
      </w:r>
      <w:r w:rsidR="00F41ABC">
        <w:t>společenské náklady. Vzhledem k </w:t>
      </w:r>
      <w:r w:rsidRPr="00843D3F">
        <w:t>tomu, že tyto společenské náklady však nese stát a nikoliv provozovatel</w:t>
      </w:r>
      <w:r w:rsidR="00DE05BD">
        <w:t>,</w:t>
      </w:r>
      <w:r w:rsidRPr="00843D3F">
        <w:t xml:space="preserve"> je nutné, aby se zajistila určitá výše daně z hazar</w:t>
      </w:r>
      <w:r w:rsidR="009B3C8E">
        <w:t>dních her, která bude sloužit k </w:t>
      </w:r>
      <w:r w:rsidRPr="00843D3F">
        <w:t>pokrytí těchto nákladů. Na základě srovnání v</w:t>
      </w:r>
      <w:r>
        <w:t> </w:t>
      </w:r>
      <w:r w:rsidRPr="00843D3F">
        <w:t xml:space="preserve">členských státech </w:t>
      </w:r>
      <w:r w:rsidRPr="00DE05BD">
        <w:t>EU</w:t>
      </w:r>
      <w:r w:rsidRPr="00843D3F">
        <w:t xml:space="preserve"> je průměrná výše úhrnné ceny výher například u</w:t>
      </w:r>
      <w:r w:rsidR="00DE05BD">
        <w:t> </w:t>
      </w:r>
      <w:r w:rsidRPr="00843D3F">
        <w:t xml:space="preserve">číselných loterií 50 % herní jistiny. Stanovené rozmezí je tak proporční jak k ochraně </w:t>
      </w:r>
      <w:r w:rsidR="00B45123">
        <w:t>účastníků hazardní hry</w:t>
      </w:r>
      <w:r w:rsidRPr="00843D3F">
        <w:t>, a</w:t>
      </w:r>
      <w:r>
        <w:t> </w:t>
      </w:r>
      <w:r w:rsidRPr="00843D3F">
        <w:t>to</w:t>
      </w:r>
      <w:r>
        <w:t> </w:t>
      </w:r>
      <w:r w:rsidRPr="00843D3F">
        <w:t>u</w:t>
      </w:r>
      <w:r>
        <w:t> </w:t>
      </w:r>
      <w:r w:rsidRPr="00843D3F">
        <w:t>horní hranice</w:t>
      </w:r>
      <w:r w:rsidR="00F41ABC">
        <w:t xml:space="preserve"> vzhledem k výše uvedenému a u </w:t>
      </w:r>
      <w:r w:rsidRPr="00843D3F">
        <w:t>dolní hranice s ohledem na jejich zájem na zajištění minimální výše prostředků, které musí provozovatel sázejícím zpět přerozdělit, tak i  k provozovatelům hazardních her, kdy nevybočuje z</w:t>
      </w:r>
      <w:r w:rsidR="00DE05BD">
        <w:t> </w:t>
      </w:r>
      <w:r w:rsidRPr="00843D3F">
        <w:t xml:space="preserve">tradičního rozmezí průměrné výše úhrnné ceny výher. </w:t>
      </w:r>
    </w:p>
    <w:p w14:paraId="4CB2508C" w14:textId="1B62F297" w:rsidR="00B24045" w:rsidRPr="00843D3F" w:rsidRDefault="00B24045" w:rsidP="002055C2">
      <w:r w:rsidRPr="00843D3F">
        <w:t xml:space="preserve">Zákon o hazardních hrách taktéž stanovuje </w:t>
      </w:r>
      <w:r w:rsidRPr="00F41ABC">
        <w:rPr>
          <w:b/>
        </w:rPr>
        <w:t>náležitosti losu</w:t>
      </w:r>
      <w:r w:rsidRPr="00843D3F">
        <w:t xml:space="preserve"> tak, aby sázejícímu byly poskytnuty veškeré nezbytné informace týkající se podmínek účasti na loterii. Zároveň předepsané náležitosti mají za účel v maximální možné míře bránit záměně či padělání losu, stanovují, o jakou loterii se jedná</w:t>
      </w:r>
      <w:r w:rsidR="009B3C8E">
        <w:t>, a rovněž obsahují informace o </w:t>
      </w:r>
      <w:r w:rsidRPr="00843D3F">
        <w:t>provozovateli a</w:t>
      </w:r>
      <w:r>
        <w:t> </w:t>
      </w:r>
      <w:r w:rsidRPr="00843D3F">
        <w:t>možné výhře. Toto ustanovení se netýká číselných loterií, ne</w:t>
      </w:r>
      <w:r w:rsidR="009B3C8E">
        <w:t>boť u </w:t>
      </w:r>
      <w:r w:rsidRPr="00843D3F">
        <w:t xml:space="preserve">nich se účast </w:t>
      </w:r>
      <w:r w:rsidRPr="00843D3F">
        <w:lastRenderedPageBreak/>
        <w:t>na</w:t>
      </w:r>
      <w:r>
        <w:t> </w:t>
      </w:r>
      <w:r w:rsidRPr="00843D3F">
        <w:t>hře prokazuje sázkovým tiketem. K ověření dodržování těchto náležitostí pak</w:t>
      </w:r>
      <w:r>
        <w:t> </w:t>
      </w:r>
      <w:r w:rsidRPr="00843D3F">
        <w:t>dochází v rámci posuzování žádosti o základní povolení, resp. při výkonu dozoru nad dodržováním povinností stanovených tímto zákonem.</w:t>
      </w:r>
    </w:p>
    <w:p w14:paraId="6FC8F5DB" w14:textId="4CF3D22B" w:rsidR="00B24045" w:rsidRPr="00843D3F" w:rsidRDefault="00B24045" w:rsidP="002055C2">
      <w:r w:rsidRPr="00843D3F">
        <w:t>Provozovatel má taktéž povinnost losy před vydáním do prodeje zkontrolovat. Oproti úpravě obsažené v zákoně o loteriích již není kontrola pouze namátková, ale</w:t>
      </w:r>
      <w:r>
        <w:t> </w:t>
      </w:r>
      <w:r w:rsidRPr="00843D3F">
        <w:t xml:space="preserve">komplexní. Není ji však třeba konat za přítomnosti orgánu státního dozoru, nýbrž k prokázání jejího řádného provedení postačí notářský zápis z této kontroly. </w:t>
      </w:r>
    </w:p>
    <w:p w14:paraId="0B8CBB16" w14:textId="19C1800C" w:rsidR="00B24045" w:rsidRPr="00843D3F" w:rsidRDefault="00B24045" w:rsidP="002055C2">
      <w:pPr>
        <w:rPr>
          <w:b/>
        </w:rPr>
      </w:pPr>
      <w:r w:rsidRPr="009D7A00">
        <w:rPr>
          <w:b/>
        </w:rPr>
        <w:t>Zahájení provozování loterie</w:t>
      </w:r>
      <w:r w:rsidRPr="00843D3F">
        <w:t xml:space="preserve"> je provozovatel povinen </w:t>
      </w:r>
      <w:r w:rsidR="009D7A00">
        <w:rPr>
          <w:b/>
        </w:rPr>
        <w:t xml:space="preserve">oznámit </w:t>
      </w:r>
      <w:r w:rsidRPr="00843D3F">
        <w:t>celnímu úřadu 5</w:t>
      </w:r>
      <w:r>
        <w:t> </w:t>
      </w:r>
      <w:r w:rsidRPr="00843D3F">
        <w:t>pracovních dní přede dnem zahájení loterie.  Tato povinnost se ukládá provozovateli z důvodu, že provozování hazardních her na základě vydaného povolení či ohlášení je oprávněním a nikoliv povinností provozovatele, a záleží tak výlučně na</w:t>
      </w:r>
      <w:r>
        <w:t> </w:t>
      </w:r>
      <w:r w:rsidRPr="00843D3F">
        <w:t>provozovateli, zda a kdy začne hazardní hru provozovat. Z tohoto důvodu je</w:t>
      </w:r>
      <w:r>
        <w:t> </w:t>
      </w:r>
      <w:r w:rsidRPr="00843D3F">
        <w:t xml:space="preserve">okamžik zahájení provozování loterie </w:t>
      </w:r>
      <w:r w:rsidR="00787DBE">
        <w:t>dozorujícím</w:t>
      </w:r>
      <w:r w:rsidRPr="00843D3F">
        <w:t xml:space="preserve"> orgánům předem neznámý. Ostatní informace, jako například místo slosování a další skutečnosti potřebné k</w:t>
      </w:r>
      <w:r>
        <w:t> </w:t>
      </w:r>
      <w:r w:rsidRPr="00843D3F">
        <w:t>výkonu jejich působnosti, jsou již těmto orgánům známy z vlastní úřední činnosti, neboť jsou obsaženy v</w:t>
      </w:r>
      <w:r w:rsidR="009D7A00">
        <w:t xml:space="preserve"> základním </w:t>
      </w:r>
      <w:r w:rsidRPr="00843D3F">
        <w:t xml:space="preserve">povolení nebo </w:t>
      </w:r>
      <w:r w:rsidR="00C51263">
        <w:t xml:space="preserve">ve </w:t>
      </w:r>
      <w:r w:rsidRPr="00843D3F">
        <w:t>schváleném herním plánu.</w:t>
      </w:r>
    </w:p>
    <w:p w14:paraId="30F1FD74" w14:textId="054498B6" w:rsidR="00B24045" w:rsidRPr="00843D3F" w:rsidRDefault="00B24045" w:rsidP="002055C2">
      <w:r w:rsidRPr="00843D3F">
        <w:t>Zákon o hazardních hrách, stej</w:t>
      </w:r>
      <w:r w:rsidR="009159BF">
        <w:t>ně jako právní úprava obsažená</w:t>
      </w:r>
      <w:r w:rsidRPr="00843D3F">
        <w:t xml:space="preserve"> v zákoně o </w:t>
      </w:r>
      <w:r w:rsidR="00B751AE">
        <w:t>loteriích</w:t>
      </w:r>
      <w:r w:rsidRPr="00843D3F">
        <w:t xml:space="preserve">, upravuje podmínky slosování loterie, kdy je nově nutná </w:t>
      </w:r>
      <w:r w:rsidRPr="00DF7600">
        <w:rPr>
          <w:b/>
        </w:rPr>
        <w:t>při slosování pouze účast notáře</w:t>
      </w:r>
      <w:r w:rsidRPr="00843D3F">
        <w:t>, a to bez ohledu na výši herní jistiny dané loterie. Došlo tedy ke zrušení přítomnosti orgánu státního dozoru při dané činnosti. Důkazní břemeno a případná související odpovědnost byla přenesena na provozovatele loterie, neboť povinnost řádného a zákonného provozování hazardní hry primárně náleží právě jemu. K</w:t>
      </w:r>
      <w:r>
        <w:t> </w:t>
      </w:r>
      <w:r w:rsidRPr="00843D3F">
        <w:t>zajištění transparentnosti je i nadále slosování veřejné. Jelikož u okamžitých loterií neprobíhá slosování, toto ustanovení se na ně nepoužije.</w:t>
      </w:r>
    </w:p>
    <w:p w14:paraId="4E952966" w14:textId="77777777" w:rsidR="00B24045" w:rsidRPr="00843D3F" w:rsidRDefault="00B24045" w:rsidP="002055C2">
      <w:r w:rsidRPr="00843D3F">
        <w:t xml:space="preserve">Současně zákon o hazardních hrách upravuje </w:t>
      </w:r>
      <w:r w:rsidRPr="00DF7600">
        <w:rPr>
          <w:b/>
        </w:rPr>
        <w:t>uchování neprodaných losů</w:t>
      </w:r>
      <w:r w:rsidRPr="00843D3F">
        <w:t xml:space="preserve">, což je nutné pro provedení zpětné kontroly zaměřené například na vykazování ekonomických ukazatelů. Důvodem povinné archivace je rovněž zamezení možného zneužití neprodaných losů. </w:t>
      </w:r>
    </w:p>
    <w:p w14:paraId="4B621B3A" w14:textId="5E9678B7" w:rsidR="00B24045" w:rsidRPr="00843D3F" w:rsidRDefault="00B24045" w:rsidP="002055C2">
      <w:r w:rsidRPr="00843D3F">
        <w:t xml:space="preserve">Provozovatel má povinnost zřídit nejméně tříčlennou </w:t>
      </w:r>
      <w:r w:rsidRPr="00DF7600">
        <w:rPr>
          <w:b/>
        </w:rPr>
        <w:t>loterní komisi</w:t>
      </w:r>
      <w:r w:rsidRPr="00843D3F">
        <w:t xml:space="preserve"> jako kontrolu plnění jeho povinností daných tímto zákonem. Tímto postupem dojde ke zvýšení ochrany zamezující manipulaci s výsledky losování. Při volbě členů není provozovatel nijak omezen, musí však dodržet podmínku jejich bezúhonnosti ve smyslu zákona o</w:t>
      </w:r>
      <w:r>
        <w:t> </w:t>
      </w:r>
      <w:r w:rsidRPr="00843D3F">
        <w:t>hazardních hrách. O průběhu slosování je loterní komise povinna sepsat protokol, aby byl zajištěn a osvědčen řádný průběh loterie. Protokol je také elementem sekundární kontroly. Tento protokol zasíl</w:t>
      </w:r>
      <w:r w:rsidR="004D43F2">
        <w:t>á provozovatel nejpozději do 20 </w:t>
      </w:r>
      <w:r w:rsidRPr="00843D3F">
        <w:t>dnů ode dne slosování celnímu úřadu.</w:t>
      </w:r>
    </w:p>
    <w:p w14:paraId="0DBB4C80" w14:textId="2112A394" w:rsidR="00B24045" w:rsidRDefault="00B24045" w:rsidP="002055C2">
      <w:r w:rsidRPr="00843D3F">
        <w:t>Lo</w:t>
      </w:r>
      <w:r w:rsidR="00DF7600">
        <w:t>terie je možné provozovat</w:t>
      </w:r>
      <w:r w:rsidR="00787DBE">
        <w:t xml:space="preserve"> formou</w:t>
      </w:r>
      <w:r w:rsidRPr="00843D3F">
        <w:t xml:space="preserve"> land</w:t>
      </w:r>
      <w:r>
        <w:t>-</w:t>
      </w:r>
      <w:r w:rsidRPr="00843D3F">
        <w:t xml:space="preserve">based a </w:t>
      </w:r>
      <w:r w:rsidR="00C51263">
        <w:t>dle zákona o hazardních hrách</w:t>
      </w:r>
      <w:r w:rsidR="00C51263" w:rsidRPr="00843D3F">
        <w:t xml:space="preserve"> </w:t>
      </w:r>
      <w:r w:rsidR="00787DBE">
        <w:t>i </w:t>
      </w:r>
      <w:r w:rsidRPr="00843D3F">
        <w:t>prostřednictvím internetu. Záko</w:t>
      </w:r>
      <w:r w:rsidR="002E4E22">
        <w:t>n o hazardních hrách upravuje v</w:t>
      </w:r>
      <w:r w:rsidRPr="00843D3F">
        <w:t xml:space="preserve"> § 18 až § 26 obecné požadavky na</w:t>
      </w:r>
      <w:r>
        <w:t> </w:t>
      </w:r>
      <w:r w:rsidRPr="00843D3F">
        <w:t>provozování loterií, část čtvrtá dále upravuje obecné podmínky pro provozování hazardních her dálkovým způsobem prostřednictvím internetu.</w:t>
      </w:r>
    </w:p>
    <w:p w14:paraId="3C78976E" w14:textId="77777777" w:rsidR="0028190C" w:rsidRPr="0028190C" w:rsidRDefault="0028190C" w:rsidP="0028190C">
      <w:pPr>
        <w:pStyle w:val="Nadpis3"/>
      </w:pPr>
      <w:bookmarkStart w:id="4" w:name="_Toc73611569"/>
      <w:r w:rsidRPr="0028190C">
        <w:lastRenderedPageBreak/>
        <w:t>Konkrétní popis nástrojů, včetně oblastí, na které by bylo vhodné se v budoucnu zaměřit, a návrh doporučení či možných variant řešení</w:t>
      </w:r>
      <w:bookmarkEnd w:id="4"/>
    </w:p>
    <w:p w14:paraId="0A816143" w14:textId="5A40AADF" w:rsidR="00710194" w:rsidRDefault="00C21E9E" w:rsidP="00235311">
      <w:r w:rsidRPr="00843D3F">
        <w:t>V době přípravy zákona o hazardních hrách byla loterie hodnocena jako méně riziková hazardní hra, a to zejména vzhledem ke skutečnosti, že do účinnosti zákona o</w:t>
      </w:r>
      <w:r>
        <w:t> </w:t>
      </w:r>
      <w:r w:rsidRPr="00843D3F">
        <w:t>hazardních hrách bylo její provozování možné pouze</w:t>
      </w:r>
      <w:r w:rsidR="00787DBE">
        <w:t xml:space="preserve"> formou</w:t>
      </w:r>
      <w:r w:rsidRPr="00843D3F">
        <w:t xml:space="preserve"> land</w:t>
      </w:r>
      <w:r>
        <w:t>-</w:t>
      </w:r>
      <w:r w:rsidR="00235311">
        <w:t xml:space="preserve">based. </w:t>
      </w:r>
      <w:r w:rsidRPr="00843D3F">
        <w:t xml:space="preserve">Obecně lze shrnout, že základní podmínky provozování loterie </w:t>
      </w:r>
      <w:r w:rsidR="00994FCA">
        <w:t>uvedené</w:t>
      </w:r>
      <w:r w:rsidR="00C51263" w:rsidRPr="00843D3F">
        <w:t xml:space="preserve"> </w:t>
      </w:r>
      <w:r w:rsidR="002E4E22">
        <w:t>v</w:t>
      </w:r>
      <w:r w:rsidRPr="00843D3F">
        <w:t xml:space="preserve"> § 18 až</w:t>
      </w:r>
      <w:r>
        <w:t> </w:t>
      </w:r>
      <w:r w:rsidRPr="00843D3F">
        <w:t>§</w:t>
      </w:r>
      <w:r>
        <w:t> </w:t>
      </w:r>
      <w:r w:rsidRPr="00843D3F">
        <w:t>26</w:t>
      </w:r>
      <w:r w:rsidR="00994FCA">
        <w:t xml:space="preserve"> zákona o </w:t>
      </w:r>
      <w:r w:rsidR="009159BF">
        <w:t>hazardních hrách</w:t>
      </w:r>
      <w:r w:rsidRPr="00843D3F">
        <w:t xml:space="preserve"> stanoví optimální regulaci a případné nedostatky vyplývají z aktuální situace </w:t>
      </w:r>
      <w:r w:rsidR="00C51263">
        <w:t xml:space="preserve">resp. zkušeností z praktické aplikace </w:t>
      </w:r>
      <w:r w:rsidRPr="00843D3F">
        <w:t>v oblasti provozování loterií, např. ukončování provozování po</w:t>
      </w:r>
      <w:r w:rsidR="00D142A4">
        <w:t>př. grafickým zpracováním losu.</w:t>
      </w:r>
      <w:r w:rsidR="004D1781">
        <w:t xml:space="preserve"> Samostatnou kapitolou jsou pak závěry v</w:t>
      </w:r>
      <w:r w:rsidR="00D55320">
        <w:t> P</w:t>
      </w:r>
      <w:r w:rsidR="009159BF">
        <w:t>říloze č. 1 </w:t>
      </w:r>
      <w:r w:rsidR="009159BF">
        <w:noBreakHyphen/>
        <w:t xml:space="preserve"> Vyhodnocení </w:t>
      </w:r>
      <w:r w:rsidR="004D1781">
        <w:t>rizikovosti provozovaných hazardních her</w:t>
      </w:r>
      <w:r w:rsidR="009159BF">
        <w:t>,</w:t>
      </w:r>
      <w:r w:rsidR="004D1781">
        <w:t xml:space="preserve"> vztahující se k internetové hře.</w:t>
      </w:r>
    </w:p>
    <w:p w14:paraId="68F0BFE1" w14:textId="078EA3FE" w:rsidR="00177DD1" w:rsidRPr="005537D4" w:rsidRDefault="00177DD1" w:rsidP="0028190C">
      <w:pPr>
        <w:pStyle w:val="Nadpis5"/>
      </w:pPr>
      <w:bookmarkStart w:id="5" w:name="_Toc73611570"/>
      <w:r w:rsidRPr="005537D4">
        <w:t>Okamžité loterie</w:t>
      </w:r>
      <w:bookmarkEnd w:id="5"/>
    </w:p>
    <w:p w14:paraId="421B1DB2" w14:textId="77777777" w:rsidR="00D0046C" w:rsidRDefault="00D0046C" w:rsidP="003D2CF6">
      <w:pPr>
        <w:pStyle w:val="Nadpis6"/>
      </w:pPr>
      <w:bookmarkStart w:id="6" w:name="_Toc73611571"/>
      <w:r w:rsidRPr="00177DD1">
        <w:t>Problematika</w:t>
      </w:r>
      <w:r>
        <w:t xml:space="preserve"> přesahu délky prodeje okamžité loterie přes platnost základního povolení</w:t>
      </w:r>
      <w:bookmarkEnd w:id="6"/>
    </w:p>
    <w:p w14:paraId="254EFB6D" w14:textId="2552F28E" w:rsidR="00D0046C" w:rsidRDefault="00D0046C" w:rsidP="00D0046C">
      <w:r w:rsidRPr="00843D3F">
        <w:t xml:space="preserve">Základní povolení, herní plán a zadní strana losu stanoví maximální dobu prodeje okamžité loterie. Tato lhůta je stanovována samotnými provozovateli a není </w:t>
      </w:r>
      <w:r>
        <w:t>M</w:t>
      </w:r>
      <w:r w:rsidRPr="00843D3F">
        <w:t>inisterstvem</w:t>
      </w:r>
      <w:r>
        <w:t xml:space="preserve"> financí</w:t>
      </w:r>
      <w:r w:rsidRPr="00843D3F">
        <w:t xml:space="preserve"> nijak regulována. Ve většině případů je prodej losů okamžité loterie stanovován provozovatelem na 2 roky od jejich uvedení do prodeje. Jak je uvedeno výše, přesné datum ukončení prodeje losů je uvedeno v základním povolení, </w:t>
      </w:r>
      <w:r>
        <w:t xml:space="preserve">v </w:t>
      </w:r>
      <w:r w:rsidRPr="00843D3F">
        <w:t>herním plánu i na zadní straně losu a je</w:t>
      </w:r>
      <w:r>
        <w:t xml:space="preserve"> zásadním okamžikem pro</w:t>
      </w:r>
      <w:r w:rsidRPr="00843D3F">
        <w:t xml:space="preserve"> počítání lhůt pro</w:t>
      </w:r>
      <w:r>
        <w:t> </w:t>
      </w:r>
      <w:r w:rsidRPr="00843D3F">
        <w:t xml:space="preserve">uplatnění nároku na výhru a následnou výplatu výhry sázejícímu. </w:t>
      </w:r>
      <w:r>
        <w:t xml:space="preserve">Jelikož </w:t>
      </w:r>
      <w:r w:rsidRPr="00843D3F">
        <w:t xml:space="preserve">jsou základní povolení vydávána na 6 let, </w:t>
      </w:r>
      <w:r>
        <w:t xml:space="preserve">může </w:t>
      </w:r>
      <w:r w:rsidRPr="00843D3F">
        <w:t>v druhé polovině platnosti základního povolení nastat situace, kdy</w:t>
      </w:r>
      <w:r>
        <w:t xml:space="preserve"> by</w:t>
      </w:r>
      <w:r w:rsidRPr="00843D3F">
        <w:t xml:space="preserve"> </w:t>
      </w:r>
      <w:r>
        <w:t xml:space="preserve">požadovaná </w:t>
      </w:r>
      <w:r w:rsidRPr="00843D3F">
        <w:t xml:space="preserve">délka prodeje losů </w:t>
      </w:r>
      <w:r>
        <w:t>přesahovala</w:t>
      </w:r>
      <w:r w:rsidRPr="00843D3F">
        <w:t xml:space="preserve"> platnost základního povolení. </w:t>
      </w:r>
      <w:r>
        <w:t xml:space="preserve">Pokud by tomu tak nebylo, musel by provozovatel prodej všech okamžitých loterií naplánovat tak, aby byl ukončen ke dni zrušení nebo zániku základního povolení, což by ve svém důsledku mohlo vést k tomu, že např. v posledním roce nebudou povolovány nové emise okamžitých loterií, či dojde k výpadku provozování. Současně nelze </w:t>
      </w:r>
      <w:r w:rsidR="0069504A">
        <w:t>vyloučit</w:t>
      </w:r>
      <w:r>
        <w:t>, že nedojde ke</w:t>
      </w:r>
      <w:r w:rsidR="00CB25B8">
        <w:t> </w:t>
      </w:r>
      <w:r>
        <w:t>zrušení nebo zániku základního povolení dříve, než je uvedená platnost základního povolení.</w:t>
      </w:r>
    </w:p>
    <w:p w14:paraId="62103C31" w14:textId="5A05C341" w:rsidR="00D0046C" w:rsidRDefault="00D0046C" w:rsidP="00D0046C">
      <w:r>
        <w:t>Ministerstvo financí reagovalo na tuto situaci a k</w:t>
      </w:r>
      <w:r w:rsidRPr="00843D3F">
        <w:t> problematice přesahu délky platnosti prodeje losů a platnosti základního povolení vydalo dne 30. 3. 2020 informaci evidovanou pod</w:t>
      </w:r>
      <w:r>
        <w:t> </w:t>
      </w:r>
      <w:r w:rsidRPr="00843D3F">
        <w:t>č.</w:t>
      </w:r>
      <w:r>
        <w:t> </w:t>
      </w:r>
      <w:r w:rsidRPr="00843D3F">
        <w:t>j.</w:t>
      </w:r>
      <w:r>
        <w:t> </w:t>
      </w:r>
      <w:r w:rsidRPr="00843D3F">
        <w:t>MF</w:t>
      </w:r>
      <w:r>
        <w:noBreakHyphen/>
      </w:r>
      <w:r w:rsidRPr="00843D3F">
        <w:t xml:space="preserve">8755/2020/7303-1, </w:t>
      </w:r>
      <w:r w:rsidR="00CB25B8">
        <w:t>v níž</w:t>
      </w:r>
      <w:r w:rsidRPr="00843D3F">
        <w:t xml:space="preserve"> stanovilo základní postup v případě povolování těchto okamžitých loterií. Takto povolené okamžité loterie musí splňovat všechny podmínky jim dané zákonem, včetně zajištění řádného provozování hazardní hry a</w:t>
      </w:r>
      <w:r>
        <w:t> </w:t>
      </w:r>
      <w:r w:rsidRPr="00843D3F">
        <w:t>ochrany sázejících. Zároveň musí být splněna podmínka, že po celou dobu platnosti emise okamžité loterie bude provozovatel držitelem základního povolení, jinak jeho oprávnění k provozu takové loterie zaniká, přestože doba emise okamžité loterie uvedená v základním povolení bude přesahovat délku platnosti samotného základního povolení. Současně bylo upozorněno na povinnost informovat účastníky hazardní hry o této skutečnosti</w:t>
      </w:r>
      <w:r w:rsidR="0069504A">
        <w:t>,</w:t>
      </w:r>
      <w:r w:rsidRPr="00843D3F">
        <w:t xml:space="preserve"> a to jak v herním plánu, tak na zadní straně losu, kde bude jasně specifiková</w:t>
      </w:r>
      <w:r>
        <w:t xml:space="preserve">no datum ukončení prodeje losů. </w:t>
      </w:r>
    </w:p>
    <w:p w14:paraId="23E21B77" w14:textId="1A59C6B6" w:rsidR="00D0046C" w:rsidRDefault="00D0046C" w:rsidP="00D0046C">
      <w:r>
        <w:t xml:space="preserve">Na základě výše uvedené informace byla nastavena nová správní praxe, která uvedenou skutečnost reflektovala, a došlo k vydání základních povolení, která umožňují prodej losů s delší platností než je platnost základního povolení </w:t>
      </w:r>
      <w:r>
        <w:lastRenderedPageBreak/>
        <w:t>za</w:t>
      </w:r>
      <w:r w:rsidR="00471CBC">
        <w:t> </w:t>
      </w:r>
      <w:r w:rsidR="00CB25B8">
        <w:t>předpokladu</w:t>
      </w:r>
      <w:r>
        <w:t xml:space="preserve"> splnění veškerých v informaci uvedených kritérií. V</w:t>
      </w:r>
      <w:r w:rsidRPr="00843D3F">
        <w:t> případ</w:t>
      </w:r>
      <w:r>
        <w:t>ech</w:t>
      </w:r>
      <w:r w:rsidRPr="00843D3F">
        <w:t xml:space="preserve">, </w:t>
      </w:r>
      <w:r>
        <w:t>kdy</w:t>
      </w:r>
      <w:r w:rsidRPr="00843D3F">
        <w:t xml:space="preserve"> provozovatel předpoklád</w:t>
      </w:r>
      <w:r>
        <w:t>al</w:t>
      </w:r>
      <w:r w:rsidRPr="00843D3F">
        <w:t>, že po zániku základního povolení plynule přejde k provozování loterií pod novým základním povolení</w:t>
      </w:r>
      <w:r>
        <w:t>m</w:t>
      </w:r>
      <w:r w:rsidRPr="00843D3F">
        <w:t xml:space="preserve"> a nedojde tedy k přerušení činnosti, </w:t>
      </w:r>
      <w:r>
        <w:t>bylo v základním povolení,</w:t>
      </w:r>
      <w:r w:rsidRPr="00843D3F">
        <w:t xml:space="preserve"> </w:t>
      </w:r>
      <w:r>
        <w:t>n</w:t>
      </w:r>
      <w:r w:rsidRPr="00843D3F">
        <w:t>a</w:t>
      </w:r>
      <w:r>
        <w:t> </w:t>
      </w:r>
      <w:r w:rsidRPr="00843D3F">
        <w:t>zadní straně losu a</w:t>
      </w:r>
      <w:r>
        <w:t> </w:t>
      </w:r>
      <w:r w:rsidRPr="00843D3F">
        <w:t xml:space="preserve">v herním plánu loterií </w:t>
      </w:r>
      <w:r>
        <w:t xml:space="preserve">specifikováno </w:t>
      </w:r>
      <w:r w:rsidRPr="00843D3F">
        <w:t>datum ukončení prodeje losů, které</w:t>
      </w:r>
      <w:r>
        <w:t> je</w:t>
      </w:r>
      <w:r w:rsidRPr="00843D3F">
        <w:t xml:space="preserve"> delší než platnost základního povolení, avšak s podmínkou, že</w:t>
      </w:r>
      <w:r>
        <w:t> </w:t>
      </w:r>
      <w:r w:rsidRPr="00843D3F">
        <w:t xml:space="preserve">prodej losů je možný pouze v případě, </w:t>
      </w:r>
      <w:r>
        <w:t>že</w:t>
      </w:r>
      <w:r w:rsidRPr="00843D3F">
        <w:t xml:space="preserve"> je</w:t>
      </w:r>
      <w:r>
        <w:t xml:space="preserve"> </w:t>
      </w:r>
      <w:r w:rsidRPr="00843D3F">
        <w:t xml:space="preserve">provozovatel </w:t>
      </w:r>
      <w:r>
        <w:t>i nadále</w:t>
      </w:r>
      <w:r w:rsidRPr="00843D3F">
        <w:t xml:space="preserve"> držitelem základního povolení. O této </w:t>
      </w:r>
      <w:r>
        <w:t xml:space="preserve">skutečnosti </w:t>
      </w:r>
      <w:r w:rsidRPr="00843D3F">
        <w:t>muse</w:t>
      </w:r>
      <w:r>
        <w:t>jí</w:t>
      </w:r>
      <w:r w:rsidRPr="00843D3F">
        <w:t xml:space="preserve"> být prokazatelně informováni všichni účastníci hazardních her</w:t>
      </w:r>
      <w:r>
        <w:t>,</w:t>
      </w:r>
      <w:r w:rsidRPr="00843D3F">
        <w:t xml:space="preserve"> a to jak na prodejních místech, tak na internetové stránce provozovatele, aby byla zajiš</w:t>
      </w:r>
      <w:r>
        <w:t>těna dostatečná informovanost sázejících a </w:t>
      </w:r>
      <w:r w:rsidRPr="00843D3F">
        <w:t xml:space="preserve">současně </w:t>
      </w:r>
      <w:r>
        <w:t xml:space="preserve">bylo </w:t>
      </w:r>
      <w:r w:rsidRPr="00843D3F">
        <w:t>zajištěno řádné provozování okamžité loteri</w:t>
      </w:r>
      <w:r>
        <w:t xml:space="preserve">e. Současně je ošetřeno, aby bylo </w:t>
      </w:r>
      <w:r w:rsidRPr="00843D3F">
        <w:t>pro účastníka hazardní hry</w:t>
      </w:r>
      <w:r>
        <w:t xml:space="preserve"> </w:t>
      </w:r>
      <w:r w:rsidRPr="00843D3F">
        <w:t>jednoznačně seznatelné datum ukončení prodeje losu v</w:t>
      </w:r>
      <w:r>
        <w:t> </w:t>
      </w:r>
      <w:r w:rsidRPr="00843D3F">
        <w:t>případě, že by navazující z</w:t>
      </w:r>
      <w:r>
        <w:t>ákladní povolení nebylo uděleno a</w:t>
      </w:r>
      <w:r w:rsidRPr="00843D3F">
        <w:t xml:space="preserve"> provozovatel by</w:t>
      </w:r>
      <w:r>
        <w:t> </w:t>
      </w:r>
      <w:r w:rsidRPr="00843D3F">
        <w:t xml:space="preserve">činnost ukončil, což by </w:t>
      </w:r>
      <w:r w:rsidRPr="001B2D29">
        <w:t>mělo vliv</w:t>
      </w:r>
      <w:r>
        <w:t xml:space="preserve"> </w:t>
      </w:r>
      <w:r w:rsidRPr="00843D3F">
        <w:t xml:space="preserve">na lhůtu pro uplatnění nároku na výhru. Rovněž </w:t>
      </w:r>
      <w:r>
        <w:t>byl vypuštěn</w:t>
      </w:r>
      <w:r w:rsidRPr="00843D3F">
        <w:t xml:space="preserve"> </w:t>
      </w:r>
      <w:r>
        <w:t xml:space="preserve">ze zadní strany losu </w:t>
      </w:r>
      <w:r w:rsidRPr="00843D3F">
        <w:t>odkaz na konkrétní sp. zn. základního povolení, pod kterým bylo oprávnění k provozu konkré</w:t>
      </w:r>
      <w:r>
        <w:t xml:space="preserve">tní okamžité loterie uděleno. </w:t>
      </w:r>
      <w:r w:rsidR="00CB25B8">
        <w:t>Ačkoliv</w:t>
      </w:r>
      <w:r>
        <w:t xml:space="preserve"> je povolen prodej losů i po uplynutí platnosti konkrétního základního povolení, </w:t>
      </w:r>
      <w:r w:rsidR="00CB25B8">
        <w:t xml:space="preserve">je tímto způsobem zajištěno, že </w:t>
      </w:r>
      <w:r>
        <w:t xml:space="preserve">bude provozovatel držitelem základního povolení po celou dobu provozování takové okamžité loterie, čímž bude </w:t>
      </w:r>
      <w:r w:rsidR="00CB25B8">
        <w:t>zabezpečeno</w:t>
      </w:r>
      <w:r>
        <w:t xml:space="preserve"> plnění podmínek uvedených v zákoně o hazardních hrách a základním povolení. </w:t>
      </w:r>
    </w:p>
    <w:p w14:paraId="34445AC8" w14:textId="5F441BE7" w:rsidR="00D0046C" w:rsidRDefault="00D0046C" w:rsidP="00D0046C">
      <w:pPr>
        <w:pStyle w:val="Nadpis7"/>
      </w:pPr>
      <w:r>
        <w:t xml:space="preserve">Varianta I. – Zachování </w:t>
      </w:r>
      <w:r w:rsidR="00202DC7">
        <w:t xml:space="preserve">současného </w:t>
      </w:r>
      <w:r>
        <w:t>stavu</w:t>
      </w:r>
    </w:p>
    <w:p w14:paraId="3D5B6720" w14:textId="7C8169DD" w:rsidR="00D0046C" w:rsidRDefault="00D0046C" w:rsidP="00D0046C">
      <w:r>
        <w:t>Tato varianta představuje zachování stávajícího stavu, tedy umožnění povolení přesahu délky prodeje losů přes platnos</w:t>
      </w:r>
      <w:r w:rsidR="00AA25FD">
        <w:t>t základního povolení v případě</w:t>
      </w:r>
      <w:r w:rsidRPr="00CF68A9">
        <w:t xml:space="preserve"> </w:t>
      </w:r>
      <w:r w:rsidRPr="00843D3F">
        <w:t>provozovatel</w:t>
      </w:r>
      <w:r>
        <w:t>ů</w:t>
      </w:r>
      <w:r w:rsidRPr="00843D3F">
        <w:t>, kteří předpokládají plynulý přechod mezi vydanými základními povoleními. Nabízí možnost nepřerušovat činnost (prodej losů</w:t>
      </w:r>
      <w:r>
        <w:t xml:space="preserve"> okamžité loterie) a </w:t>
      </w:r>
      <w:r w:rsidRPr="00843D3F">
        <w:t>navázat ve své činnosti na původní základní povolení a</w:t>
      </w:r>
      <w:r>
        <w:t> </w:t>
      </w:r>
      <w:r w:rsidRPr="00843D3F">
        <w:t xml:space="preserve">pokračovat s prodejem shodné emise losů </w:t>
      </w:r>
      <w:r>
        <w:t xml:space="preserve">okamžité loterie </w:t>
      </w:r>
      <w:r w:rsidRPr="00843D3F">
        <w:t>i</w:t>
      </w:r>
      <w:r>
        <w:t> </w:t>
      </w:r>
      <w:r w:rsidRPr="00843D3F">
        <w:t>za účinno</w:t>
      </w:r>
      <w:r>
        <w:t>sti nového základního povolení. Je zde</w:t>
      </w:r>
      <w:r w:rsidRPr="00843D3F">
        <w:t xml:space="preserve"> zachována ochrana </w:t>
      </w:r>
      <w:r w:rsidR="00B45123">
        <w:t>účastníků hazardní hry</w:t>
      </w:r>
      <w:r w:rsidRPr="00843D3F">
        <w:t xml:space="preserve"> v tom smyslu, že doz</w:t>
      </w:r>
      <w:r w:rsidR="00C26B04">
        <w:t>orující</w:t>
      </w:r>
      <w:r w:rsidRPr="00843D3F">
        <w:t xml:space="preserve"> orgány </w:t>
      </w:r>
      <w:r>
        <w:t xml:space="preserve">jsou i </w:t>
      </w:r>
      <w:r w:rsidRPr="00843D3F">
        <w:t>nadále oprávněny vymáhat dodržování podmínek stanovených v zákoně o</w:t>
      </w:r>
      <w:r>
        <w:t> </w:t>
      </w:r>
      <w:r w:rsidRPr="00843D3F">
        <w:t xml:space="preserve">hazardních hrách a zároveň </w:t>
      </w:r>
      <w:r>
        <w:t>jsou</w:t>
      </w:r>
      <w:r w:rsidRPr="00843D3F">
        <w:t xml:space="preserve"> chráněna práva sázejících.</w:t>
      </w:r>
    </w:p>
    <w:p w14:paraId="76900080" w14:textId="77777777" w:rsidR="00D0046C" w:rsidRDefault="00D0046C" w:rsidP="00D0046C">
      <w:pPr>
        <w:pStyle w:val="Nadpis7"/>
      </w:pPr>
      <w:r>
        <w:t>Varianta II.</w:t>
      </w:r>
      <w:r w:rsidRPr="00293C3C">
        <w:t xml:space="preserve"> </w:t>
      </w:r>
      <w:r>
        <w:t xml:space="preserve">– </w:t>
      </w:r>
      <w:r w:rsidRPr="00293C3C">
        <w:t xml:space="preserve">Úprava </w:t>
      </w:r>
      <w:r>
        <w:t>zákona o hazardních hrách spočívající v doplnění možnosti provozování losů okamžité loterie i v případě ukončení základního povolení s podmínkou plynulého navázání nového základního povolení</w:t>
      </w:r>
    </w:p>
    <w:p w14:paraId="0D703274" w14:textId="6969482C" w:rsidR="00D0046C" w:rsidRDefault="00D0046C" w:rsidP="00D0046C">
      <w:r w:rsidRPr="00843D3F">
        <w:t>Tato varianta spočívá v úpravě zákona o hazardních hrách</w:t>
      </w:r>
      <w:r w:rsidR="0069504A">
        <w:t>,</w:t>
      </w:r>
      <w:r w:rsidRPr="00843D3F">
        <w:t xml:space="preserve"> a to tím způsobem, že</w:t>
      </w:r>
      <w:r>
        <w:t> </w:t>
      </w:r>
      <w:r w:rsidRPr="00843D3F">
        <w:t xml:space="preserve">bude doplněna možnost provozovat losy okamžité loterie i v případě ukončení základního povolení, kterým byla okamžitá loterie povolena, kdy plynule naváže vydání </w:t>
      </w:r>
      <w:r>
        <w:t xml:space="preserve">nového </w:t>
      </w:r>
      <w:r w:rsidRPr="00843D3F">
        <w:t>základní</w:t>
      </w:r>
      <w:r>
        <w:t>ho</w:t>
      </w:r>
      <w:r w:rsidRPr="00843D3F">
        <w:t xml:space="preserve"> povolení a provozovatel bude nadále splňovat veškeré zákonem stanovené požadavky a podmínky. </w:t>
      </w:r>
      <w:r w:rsidR="008F4DC0">
        <w:t xml:space="preserve">Úpravou zákona bude zajištěna vyšší právní jistota dotčených osob. </w:t>
      </w:r>
    </w:p>
    <w:p w14:paraId="244C3AAC" w14:textId="77777777" w:rsidR="00D0046C" w:rsidRDefault="00D0046C" w:rsidP="00D0046C">
      <w:pPr>
        <w:pStyle w:val="Nadpis7"/>
      </w:pPr>
      <w:r>
        <w:t>Hodnocení variant</w:t>
      </w:r>
    </w:p>
    <w:p w14:paraId="1B73AA9C" w14:textId="75CD7C7C" w:rsidR="00D0046C" w:rsidRPr="00843D3F" w:rsidRDefault="00D0046C" w:rsidP="00D0046C">
      <w:r w:rsidRPr="00710194">
        <w:t xml:space="preserve">Za nejvhodnější variantu řešení je považována varianta </w:t>
      </w:r>
      <w:r>
        <w:t>II.</w:t>
      </w:r>
      <w:r w:rsidRPr="00710194">
        <w:t>, tedy varianta spočívající v legislativní úpravě zákona o hazardních hrách</w:t>
      </w:r>
      <w:r w:rsidRPr="00843D3F">
        <w:t xml:space="preserve">, kde bude </w:t>
      </w:r>
      <w:r w:rsidR="008F4DC0">
        <w:t xml:space="preserve">výslovně </w:t>
      </w:r>
      <w:r w:rsidRPr="00843D3F">
        <w:t>doplněna možnost provozova</w:t>
      </w:r>
      <w:r>
        <w:t>t</w:t>
      </w:r>
      <w:r w:rsidRPr="00843D3F">
        <w:t xml:space="preserve"> losy </w:t>
      </w:r>
      <w:r>
        <w:t xml:space="preserve">okamžité loterie </w:t>
      </w:r>
      <w:r w:rsidRPr="00843D3F">
        <w:t>i pře</w:t>
      </w:r>
      <w:r>
        <w:t>s platnost základního povolení</w:t>
      </w:r>
      <w:r w:rsidR="008F4DC0">
        <w:t xml:space="preserve"> za naplnění </w:t>
      </w:r>
      <w:r w:rsidR="00994FCA">
        <w:t>shora uvedených</w:t>
      </w:r>
      <w:r w:rsidR="008F4DC0">
        <w:t xml:space="preserve"> podmínek</w:t>
      </w:r>
      <w:r>
        <w:t>.</w:t>
      </w:r>
    </w:p>
    <w:p w14:paraId="2AB28822" w14:textId="77777777" w:rsidR="000D560D" w:rsidRPr="00843D3F" w:rsidRDefault="000D560D" w:rsidP="003D2CF6">
      <w:pPr>
        <w:pStyle w:val="Nadpis6"/>
      </w:pPr>
      <w:bookmarkStart w:id="7" w:name="_Toc73611572"/>
      <w:r w:rsidRPr="00843D3F">
        <w:lastRenderedPageBreak/>
        <w:t>Problematika dětských motivů na losech okamžité loterie</w:t>
      </w:r>
      <w:bookmarkEnd w:id="7"/>
    </w:p>
    <w:p w14:paraId="763DE04F" w14:textId="5A37242F" w:rsidR="00983CB8" w:rsidRDefault="000D560D" w:rsidP="00D03FDC">
      <w:r w:rsidRPr="00843D3F">
        <w:t>Podle § 88 odst. 5 zákona o hazardních hrách je provozovatel při žádosti o vydání základního povolení k provozování okam</w:t>
      </w:r>
      <w:r w:rsidR="00D03FDC">
        <w:t>žité loterie povinen předložit M</w:t>
      </w:r>
      <w:r w:rsidRPr="00843D3F">
        <w:t>inisterstvu</w:t>
      </w:r>
      <w:r w:rsidR="00D03FDC">
        <w:t xml:space="preserve"> financí</w:t>
      </w:r>
      <w:r w:rsidRPr="00843D3F">
        <w:t xml:space="preserve"> vzor losu. Zákon o  hazardních hrách již nestanovuje grafické parametry, které má los naplňovat. </w:t>
      </w:r>
      <w:r w:rsidR="00007900">
        <w:t>V</w:t>
      </w:r>
      <w:r w:rsidRPr="00843D3F">
        <w:t>zhledem k základním</w:t>
      </w:r>
      <w:r w:rsidR="00007900">
        <w:t>u zákonnému omezení uvedenému v </w:t>
      </w:r>
      <w:r w:rsidRPr="00843D3F">
        <w:t>§ 7 odst. 1 zákona o hazardních hrách, které stanovuje</w:t>
      </w:r>
      <w:r w:rsidR="00007900">
        <w:t xml:space="preserve"> zákaz</w:t>
      </w:r>
      <w:r w:rsidRPr="00843D3F">
        <w:t xml:space="preserve"> umožnit účast na hazardní hře osobě mladší 18 let, lze</w:t>
      </w:r>
      <w:r>
        <w:t> </w:t>
      </w:r>
      <w:r w:rsidRPr="00843D3F">
        <w:t>vyvozovat</w:t>
      </w:r>
      <w:r w:rsidR="00007900">
        <w:t xml:space="preserve"> požadavek</w:t>
      </w:r>
      <w:r w:rsidRPr="00843D3F">
        <w:t xml:space="preserve">, </w:t>
      </w:r>
      <w:r w:rsidR="00007900">
        <w:t>aby</w:t>
      </w:r>
      <w:r w:rsidR="00007900" w:rsidRPr="00843D3F">
        <w:t> </w:t>
      </w:r>
      <w:r w:rsidRPr="00843D3F">
        <w:t xml:space="preserve">vizualizace losů by </w:t>
      </w:r>
      <w:r w:rsidR="00007900">
        <w:t>ne</w:t>
      </w:r>
      <w:r w:rsidRPr="00843D3F">
        <w:t>cíli</w:t>
      </w:r>
      <w:r w:rsidR="00007900">
        <w:t xml:space="preserve">la </w:t>
      </w:r>
      <w:r w:rsidRPr="00843D3F">
        <w:t>nebo se zaměřova</w:t>
      </w:r>
      <w:r w:rsidR="00007900">
        <w:t>la</w:t>
      </w:r>
      <w:r w:rsidRPr="00843D3F">
        <w:t xml:space="preserve"> primárně na tyto o</w:t>
      </w:r>
      <w:r w:rsidR="00D03FDC">
        <w:t>soby. Z tohoto důvodu považuje M</w:t>
      </w:r>
      <w:r w:rsidRPr="00843D3F">
        <w:t xml:space="preserve">inisterstvo </w:t>
      </w:r>
      <w:r w:rsidR="00D03FDC">
        <w:t xml:space="preserve">financí </w:t>
      </w:r>
      <w:r w:rsidRPr="00843D3F">
        <w:t>za problematické, pokud se na losech objevují typicky dětské motivy, pohádkové postavy či animace, které mohou být atraktivní primárně pro děti a mládež. Zákon o hazardních hrách však aktuálně vzor losu a jeho grafickou stránk</w:t>
      </w:r>
      <w:r w:rsidR="00000D2F">
        <w:t>u nespecifikuje</w:t>
      </w:r>
      <w:r w:rsidRPr="00843D3F">
        <w:t>.</w:t>
      </w:r>
    </w:p>
    <w:p w14:paraId="09970568" w14:textId="3A98A405" w:rsidR="004134C8" w:rsidRPr="00710194" w:rsidRDefault="00983CB8" w:rsidP="00D03FDC">
      <w:r w:rsidRPr="00843D3F">
        <w:t xml:space="preserve">Ministerstvo </w:t>
      </w:r>
      <w:r>
        <w:t xml:space="preserve">financí </w:t>
      </w:r>
      <w:r w:rsidRPr="00843D3F">
        <w:t xml:space="preserve">si je však vědomo, že definice motivů, které se dají považovat za dětskou tematiku, bude velice složitá. Touto problematikou se </w:t>
      </w:r>
      <w:r>
        <w:t>M</w:t>
      </w:r>
      <w:r w:rsidRPr="00843D3F">
        <w:t>inisterstvo</w:t>
      </w:r>
      <w:r>
        <w:t xml:space="preserve"> financí</w:t>
      </w:r>
      <w:r w:rsidRPr="00843D3F">
        <w:t xml:space="preserve"> zabývalo intenzivně v roce 2016, kdy </w:t>
      </w:r>
      <w:r w:rsidR="00000D2F">
        <w:t>analyzovalo</w:t>
      </w:r>
      <w:r w:rsidRPr="00843D3F">
        <w:t>, jestli již neexistuje nějaká definice dětských motivů a oslovilo proto několik evropských regulátorů, aby zjistilo, jakým způsobem řeší danou problematiku v jiných zemích. Z </w:t>
      </w:r>
      <w:r>
        <w:t>odpovědí oslovených regulátorů M</w:t>
      </w:r>
      <w:r w:rsidRPr="00843D3F">
        <w:t>inisterstvo</w:t>
      </w:r>
      <w:r>
        <w:t xml:space="preserve"> financí</w:t>
      </w:r>
      <w:r w:rsidRPr="00843D3F">
        <w:t xml:space="preserve"> zjistilo, že většina z nich určitou formu regulace má, avšak pouze na úrovni reklamy či</w:t>
      </w:r>
      <w:r>
        <w:t> </w:t>
      </w:r>
      <w:r w:rsidRPr="00843D3F">
        <w:t>marketingu, stejně jako Česká republika. Souhrnně lze říci, že licencovaný provozovatel nesmí jakýmkoli způsobem, skrze jakékoli médium, na jakémkoliv místě publikovat reklamu, která by  znázorňovala osoby mladší 18 let účastnící se hazardní hry či která by jakkoli cílila n</w:t>
      </w:r>
      <w:r>
        <w:t>ebo podporovala osoby mladší 18 </w:t>
      </w:r>
      <w:r w:rsidRPr="00843D3F">
        <w:t>let ve hře, nesmí odkazovat či jinak p</w:t>
      </w:r>
      <w:r w:rsidR="00471CBC">
        <w:t>oužívat prvky kultury, zvyky či </w:t>
      </w:r>
      <w:r w:rsidRPr="00843D3F">
        <w:t>chování typické pro nezletilé nebo</w:t>
      </w:r>
      <w:r>
        <w:t> </w:t>
      </w:r>
      <w:r w:rsidRPr="00843D3F">
        <w:t xml:space="preserve">jinak využívat výrazy typické pro komunikaci mladistvých, zároveň nesmí použít postavy skutečné nebo smyšlené, které jsou nebo by mohly být mladší, než je zákonný věkový limit stanovený k účasti na hazardních hrách. Někteří oslovení regulátoři žádné restrikce ohledně motivů losů vůbec nemají. </w:t>
      </w:r>
    </w:p>
    <w:p w14:paraId="3079935B" w14:textId="2D8CCBEA" w:rsidR="004134C8" w:rsidRPr="00843D3F" w:rsidRDefault="004134C8" w:rsidP="00CA1FED">
      <w:pPr>
        <w:pStyle w:val="Nadpis7"/>
      </w:pPr>
      <w:r>
        <w:t>Varianta I.</w:t>
      </w:r>
      <w:r w:rsidR="00D03FDC">
        <w:t xml:space="preserve"> – </w:t>
      </w:r>
      <w:r w:rsidRPr="00843D3F">
        <w:t>Změna zákona o hazardních hrách spočívající ve výslovném omezení možnosti využívat dětské motivy</w:t>
      </w:r>
    </w:p>
    <w:p w14:paraId="6EAA8089" w14:textId="77777777" w:rsidR="00E82A06" w:rsidRDefault="004134C8" w:rsidP="00D03FDC">
      <w:r w:rsidRPr="00843D3F">
        <w:t xml:space="preserve">Tato varianta řešení obnáší stanovení podmínky v zákoně o hazardních hrách, která by stanovovala povinnost provozovatele neuvádět na losech okamžité loterie prvky s dětskými motivy. </w:t>
      </w:r>
    </w:p>
    <w:p w14:paraId="2FEC0547" w14:textId="126E599E" w:rsidR="00E82A06" w:rsidRDefault="00E82A06" w:rsidP="00D03FDC">
      <w:r>
        <w:t>Výhody:</w:t>
      </w:r>
    </w:p>
    <w:p w14:paraId="5D8B5EBF" w14:textId="1E11E788" w:rsidR="004134C8" w:rsidRDefault="004134C8" w:rsidP="00D03FDC">
      <w:r w:rsidRPr="00843D3F">
        <w:t>Toto omezení by zajistilo vyšší míru ochrany dětí a</w:t>
      </w:r>
      <w:r>
        <w:t> </w:t>
      </w:r>
      <w:r w:rsidRPr="00843D3F">
        <w:t>mladistvých před negativními vlivy hazardních her.</w:t>
      </w:r>
    </w:p>
    <w:p w14:paraId="2E70B6C6" w14:textId="5BAB8B68" w:rsidR="00E82A06" w:rsidRDefault="00E82A06" w:rsidP="00D03FDC">
      <w:r>
        <w:t>Nevýhody:</w:t>
      </w:r>
    </w:p>
    <w:p w14:paraId="5F100300" w14:textId="6D3FADDE" w:rsidR="00E82A06" w:rsidRDefault="00E82A06" w:rsidP="00D03FDC">
      <w:r w:rsidRPr="00C42119">
        <w:t xml:space="preserve">Jak již bylo uvedeno výše, definice dětských motivů je velice náročná. Vytvoření seznamu motivů, které spadají do dětských motivů, bude zajisté procházet několika fázemi. </w:t>
      </w:r>
      <w:r w:rsidR="00490A89" w:rsidRPr="00C42119">
        <w:t>Z</w:t>
      </w:r>
      <w:r w:rsidR="00C6649B" w:rsidRPr="00C42119">
        <w:t xml:space="preserve">měna zákona o hazardních hrách by </w:t>
      </w:r>
      <w:r w:rsidR="00A655C6">
        <w:t>neumožňovala flexibilní reakci M</w:t>
      </w:r>
      <w:r w:rsidR="00C6649B" w:rsidRPr="00C42119">
        <w:t xml:space="preserve">inisterstva </w:t>
      </w:r>
      <w:r w:rsidR="00A655C6">
        <w:t xml:space="preserve">financí </w:t>
      </w:r>
      <w:r w:rsidR="00C6649B" w:rsidRPr="00C42119">
        <w:t xml:space="preserve">na případné změny v seznamu </w:t>
      </w:r>
      <w:r w:rsidR="00000D2F">
        <w:t xml:space="preserve">znaků </w:t>
      </w:r>
      <w:r w:rsidR="00C6649B" w:rsidRPr="00C42119">
        <w:t>dětských motivů.</w:t>
      </w:r>
    </w:p>
    <w:p w14:paraId="46BEAC43" w14:textId="2F5DA9D8" w:rsidR="004134C8" w:rsidRPr="00843D3F" w:rsidRDefault="004134C8" w:rsidP="00CA1FED">
      <w:pPr>
        <w:pStyle w:val="Nadpis7"/>
      </w:pPr>
      <w:r>
        <w:t>Varianta II.</w:t>
      </w:r>
      <w:r w:rsidRPr="00843D3F">
        <w:t xml:space="preserve"> </w:t>
      </w:r>
      <w:r w:rsidR="00A655C6">
        <w:t xml:space="preserve">– </w:t>
      </w:r>
      <w:r w:rsidRPr="00843D3F">
        <w:t>Vydání metodického materiálu bez změny zákona o hazardních hrách</w:t>
      </w:r>
    </w:p>
    <w:p w14:paraId="1BE36F3E" w14:textId="1A210ECE" w:rsidR="004134C8" w:rsidRPr="00843D3F" w:rsidRDefault="004134C8" w:rsidP="00A655C6">
      <w:r w:rsidRPr="00843D3F">
        <w:t>Uvedenou problematiku lze taktéž řešit na úrovni metodického materiálu. V uvedeném stanovisku by byly obsaženy podmínky a kritéria pro předkládané vzory losů</w:t>
      </w:r>
      <w:r w:rsidR="00E277C7">
        <w:t xml:space="preserve">, které by představovaly bližší konkretizaci </w:t>
      </w:r>
      <w:r w:rsidRPr="00843D3F">
        <w:t>obecný</w:t>
      </w:r>
      <w:r w:rsidR="00E277C7">
        <w:t>ch</w:t>
      </w:r>
      <w:r w:rsidRPr="00843D3F">
        <w:t xml:space="preserve"> principů stanoveným v zákoně o </w:t>
      </w:r>
      <w:r w:rsidRPr="00843D3F">
        <w:lastRenderedPageBreak/>
        <w:t xml:space="preserve">hazardních hrách, které se týkají ochrany dětí a mladistvých před negativními vlivy hazardních her. </w:t>
      </w:r>
    </w:p>
    <w:p w14:paraId="0A69AC6F" w14:textId="7CC0783D" w:rsidR="00C6649B" w:rsidRDefault="00C6649B" w:rsidP="00A655C6">
      <w:r>
        <w:t>Výhody:</w:t>
      </w:r>
    </w:p>
    <w:p w14:paraId="7F2F5C62" w14:textId="543E41C0" w:rsidR="004134C8" w:rsidRDefault="004134C8" w:rsidP="00A655C6">
      <w:r w:rsidRPr="00843D3F">
        <w:t>Výše navrhovaná varianta řešení by um</w:t>
      </w:r>
      <w:r w:rsidR="00A72F8F">
        <w:t>ožňovala flexibilnější reakci Mi</w:t>
      </w:r>
      <w:r w:rsidRPr="00843D3F">
        <w:t>nisterstv</w:t>
      </w:r>
      <w:r w:rsidR="00E277C7">
        <w:t>a</w:t>
      </w:r>
      <w:r w:rsidRPr="00843D3F">
        <w:t xml:space="preserve"> </w:t>
      </w:r>
      <w:r w:rsidR="00A72F8F">
        <w:t xml:space="preserve">financí </w:t>
      </w:r>
      <w:r w:rsidRPr="00843D3F">
        <w:t>na</w:t>
      </w:r>
      <w:r w:rsidR="00ED00C1">
        <w:t> </w:t>
      </w:r>
      <w:r w:rsidRPr="00843D3F">
        <w:t>aktuální vývoj na trhu provozování hazardních her. Zároveň by ji bylo možné aplikovat bez odkladu.</w:t>
      </w:r>
    </w:p>
    <w:p w14:paraId="649B7C46" w14:textId="40250198" w:rsidR="005A4947" w:rsidRPr="00843D3F" w:rsidRDefault="005A4947" w:rsidP="00A655C6">
      <w:r>
        <w:t>Nevýhody:</w:t>
      </w:r>
    </w:p>
    <w:p w14:paraId="56F82B03" w14:textId="292853AF" w:rsidR="004134C8" w:rsidRPr="00843D3F" w:rsidRDefault="00E277C7" w:rsidP="00A655C6">
      <w:r>
        <w:t>Za m</w:t>
      </w:r>
      <w:r w:rsidR="004134C8" w:rsidRPr="00843D3F">
        <w:t xml:space="preserve">ožné negativum </w:t>
      </w:r>
      <w:r>
        <w:t xml:space="preserve">lze označit </w:t>
      </w:r>
      <w:r w:rsidR="004134C8" w:rsidRPr="00843D3F">
        <w:t>snížení právní jistoty provozovatelů</w:t>
      </w:r>
      <w:r>
        <w:t xml:space="preserve"> oproti variantě I., nicméně naopak posílení opr</w:t>
      </w:r>
      <w:r w:rsidR="00C133F8">
        <w:t>o</w:t>
      </w:r>
      <w:r>
        <w:t>ti současnému stavu</w:t>
      </w:r>
      <w:r w:rsidR="004134C8" w:rsidRPr="00843D3F">
        <w:t xml:space="preserve">. </w:t>
      </w:r>
    </w:p>
    <w:p w14:paraId="7F0C70A5" w14:textId="4606FE55" w:rsidR="004134C8" w:rsidRPr="00843D3F" w:rsidRDefault="004134C8" w:rsidP="00CA1FED">
      <w:pPr>
        <w:pStyle w:val="Nadpis7"/>
      </w:pPr>
      <w:r w:rsidRPr="00843D3F">
        <w:t>Hodnocení variant</w:t>
      </w:r>
    </w:p>
    <w:p w14:paraId="0FD42AD5" w14:textId="4507D9D8" w:rsidR="004134C8" w:rsidRPr="00843D3F" w:rsidRDefault="00C133F8" w:rsidP="00A8157C">
      <w:r w:rsidRPr="00843D3F">
        <w:t>Ministerstvo</w:t>
      </w:r>
      <w:r>
        <w:t xml:space="preserve"> financí</w:t>
      </w:r>
      <w:r w:rsidRPr="00843D3F">
        <w:t xml:space="preserve"> se i na základě komunikace s evropskými regulátory domnívá, že výběr varianty </w:t>
      </w:r>
      <w:r>
        <w:t>II.</w:t>
      </w:r>
      <w:r w:rsidRPr="00843D3F">
        <w:t> bude efekt</w:t>
      </w:r>
      <w:r>
        <w:t>ivním řešením dané problematiky, tzn.</w:t>
      </w:r>
      <w:r w:rsidR="004134C8" w:rsidRPr="00843D3F">
        <w:t xml:space="preserve"> vydáním metodického materiálu bez změny zákona o hazardních hrách. Ministerstvo</w:t>
      </w:r>
      <w:r w:rsidR="00A72F8F">
        <w:t xml:space="preserve"> financí</w:t>
      </w:r>
      <w:r w:rsidR="004134C8" w:rsidRPr="00843D3F">
        <w:t xml:space="preserve"> má za to, že</w:t>
      </w:r>
      <w:r w:rsidR="004134C8">
        <w:t> </w:t>
      </w:r>
      <w:r w:rsidR="004134C8" w:rsidRPr="00843D3F">
        <w:t>problematika dětských motivů na losech okamžité loterie je částečně řešena §</w:t>
      </w:r>
      <w:r w:rsidR="004134C8">
        <w:t> </w:t>
      </w:r>
      <w:r w:rsidR="004134C8" w:rsidRPr="00843D3F">
        <w:t>7</w:t>
      </w:r>
      <w:r w:rsidR="004134C8">
        <w:t> </w:t>
      </w:r>
      <w:r w:rsidR="004134C8" w:rsidRPr="00843D3F">
        <w:t xml:space="preserve">odst. 1 zákona o hazardních hrách a především § 5 písm. j) odst. 2 zákona </w:t>
      </w:r>
      <w:r w:rsidR="005F1867">
        <w:t>o </w:t>
      </w:r>
      <w:r w:rsidR="004134C8" w:rsidRPr="00843D3F">
        <w:t>regulaci reklamy, který uvádí, že reklama na hazardní hru nesmí být zaměřena na osoby mladší 18 let, a to zejména v podobě zobrazení těchto osob nebo</w:t>
      </w:r>
      <w:r w:rsidR="004134C8">
        <w:t> </w:t>
      </w:r>
      <w:r w:rsidR="004134C8" w:rsidRPr="00843D3F">
        <w:t xml:space="preserve">užitím prvků, prostředků nebo akcí, které takové osoby převážně oslovují. Vydaný metodický materiál by tedy konkretizoval motivy, které jsou v rozporu </w:t>
      </w:r>
      <w:r w:rsidR="00983CB8">
        <w:t xml:space="preserve">s výše uvedenými ustanoveními. </w:t>
      </w:r>
      <w:r>
        <w:t>Možná je i kombinace obou variant, tzn. základní úprava v zákoně, kterou bude na příkladech konkretizovat metodika.</w:t>
      </w:r>
    </w:p>
    <w:p w14:paraId="0443414C" w14:textId="77777777" w:rsidR="004134C8" w:rsidRPr="00843D3F" w:rsidRDefault="004134C8" w:rsidP="003D2CF6">
      <w:pPr>
        <w:pStyle w:val="Nadpis6"/>
      </w:pPr>
      <w:bookmarkStart w:id="8" w:name="_Toc73611573"/>
      <w:r w:rsidRPr="00843D3F">
        <w:t>Zabezpečení losu (dokumentace o zabezpečení losu, sjednocení obsahu uvedeného ve výrobní specifikaci)</w:t>
      </w:r>
      <w:bookmarkEnd w:id="8"/>
    </w:p>
    <w:p w14:paraId="232CB25D" w14:textId="469B16FE" w:rsidR="004134C8" w:rsidRPr="00843D3F" w:rsidRDefault="004134C8" w:rsidP="00A8157C">
      <w:r w:rsidRPr="00843D3F">
        <w:t>K žádosti o vydání základního povolení k provozování okamžité loterie je provozovatel podle § 88 odst. 4 zákona o hazardních hrách povinen doložit dokumentaci prokazující zabezpečení losů proti zneužití nebo jejich výrobní specifikaci. Účelem předkládané dokumentace je prokázání naplnění požadavku stanoveného v zákoně o hazardních hrách, jehož smyslem je zaručení řádného provozování dané okamžité loterie, a to jak vůči účastníkům hazardní hry, tak i orgánům státní správy. Zákon o hazardních hrách však konkrétně nestanoví, jaké náležitosti má dokumentace obsahovat, resp. jakým způsobem má žadatel o</w:t>
      </w:r>
      <w:r w:rsidR="00007900">
        <w:t> </w:t>
      </w:r>
      <w:r w:rsidRPr="00843D3F">
        <w:t>základní povolení zabezpečení losů proti zneužití zajistit.</w:t>
      </w:r>
    </w:p>
    <w:p w14:paraId="04C37024" w14:textId="12958398" w:rsidR="004134C8" w:rsidRPr="00843D3F" w:rsidRDefault="004134C8" w:rsidP="00A8157C">
      <w:r w:rsidRPr="00843D3F">
        <w:t>Zabezpečení losu okamžité loterie je velice náročné a obsáhlé téma, jelikož je nezbytné na něj nahlížet ze dvou stran. Jedna část je zabezpečení losu</w:t>
      </w:r>
      <w:r w:rsidR="00710194">
        <w:t>,</w:t>
      </w:r>
      <w:r w:rsidRPr="00843D3F">
        <w:t xml:space="preserve"> jako je způsob jeho tisku, bezpečnostní prvky k ochraně proti zneužití a podobně. Druhá část se pak týká softwarového zabezpečení okamžité loterie. </w:t>
      </w:r>
    </w:p>
    <w:p w14:paraId="71AB0698" w14:textId="737702F3" w:rsidR="004134C8" w:rsidRPr="00843D3F" w:rsidRDefault="004134C8" w:rsidP="00CA1FED">
      <w:pPr>
        <w:pStyle w:val="Nadpis7"/>
      </w:pPr>
      <w:r w:rsidRPr="00843D3F">
        <w:t xml:space="preserve">Varianta </w:t>
      </w:r>
      <w:r>
        <w:t>I.</w:t>
      </w:r>
      <w:r w:rsidR="00A8157C">
        <w:t xml:space="preserve"> –</w:t>
      </w:r>
      <w:r w:rsidRPr="00843D3F">
        <w:t xml:space="preserve"> Doplnění konkrétního požadavku na dokument prokazující zabezpečení losu</w:t>
      </w:r>
      <w:r w:rsidRPr="00843D3F" w:rsidDel="00A30832">
        <w:t xml:space="preserve"> </w:t>
      </w:r>
      <w:r w:rsidRPr="00843D3F">
        <w:t>do zákona o hazardních hrách</w:t>
      </w:r>
      <w:r w:rsidR="005F1AAA">
        <w:t xml:space="preserve"> či prováděcích právních předpisů</w:t>
      </w:r>
    </w:p>
    <w:p w14:paraId="40B5A081" w14:textId="46CDE650" w:rsidR="004134C8" w:rsidRPr="00843D3F" w:rsidRDefault="004134C8" w:rsidP="00A8157C">
      <w:r w:rsidRPr="00843D3F">
        <w:t>Možným řešením výše uvedeného nedostatku se jeví změna § 88 odst. 4 zákona o hazardních hrách tak, aby byl stanoven obecný standard předkládaných dokumentů</w:t>
      </w:r>
      <w:r w:rsidR="00A8157C">
        <w:t xml:space="preserve"> </w:t>
      </w:r>
      <w:r w:rsidRPr="00843D3F">
        <w:t>a ty byly vzájemně srovnatelné. Základní obsahové náležitosti pro</w:t>
      </w:r>
      <w:r w:rsidR="00D31CD9">
        <w:t> </w:t>
      </w:r>
      <w:r w:rsidRPr="00843D3F">
        <w:t>dokumentaci prokazující zabezpečení losů proti zneužití by byl</w:t>
      </w:r>
      <w:r w:rsidR="00D31CD9">
        <w:t>y</w:t>
      </w:r>
      <w:r w:rsidRPr="00843D3F">
        <w:t xml:space="preserve"> stanoven</w:t>
      </w:r>
      <w:r w:rsidR="00D31CD9">
        <w:t>y</w:t>
      </w:r>
      <w:r w:rsidRPr="00843D3F">
        <w:t xml:space="preserve"> na</w:t>
      </w:r>
      <w:r w:rsidR="00D31CD9">
        <w:t> </w:t>
      </w:r>
      <w:r w:rsidRPr="00843D3F">
        <w:t>popis výrobního postupu, popis bezpečnostních prvků uvedených na losu, form</w:t>
      </w:r>
      <w:r w:rsidR="008D5645">
        <w:t>u</w:t>
      </w:r>
      <w:r w:rsidRPr="00843D3F">
        <w:t xml:space="preserve"> tisku losu, materiál, </w:t>
      </w:r>
      <w:r w:rsidRPr="00843D3F">
        <w:lastRenderedPageBreak/>
        <w:t xml:space="preserve">na který se los tiskne a následně také </w:t>
      </w:r>
      <w:r w:rsidR="008D5645">
        <w:t xml:space="preserve">na </w:t>
      </w:r>
      <w:r w:rsidRPr="00843D3F">
        <w:t>podmínky pro skladování a</w:t>
      </w:r>
      <w:r w:rsidR="00D31CD9">
        <w:t> </w:t>
      </w:r>
      <w:r w:rsidRPr="00843D3F">
        <w:t xml:space="preserve">distribuci losů, způsob likvidace neprodaných losů. </w:t>
      </w:r>
    </w:p>
    <w:p w14:paraId="7F6B22DA" w14:textId="715206C4" w:rsidR="00706C1E" w:rsidRDefault="00706C1E" w:rsidP="00A8157C">
      <w:r>
        <w:t>Výhody:</w:t>
      </w:r>
    </w:p>
    <w:p w14:paraId="7FA6E0BE" w14:textId="76730918" w:rsidR="004134C8" w:rsidRDefault="004134C8" w:rsidP="00A8157C">
      <w:r w:rsidRPr="00843D3F">
        <w:t>Navrhované řešení by mělo pozitivní dopad na právní jistotu provozovatelů, neboť ti by byli v zákoně o hazardních hrách</w:t>
      </w:r>
      <w:r w:rsidR="005F1AAA">
        <w:t xml:space="preserve"> či v prováděcím právním předpise</w:t>
      </w:r>
      <w:r w:rsidRPr="00843D3F">
        <w:t xml:space="preserve"> jednoznačně informováni o požadavcích na</w:t>
      </w:r>
      <w:r w:rsidR="00710194">
        <w:t> </w:t>
      </w:r>
      <w:r w:rsidRPr="00843D3F">
        <w:t>předkládané dokumenty.</w:t>
      </w:r>
    </w:p>
    <w:p w14:paraId="3630C4AC" w14:textId="5C7CAA27" w:rsidR="00706C1E" w:rsidRDefault="00706C1E" w:rsidP="00A8157C">
      <w:r>
        <w:t>Nevýhody:</w:t>
      </w:r>
    </w:p>
    <w:p w14:paraId="3598768E" w14:textId="434C5BD5" w:rsidR="00706C1E" w:rsidRPr="00710194" w:rsidRDefault="00A00A10" w:rsidP="00A8157C">
      <w:r>
        <w:t>Příliš konkrétní úprava v zákoně o hazardních hrách či prováděcích právních předpisech</w:t>
      </w:r>
      <w:r w:rsidRPr="00C42119">
        <w:t xml:space="preserve"> by </w:t>
      </w:r>
      <w:r w:rsidR="003341D4">
        <w:t>mohla být rigidní vůči</w:t>
      </w:r>
      <w:r w:rsidRPr="00C42119">
        <w:t xml:space="preserve"> případn</w:t>
      </w:r>
      <w:r w:rsidR="003341D4">
        <w:t>ým</w:t>
      </w:r>
      <w:r w:rsidRPr="00C42119">
        <w:t xml:space="preserve"> změn</w:t>
      </w:r>
      <w:r w:rsidR="003341D4">
        <w:t>ám</w:t>
      </w:r>
      <w:r>
        <w:t>.</w:t>
      </w:r>
    </w:p>
    <w:p w14:paraId="4008E4FD" w14:textId="5979AD96" w:rsidR="004134C8" w:rsidRPr="00843D3F" w:rsidRDefault="004134C8" w:rsidP="00CA1FED">
      <w:pPr>
        <w:pStyle w:val="Nadpis7"/>
      </w:pPr>
      <w:r>
        <w:t>Varianta II.</w:t>
      </w:r>
      <w:r w:rsidR="00A8157C">
        <w:t xml:space="preserve"> – </w:t>
      </w:r>
      <w:r w:rsidRPr="00843D3F">
        <w:t>Nastavení konkrétního požadavku na dokument prokazující zabezpečení losu</w:t>
      </w:r>
      <w:r w:rsidRPr="00843D3F" w:rsidDel="00A30832">
        <w:t xml:space="preserve"> </w:t>
      </w:r>
      <w:r w:rsidRPr="00843D3F">
        <w:t>v metodickém materiálu</w:t>
      </w:r>
    </w:p>
    <w:p w14:paraId="3045A370" w14:textId="3F9BA7CA" w:rsidR="004134C8" w:rsidRPr="00843D3F" w:rsidRDefault="004134C8" w:rsidP="005675C4">
      <w:r w:rsidRPr="00843D3F">
        <w:t>Tato varianta řešení předpokládá stanovení požadavků na dokumentaci prokazující zabezpečení losů formou metodického materiálu. Návrh počítá s přípravou metodického materiálu, ve kterém budou konkrétně specifikovány požadavky na</w:t>
      </w:r>
      <w:r w:rsidR="006F19C4">
        <w:t> </w:t>
      </w:r>
      <w:r w:rsidRPr="00843D3F">
        <w:t>dokumentaci prokazující zabezpečení losů, zejména pak požadavek na výrobní postup tisku a následnou distribuci losů, dále bezpečnostních prvků uvedených na</w:t>
      </w:r>
      <w:r w:rsidR="006F19C4">
        <w:t> </w:t>
      </w:r>
      <w:r w:rsidRPr="00843D3F">
        <w:t>losu, formu tisku losu, materiál, na který se tiskne a následně také podmínky pro</w:t>
      </w:r>
      <w:r w:rsidR="006F19C4">
        <w:t> </w:t>
      </w:r>
      <w:r w:rsidRPr="00843D3F">
        <w:t>skladování losů a způsob likvidace neprodaných losů. Tímto způsobem by byla jak</w:t>
      </w:r>
      <w:r w:rsidR="006F19C4">
        <w:t> </w:t>
      </w:r>
      <w:r w:rsidRPr="00843D3F">
        <w:t>pro stranu žadatelů, tak následně pro správní orgán jasně nastavena pravidla, která je nutné při přípravě dokumentu dodržet.</w:t>
      </w:r>
    </w:p>
    <w:p w14:paraId="1257C4EC" w14:textId="7C1966E5" w:rsidR="00A00A10" w:rsidRDefault="00A00A10" w:rsidP="005675C4">
      <w:r>
        <w:t>Výhody:</w:t>
      </w:r>
    </w:p>
    <w:p w14:paraId="43124299" w14:textId="0D9390D1" w:rsidR="00A00A10" w:rsidRDefault="004134C8" w:rsidP="005675C4">
      <w:r w:rsidRPr="00843D3F">
        <w:t>V metodickém materiálu by byla jednoznačně podchycena problematika zabezpečení a výrobní specifikace losů. Na základě tohoto materiálu by bylo v tomto ohledu správní řízení transparentnější a díky nastaveným procesům i rychlejší a efektivnější.</w:t>
      </w:r>
      <w:r w:rsidR="00A00A10">
        <w:t xml:space="preserve"> </w:t>
      </w:r>
      <w:r w:rsidR="00A00A10" w:rsidRPr="00360939">
        <w:t>Metodický materiál lze kromě výše uvedeného rychleji změnit</w:t>
      </w:r>
      <w:r w:rsidR="00AC245B">
        <w:t>,</w:t>
      </w:r>
      <w:r w:rsidR="00A00A10" w:rsidRPr="00360939">
        <w:t xml:space="preserve"> aby reflektoval případné změny v technologiích, bezpečnosti a/nebo výrobních metodách stíracích losů.</w:t>
      </w:r>
    </w:p>
    <w:p w14:paraId="66D5CC67" w14:textId="77777777" w:rsidR="00A00A10" w:rsidRDefault="00A00A10" w:rsidP="005675C4">
      <w:r>
        <w:t>Nevýhody:</w:t>
      </w:r>
    </w:p>
    <w:p w14:paraId="384FCAF2" w14:textId="6409754F" w:rsidR="00AC245B" w:rsidRPr="00843D3F" w:rsidRDefault="00AC245B" w:rsidP="00AC245B">
      <w:r>
        <w:t>Za m</w:t>
      </w:r>
      <w:r w:rsidRPr="00843D3F">
        <w:t xml:space="preserve">ožné negativum </w:t>
      </w:r>
      <w:r>
        <w:t xml:space="preserve">lze označit </w:t>
      </w:r>
      <w:r w:rsidRPr="00843D3F">
        <w:t>snížení právní jistoty provozovatelů</w:t>
      </w:r>
      <w:r>
        <w:t xml:space="preserve"> oproti variantě I., nicméně naopak posílení opr</w:t>
      </w:r>
      <w:r w:rsidR="003341D4">
        <w:t>o</w:t>
      </w:r>
      <w:r>
        <w:t>ti současnému stavu</w:t>
      </w:r>
      <w:r w:rsidRPr="00843D3F">
        <w:t xml:space="preserve">. </w:t>
      </w:r>
    </w:p>
    <w:p w14:paraId="48A9F991" w14:textId="1557DF6B" w:rsidR="004134C8" w:rsidRPr="00843D3F" w:rsidRDefault="004134C8" w:rsidP="00CA1FED">
      <w:pPr>
        <w:pStyle w:val="Nadpis7"/>
      </w:pPr>
      <w:r w:rsidRPr="00843D3F">
        <w:t>Hodnocení variant</w:t>
      </w:r>
    </w:p>
    <w:p w14:paraId="78CAD3F6" w14:textId="60D838A0" w:rsidR="00AC245B" w:rsidRDefault="008D5645" w:rsidP="00AC245B">
      <w:r>
        <w:t>Za vhodnější variantu je považována varianta II.</w:t>
      </w:r>
      <w:r w:rsidR="008277C2">
        <w:t>, tedy</w:t>
      </w:r>
      <w:r w:rsidR="004134C8" w:rsidRPr="00843D3F">
        <w:t xml:space="preserve"> řešení problematiky metodickou činností</w:t>
      </w:r>
      <w:r w:rsidR="008277C2">
        <w:t>,</w:t>
      </w:r>
      <w:r w:rsidR="004134C8" w:rsidRPr="00843D3F">
        <w:t xml:space="preserve"> a</w:t>
      </w:r>
      <w:r w:rsidR="006F19C4">
        <w:t> </w:t>
      </w:r>
      <w:r w:rsidR="004134C8" w:rsidRPr="00843D3F">
        <w:t>to</w:t>
      </w:r>
      <w:r w:rsidR="006F19C4">
        <w:t> </w:t>
      </w:r>
      <w:r w:rsidR="004134C8" w:rsidRPr="00843D3F">
        <w:t>vydáním buď sam</w:t>
      </w:r>
      <w:r w:rsidR="00471CBC">
        <w:t>ostatné metodiky, stanoviska či </w:t>
      </w:r>
      <w:r w:rsidR="004134C8" w:rsidRPr="00843D3F">
        <w:t xml:space="preserve">standardu. Tato varianta nevyžaduje legislativní zásah, obnáší </w:t>
      </w:r>
      <w:r w:rsidR="00A00A10">
        <w:t>pevnější ukotvení stávající</w:t>
      </w:r>
      <w:r w:rsidR="004134C8" w:rsidRPr="00843D3F">
        <w:t xml:space="preserve"> nastavení správní praxe, díky které dojde k jednoznačnému určení a popisu dokumentů prokazujících zabezpečení losů a</w:t>
      </w:r>
      <w:r w:rsidR="006F19C4">
        <w:t> </w:t>
      </w:r>
      <w:r w:rsidR="004134C8" w:rsidRPr="00843D3F">
        <w:t xml:space="preserve">výrobních specifikací. Následně bude jak pro žadatele o vydání základního povolení, tak pro správní orgán jednoznačně seznatelné, zda jsou naplněny veškeré požadované podmínky uvedené v metodickém materiálu. </w:t>
      </w:r>
    </w:p>
    <w:p w14:paraId="3BD8120F" w14:textId="6E332238" w:rsidR="004134C8" w:rsidRPr="00B73E98" w:rsidRDefault="00AC245B" w:rsidP="007B4647">
      <w:pPr>
        <w:rPr>
          <w:rFonts w:cs="Arial"/>
          <w:szCs w:val="24"/>
        </w:rPr>
      </w:pPr>
      <w:r>
        <w:rPr>
          <w:rFonts w:cs="Arial"/>
          <w:szCs w:val="24"/>
        </w:rPr>
        <w:t>V návaznosti na</w:t>
      </w:r>
      <w:r w:rsidR="00000D2F">
        <w:rPr>
          <w:rFonts w:cs="Arial"/>
          <w:szCs w:val="24"/>
        </w:rPr>
        <w:t xml:space="preserve"> tento závěr a rovněž </w:t>
      </w:r>
      <w:r w:rsidR="00EB2588">
        <w:rPr>
          <w:rFonts w:cs="Arial"/>
          <w:szCs w:val="24"/>
        </w:rPr>
        <w:t>hodnocení</w:t>
      </w:r>
      <w:r w:rsidRPr="00843D3F">
        <w:rPr>
          <w:rFonts w:cs="Arial"/>
          <w:szCs w:val="24"/>
        </w:rPr>
        <w:t xml:space="preserve"> týkající se problematiky dětských motivů na stíracích losech okamžité loterie</w:t>
      </w:r>
      <w:r>
        <w:rPr>
          <w:rFonts w:cs="Arial"/>
          <w:szCs w:val="24"/>
        </w:rPr>
        <w:t xml:space="preserve"> by bylo vhodné</w:t>
      </w:r>
      <w:r w:rsidR="00B73E98">
        <w:rPr>
          <w:rFonts w:cs="Arial"/>
          <w:szCs w:val="24"/>
        </w:rPr>
        <w:t xml:space="preserve"> upravit tyto související otázky v</w:t>
      </w:r>
      <w:r>
        <w:rPr>
          <w:rFonts w:cs="Arial"/>
          <w:szCs w:val="24"/>
        </w:rPr>
        <w:t xml:space="preserve"> </w:t>
      </w:r>
      <w:r w:rsidRPr="00843D3F">
        <w:rPr>
          <w:rFonts w:cs="Arial"/>
          <w:szCs w:val="24"/>
        </w:rPr>
        <w:t>komplexní</w:t>
      </w:r>
      <w:r w:rsidR="00B73E98">
        <w:rPr>
          <w:rFonts w:cs="Arial"/>
          <w:szCs w:val="24"/>
        </w:rPr>
        <w:t>m metodickém</w:t>
      </w:r>
      <w:r w:rsidRPr="00843D3F">
        <w:rPr>
          <w:rFonts w:cs="Arial"/>
          <w:szCs w:val="24"/>
        </w:rPr>
        <w:t xml:space="preserve"> materiál</w:t>
      </w:r>
      <w:r w:rsidR="003341D4">
        <w:rPr>
          <w:rFonts w:cs="Arial"/>
          <w:szCs w:val="24"/>
        </w:rPr>
        <w:t>u</w:t>
      </w:r>
      <w:r w:rsidRPr="00843D3F">
        <w:rPr>
          <w:rFonts w:cs="Arial"/>
          <w:szCs w:val="24"/>
        </w:rPr>
        <w:t>, který by</w:t>
      </w:r>
      <w:r w:rsidR="00B73E98">
        <w:rPr>
          <w:rFonts w:cs="Arial"/>
          <w:szCs w:val="24"/>
        </w:rPr>
        <w:t xml:space="preserve"> doplnil stávající legislativu.</w:t>
      </w:r>
    </w:p>
    <w:p w14:paraId="19861677" w14:textId="7CE33F01" w:rsidR="0000360B" w:rsidRPr="00843D3F" w:rsidRDefault="0000360B" w:rsidP="003D2CF6">
      <w:pPr>
        <w:pStyle w:val="Nadpis6"/>
      </w:pPr>
      <w:bookmarkStart w:id="9" w:name="_Toc73611574"/>
      <w:r w:rsidRPr="00843D3F">
        <w:lastRenderedPageBreak/>
        <w:t>Tisk celé emise</w:t>
      </w:r>
      <w:r w:rsidR="00077012" w:rsidRPr="00077012">
        <w:t xml:space="preserve"> </w:t>
      </w:r>
      <w:r w:rsidR="00077012" w:rsidRPr="00843D3F">
        <w:t>losů</w:t>
      </w:r>
      <w:r w:rsidR="00077012">
        <w:t xml:space="preserve"> okamžité loterie</w:t>
      </w:r>
      <w:bookmarkEnd w:id="9"/>
    </w:p>
    <w:p w14:paraId="481890BF" w14:textId="5FEBD2A0" w:rsidR="0000360B" w:rsidRPr="00843D3F" w:rsidRDefault="00E54D4D" w:rsidP="007B4647">
      <w:r>
        <w:t>V současném znění zákona</w:t>
      </w:r>
      <w:r w:rsidR="0000360B" w:rsidRPr="00843D3F">
        <w:t xml:space="preserve"> o hazardních hrách </w:t>
      </w:r>
      <w:r w:rsidR="003341D4">
        <w:t xml:space="preserve">není </w:t>
      </w:r>
      <w:r w:rsidR="0000360B" w:rsidRPr="00843D3F">
        <w:t xml:space="preserve">specifikováno, jakým způsobem má v případě losů okamžité loterie probíhat jejich tisk. </w:t>
      </w:r>
      <w:r w:rsidR="00885296">
        <w:t xml:space="preserve">V </w:t>
      </w:r>
      <w:r w:rsidR="0000360B">
        <w:t>§ 23</w:t>
      </w:r>
      <w:r w:rsidR="0000360B" w:rsidRPr="00843D3F">
        <w:t xml:space="preserve"> </w:t>
      </w:r>
      <w:r w:rsidR="00007900">
        <w:t xml:space="preserve">zákona o hazardních hrách </w:t>
      </w:r>
      <w:r w:rsidR="00885296">
        <w:t>je pop</w:t>
      </w:r>
      <w:r w:rsidR="0000360B" w:rsidRPr="00843D3F">
        <w:t>s</w:t>
      </w:r>
      <w:r w:rsidR="00885296">
        <w:t>ána</w:t>
      </w:r>
      <w:r w:rsidR="0000360B" w:rsidRPr="00843D3F">
        <w:t xml:space="preserve"> kontrol</w:t>
      </w:r>
      <w:r w:rsidR="00885296">
        <w:t>a</w:t>
      </w:r>
      <w:r w:rsidR="0000360B" w:rsidRPr="00843D3F">
        <w:t xml:space="preserve"> losů provozovatelem, nikoli však samotný tisk losů. Z tohoto důvodu stanovuje základní povolení </w:t>
      </w:r>
      <w:r w:rsidR="00D0046C" w:rsidRPr="00843D3F">
        <w:t xml:space="preserve">podmínku </w:t>
      </w:r>
      <w:r w:rsidR="00D0046C">
        <w:t xml:space="preserve">ve </w:t>
      </w:r>
      <w:r w:rsidR="0000360B" w:rsidRPr="00843D3F">
        <w:t xml:space="preserve">smyslu, že provozovatel vytiskne vždy celou emisi losů okamžité loterie před vydáním losů do prodeje, </w:t>
      </w:r>
      <w:r w:rsidR="00D0046C">
        <w:t>k její distribuci může docházet</w:t>
      </w:r>
      <w:r w:rsidR="004C638E">
        <w:t xml:space="preserve"> </w:t>
      </w:r>
      <w:r w:rsidR="0000360B" w:rsidRPr="00843D3F">
        <w:t xml:space="preserve">postupně. Tento postup </w:t>
      </w:r>
      <w:r w:rsidR="00D0046C">
        <w:t xml:space="preserve">má za cíl zajistit transparentnost, </w:t>
      </w:r>
      <w:r w:rsidR="0000360B" w:rsidRPr="00843D3F">
        <w:t xml:space="preserve">rovné podmínky a </w:t>
      </w:r>
      <w:r w:rsidR="00D0046C">
        <w:t xml:space="preserve">vyloučit jakýkoli dodatečný zásah do rozvrstvení </w:t>
      </w:r>
      <w:r w:rsidR="00885296">
        <w:t>výherních a </w:t>
      </w:r>
      <w:r w:rsidR="00C95A08">
        <w:t xml:space="preserve">nevýherních </w:t>
      </w:r>
      <w:r w:rsidR="00D0046C">
        <w:t>losů okamžité loterie</w:t>
      </w:r>
      <w:r w:rsidR="0000360B" w:rsidRPr="00843D3F">
        <w:t xml:space="preserve"> </w:t>
      </w:r>
      <w:r w:rsidR="00C95A08">
        <w:t>a vytištění</w:t>
      </w:r>
      <w:r w:rsidR="0000360B" w:rsidRPr="00843D3F">
        <w:t xml:space="preserve"> emise okamžité loterie. Současně musí celá emise vytištěných losů dodržet zákon</w:t>
      </w:r>
      <w:r w:rsidR="00885296">
        <w:t>em nastavené a v herním plánu a </w:t>
      </w:r>
      <w:r w:rsidR="0000360B" w:rsidRPr="00843D3F">
        <w:t>základním povolení schválené výherní poměry a úhrnnou cenu výher.</w:t>
      </w:r>
    </w:p>
    <w:p w14:paraId="4F705F56" w14:textId="66768F8A" w:rsidR="0000360B" w:rsidRDefault="0000360B" w:rsidP="007B4647">
      <w:r w:rsidRPr="00843D3F">
        <w:t>Řešením výše uvedené problematiky je úprava zákona o hazardních hrách</w:t>
      </w:r>
      <w:r w:rsidR="003341D4">
        <w:t>,</w:t>
      </w:r>
      <w:r w:rsidRPr="00843D3F">
        <w:t xml:space="preserve"> a to</w:t>
      </w:r>
      <w:r w:rsidR="002E4E22">
        <w:t xml:space="preserve"> v tom smyslu, že bude doplněn </w:t>
      </w:r>
      <w:r w:rsidRPr="00843D3F">
        <w:t>§</w:t>
      </w:r>
      <w:r w:rsidR="00885296">
        <w:t xml:space="preserve"> 23 zákona o hazardních hrách o </w:t>
      </w:r>
      <w:r w:rsidRPr="00843D3F">
        <w:t>podmínku tisku celé emise losů okamžité loterie a to před vydáním těchto losů do prodeje. Tímto opatřením dojde ke zvýšení právní jistoty provozovatelů hazardních her a</w:t>
      </w:r>
      <w:r w:rsidR="003661D4">
        <w:t> </w:t>
      </w:r>
      <w:r w:rsidRPr="00843D3F">
        <w:t>přesunu podmínky základního povol</w:t>
      </w:r>
      <w:r w:rsidR="00885296">
        <w:t>ení do samotné textace zákona o </w:t>
      </w:r>
      <w:r w:rsidRPr="00843D3F">
        <w:t>hazardních hrách.</w:t>
      </w:r>
    </w:p>
    <w:p w14:paraId="7E42A6FD" w14:textId="34F503DF" w:rsidR="00177DD1" w:rsidRPr="005A462A" w:rsidRDefault="00305FDD" w:rsidP="0028190C">
      <w:pPr>
        <w:pStyle w:val="Nadpis5"/>
      </w:pPr>
      <w:bookmarkStart w:id="10" w:name="_Toc73611575"/>
      <w:r w:rsidRPr="005537D4">
        <w:t>Číselné</w:t>
      </w:r>
      <w:r w:rsidR="00177DD1" w:rsidRPr="005537D4">
        <w:t xml:space="preserve"> loterie</w:t>
      </w:r>
      <w:bookmarkEnd w:id="10"/>
    </w:p>
    <w:p w14:paraId="73252B5F" w14:textId="77777777" w:rsidR="0035010C" w:rsidRPr="00843D3F" w:rsidRDefault="0035010C" w:rsidP="003D2CF6">
      <w:pPr>
        <w:pStyle w:val="Nadpis6"/>
        <w:numPr>
          <w:ilvl w:val="0"/>
          <w:numId w:val="9"/>
        </w:numPr>
      </w:pPr>
      <w:bookmarkStart w:id="11" w:name="_Toc73611576"/>
      <w:r w:rsidRPr="00843D3F">
        <w:t>Účast notáře a loterní komise u slosování číselné loterie</w:t>
      </w:r>
      <w:bookmarkEnd w:id="11"/>
    </w:p>
    <w:p w14:paraId="73FDCF59" w14:textId="67F2AC62" w:rsidR="0035010C" w:rsidRPr="00843D3F" w:rsidRDefault="00885296" w:rsidP="007B4647">
      <w:r>
        <w:t>V</w:t>
      </w:r>
      <w:r w:rsidR="0035010C" w:rsidRPr="00843D3F">
        <w:t xml:space="preserve"> § 25 a §</w:t>
      </w:r>
      <w:r w:rsidR="008C31F2">
        <w:t xml:space="preserve"> </w:t>
      </w:r>
      <w:r w:rsidR="0035010C" w:rsidRPr="00843D3F">
        <w:t xml:space="preserve">26 </w:t>
      </w:r>
      <w:r>
        <w:t>z</w:t>
      </w:r>
      <w:r w:rsidRPr="00843D3F">
        <w:t xml:space="preserve">ákon o hazardních hrách </w:t>
      </w:r>
      <w:r w:rsidR="0035010C" w:rsidRPr="00843D3F">
        <w:t>stanoví p</w:t>
      </w:r>
      <w:r>
        <w:t>ovinnost osobní účasti notáře u </w:t>
      </w:r>
      <w:r w:rsidR="0035010C" w:rsidRPr="00843D3F">
        <w:t>slosování a povinnost určení loterní komise. Tyto požadavky byly převzaty ze</w:t>
      </w:r>
      <w:r w:rsidR="006F19C4">
        <w:t> </w:t>
      </w:r>
      <w:r w:rsidR="0035010C" w:rsidRPr="00843D3F">
        <w:t>zákona o loteriích a účast notáře má i nadále zajišťovat transparentnost losování. Notář osvědčuje průběh slosování notářským zápisem. Loterní komise zajišťuje řádný průběh slosování loterie a sepisuje o slosování protokol, jehož přílohou jsou výše uvedené notářské zápisy.</w:t>
      </w:r>
    </w:p>
    <w:p w14:paraId="6B0882A3" w14:textId="27E2A440" w:rsidR="0035010C" w:rsidRPr="00843D3F" w:rsidRDefault="0035010C" w:rsidP="007B4647">
      <w:r w:rsidRPr="00843D3F">
        <w:t>Účast notáře a loterní komise byla</w:t>
      </w:r>
      <w:r w:rsidR="006F19C4">
        <w:t xml:space="preserve"> primárně zaměřena na loterie, </w:t>
      </w:r>
      <w:r w:rsidRPr="00843D3F">
        <w:t>které probíhají prostřednictvím mecha</w:t>
      </w:r>
      <w:r w:rsidR="002624F0">
        <w:t>nického losovadla</w:t>
      </w:r>
      <w:r w:rsidRPr="00843D3F">
        <w:t>. S rozv</w:t>
      </w:r>
      <w:r w:rsidR="002624F0">
        <w:t>ojem informačních technologií a </w:t>
      </w:r>
      <w:r w:rsidRPr="00843D3F">
        <w:t>nástupem softwarových generátorů náhodných čísel se</w:t>
      </w:r>
      <w:r w:rsidR="006F19C4">
        <w:t> </w:t>
      </w:r>
      <w:r w:rsidR="002624F0">
        <w:t>rychlost slosování loterie zvyšuje a </w:t>
      </w:r>
      <w:r w:rsidRPr="00843D3F">
        <w:t>zároveň se tvorba náhody (výsledku hry) přesouvá z fyzického prostoru do virtuálního. Povinná přítomnost notáře a loterní komise se</w:t>
      </w:r>
      <w:r w:rsidR="006F19C4">
        <w:t> </w:t>
      </w:r>
      <w:r w:rsidR="002624F0">
        <w:t xml:space="preserve">vzhledem k výše uvedenému může </w:t>
      </w:r>
      <w:r w:rsidR="003851F6">
        <w:t xml:space="preserve">v některých případech </w:t>
      </w:r>
      <w:r w:rsidR="002624F0">
        <w:t>jevit jako neúčelná</w:t>
      </w:r>
      <w:r w:rsidRPr="00843D3F">
        <w:t>, neboť náhoda je generována softwarovým systémem, jehož funkčnost je</w:t>
      </w:r>
      <w:r w:rsidR="003851F6">
        <w:t xml:space="preserve"> ověřována pověřenými osobami.</w:t>
      </w:r>
    </w:p>
    <w:p w14:paraId="4088AA6A" w14:textId="6AD06CAC" w:rsidR="0035010C" w:rsidRPr="00843D3F" w:rsidRDefault="0035010C" w:rsidP="007B4647">
      <w:r w:rsidRPr="00843D3F">
        <w:t>Další povinností nad rámec přítomnosti notáře u každého slosování je taktéž povinnost osvědčovat průběh každého losování notářským zápisem. Problém nastává v případě, kdy losování číselných loterií probíhá v rámci každého dne, a to například v minutové frekvenci. V tomto případě není reálně možné zajistit, aby z každého sloso</w:t>
      </w:r>
      <w:r w:rsidR="003851F6">
        <w:t xml:space="preserve">vání byl sepsán notářský zápis. </w:t>
      </w:r>
      <w:r w:rsidR="003851F6" w:rsidRPr="00843D3F">
        <w:t>Vzhledem k rozmachu internetového prostředí a her provozovaných přes internet lze očekávat, že ten</w:t>
      </w:r>
      <w:r w:rsidR="003851F6">
        <w:t>to problém bude stále častější.</w:t>
      </w:r>
    </w:p>
    <w:p w14:paraId="43657D8F" w14:textId="3591FC7C" w:rsidR="00630A55" w:rsidRDefault="00630A55" w:rsidP="00CA1FED">
      <w:pPr>
        <w:pStyle w:val="Nadpis7"/>
      </w:pPr>
      <w:r>
        <w:t xml:space="preserve">Varianta I. – Zachování současného stavu s možností </w:t>
      </w:r>
      <w:r w:rsidR="00063288">
        <w:t>jednoho notářského zápisu osvědčujícího průběh slosování hromadně</w:t>
      </w:r>
    </w:p>
    <w:p w14:paraId="0CA96A0A" w14:textId="77777777" w:rsidR="00063288" w:rsidRDefault="00063288" w:rsidP="00630A55">
      <w:r>
        <w:t xml:space="preserve">Tato varianta předvídá zachování přítomnosti notáře a loterní komise u všech slosování bez ohledu na to, jakým typem generátoru náhodných čísel je určován výsledek slosování. </w:t>
      </w:r>
      <w:r w:rsidRPr="00843D3F">
        <w:t xml:space="preserve">Současně by </w:t>
      </w:r>
      <w:r>
        <w:t xml:space="preserve">však </w:t>
      </w:r>
      <w:r w:rsidRPr="00843D3F">
        <w:t xml:space="preserve">byla </w:t>
      </w:r>
      <w:r>
        <w:t>doplněna možnost</w:t>
      </w:r>
      <w:r w:rsidRPr="00843D3F">
        <w:t xml:space="preserve"> </w:t>
      </w:r>
      <w:r>
        <w:t xml:space="preserve">při </w:t>
      </w:r>
      <w:r w:rsidRPr="00843D3F">
        <w:t>osvědčování losování notářským zápisem</w:t>
      </w:r>
      <w:r>
        <w:t>, že u</w:t>
      </w:r>
      <w:r w:rsidRPr="00843D3F">
        <w:t xml:space="preserve"> tzv. rychlých loterií </w:t>
      </w:r>
      <w:r>
        <w:t>(</w:t>
      </w:r>
      <w:r w:rsidRPr="00843D3F">
        <w:t xml:space="preserve">loterií s několikanásobným </w:t>
      </w:r>
      <w:r w:rsidRPr="00843D3F">
        <w:lastRenderedPageBreak/>
        <w:t>každodenním losováním v intervalu hodin či</w:t>
      </w:r>
      <w:r>
        <w:t> </w:t>
      </w:r>
      <w:r w:rsidRPr="00843D3F">
        <w:t>minut</w:t>
      </w:r>
      <w:r>
        <w:t>)</w:t>
      </w:r>
      <w:r w:rsidRPr="00843D3F">
        <w:t>, je možno osvědčit jedním notářským zápisem všechna losování, která</w:t>
      </w:r>
      <w:r>
        <w:t> </w:t>
      </w:r>
      <w:r w:rsidRPr="00843D3F">
        <w:t>proběhla za 24 hodin.</w:t>
      </w:r>
    </w:p>
    <w:p w14:paraId="3169780A" w14:textId="7B07128D" w:rsidR="00063288" w:rsidRPr="00CC010A" w:rsidRDefault="00063288" w:rsidP="00030077">
      <w:r w:rsidRPr="00CC010A">
        <w:t>Výhody:</w:t>
      </w:r>
    </w:p>
    <w:p w14:paraId="129B66D7" w14:textId="0447645F" w:rsidR="00630A55" w:rsidRDefault="00063288" w:rsidP="00630A55">
      <w:r>
        <w:t>Uvedené by navázalo na již založenou správní praxi.</w:t>
      </w:r>
    </w:p>
    <w:p w14:paraId="41E23AC6" w14:textId="0B825079" w:rsidR="00063288" w:rsidRPr="00CC010A" w:rsidRDefault="00063288" w:rsidP="00030077">
      <w:pPr>
        <w:keepNext/>
      </w:pPr>
      <w:r w:rsidRPr="00CC010A">
        <w:t>Nevýhody:</w:t>
      </w:r>
    </w:p>
    <w:p w14:paraId="2155E463" w14:textId="4C8D9458" w:rsidR="00063288" w:rsidRPr="00630A55" w:rsidRDefault="00063288" w:rsidP="00630A55">
      <w:r>
        <w:t xml:space="preserve">Nese s sebou </w:t>
      </w:r>
      <w:r w:rsidR="00F77D53">
        <w:t xml:space="preserve">stávající </w:t>
      </w:r>
      <w:r>
        <w:t>náklady spojené s přítomností notáře při slosování, rovněž je diskutabilní, zda je notář v takovém případě schopen řádný průběh loterie skutečně osvědčit.</w:t>
      </w:r>
    </w:p>
    <w:p w14:paraId="028F0105" w14:textId="22BDA2EC" w:rsidR="0035010C" w:rsidRPr="0035010C" w:rsidRDefault="0035010C" w:rsidP="00CA1FED">
      <w:pPr>
        <w:pStyle w:val="Nadpis7"/>
      </w:pPr>
      <w:r w:rsidRPr="0035010C">
        <w:t>Varianta I</w:t>
      </w:r>
      <w:r w:rsidR="00114355">
        <w:t>I</w:t>
      </w:r>
      <w:r w:rsidRPr="0035010C">
        <w:t xml:space="preserve">. </w:t>
      </w:r>
      <w:r w:rsidR="007B4647">
        <w:t xml:space="preserve">– </w:t>
      </w:r>
      <w:r w:rsidRPr="0035010C">
        <w:t xml:space="preserve">Úprava zákona o hazardních hrách </w:t>
      </w:r>
      <w:r w:rsidR="00114355">
        <w:t>- povinnost přítomnosti notáře a </w:t>
      </w:r>
      <w:r w:rsidRPr="0035010C">
        <w:t>loterní komise pouze u loterií, které využívají pro</w:t>
      </w:r>
      <w:r w:rsidR="006F19C4">
        <w:t> </w:t>
      </w:r>
      <w:r w:rsidRPr="0035010C">
        <w:t>losování mechanické osudí</w:t>
      </w:r>
    </w:p>
    <w:p w14:paraId="4326D2B1" w14:textId="638046FC" w:rsidR="0035010C" w:rsidRPr="00843D3F" w:rsidRDefault="0035010C" w:rsidP="00CD6386">
      <w:r w:rsidRPr="00843D3F">
        <w:t>Tato varianta řešení obnáší úpravu textace zákona o hazardních hr</w:t>
      </w:r>
      <w:r w:rsidR="003851F6">
        <w:t xml:space="preserve">ách a to upravení § 25 </w:t>
      </w:r>
      <w:r w:rsidRPr="00843D3F">
        <w:t>a § 26</w:t>
      </w:r>
      <w:r w:rsidR="00B86450">
        <w:t xml:space="preserve"> zákona o hazardních hrách</w:t>
      </w:r>
      <w:r w:rsidR="003851F6">
        <w:t xml:space="preserve">, u kterých by se stanovilo, že </w:t>
      </w:r>
      <w:r w:rsidR="00B86450">
        <w:t>účast notáře a </w:t>
      </w:r>
      <w:r w:rsidRPr="00843D3F">
        <w:t xml:space="preserve">loterní komise </w:t>
      </w:r>
      <w:r w:rsidR="003851F6">
        <w:t xml:space="preserve">je nutná </w:t>
      </w:r>
      <w:r w:rsidRPr="00843D3F">
        <w:t xml:space="preserve">pouze při losování </w:t>
      </w:r>
      <w:r w:rsidR="003851F6">
        <w:t xml:space="preserve">prováděných </w:t>
      </w:r>
      <w:r w:rsidRPr="00843D3F">
        <w:t>mechanickým osudím. V tomto případě by byly podmínky zachovány v aktuálním stavu a to reálnou účastní notáře a loterní komise u slosování, v případě losování softwarovým generátorem by</w:t>
      </w:r>
      <w:r w:rsidR="003851F6">
        <w:t xml:space="preserve"> byly tyto podmínky vypuštěny a </w:t>
      </w:r>
      <w:r w:rsidRPr="00843D3F">
        <w:t>povinnost osvědčovat průběh losování by ne</w:t>
      </w:r>
      <w:r w:rsidR="00630A55">
        <w:t>byla vyžadována.</w:t>
      </w:r>
    </w:p>
    <w:p w14:paraId="436D9AC8" w14:textId="56D379A2" w:rsidR="0035010C" w:rsidRDefault="0035010C" w:rsidP="00CD6386">
      <w:r w:rsidRPr="00843D3F">
        <w:t>Současně by byla upravena i povinnost osvědčování losování notářským zápisem a</w:t>
      </w:r>
      <w:r w:rsidR="006F19C4">
        <w:t> </w:t>
      </w:r>
      <w:r w:rsidRPr="00843D3F">
        <w:t>to</w:t>
      </w:r>
      <w:r w:rsidR="006F19C4">
        <w:t> </w:t>
      </w:r>
      <w:r w:rsidRPr="00843D3F">
        <w:t>doplněním do zákona o hazardních hrách té možnosti, že v případě tzv. rychlých loterií, čili loterií s několikanásobným každodenním losováním v intervalu hodin či</w:t>
      </w:r>
      <w:r w:rsidR="006F19C4">
        <w:t> </w:t>
      </w:r>
      <w:r w:rsidRPr="00843D3F">
        <w:t>minut, je možno osvědčit jedním notářským zápisem všechna losování, která</w:t>
      </w:r>
      <w:r w:rsidR="006F19C4">
        <w:t> </w:t>
      </w:r>
      <w:r w:rsidRPr="00843D3F">
        <w:t>proběhla za 24 hodin.</w:t>
      </w:r>
      <w:r w:rsidR="00630A55">
        <w:t xml:space="preserve"> Uvedené by se vztahovalo pouze na slosování, která probíhají prostřednictvím mechanického generátoru náhodných čísel. V případě provádění slosování softwarovým generátorem by musela být zajištěno ukládání výsledku slosování. Současně je již nyní na základě reportingové vyhlášky předávána informace o tažených číslech.</w:t>
      </w:r>
    </w:p>
    <w:p w14:paraId="09EE32D7" w14:textId="7F60EA61" w:rsidR="00063288" w:rsidRPr="00CC010A" w:rsidRDefault="00063288" w:rsidP="00030077">
      <w:r w:rsidRPr="00CC010A">
        <w:t>Výhody:</w:t>
      </w:r>
    </w:p>
    <w:p w14:paraId="440C7EA1" w14:textId="4847C887" w:rsidR="00063288" w:rsidRDefault="00063288" w:rsidP="00063288">
      <w:r>
        <w:t>Úspora nákladů na straně provozovatelů loterií.</w:t>
      </w:r>
    </w:p>
    <w:p w14:paraId="04E4B3AB" w14:textId="5D26B196" w:rsidR="00063288" w:rsidRPr="00CC010A" w:rsidRDefault="00063288" w:rsidP="00063288">
      <w:r w:rsidRPr="00CC010A">
        <w:t>Nevýhody:</w:t>
      </w:r>
    </w:p>
    <w:p w14:paraId="3077A561" w14:textId="2232693F" w:rsidR="00063288" w:rsidRPr="00063288" w:rsidRDefault="000C68E2" w:rsidP="00063288">
      <w:r>
        <w:t>Nutnost zajištění, aby softwarové generátory náhodných čísel ukládaly informace o výsledku slosování a osvědčení této funkcionality pověřenou osobou.</w:t>
      </w:r>
    </w:p>
    <w:p w14:paraId="2351BF98" w14:textId="77777777" w:rsidR="00630A55" w:rsidRPr="00843D3F" w:rsidRDefault="00630A55" w:rsidP="00630A55">
      <w:pPr>
        <w:pStyle w:val="Nadpis7"/>
      </w:pPr>
      <w:r w:rsidRPr="00843D3F">
        <w:t>Hodnocení variant</w:t>
      </w:r>
    </w:p>
    <w:p w14:paraId="177763DA" w14:textId="4FA64063" w:rsidR="0035010C" w:rsidRDefault="00567151" w:rsidP="00CD6386">
      <w:r>
        <w:t>Za nejefektivnější způsob řešení je považováno</w:t>
      </w:r>
      <w:r w:rsidRPr="00843D3F">
        <w:t xml:space="preserve"> </w:t>
      </w:r>
      <w:r w:rsidR="0035010C" w:rsidRPr="00843D3F">
        <w:t>po</w:t>
      </w:r>
      <w:r w:rsidR="000C68E2">
        <w:t>stupovat podle varianty II.</w:t>
      </w:r>
    </w:p>
    <w:p w14:paraId="176AC941" w14:textId="77777777" w:rsidR="0000360B" w:rsidRPr="00843D3F" w:rsidRDefault="0000360B" w:rsidP="003D2CF6">
      <w:pPr>
        <w:pStyle w:val="Nadpis6"/>
      </w:pPr>
      <w:bookmarkStart w:id="12" w:name="_Toc73611577"/>
      <w:r w:rsidRPr="00843D3F">
        <w:t>Závěrečné/mimořádné slosování u číselných loterií</w:t>
      </w:r>
      <w:bookmarkEnd w:id="12"/>
    </w:p>
    <w:p w14:paraId="76B78F43" w14:textId="6D8A86A9" w:rsidR="0000360B" w:rsidRPr="00843D3F" w:rsidRDefault="0000360B" w:rsidP="00CD6386">
      <w:r w:rsidRPr="00843D3F">
        <w:t>Za účelem dodržení zákonem stanoveného rozpětí úhrnné ceny výher mezi 40</w:t>
      </w:r>
      <w:r w:rsidR="00B86450">
        <w:t> % a </w:t>
      </w:r>
      <w:r w:rsidRPr="00843D3F">
        <w:t>80</w:t>
      </w:r>
      <w:r w:rsidR="00B86450">
        <w:t> </w:t>
      </w:r>
      <w:r w:rsidRPr="00843D3F">
        <w:t>%</w:t>
      </w:r>
      <w:r w:rsidR="000C68E2">
        <w:t xml:space="preserve"> herní jistiny</w:t>
      </w:r>
      <w:r>
        <w:t>,</w:t>
      </w:r>
      <w:r w:rsidRPr="00843D3F">
        <w:t xml:space="preserve"> je aktuálně nastaven institut mimořádného slosování</w:t>
      </w:r>
      <w:r>
        <w:t>,</w:t>
      </w:r>
      <w:r w:rsidRPr="00843D3F">
        <w:t xml:space="preserve"> a to před ukončením provozu číselných loterií</w:t>
      </w:r>
      <w:r w:rsidR="000C68E2">
        <w:t xml:space="preserve"> (tedy v případě posledního slosování před zánikem či zrušením základního povolení)</w:t>
      </w:r>
      <w:r w:rsidRPr="00843D3F">
        <w:t>. Pravidla t</w:t>
      </w:r>
      <w:r w:rsidR="000C68E2">
        <w:t>ohoto losování jsou nastavena a </w:t>
      </w:r>
      <w:r w:rsidRPr="00843D3F">
        <w:t>popsán</w:t>
      </w:r>
      <w:r w:rsidR="00C14104">
        <w:t>a v herním plánu těchto loterií</w:t>
      </w:r>
      <w:r w:rsidRPr="00843D3F">
        <w:t xml:space="preserve">. </w:t>
      </w:r>
    </w:p>
    <w:p w14:paraId="392885FF" w14:textId="7A14846D" w:rsidR="0000360B" w:rsidRDefault="0000360B" w:rsidP="000C1588">
      <w:r w:rsidRPr="00843D3F">
        <w:lastRenderedPageBreak/>
        <w:t>Řešení</w:t>
      </w:r>
      <w:r w:rsidR="004B6676">
        <w:t>m</w:t>
      </w:r>
      <w:r w:rsidRPr="00843D3F">
        <w:t xml:space="preserve"> tohoto problému je doplnění </w:t>
      </w:r>
      <w:r w:rsidR="006A6CCD">
        <w:t>povinnosti do zákona o hazardních hrách, která</w:t>
      </w:r>
      <w:r w:rsidRPr="00843D3F">
        <w:t xml:space="preserve"> </w:t>
      </w:r>
      <w:r w:rsidR="006A6CCD">
        <w:t>stanovila požadavky provedení s</w:t>
      </w:r>
      <w:r w:rsidRPr="00843D3F">
        <w:t>losování loterie, kde bude doplněn institut závěrečného slosován</w:t>
      </w:r>
      <w:r>
        <w:t xml:space="preserve">í, které bude užito v případě, </w:t>
      </w:r>
      <w:r w:rsidRPr="00843D3F">
        <w:t xml:space="preserve">že provozovatel před koncem platnosti základního povolení či ukončení činnosti </w:t>
      </w:r>
      <w:r w:rsidR="006A6CCD">
        <w:t>nedosáhne</w:t>
      </w:r>
      <w:r w:rsidRPr="00843D3F">
        <w:t xml:space="preserve"> stanovené úhrnné ceny výher a</w:t>
      </w:r>
      <w:r>
        <w:t> </w:t>
      </w:r>
      <w:r w:rsidRPr="00843D3F">
        <w:t>pro</w:t>
      </w:r>
      <w:r>
        <w:t> </w:t>
      </w:r>
      <w:r w:rsidRPr="00843D3F">
        <w:t>narovnání tohoto stavu využije právě institutu závěrečného losování.</w:t>
      </w:r>
    </w:p>
    <w:p w14:paraId="78CC4D3D" w14:textId="63EFBE7F" w:rsidR="004B6676" w:rsidRPr="00843D3F" w:rsidRDefault="001F0B7F" w:rsidP="00CD6386">
      <w:r w:rsidRPr="00360939">
        <w:t xml:space="preserve">Změna zákona o hazardních hrách spočívající v doplnění institutu závěrečného slosování </w:t>
      </w:r>
      <w:r w:rsidR="00B90E9D">
        <w:t xml:space="preserve">je </w:t>
      </w:r>
      <w:r w:rsidRPr="00360939">
        <w:t>považována</w:t>
      </w:r>
      <w:r w:rsidR="006A6CCD">
        <w:t xml:space="preserve"> za jediné</w:t>
      </w:r>
      <w:r w:rsidRPr="00360939">
        <w:t xml:space="preserve"> efektiv</w:t>
      </w:r>
      <w:r w:rsidR="00422E3E" w:rsidRPr="00360939">
        <w:t>ní řešení</w:t>
      </w:r>
      <w:r w:rsidR="006A6CCD">
        <w:t>, jelikož by tímto způsobem byla</w:t>
      </w:r>
      <w:r w:rsidR="00422E3E" w:rsidRPr="00360939">
        <w:t xml:space="preserve"> jednoznačně zavedena pravidla závěrečného slosování.</w:t>
      </w:r>
    </w:p>
    <w:p w14:paraId="574542F8" w14:textId="13110CBF" w:rsidR="0000360B" w:rsidRPr="00B55C53" w:rsidRDefault="0000360B" w:rsidP="0028190C">
      <w:pPr>
        <w:pStyle w:val="Nadpis5"/>
      </w:pPr>
      <w:bookmarkStart w:id="13" w:name="_Toc73611578"/>
      <w:r w:rsidRPr="00B55C53">
        <w:t>Obecné</w:t>
      </w:r>
      <w:bookmarkEnd w:id="13"/>
    </w:p>
    <w:p w14:paraId="5D349644" w14:textId="79255AE7" w:rsidR="0035010C" w:rsidRPr="00843D3F" w:rsidRDefault="0035010C" w:rsidP="003D2CF6">
      <w:pPr>
        <w:pStyle w:val="Nadpis6"/>
        <w:numPr>
          <w:ilvl w:val="0"/>
          <w:numId w:val="10"/>
        </w:numPr>
      </w:pPr>
      <w:bookmarkStart w:id="14" w:name="_Toc73611579"/>
      <w:r w:rsidRPr="00843D3F">
        <w:t>Úhrnná cena výher</w:t>
      </w:r>
      <w:bookmarkEnd w:id="14"/>
    </w:p>
    <w:p w14:paraId="45759CC6" w14:textId="52227F42" w:rsidR="0035010C" w:rsidRDefault="00B86450" w:rsidP="00411FE9">
      <w:pPr>
        <w:rPr>
          <w:szCs w:val="24"/>
        </w:rPr>
      </w:pPr>
      <w:r>
        <w:rPr>
          <w:szCs w:val="24"/>
        </w:rPr>
        <w:t>V</w:t>
      </w:r>
      <w:r w:rsidR="0035010C" w:rsidRPr="00411FE9">
        <w:rPr>
          <w:szCs w:val="24"/>
        </w:rPr>
        <w:t xml:space="preserve"> § 21</w:t>
      </w:r>
      <w:r>
        <w:rPr>
          <w:szCs w:val="24"/>
        </w:rPr>
        <w:t xml:space="preserve"> zákon o hazardních hrách</w:t>
      </w:r>
      <w:r w:rsidR="0035010C" w:rsidRPr="00411FE9">
        <w:rPr>
          <w:szCs w:val="24"/>
        </w:rPr>
        <w:t xml:space="preserve"> stanovuje úhrnnou cenu výher, která nesmí být nižší než 40</w:t>
      </w:r>
      <w:r w:rsidR="00411FE9">
        <w:rPr>
          <w:szCs w:val="24"/>
        </w:rPr>
        <w:t xml:space="preserve"> </w:t>
      </w:r>
      <w:r w:rsidR="0035010C" w:rsidRPr="00411FE9">
        <w:rPr>
          <w:szCs w:val="24"/>
        </w:rPr>
        <w:t>% a vyšší než 80</w:t>
      </w:r>
      <w:r w:rsidR="00411FE9">
        <w:rPr>
          <w:szCs w:val="24"/>
        </w:rPr>
        <w:t xml:space="preserve"> </w:t>
      </w:r>
      <w:r w:rsidR="0035010C" w:rsidRPr="00411FE9">
        <w:rPr>
          <w:szCs w:val="24"/>
        </w:rPr>
        <w:t>%</w:t>
      </w:r>
      <w:r w:rsidR="007C6C77">
        <w:rPr>
          <w:szCs w:val="24"/>
        </w:rPr>
        <w:t xml:space="preserve"> herní jistiny</w:t>
      </w:r>
      <w:r w:rsidR="0035010C" w:rsidRPr="00411FE9">
        <w:rPr>
          <w:szCs w:val="24"/>
        </w:rPr>
        <w:t>. Stanovení maximální výše úhrnné ceny výher je nástrojem k zajištění minimálního dílčího základu daně z hazardních her. Důvodem je zvláštní povaha tohoto typu podnikání, u kterého bylo prokázáno, že generuje vysoké společenské náklady. Vzhledem k tomu, že tyto společenské náklady však nese stát a nikoliv provozovatel je nutné, aby se zajistila určitá výše daně z hazardních her, která bude sloužit k pokrytí těchto nákladů. Na základě srovnání v členských státech E</w:t>
      </w:r>
      <w:r w:rsidR="00D122D4">
        <w:rPr>
          <w:szCs w:val="24"/>
        </w:rPr>
        <w:t xml:space="preserve">vropské unie </w:t>
      </w:r>
      <w:r w:rsidR="0035010C" w:rsidRPr="00411FE9">
        <w:rPr>
          <w:szCs w:val="24"/>
        </w:rPr>
        <w:t>je</w:t>
      </w:r>
      <w:r w:rsidR="006F19C4" w:rsidRPr="00411FE9">
        <w:rPr>
          <w:szCs w:val="24"/>
        </w:rPr>
        <w:t> </w:t>
      </w:r>
      <w:r w:rsidR="0035010C" w:rsidRPr="00411FE9">
        <w:rPr>
          <w:szCs w:val="24"/>
        </w:rPr>
        <w:t xml:space="preserve">průměrná výše úhrnné ceny výher například u číselných loterií 50 % herní jistiny. Stanovené rozmezí je tak proporční jak k ochraně </w:t>
      </w:r>
      <w:r w:rsidR="00B45123">
        <w:t>účastníků hazardní hry</w:t>
      </w:r>
      <w:r w:rsidR="0035010C" w:rsidRPr="00411FE9">
        <w:rPr>
          <w:szCs w:val="24"/>
        </w:rPr>
        <w:t>, a to u horní hranice vzhledem k výše uvedenému a u dolní hranice s ohledem na jejich zájem na zajištění minimální výše prostředků, které musí provozovatel sázejícím zpět přerozdělit, tak</w:t>
      </w:r>
      <w:r w:rsidR="006F19C4" w:rsidRPr="00411FE9">
        <w:rPr>
          <w:szCs w:val="24"/>
        </w:rPr>
        <w:t> </w:t>
      </w:r>
      <w:r w:rsidR="0035010C" w:rsidRPr="00411FE9">
        <w:rPr>
          <w:szCs w:val="24"/>
        </w:rPr>
        <w:t xml:space="preserve">i  k provozovatelům hazardních her, kdy nevybočuje z tradičního rozmezí průměrné výše úhrnné ceny výher. </w:t>
      </w:r>
      <w:r w:rsidR="007071B6">
        <w:rPr>
          <w:szCs w:val="24"/>
        </w:rPr>
        <w:t>Nicméně Ministerstvo financí obdrželo podněty k úpravě výše uvedeného rozmezí herní jistiny při určení úhrnné výše výher, přičemž navrhováno bylo zvýšení až na 95 %.</w:t>
      </w:r>
    </w:p>
    <w:p w14:paraId="2D67A154" w14:textId="363A29DD" w:rsidR="00030077" w:rsidRDefault="00030077" w:rsidP="00030077">
      <w:pPr>
        <w:pStyle w:val="Nadpis7"/>
      </w:pPr>
      <w:r>
        <w:t xml:space="preserve">Varianta I. – Zachování </w:t>
      </w:r>
      <w:r w:rsidR="00202DC7">
        <w:t xml:space="preserve">současného </w:t>
      </w:r>
      <w:r>
        <w:t>stavu</w:t>
      </w:r>
    </w:p>
    <w:p w14:paraId="7BA4D78C" w14:textId="77777777" w:rsidR="00030077" w:rsidRDefault="00030077" w:rsidP="00030077">
      <w:r>
        <w:t>Tato varianta předpokládá zachování maximální úhrnné ceny výher na 80 % z herní jistiny.</w:t>
      </w:r>
    </w:p>
    <w:p w14:paraId="7DEE135C" w14:textId="77777777" w:rsidR="00030077" w:rsidRPr="00CC010A" w:rsidRDefault="00030077" w:rsidP="00030077">
      <w:r w:rsidRPr="00CC010A">
        <w:t>Výhody:</w:t>
      </w:r>
    </w:p>
    <w:p w14:paraId="3169BA37" w14:textId="77777777" w:rsidR="00030077" w:rsidRDefault="00030077" w:rsidP="00030077">
      <w:r>
        <w:t>Bude zachováno stávající nastavení, v případě, že dojde k porovnání povolených loterií a u nich předvídané maximální úhrnné ceny výher, lze pozorovat, že většina se předvídanou výší úhrnné ceny výher neblíží k současné hranici.</w:t>
      </w:r>
    </w:p>
    <w:p w14:paraId="4019AB52" w14:textId="77777777" w:rsidR="00030077" w:rsidRPr="00CC010A" w:rsidRDefault="00030077" w:rsidP="00EB2588">
      <w:pPr>
        <w:keepNext/>
      </w:pPr>
      <w:r w:rsidRPr="00CC010A">
        <w:t>Nevýhody:</w:t>
      </w:r>
    </w:p>
    <w:p w14:paraId="37D4D9FD" w14:textId="54EE5B3B" w:rsidR="00030077" w:rsidRPr="00030077" w:rsidRDefault="00030077" w:rsidP="00411FE9">
      <w:r>
        <w:t xml:space="preserve">Dochází k částečnému omezení v případě, že by </w:t>
      </w:r>
      <w:r w:rsidR="00EB2588">
        <w:t xml:space="preserve">provozovatelé </w:t>
      </w:r>
      <w:r>
        <w:t>chtěli na výhrách přerozdělit vyšší procento z herní jistiny, nicméně jak je uvedeno výše, nedochází k výrazným výkyvům od hranice stanovené v jiných státech.</w:t>
      </w:r>
    </w:p>
    <w:p w14:paraId="09E40F7E" w14:textId="5CEAB1AA" w:rsidR="0035010C" w:rsidRPr="00843D3F" w:rsidRDefault="00537A87" w:rsidP="00CA1FED">
      <w:pPr>
        <w:pStyle w:val="Nadpis7"/>
      </w:pPr>
      <w:r>
        <w:t xml:space="preserve">Varianta </w:t>
      </w:r>
      <w:r w:rsidR="00030077">
        <w:t>I</w:t>
      </w:r>
      <w:r>
        <w:t>I.</w:t>
      </w:r>
      <w:r w:rsidR="0035010C" w:rsidRPr="00843D3F">
        <w:t xml:space="preserve"> </w:t>
      </w:r>
      <w:r w:rsidR="008C31F2">
        <w:t xml:space="preserve">– </w:t>
      </w:r>
      <w:r w:rsidR="0035010C" w:rsidRPr="00843D3F">
        <w:t xml:space="preserve">Úprava zákona o hazardních hrách </w:t>
      </w:r>
      <w:r w:rsidR="006E617B">
        <w:t>ve smyslu</w:t>
      </w:r>
      <w:r w:rsidR="0035010C" w:rsidRPr="00843D3F">
        <w:t xml:space="preserve"> navýšení maximální výše úhrnné ceny výher na 95</w:t>
      </w:r>
      <w:r w:rsidR="008C31F2">
        <w:t xml:space="preserve"> </w:t>
      </w:r>
      <w:r w:rsidR="0035010C" w:rsidRPr="00843D3F">
        <w:t>%</w:t>
      </w:r>
    </w:p>
    <w:p w14:paraId="452D6011" w14:textId="77777777" w:rsidR="007071B6" w:rsidRDefault="0035010C" w:rsidP="00411FE9">
      <w:r w:rsidRPr="00843D3F">
        <w:t>Tato varianta řešení nastavuje úhrnnou cenu výher na výrazně vyšší úroveň než je stávající hranice</w:t>
      </w:r>
      <w:r w:rsidR="00411FE9">
        <w:t>,</w:t>
      </w:r>
      <w:r w:rsidRPr="00843D3F">
        <w:t xml:space="preserve"> a to o 15 procentních bodů. </w:t>
      </w:r>
    </w:p>
    <w:p w14:paraId="769FDBC2" w14:textId="676D588D" w:rsidR="007071B6" w:rsidRPr="00CC010A" w:rsidRDefault="007071B6" w:rsidP="00030077">
      <w:r w:rsidRPr="00CC010A">
        <w:t>Výhody:</w:t>
      </w:r>
    </w:p>
    <w:p w14:paraId="04F660FC" w14:textId="478621E4" w:rsidR="007071B6" w:rsidRDefault="0035010C" w:rsidP="00411FE9">
      <w:r w:rsidRPr="00843D3F">
        <w:lastRenderedPageBreak/>
        <w:t>Využití této varianty řešení by přineslo možné zvýhodnění</w:t>
      </w:r>
      <w:r w:rsidR="00EB2588">
        <w:t xml:space="preserve"> účastníků hazardních her, kterým by mohl</w:t>
      </w:r>
      <w:r w:rsidRPr="00843D3F">
        <w:t xml:space="preserve"> </w:t>
      </w:r>
      <w:r w:rsidR="00EB2588">
        <w:t>provozovatel na výhrách vyplatit vyšší podíl herní jistiny</w:t>
      </w:r>
      <w:r w:rsidR="007071B6">
        <w:t>.</w:t>
      </w:r>
    </w:p>
    <w:p w14:paraId="5E274A61" w14:textId="3D959DBF" w:rsidR="007071B6" w:rsidRPr="00CC010A" w:rsidRDefault="007071B6" w:rsidP="00114355">
      <w:pPr>
        <w:keepNext/>
      </w:pPr>
      <w:r w:rsidRPr="00CC010A">
        <w:t>Nevýhody:</w:t>
      </w:r>
    </w:p>
    <w:p w14:paraId="0D331511" w14:textId="6801277C" w:rsidR="0035010C" w:rsidRPr="00843D3F" w:rsidRDefault="007071B6" w:rsidP="00411FE9">
      <w:r>
        <w:t>S</w:t>
      </w:r>
      <w:r w:rsidR="0035010C" w:rsidRPr="00843D3F">
        <w:t xml:space="preserve">oučasně je nutné zohlednit adiktologické hledisko, kdy by se touto úpravou mohla zvýšit rizikovost loterie. </w:t>
      </w:r>
      <w:r w:rsidR="00C5302D">
        <w:t xml:space="preserve">Současně by mohlo dojít k výraznému snížení dílčího základu daně z loterií. </w:t>
      </w:r>
    </w:p>
    <w:p w14:paraId="7BBBDACE" w14:textId="458AB9DB" w:rsidR="0035010C" w:rsidRPr="00843D3F" w:rsidRDefault="00537A87" w:rsidP="00CA1FED">
      <w:pPr>
        <w:pStyle w:val="Nadpis7"/>
      </w:pPr>
      <w:r>
        <w:t>Varianta II</w:t>
      </w:r>
      <w:r w:rsidR="00030077">
        <w:t>I</w:t>
      </w:r>
      <w:r>
        <w:t>.</w:t>
      </w:r>
      <w:r w:rsidR="0035010C" w:rsidRPr="00843D3F">
        <w:t xml:space="preserve"> </w:t>
      </w:r>
      <w:r w:rsidR="00411FE9">
        <w:t xml:space="preserve">– </w:t>
      </w:r>
      <w:r w:rsidR="0035010C" w:rsidRPr="00843D3F">
        <w:t xml:space="preserve">Úprava zákona o hazardních hrách </w:t>
      </w:r>
      <w:r w:rsidR="006E617B">
        <w:t>ve smyslu</w:t>
      </w:r>
      <w:r w:rsidR="0035010C" w:rsidRPr="00843D3F">
        <w:t xml:space="preserve"> navýšení maximální výše úhrnné ceny výher na 85</w:t>
      </w:r>
      <w:r w:rsidR="00411FE9">
        <w:t xml:space="preserve"> </w:t>
      </w:r>
      <w:r w:rsidR="0035010C" w:rsidRPr="00843D3F">
        <w:t>%</w:t>
      </w:r>
    </w:p>
    <w:p w14:paraId="3417A13E" w14:textId="77777777" w:rsidR="00C5302D" w:rsidRDefault="0035010C" w:rsidP="00411FE9">
      <w:r w:rsidRPr="00843D3F">
        <w:t>Navýšení úhrnné ceny výher na 85</w:t>
      </w:r>
      <w:r w:rsidR="00411FE9">
        <w:t xml:space="preserve"> </w:t>
      </w:r>
      <w:r w:rsidRPr="00843D3F">
        <w:t>% se jeví jako vhodný kompromis mezi aktuálním stavem stanoveným zákonem o hazardních hrách a požadavky</w:t>
      </w:r>
      <w:r w:rsidR="00C5302D">
        <w:t xml:space="preserve"> na navýšení úhrnné ceny výher.</w:t>
      </w:r>
    </w:p>
    <w:p w14:paraId="10A99AD2" w14:textId="4A5D2422" w:rsidR="00C5302D" w:rsidRPr="00CC010A" w:rsidRDefault="00C5302D" w:rsidP="00030077">
      <w:r w:rsidRPr="00CC010A">
        <w:t>Výhody:</w:t>
      </w:r>
    </w:p>
    <w:p w14:paraId="1F502A4E" w14:textId="3625EC93" w:rsidR="00537A87" w:rsidRDefault="0035010C" w:rsidP="00411FE9">
      <w:r w:rsidRPr="00843D3F">
        <w:t>V případě užit</w:t>
      </w:r>
      <w:r w:rsidR="006E617B">
        <w:t>í</w:t>
      </w:r>
      <w:r w:rsidRPr="00843D3F">
        <w:t xml:space="preserve"> této varianty řešení by byla </w:t>
      </w:r>
      <w:r w:rsidR="00B45123">
        <w:t>účastníkům hazardní hry</w:t>
      </w:r>
      <w:r w:rsidRPr="00843D3F">
        <w:t xml:space="preserve"> nabídnuta vyšší míra výhernosti, avšak nikoli za cenu navyšování rizikovosti tohoto druhu hazardní hry. Současně by byla nadále zajištěna potřeba minimálního dílčího </w:t>
      </w:r>
      <w:r w:rsidR="00C5302D">
        <w:t>základu daně z hazardních her a </w:t>
      </w:r>
      <w:r w:rsidRPr="00843D3F">
        <w:t xml:space="preserve">navýšení by nemělo </w:t>
      </w:r>
      <w:r w:rsidR="00C5302D">
        <w:t>mít výraznější fiskální dopad.</w:t>
      </w:r>
    </w:p>
    <w:p w14:paraId="060059AC" w14:textId="77777777" w:rsidR="00EB2588" w:rsidRPr="00CC010A" w:rsidRDefault="00EB2588" w:rsidP="00EB2588">
      <w:pPr>
        <w:keepNext/>
      </w:pPr>
      <w:r w:rsidRPr="00CC010A">
        <w:t>Nevýhody:</w:t>
      </w:r>
    </w:p>
    <w:p w14:paraId="67F18B08" w14:textId="0522AE26" w:rsidR="00EB2588" w:rsidRDefault="00EB2588" w:rsidP="00EB2588">
      <w:r>
        <w:t>Rovněž i v tomto případě</w:t>
      </w:r>
      <w:r w:rsidRPr="00843D3F">
        <w:t xml:space="preserve"> je nutné zohlednit adiktologické hledisko, kdy by se touto úpravou mohla zvýšit rizikovost loterie</w:t>
      </w:r>
      <w:r>
        <w:t>, nicméně v menší míře než u varianty I</w:t>
      </w:r>
      <w:r w:rsidRPr="00843D3F">
        <w:t>.</w:t>
      </w:r>
    </w:p>
    <w:p w14:paraId="04BFA720" w14:textId="4B049394" w:rsidR="0035010C" w:rsidRPr="00843D3F" w:rsidRDefault="0035010C" w:rsidP="00CA1FED">
      <w:pPr>
        <w:pStyle w:val="Nadpis7"/>
      </w:pPr>
      <w:r w:rsidRPr="00843D3F">
        <w:t>Hodnocení variant</w:t>
      </w:r>
    </w:p>
    <w:p w14:paraId="477B2934" w14:textId="422CCF32" w:rsidR="0035010C" w:rsidRPr="00843D3F" w:rsidRDefault="00030077" w:rsidP="00C42119">
      <w:r>
        <w:t xml:space="preserve">Jako možné varianty se jeví varianta I. nebo </w:t>
      </w:r>
      <w:r w:rsidR="0035010C" w:rsidRPr="00843D3F">
        <w:t xml:space="preserve">variantu </w:t>
      </w:r>
      <w:r w:rsidR="00D71084">
        <w:t>II</w:t>
      </w:r>
      <w:r>
        <w:t>I</w:t>
      </w:r>
      <w:r w:rsidR="00D71084">
        <w:t>.</w:t>
      </w:r>
      <w:r>
        <w:t>,</w:t>
      </w:r>
      <w:r w:rsidR="0035010C" w:rsidRPr="00843D3F">
        <w:t xml:space="preserve"> a to navýšení maximální výše úhrnné ceny výher na 85</w:t>
      </w:r>
      <w:r w:rsidR="008D30B7">
        <w:t xml:space="preserve"> </w:t>
      </w:r>
      <w:r w:rsidR="0035010C" w:rsidRPr="00843D3F">
        <w:t xml:space="preserve">%. </w:t>
      </w:r>
      <w:r w:rsidR="00C5302D">
        <w:t>S ohledem na potenciální daňové dopady</w:t>
      </w:r>
      <w:r w:rsidR="0035010C" w:rsidRPr="00843D3F">
        <w:t xml:space="preserve"> není vhodné zvyšovat výraznějším způsobem maximální úhrnnou cenu výher. Zásadnější navýšení by taktéž mohlo přinášet možná adiktologická rizika. Z tohoto důvodu </w:t>
      </w:r>
      <w:r w:rsidR="008166A3">
        <w:t>je vhodnější</w:t>
      </w:r>
      <w:r w:rsidR="008166A3" w:rsidRPr="00843D3F">
        <w:t xml:space="preserve"> </w:t>
      </w:r>
      <w:r w:rsidR="0035010C" w:rsidRPr="00843D3F">
        <w:t xml:space="preserve">přistoupit </w:t>
      </w:r>
      <w:r w:rsidR="00B90E9D" w:rsidRPr="00843D3F">
        <w:t>pouze</w:t>
      </w:r>
      <w:r w:rsidR="00B90E9D">
        <w:t xml:space="preserve">, pokud vůbec, </w:t>
      </w:r>
      <w:r w:rsidR="0035010C" w:rsidRPr="00843D3F">
        <w:t>k mírnému zvýšení úhrnné ceny výher tak, aby</w:t>
      </w:r>
      <w:r w:rsidR="006F19C4">
        <w:t> </w:t>
      </w:r>
      <w:r w:rsidR="0035010C" w:rsidRPr="00843D3F">
        <w:t>nebyla výrazně zvyšována rizikovost tohoto druhu hazardní hry</w:t>
      </w:r>
      <w:r w:rsidR="00537A87">
        <w:t>.</w:t>
      </w:r>
    </w:p>
    <w:p w14:paraId="2A1F1E62" w14:textId="77777777" w:rsidR="00B55C53" w:rsidRPr="00843D3F" w:rsidRDefault="00B55C53" w:rsidP="003D2CF6">
      <w:pPr>
        <w:pStyle w:val="Nadpis6"/>
      </w:pPr>
      <w:bookmarkStart w:id="15" w:name="_Toc73611580"/>
      <w:r w:rsidRPr="00843D3F">
        <w:t>Zasílání protokolů o slosování</w:t>
      </w:r>
      <w:bookmarkEnd w:id="15"/>
    </w:p>
    <w:p w14:paraId="06DD5DC3" w14:textId="6D6D7EB7" w:rsidR="00B55C53" w:rsidRPr="00843D3F" w:rsidRDefault="00F775F7" w:rsidP="00C42119">
      <w:r>
        <w:t>V</w:t>
      </w:r>
      <w:r w:rsidR="00B55C53" w:rsidRPr="00843D3F">
        <w:t xml:space="preserve"> § 26 odst. 5 zákona o hazardních hrách </w:t>
      </w:r>
      <w:r>
        <w:t xml:space="preserve">se </w:t>
      </w:r>
      <w:r w:rsidR="00B55C53" w:rsidRPr="00843D3F">
        <w:t>stanovuje provozovateli povinnost zaslat opis protokolu o slosování do 20 dnů ode dne slosování nebo ukončení prodeje losů. Současně je však § 10 odst. 5 zákona o hazardních hrách stanovena lhůta pro uplatnění práva na v</w:t>
      </w:r>
      <w:r w:rsidR="00E74C32">
        <w:t>ýhru</w:t>
      </w:r>
      <w:r w:rsidR="00B55C53" w:rsidRPr="00843D3F">
        <w:t xml:space="preserve"> do 1 roku ode dne vyhodnocení sázkové příležitosti, případně u okamžité loterie do 1 roku ode dne ukončení prodeje losů. </w:t>
      </w:r>
      <w:r w:rsidR="00B55C53" w:rsidRPr="00B156EE">
        <w:t>Z tohoto důvodu je např. u okamžitých loterií více než pravděpodobné, že protok</w:t>
      </w:r>
      <w:r w:rsidR="00E74C32">
        <w:t>ol o </w:t>
      </w:r>
      <w:r w:rsidR="0044284F" w:rsidRPr="005537D4">
        <w:t>průběhu okamžité loterie na</w:t>
      </w:r>
      <w:r w:rsidR="00B55C53" w:rsidRPr="00B156EE">
        <w:t>zná po uběhnutí lhůty pro uplatnění výher poměrně zásadních změn.</w:t>
      </w:r>
      <w:r w:rsidR="00B55C53" w:rsidRPr="00843D3F">
        <w:t xml:space="preserve"> Z tohoto důvodu je povinnost zasílání opisu protokolu specifikována v podmínkách základního povolení a to tak, že dojde-li po zaslání opisu protokolu ke skutečnostem, které způsobí změnu údajů, na základě kterých byl protokol sepsán, zašle provozovatel aktualizovaný opis protokolu znovu příslušnému orgánu a to nejpozději do 20 dnů ode dne uplynutí lhůty pro uplatnění práva na výhru sázejícím. </w:t>
      </w:r>
    </w:p>
    <w:p w14:paraId="0ECAB77D" w14:textId="0BE4D83B" w:rsidR="00BE0B1D" w:rsidRPr="009F65A8" w:rsidRDefault="00B55C53" w:rsidP="009F65A8">
      <w:r w:rsidRPr="00843D3F">
        <w:t xml:space="preserve">Jako vhodná se jeví úprava zákona o hazardních hrách a to tím směrem, že protokol o slosování či o průběhu okamžité loterie bude zasílán do 20 dnů ode dne uplynutí lhůty pro uplatnění práva na výhru sázejícím. Tímto řešením bude zajištěno </w:t>
      </w:r>
      <w:r w:rsidRPr="00843D3F">
        <w:lastRenderedPageBreak/>
        <w:t>informování orgánů státního dozoru a to relevantními informacemi a</w:t>
      </w:r>
      <w:r>
        <w:t> </w:t>
      </w:r>
      <w:r w:rsidRPr="00843D3F">
        <w:t>současně dojde ke snížení administrativní zátěže provozovatele, kdy protokol k jednomu slosování či k jedné emisi okamžité loterie bude zasílán pouze jednou a</w:t>
      </w:r>
      <w:r>
        <w:t> </w:t>
      </w:r>
      <w:r w:rsidRPr="00843D3F">
        <w:t>to</w:t>
      </w:r>
      <w:r>
        <w:t> </w:t>
      </w:r>
      <w:r w:rsidRPr="00843D3F">
        <w:t>až ve své finální podobě po zahrnutí veškerých případných změn.</w:t>
      </w:r>
    </w:p>
    <w:p w14:paraId="1D768810" w14:textId="774472E1" w:rsidR="000D560D" w:rsidRDefault="00320A6E" w:rsidP="00B4563B">
      <w:pPr>
        <w:pStyle w:val="Nadpis2"/>
      </w:pPr>
      <w:bookmarkStart w:id="16" w:name="_Toc73611581"/>
      <w:r>
        <w:t>Kursová sázka</w:t>
      </w:r>
      <w:r w:rsidR="009061CF">
        <w:t xml:space="preserve"> a totalizátorová hra</w:t>
      </w:r>
      <w:bookmarkEnd w:id="16"/>
    </w:p>
    <w:p w14:paraId="365B9D89" w14:textId="1F86F67D" w:rsidR="00B4563B" w:rsidRPr="00317382" w:rsidRDefault="00B4563B" w:rsidP="00B4563B">
      <w:pPr>
        <w:pStyle w:val="Nadpis3"/>
      </w:pPr>
      <w:bookmarkStart w:id="17" w:name="_Toc73611582"/>
      <w:r w:rsidRPr="00317382">
        <w:t>Ko</w:t>
      </w:r>
      <w:r>
        <w:t>nkrétní popis regulace</w:t>
      </w:r>
      <w:r w:rsidR="008F08FA">
        <w:t xml:space="preserve"> obsažené v </w:t>
      </w:r>
      <w:r w:rsidRPr="00317382">
        <w:t>zákoně o loteriích</w:t>
      </w:r>
      <w:bookmarkEnd w:id="17"/>
    </w:p>
    <w:p w14:paraId="67CD1A0E" w14:textId="07093238" w:rsidR="009061CF" w:rsidRDefault="009061CF" w:rsidP="0028190C">
      <w:pPr>
        <w:pStyle w:val="Nadpis5"/>
        <w:numPr>
          <w:ilvl w:val="0"/>
          <w:numId w:val="14"/>
        </w:numPr>
      </w:pPr>
      <w:bookmarkStart w:id="18" w:name="_Toc73611583"/>
      <w:r>
        <w:t>Kursová sázka</w:t>
      </w:r>
      <w:bookmarkEnd w:id="18"/>
    </w:p>
    <w:p w14:paraId="38D38A9F" w14:textId="462736C3" w:rsidR="00305FDD" w:rsidRDefault="00305FDD" w:rsidP="002B5B57">
      <w:r>
        <w:t>Z</w:t>
      </w:r>
      <w:r w:rsidRPr="00D44DA7">
        <w:t xml:space="preserve">ákon </w:t>
      </w:r>
      <w:r>
        <w:t xml:space="preserve">o loteriích definoval kursovou sázku obdobně jako zákon o hazardních hrách, a to jako </w:t>
      </w:r>
      <w:r w:rsidRPr="00D44DA7">
        <w:t>sázkov</w:t>
      </w:r>
      <w:r>
        <w:t>ou</w:t>
      </w:r>
      <w:r w:rsidRPr="00D44DA7">
        <w:t xml:space="preserve"> hr</w:t>
      </w:r>
      <w:r>
        <w:t>u</w:t>
      </w:r>
      <w:r w:rsidRPr="00D44DA7">
        <w:t>, při n</w:t>
      </w:r>
      <w:r>
        <w:t>íž</w:t>
      </w:r>
      <w:r w:rsidRPr="00D44DA7">
        <w:t xml:space="preserve"> je výhra podmíněna uhodnutím sportovních výsledků nebo pořadí ve sportovních soutěžích, závodech nebo uhodnutím jiných událostí veřejného zájmu, pokud sázky na tyto události neodporují etickým principům. </w:t>
      </w:r>
      <w:r>
        <w:t>Pojem „sázková příležitost“ se v z</w:t>
      </w:r>
      <w:r w:rsidR="009061CF">
        <w:t>ákoně o loteriích nevyskytoval.</w:t>
      </w:r>
    </w:p>
    <w:p w14:paraId="696CB732" w14:textId="00602F35" w:rsidR="00ED3AC1" w:rsidRDefault="00ED3AC1" w:rsidP="002B5B57">
      <w:r>
        <w:t>Podle stanovené správní praxe bylo provozová</w:t>
      </w:r>
      <w:r w:rsidR="00BB4D5B">
        <w:t>ní kursové sázky podle zákona o </w:t>
      </w:r>
      <w:r>
        <w:t xml:space="preserve">loteriích povoleno jak </w:t>
      </w:r>
      <w:r w:rsidR="00787DBE">
        <w:t xml:space="preserve">formou </w:t>
      </w:r>
      <w:r>
        <w:t xml:space="preserve">land-based, tak i </w:t>
      </w:r>
      <w:r w:rsidR="00185FE5">
        <w:t>na základě</w:t>
      </w:r>
      <w:r w:rsidR="00185FE5" w:rsidRPr="002B4F42">
        <w:rPr>
          <w:rFonts w:cs="Arial"/>
        </w:rPr>
        <w:t xml:space="preserve"> §</w:t>
      </w:r>
      <w:r w:rsidR="00185FE5">
        <w:rPr>
          <w:rFonts w:cs="Arial"/>
        </w:rPr>
        <w:t xml:space="preserve"> </w:t>
      </w:r>
      <w:r w:rsidR="00185FE5" w:rsidRPr="002B4F42">
        <w:rPr>
          <w:rFonts w:cs="Arial"/>
        </w:rPr>
        <w:t xml:space="preserve">50 odst. </w:t>
      </w:r>
      <w:r w:rsidR="00185FE5">
        <w:rPr>
          <w:rFonts w:cs="Arial"/>
        </w:rPr>
        <w:t> </w:t>
      </w:r>
      <w:r w:rsidR="00185FE5" w:rsidRPr="002B4F42">
        <w:rPr>
          <w:rFonts w:cs="Arial"/>
        </w:rPr>
        <w:t>3</w:t>
      </w:r>
      <w:r w:rsidR="00185FE5">
        <w:rPr>
          <w:rFonts w:cs="Arial"/>
        </w:rPr>
        <w:t xml:space="preserve"> </w:t>
      </w:r>
      <w:r w:rsidR="00BB4D5B">
        <w:rPr>
          <w:rFonts w:cs="Arial"/>
        </w:rPr>
        <w:t>zákona o </w:t>
      </w:r>
      <w:r w:rsidR="002E4E22">
        <w:rPr>
          <w:rFonts w:cs="Arial"/>
        </w:rPr>
        <w:t xml:space="preserve">loteriích </w:t>
      </w:r>
      <w:r w:rsidR="00185FE5">
        <w:rPr>
          <w:rFonts w:cs="Arial"/>
        </w:rPr>
        <w:t>prostřednictvím internetu.</w:t>
      </w:r>
    </w:p>
    <w:p w14:paraId="79A933F2" w14:textId="4176A028" w:rsidR="009061CF" w:rsidRDefault="009061CF" w:rsidP="0028190C">
      <w:pPr>
        <w:pStyle w:val="Nadpis5"/>
      </w:pPr>
      <w:bookmarkStart w:id="19" w:name="_Toc73611584"/>
      <w:r>
        <w:t>Totalizátorová hra</w:t>
      </w:r>
      <w:bookmarkEnd w:id="19"/>
    </w:p>
    <w:p w14:paraId="7EEAFB5D" w14:textId="72566202" w:rsidR="00316D50" w:rsidRPr="00316D50" w:rsidRDefault="00910382" w:rsidP="00316D50">
      <w:r>
        <w:t xml:space="preserve">V zákoně o loteriích se samotný pojem totalizátorová hra nevyskytuje, nicméně charakteristické </w:t>
      </w:r>
      <w:r w:rsidR="00B12006">
        <w:t>znaky</w:t>
      </w:r>
      <w:r>
        <w:t xml:space="preserve"> totalizátorové hry, kdy je </w:t>
      </w:r>
      <w:r w:rsidRPr="00BD10F6">
        <w:t>výše výhry závislá na poměru počtu výherců k celkové výši vkladů (sázek) a předem stanovenému podílu výher</w:t>
      </w:r>
      <w:r>
        <w:t xml:space="preserve">, naplňovali dva odstavce § 2 zákona o loteriích, konkrétně písm. f), které se vztahuje ke </w:t>
      </w:r>
      <w:r w:rsidRPr="00274491">
        <w:t>sportovní</w:t>
      </w:r>
      <w:r>
        <w:t xml:space="preserve">m </w:t>
      </w:r>
      <w:r w:rsidRPr="00274491">
        <w:t>výsledků</w:t>
      </w:r>
      <w:r>
        <w:t>m</w:t>
      </w:r>
      <w:r w:rsidRPr="00274491">
        <w:t xml:space="preserve"> nebo pořadí ve sportovních soutěžích</w:t>
      </w:r>
      <w:r>
        <w:t xml:space="preserve">, a písm. k), které se vztahuje k </w:t>
      </w:r>
      <w:r w:rsidRPr="00274491">
        <w:t>pořadí ve výkonnostních zkouškách koní dostihových plemen</w:t>
      </w:r>
      <w:r>
        <w:t>.</w:t>
      </w:r>
    </w:p>
    <w:p w14:paraId="7D65C04F" w14:textId="1759D508" w:rsidR="00320A6E" w:rsidRDefault="00320A6E" w:rsidP="00B4563B">
      <w:pPr>
        <w:pStyle w:val="Nadpis3"/>
      </w:pPr>
      <w:bookmarkStart w:id="20" w:name="_Toc73611585"/>
      <w:r>
        <w:t>Konkrétní pop</w:t>
      </w:r>
      <w:r w:rsidR="004D43F2">
        <w:t xml:space="preserve">is regulace obsažené v </w:t>
      </w:r>
      <w:r w:rsidR="00B4563B">
        <w:t>zákoně o </w:t>
      </w:r>
      <w:r>
        <w:t>hazardních hrách</w:t>
      </w:r>
      <w:bookmarkEnd w:id="20"/>
    </w:p>
    <w:p w14:paraId="5697025C" w14:textId="4E1677C6" w:rsidR="009061CF" w:rsidRDefault="009061CF" w:rsidP="0028190C">
      <w:pPr>
        <w:pStyle w:val="Nadpis5"/>
        <w:numPr>
          <w:ilvl w:val="0"/>
          <w:numId w:val="12"/>
        </w:numPr>
      </w:pPr>
      <w:bookmarkStart w:id="21" w:name="_Toc73611586"/>
      <w:r>
        <w:t>Kursová sázka</w:t>
      </w:r>
      <w:bookmarkEnd w:id="21"/>
    </w:p>
    <w:p w14:paraId="4057AA51" w14:textId="1820EC3D" w:rsidR="00305FDD" w:rsidRDefault="00B4563B" w:rsidP="002B4F42">
      <w:r>
        <w:t>Pod</w:t>
      </w:r>
      <w:r w:rsidR="00305FDD">
        <w:t>le zákona o hazardních hrách je kursová sázka hazardní hrou</w:t>
      </w:r>
      <w:r w:rsidR="00305FDD" w:rsidRPr="0005372A">
        <w:t>, u níž je výhra podmíněna uhodnutím sázkové příležitosti</w:t>
      </w:r>
      <w:r w:rsidR="00305FDD">
        <w:t>, která je obsažena v sázkové události</w:t>
      </w:r>
      <w:r w:rsidR="00305FDD" w:rsidRPr="0005372A">
        <w:t xml:space="preserve">. Sázkovou příležitostí se rozumí zejména sportovní výsledek </w:t>
      </w:r>
      <w:r w:rsidR="00305FDD">
        <w:t xml:space="preserve">(např. výhra konkrétního týmu) </w:t>
      </w:r>
      <w:r w:rsidR="00305FDD" w:rsidRPr="0005372A">
        <w:t xml:space="preserve">nebo </w:t>
      </w:r>
      <w:r w:rsidR="00305FDD">
        <w:t xml:space="preserve">výsledek </w:t>
      </w:r>
      <w:r w:rsidR="00305FDD" w:rsidRPr="0005372A">
        <w:t>událost</w:t>
      </w:r>
      <w:r w:rsidR="00305FDD">
        <w:t>i</w:t>
      </w:r>
      <w:r w:rsidR="00305FDD" w:rsidRPr="0005372A">
        <w:t xml:space="preserve"> veřejné pozornosti</w:t>
      </w:r>
      <w:r w:rsidR="00BD75A7">
        <w:rPr>
          <w:rStyle w:val="Znakapoznpodarou"/>
        </w:rPr>
        <w:footnoteReference w:id="1"/>
      </w:r>
      <w:r w:rsidR="00305FDD">
        <w:t xml:space="preserve"> (např. zvolení konkrétního kandidáta). Naopak sázkovou událostí je samotný sportovní zápas nebo </w:t>
      </w:r>
      <w:r w:rsidR="00ED3AC1">
        <w:t>událost veřejné pozornosti (</w:t>
      </w:r>
      <w:r w:rsidR="00305FDD">
        <w:t>například volb</w:t>
      </w:r>
      <w:r w:rsidR="00960171">
        <w:t>a</w:t>
      </w:r>
      <w:r w:rsidR="00305FDD">
        <w:t xml:space="preserve"> prezidenta</w:t>
      </w:r>
      <w:r w:rsidR="00ED3AC1">
        <w:t>)</w:t>
      </w:r>
      <w:r w:rsidR="00305FDD">
        <w:t xml:space="preserve">. </w:t>
      </w:r>
      <w:r w:rsidR="00305FDD" w:rsidRPr="0005372A">
        <w:t xml:space="preserve">Živá kursová sázka je </w:t>
      </w:r>
      <w:r w:rsidR="00305FDD">
        <w:t xml:space="preserve">pak variantou </w:t>
      </w:r>
      <w:r w:rsidR="00305FDD" w:rsidRPr="0005372A">
        <w:t xml:space="preserve">kursové sázky, na kterou jsou sázky přijímány v průběhu konání sázkové </w:t>
      </w:r>
      <w:r w:rsidR="00305FDD">
        <w:t>události</w:t>
      </w:r>
      <w:r w:rsidR="00305FDD" w:rsidRPr="0005372A">
        <w:t>.</w:t>
      </w:r>
      <w:r w:rsidR="00ED3AC1">
        <w:rPr>
          <w:rStyle w:val="Znakapoznpodarou"/>
        </w:rPr>
        <w:footnoteReference w:id="2"/>
      </w:r>
      <w:r w:rsidR="00305FDD">
        <w:t xml:space="preserve"> </w:t>
      </w:r>
      <w:r w:rsidR="00305FDD" w:rsidRPr="0005372A">
        <w:t xml:space="preserve">Výše výhry je </w:t>
      </w:r>
      <w:r w:rsidR="00305FDD">
        <w:t xml:space="preserve">v případě kursové sázky </w:t>
      </w:r>
      <w:r w:rsidR="00305FDD" w:rsidRPr="0005372A">
        <w:t>přímo úmě</w:t>
      </w:r>
      <w:r w:rsidR="00305FDD">
        <w:t>rná výhernímu poměru (kursu), ve kterém byla sázka p</w:t>
      </w:r>
      <w:r w:rsidR="00305FDD" w:rsidRPr="0005372A">
        <w:t>řijata,</w:t>
      </w:r>
      <w:r w:rsidR="00305FDD">
        <w:t xml:space="preserve"> </w:t>
      </w:r>
      <w:r w:rsidR="00305FDD" w:rsidRPr="0005372A">
        <w:t>a výši sázky.</w:t>
      </w:r>
      <w:r w:rsidR="00305FDD">
        <w:t xml:space="preserve"> Další </w:t>
      </w:r>
      <w:r w:rsidR="00ED3AC1">
        <w:t xml:space="preserve">podmínkou stanovenou v zákoně </w:t>
      </w:r>
      <w:r w:rsidR="00ED3AC1">
        <w:lastRenderedPageBreak/>
        <w:t>o </w:t>
      </w:r>
      <w:r w:rsidR="00305FDD">
        <w:t>hazardních hrách je podmínka, podle které je provozovatel povinen stanovovat kursy, ve kterých přijímá kursové sázky, centrálně.</w:t>
      </w:r>
    </w:p>
    <w:p w14:paraId="2268358D" w14:textId="6244125C" w:rsidR="00305FDD" w:rsidRPr="004E7F97" w:rsidRDefault="00305FDD" w:rsidP="002B4F42">
      <w:pPr>
        <w:rPr>
          <w:highlight w:val="green"/>
        </w:rPr>
      </w:pPr>
      <w:r>
        <w:t>Kursov</w:t>
      </w:r>
      <w:r w:rsidR="00ED3AC1">
        <w:t xml:space="preserve">é sázky je možné provozovat jak </w:t>
      </w:r>
      <w:r w:rsidR="00787DBE">
        <w:t xml:space="preserve">formou </w:t>
      </w:r>
      <w:r>
        <w:t>land-based, tak i prostřednictvím internetu. Zákon o hazar</w:t>
      </w:r>
      <w:r w:rsidR="008F4B56">
        <w:t>dních hrách upravuje v hlavě II</w:t>
      </w:r>
      <w:r>
        <w:t xml:space="preserve"> obecné požadavky na provozování kursových sázek, část čtvrtá dále upravuje obecné podmínky pro provozování kursových sázek dálkovým způsobem prostřednictvím internetu. V případě provozování </w:t>
      </w:r>
      <w:r w:rsidR="00126267">
        <w:t xml:space="preserve">formou </w:t>
      </w:r>
      <w:r w:rsidR="00126267" w:rsidRPr="00126267">
        <w:t xml:space="preserve">land-based </w:t>
      </w:r>
      <w:r>
        <w:t xml:space="preserve">zákon o hazardních hrách nevyžaduje kromě základního povolení žádné další povolení pro </w:t>
      </w:r>
      <w:r w:rsidR="00B12006">
        <w:t xml:space="preserve">zřízení </w:t>
      </w:r>
      <w:r>
        <w:t xml:space="preserve">prostor, kde k provozování této hazardní hry bude docházet. </w:t>
      </w:r>
      <w:r w:rsidR="00185FE5">
        <w:t>Provozovatel je však povinen k žádosti o vydání základního povolení povinen doložit seznam míst, kde bude umožněna účast na kursové sázce. Dojde-li ke změně tohoto seznamu, je povinen tyto skutečnosti Ministerstvu financí oznámit na základě § 93 zákona o hazardních hrách.</w:t>
      </w:r>
    </w:p>
    <w:p w14:paraId="23D54F79" w14:textId="12A70B81" w:rsidR="007D5B08" w:rsidRDefault="00185FE5" w:rsidP="007D5B08">
      <w:r>
        <w:t>Účast</w:t>
      </w:r>
      <w:r w:rsidR="00305FDD">
        <w:t xml:space="preserve"> na kursových sázkách </w:t>
      </w:r>
      <w:r>
        <w:t>podmiňuje</w:t>
      </w:r>
      <w:r w:rsidR="00305FDD">
        <w:t xml:space="preserve"> zákon o hazardních hrách </w:t>
      </w:r>
      <w:r>
        <w:t>provedením</w:t>
      </w:r>
      <w:r w:rsidR="00305FDD">
        <w:t xml:space="preserve"> registrace, </w:t>
      </w:r>
      <w:r w:rsidR="00305FDD" w:rsidRPr="00CC59D2">
        <w:t>nejde-li o ku</w:t>
      </w:r>
      <w:r>
        <w:t>rsovou sázku na zvířecí dostih.</w:t>
      </w:r>
      <w:r w:rsidR="007D5B08">
        <w:t xml:space="preserve"> Vzhledem k principu technické neutrality technické hry, jejíž definice je obsažena v § 42 z</w:t>
      </w:r>
      <w:r w:rsidR="00F775F7">
        <w:t>ákona o </w:t>
      </w:r>
      <w:r w:rsidR="007D5B08">
        <w:t>hazardních hrách, není možné k účasti na kursové sázce využít technické zařízení ve smyslu tohoto ustanovení. Provozovatelé však využívají tzv. terminály, které do určité míry účast na hazardní hře zjednodušují v tom smyslu, že po přihlášení na terminálu si účastník hazardní hry může předpřipravit své sázky, nicméně ty musí být vždy potvrzeny úkonem obsluhy sázkové kanceláře, popř. byl zapojen lidský prvek odlišným způsobem, jelikož sázející nemůže toto technické zařízení přímo obsluhovat a uzavřít jeho prostřednictvím sázku.</w:t>
      </w:r>
      <w:r w:rsidR="00D4237B">
        <w:t xml:space="preserve"> K tomu blíže v kapitole 7 Nové koncepty hazardních her.</w:t>
      </w:r>
    </w:p>
    <w:p w14:paraId="799A3FAC" w14:textId="686B5029" w:rsidR="00305FDD" w:rsidRDefault="00F775F7" w:rsidP="002B4F42">
      <w:r>
        <w:t>V</w:t>
      </w:r>
      <w:r w:rsidR="00305FDD">
        <w:t xml:space="preserve"> § 7 </w:t>
      </w:r>
      <w:r>
        <w:t>zákona o hazardních hrách je obsaženo</w:t>
      </w:r>
      <w:r w:rsidR="00305FDD">
        <w:t xml:space="preserve"> několik omezení týkající</w:t>
      </w:r>
      <w:r w:rsidR="00B12006">
        <w:t>ch</w:t>
      </w:r>
      <w:r w:rsidR="00305FDD">
        <w:t xml:space="preserve"> se provozování hazardních her obecně, přičemž z pohledu kursové sázky je zásadn</w:t>
      </w:r>
      <w:r w:rsidR="002B5B57">
        <w:t>í zejména zákaz provozování kurs</w:t>
      </w:r>
      <w:r w:rsidR="00305FDD">
        <w:t>ové sázky, k</w:t>
      </w:r>
      <w:r w:rsidR="00305FDD" w:rsidRPr="00EC404D">
        <w:t>terá odporuje dobrým mravům nebo veřejnému pořádku</w:t>
      </w:r>
      <w:r w:rsidR="00305FDD">
        <w:t xml:space="preserve"> (např. sázka na úmrtí osoby)</w:t>
      </w:r>
      <w:r w:rsidR="007D5B08">
        <w:t xml:space="preserve">. </w:t>
      </w:r>
      <w:r w:rsidR="00640252">
        <w:t>V</w:t>
      </w:r>
      <w:r w:rsidR="007D5B08">
        <w:t xml:space="preserve"> </w:t>
      </w:r>
      <w:r w:rsidR="007D5B08" w:rsidRPr="00081612">
        <w:t xml:space="preserve">§ 7 odst. 2 písm. c) </w:t>
      </w:r>
      <w:r w:rsidR="00BB4D5B">
        <w:t>zákona o </w:t>
      </w:r>
      <w:r w:rsidR="00640252">
        <w:t>hazardních hrách se</w:t>
      </w:r>
      <w:r w:rsidR="007D5B08">
        <w:t xml:space="preserve"> stanovuje zákaz provozování hazardní hry, která</w:t>
      </w:r>
      <w:r w:rsidR="007D5B08" w:rsidRPr="00454775">
        <w:t xml:space="preserve"> nezaručuje všem účastníkům hazardní</w:t>
      </w:r>
      <w:r w:rsidR="007D5B08">
        <w:t xml:space="preserve"> hry rovné podmínky </w:t>
      </w:r>
      <w:r w:rsidR="007D5B08" w:rsidRPr="00454775">
        <w:t>a rovnou možnost výhry</w:t>
      </w:r>
      <w:r w:rsidR="007D5B08">
        <w:t xml:space="preserve">. </w:t>
      </w:r>
      <w:r w:rsidR="00B14235">
        <w:t>Účelem</w:t>
      </w:r>
      <w:r w:rsidR="00305FDD">
        <w:t xml:space="preserve"> </w:t>
      </w:r>
      <w:r w:rsidR="007D5B08">
        <w:t xml:space="preserve">této </w:t>
      </w:r>
      <w:r w:rsidR="00305FDD">
        <w:t xml:space="preserve">podmínky </w:t>
      </w:r>
      <w:r w:rsidR="00B14235">
        <w:t>je zejména</w:t>
      </w:r>
      <w:r w:rsidR="00305FDD">
        <w:t xml:space="preserve"> zamezení tzv. individuálním lim</w:t>
      </w:r>
      <w:r w:rsidR="00185FE5">
        <w:t>itacím, které mohou být</w:t>
      </w:r>
      <w:r w:rsidR="00305FDD">
        <w:t xml:space="preserve"> ze strany </w:t>
      </w:r>
      <w:r w:rsidR="00185FE5">
        <w:t xml:space="preserve">některých </w:t>
      </w:r>
      <w:r w:rsidR="00305FDD">
        <w:t>provozovatelů aplikovány např. v situacích, pokud je účastník hazardní hry výrazně úspěšný.</w:t>
      </w:r>
      <w:r w:rsidR="007D5B08">
        <w:t xml:space="preserve"> Ministerstvo financí požaduje, aby se provozovatelé v herním plánu výslovně zavázali, že se všem účastníkům hazardní hry zaručují rovné podmínky</w:t>
      </w:r>
      <w:r w:rsidR="007D5B08" w:rsidRPr="00081612">
        <w:t xml:space="preserve"> a </w:t>
      </w:r>
      <w:r w:rsidR="00B12006">
        <w:t xml:space="preserve">rovná </w:t>
      </w:r>
      <w:r w:rsidR="007D5B08" w:rsidRPr="00081612">
        <w:t>možnost výhry ve</w:t>
      </w:r>
      <w:r w:rsidR="007D5B08">
        <w:t> </w:t>
      </w:r>
      <w:r w:rsidR="007D5B08" w:rsidRPr="00081612">
        <w:t xml:space="preserve">smyslu § 7 odst. 2 písm. c) </w:t>
      </w:r>
      <w:r w:rsidR="007D5B08">
        <w:t>zákona o hazardních hrách. Provozovatelé i nadále mají možnost např.</w:t>
      </w:r>
      <w:r w:rsidR="007D5B08" w:rsidRPr="00081612">
        <w:t xml:space="preserve"> pozastavit nebo</w:t>
      </w:r>
      <w:r w:rsidR="007D5B08">
        <w:t> </w:t>
      </w:r>
      <w:r w:rsidR="007D5B08" w:rsidRPr="00081612">
        <w:t xml:space="preserve">určitým způsobem limitovat </w:t>
      </w:r>
      <w:r w:rsidR="007D5B08">
        <w:t xml:space="preserve">sázky </w:t>
      </w:r>
      <w:r w:rsidR="007D5B08" w:rsidRPr="00081612">
        <w:t xml:space="preserve">(např. změnou </w:t>
      </w:r>
      <w:r w:rsidR="007D5B08">
        <w:t>kurs</w:t>
      </w:r>
      <w:r w:rsidR="007D5B08" w:rsidRPr="00081612">
        <w:t xml:space="preserve">u, výší </w:t>
      </w:r>
      <w:r w:rsidR="007D5B08">
        <w:t>s</w:t>
      </w:r>
      <w:r w:rsidR="007D5B08" w:rsidRPr="00081612">
        <w:t xml:space="preserve">ázky, zařazením do </w:t>
      </w:r>
      <w:r w:rsidR="007D5B08">
        <w:t>akumulované</w:t>
      </w:r>
      <w:r w:rsidR="007D5B08" w:rsidRPr="00081612">
        <w:t xml:space="preserve"> sázky </w:t>
      </w:r>
      <w:r w:rsidR="007D5B08">
        <w:t>apod.), ovšem musejí ji aplikovat na všechny účastníky bez rozdílu, nikoliv pouze individuálně pro určité účastníky hazardní hry</w:t>
      </w:r>
      <w:r w:rsidR="00B12006">
        <w:t xml:space="preserve"> a musí být nadále plněna podmínka řádného provozu hazardní hry</w:t>
      </w:r>
      <w:r w:rsidR="007D5B08">
        <w:t>. Veškerá tato pravidla musejí být schválena v rámci herního plánu, kterým jsou provozovatelé povinni se řídit.</w:t>
      </w:r>
    </w:p>
    <w:p w14:paraId="2DA19CDA" w14:textId="7B37EFAE" w:rsidR="007D5B08" w:rsidRDefault="00305FDD" w:rsidP="002B4F42">
      <w:r>
        <w:t>Zákon o hazardních hrách zohledňuje i problematiku match-fixingu</w:t>
      </w:r>
      <w:r w:rsidR="00B01BFF">
        <w:rPr>
          <w:rStyle w:val="Znakapoznpodarou"/>
        </w:rPr>
        <w:footnoteReference w:id="3"/>
      </w:r>
      <w:r w:rsidR="006F311C">
        <w:t xml:space="preserve">, když </w:t>
      </w:r>
      <w:r w:rsidR="00B14235">
        <w:t>v § 88 odst. </w:t>
      </w:r>
      <w:r>
        <w:t>5</w:t>
      </w:r>
      <w:r w:rsidR="00F775F7">
        <w:t xml:space="preserve"> zákona o hazardních hrách</w:t>
      </w:r>
      <w:r>
        <w:t xml:space="preserve"> ukládá provozovatelům kursových sázek povinnost disponovat uzavřenou </w:t>
      </w:r>
      <w:r w:rsidRPr="00AC7E0C">
        <w:t xml:space="preserve">smlouvu </w:t>
      </w:r>
      <w:r>
        <w:t>se</w:t>
      </w:r>
      <w:r w:rsidR="00837D7B">
        <w:t> </w:t>
      </w:r>
      <w:r>
        <w:t>subjektem</w:t>
      </w:r>
      <w:r w:rsidRPr="00AC7E0C">
        <w:t>, k</w:t>
      </w:r>
      <w:r>
        <w:t>terý</w:t>
      </w:r>
      <w:r w:rsidRPr="00AC7E0C">
        <w:t xml:space="preserve"> bude monitorovat </w:t>
      </w:r>
      <w:r>
        <w:t xml:space="preserve">případné </w:t>
      </w:r>
      <w:r w:rsidRPr="00AC7E0C">
        <w:t>o</w:t>
      </w:r>
      <w:r>
        <w:t>vlivňování sportovních výsledků. Tato smlouva je nutnou přílohou k žádosti o vydání základního povolení k provozování kursové sázky.</w:t>
      </w:r>
      <w:r w:rsidR="006F311C">
        <w:t xml:space="preserve"> </w:t>
      </w:r>
    </w:p>
    <w:p w14:paraId="69CEF1EB" w14:textId="743E2586" w:rsidR="007D5B08" w:rsidRPr="00961753" w:rsidRDefault="007D5B08" w:rsidP="007D5B08">
      <w:r>
        <w:lastRenderedPageBreak/>
        <w:t>Zpravidla se jedná o smlouvy</w:t>
      </w:r>
      <w:r w:rsidRPr="00961753">
        <w:t xml:space="preserve"> s  organizacemi, které monitorují možné ovlivňování sportovních výsledků (Sportradar, IBIA – dříve ESSA atd.)</w:t>
      </w:r>
      <w:r>
        <w:t xml:space="preserve">, nebo v </w:t>
      </w:r>
      <w:r w:rsidRPr="00961753">
        <w:t>případě nutnosti pokrytí menších lokálních trhů s organizacemi místními (např. Jockey Club České republiky)</w:t>
      </w:r>
      <w:r>
        <w:rPr>
          <w:rStyle w:val="Znakapoznpodarou"/>
        </w:rPr>
        <w:footnoteReference w:id="4"/>
      </w:r>
      <w:r w:rsidRPr="00961753">
        <w:t xml:space="preserve">. </w:t>
      </w:r>
      <w:r>
        <w:t>Smlouvy upravují mj. rozsah poskytovaných služeb a portfolio monitorovaných událostí. K povinnosti monitorovat případné ovlivňování sportovních výsledků se váže také p</w:t>
      </w:r>
      <w:r w:rsidRPr="00961753">
        <w:t xml:space="preserve">ovinnost informovat </w:t>
      </w:r>
      <w:r>
        <w:t>M</w:t>
      </w:r>
      <w:r w:rsidRPr="00961753">
        <w:t xml:space="preserve">inisterstvo financí v případě, že </w:t>
      </w:r>
      <w:r>
        <w:t xml:space="preserve">provozovatel </w:t>
      </w:r>
      <w:r w:rsidRPr="00961753">
        <w:t xml:space="preserve">získá informace o možném nezákonném ovlivnění sázkové události, </w:t>
      </w:r>
      <w:r>
        <w:t xml:space="preserve">která </w:t>
      </w:r>
      <w:r w:rsidRPr="00961753">
        <w:t xml:space="preserve">je provozovateli ukládána v základním povolení. Stejně tak je provozovatel povinen zastavit příjem sázek na události, pokud obdrží od </w:t>
      </w:r>
      <w:r>
        <w:t>M</w:t>
      </w:r>
      <w:r w:rsidRPr="00961753">
        <w:t>inisterstva financí pokyn ohledně důvodného podezření na jejich nezákonné ovlivnění.</w:t>
      </w:r>
    </w:p>
    <w:p w14:paraId="168747F2" w14:textId="5BFB9089" w:rsidR="00305FDD" w:rsidRDefault="006F311C" w:rsidP="002B4F42">
      <w:r>
        <w:t>Dá</w:t>
      </w:r>
      <w:r w:rsidR="00305FDD">
        <w:t>le zákon o hazardních upravuje také zákazy přijímání sázek v situacích, kdy je zde riziko ovlivnění výsledků pro zájem samotného provozovatele hazardní hry. Provozovatel tak nesmí přijmout sázky na sázkovou událost, na které se přímo podílí sám nebo na které se podílejí osoby, které jsou s ním ve smluvním vztahu, a dále na sportovní soutěže dětí. Zákonem jsou upraveny i sázky na zvířata, jejichž je provozovatel vlastníkem, nájemcem nebo pachtýřem. Účastnit sázek se nemohou ani osoby, které u provozovatele sázky přijímají, osoby stanovující kursy a osoby, které se přímo na sázkové události podílejí nebo mohou její výsledek ovlivnit.</w:t>
      </w:r>
    </w:p>
    <w:p w14:paraId="32F1C914" w14:textId="795D8BC6" w:rsidR="007D5B08" w:rsidRPr="00961753" w:rsidRDefault="007D5B08" w:rsidP="007D5B08">
      <w:r>
        <w:t xml:space="preserve">Tak jako v případě jiných druhů hazardních her i v případě kursových sázek jsou účastníkům hazardních her ze strany provozovatelů poskytovány různé druhy bonusů. </w:t>
      </w:r>
      <w:r w:rsidR="00833ECA">
        <w:t>D</w:t>
      </w:r>
      <w:r w:rsidRPr="00961753">
        <w:t xml:space="preserve">ne 25. 8. 2017 vydáno </w:t>
      </w:r>
      <w:r>
        <w:t>s</w:t>
      </w:r>
      <w:r w:rsidRPr="00961753">
        <w:t>tanovisko</w:t>
      </w:r>
      <w:r>
        <w:rPr>
          <w:rStyle w:val="Znakapoznpodarou"/>
        </w:rPr>
        <w:footnoteReference w:id="5"/>
      </w:r>
      <w:r>
        <w:t xml:space="preserve">, které se </w:t>
      </w:r>
      <w:r w:rsidR="00804AE1">
        <w:t xml:space="preserve">věnuje </w:t>
      </w:r>
      <w:r>
        <w:t>bonusům, jenž je možné v souladu se zákonem o hazardních hrách poskytovat.</w:t>
      </w:r>
      <w:r w:rsidRPr="00961753">
        <w:t xml:space="preserve"> V souvislosti se zákonnou definicí kursové sázky, tedy že výhra je podmíněna uhodnutím sázkové příležitosti, </w:t>
      </w:r>
      <w:r>
        <w:t xml:space="preserve">je však zcela vyloučen bonus ve formě tzv. </w:t>
      </w:r>
      <w:r w:rsidRPr="00961753">
        <w:t>„sázky bez rizika“. Tento bonus je považován za  rozporný s</w:t>
      </w:r>
      <w:r>
        <w:t>e zákonnou definicí kursové sázky</w:t>
      </w:r>
      <w:r w:rsidRPr="00961753">
        <w:t xml:space="preserve">, neboť sázející získal výhru i v případě, že sázkovou příležitost neuhodl. </w:t>
      </w:r>
    </w:p>
    <w:p w14:paraId="00BBDBDC" w14:textId="77777777" w:rsidR="007D5B08" w:rsidRPr="00961753" w:rsidRDefault="007D5B08" w:rsidP="007D5B08">
      <w:r w:rsidRPr="00961753">
        <w:t>V</w:t>
      </w:r>
      <w:r>
        <w:t xml:space="preserve"> průběhu provozování kursové sázky může docházet k situacím, kdy jsou nesprávně zveřejněny kursy na konkrétní sázkové příležitosti. Aby byl omezen negativní dopad na účastníky hazardních her, resp. možné zneužívání této situace, </w:t>
      </w:r>
      <w:r w:rsidRPr="00961753">
        <w:t xml:space="preserve">riziko </w:t>
      </w:r>
      <w:r>
        <w:t>spojené s </w:t>
      </w:r>
      <w:r w:rsidRPr="00961753">
        <w:t>chybně vypsa</w:t>
      </w:r>
      <w:r>
        <w:t>ným</w:t>
      </w:r>
      <w:r w:rsidRPr="00961753">
        <w:t xml:space="preserve"> kurs</w:t>
      </w:r>
      <w:r>
        <w:t>em</w:t>
      </w:r>
      <w:r w:rsidRPr="00961753">
        <w:t xml:space="preserve"> </w:t>
      </w:r>
      <w:r>
        <w:t xml:space="preserve">je </w:t>
      </w:r>
      <w:r w:rsidRPr="00961753">
        <w:t>přenesen</w:t>
      </w:r>
      <w:r>
        <w:t>o</w:t>
      </w:r>
      <w:r w:rsidRPr="00961753">
        <w:t xml:space="preserve"> na provozovatele</w:t>
      </w:r>
      <w:r>
        <w:t>, neboť jím je kurs vypsán a jedná se tak o j</w:t>
      </w:r>
      <w:r w:rsidRPr="00961753">
        <w:t>eho podnikatelské riziko</w:t>
      </w:r>
      <w:r>
        <w:t xml:space="preserve">. Tato skutečnost </w:t>
      </w:r>
      <w:r w:rsidRPr="00961753">
        <w:t>je uváděn</w:t>
      </w:r>
      <w:r>
        <w:t>a</w:t>
      </w:r>
      <w:r w:rsidRPr="00961753">
        <w:t xml:space="preserve"> i v herních plánech.</w:t>
      </w:r>
    </w:p>
    <w:p w14:paraId="5CE4B893" w14:textId="1E542515" w:rsidR="007D5B08" w:rsidRDefault="007D5B08" w:rsidP="002B4F42">
      <w:r>
        <w:t>Existuje také institut tzv. CashOutu. Jedná se o předčasné ukončení sázky. V prostředí trhu České republiky má však CashOut s</w:t>
      </w:r>
      <w:r w:rsidRPr="003865D7">
        <w:t>pecifické podmínky oproti zahraničním trhům</w:t>
      </w:r>
      <w:r>
        <w:t>. Aby byla dodržena definice kursové sázky, kdy podmínkou získání výhry je uhodnutí sázkové příležitosti, je možné CashOut nabízet až poté, co je vyhodnocena alespoň jedna příležitost a zároveň jsou dodrženy další podmínky.</w:t>
      </w:r>
      <w:r>
        <w:rPr>
          <w:rStyle w:val="Znakapoznpodarou"/>
        </w:rPr>
        <w:footnoteReference w:id="6"/>
      </w:r>
    </w:p>
    <w:p w14:paraId="28A8B52A" w14:textId="79DDF28A" w:rsidR="00BA3DA8" w:rsidRDefault="00BA3DA8" w:rsidP="00BA3DA8">
      <w:r>
        <w:t>Cílem právní úpravy bylo nastavení transparentních podmínek provozování kursové sázky, a to jak formou land-based, tak i on</w:t>
      </w:r>
      <w:r w:rsidR="008D70C0">
        <w:noBreakHyphen/>
      </w:r>
      <w:r>
        <w:t xml:space="preserve">line. Za tímto cílem byly podmínky </w:t>
      </w:r>
      <w:r>
        <w:lastRenderedPageBreak/>
        <w:t xml:space="preserve">provozování, resp. podmínky pro vydání základního povolení, stanoveny v zákoně o hazardních hrách, základním povolení a herním plánu. Kromě zajištění samotné ochrany a informovanosti </w:t>
      </w:r>
      <w:r w:rsidR="00B45123">
        <w:t>účastníka hazardní hry</w:t>
      </w:r>
      <w:r>
        <w:t>, na které je kladen důraz v souvislosti se schvalováním herních plánů, byla cílem právní úpravy také podpora transparentnosti sportu.</w:t>
      </w:r>
    </w:p>
    <w:p w14:paraId="04F16D05" w14:textId="77777777" w:rsidR="00316D50" w:rsidRDefault="009061CF" w:rsidP="0028190C">
      <w:pPr>
        <w:pStyle w:val="Nadpis5"/>
      </w:pPr>
      <w:bookmarkStart w:id="22" w:name="_Toc73611587"/>
      <w:r>
        <w:t>Totalizátorová hra</w:t>
      </w:r>
      <w:bookmarkEnd w:id="22"/>
      <w:r w:rsidR="00316D50" w:rsidRPr="00316D50">
        <w:t xml:space="preserve"> </w:t>
      </w:r>
    </w:p>
    <w:p w14:paraId="5C875699" w14:textId="77777777" w:rsidR="006F311C" w:rsidRDefault="00316D50" w:rsidP="00316D50">
      <w:r>
        <w:t xml:space="preserve">Součástí hlavy II zákona o hazardních hrách je kromě kursové sázky také totalizátorová hra. </w:t>
      </w:r>
      <w:r w:rsidRPr="00CC54DE">
        <w:t>Totalizátorová hra je hazardní hra, u níž je výhra podmíněna uhodnutím sázkové příležitosti</w:t>
      </w:r>
      <w:r>
        <w:t xml:space="preserve"> a </w:t>
      </w:r>
      <w:r w:rsidRPr="00CC54DE">
        <w:t>výše výhry je</w:t>
      </w:r>
      <w:r>
        <w:t>, na rozdíl od kursové sázky,</w:t>
      </w:r>
      <w:r w:rsidRPr="00CC54DE">
        <w:t xml:space="preserve"> závislá na</w:t>
      </w:r>
      <w:r>
        <w:t> </w:t>
      </w:r>
      <w:r w:rsidRPr="00CC54DE">
        <w:t>poměru počtu výherců k celkové výši sázek a předem stanovenému podílu výher.</w:t>
      </w:r>
      <w:r>
        <w:t xml:space="preserve"> </w:t>
      </w:r>
    </w:p>
    <w:p w14:paraId="79EF35A4" w14:textId="5B07FD25" w:rsidR="009061CF" w:rsidRDefault="00316D50" w:rsidP="00316D50">
      <w:r>
        <w:t xml:space="preserve">Zákon o hazardních hrách také upravuje </w:t>
      </w:r>
      <w:r w:rsidRPr="003422B1">
        <w:t>úhrnnou cenu výher u totalizátorové hry</w:t>
      </w:r>
      <w:r>
        <w:t xml:space="preserve">, která </w:t>
      </w:r>
      <w:r w:rsidRPr="00006318">
        <w:t>nesmí být nižší než 40 % a vyšší než</w:t>
      </w:r>
      <w:r>
        <w:t> </w:t>
      </w:r>
      <w:r w:rsidRPr="00006318">
        <w:t>80</w:t>
      </w:r>
      <w:r>
        <w:t> </w:t>
      </w:r>
      <w:r w:rsidRPr="00006318">
        <w:t>% herní jistiny.</w:t>
      </w:r>
      <w:r>
        <w:t xml:space="preserve"> </w:t>
      </w:r>
      <w:r w:rsidRPr="00006318">
        <w:t>Herní jistinou je pak součin počtu prodaných sázkových tiketů a výše vkladu za jeden sázkový tiket.</w:t>
      </w:r>
    </w:p>
    <w:p w14:paraId="67E7A6B4" w14:textId="36EBBCB8" w:rsidR="00316D50" w:rsidRDefault="00316D50" w:rsidP="00316D50">
      <w:r>
        <w:t xml:space="preserve">V případě totalizátorové hry je klíčová zejména implementace podmínky ohledně tvorby herní jistiny, kterou je </w:t>
      </w:r>
      <w:r w:rsidRPr="00006318">
        <w:t>součin počtu prodaných sázkových tiketů a výše vkladu za jeden sázkový tiket</w:t>
      </w:r>
      <w:r>
        <w:t xml:space="preserve">. Tato formulace hazardní hry znemožňuje převádět nevyplacené výhry z jedné hry totalizátorové hry (např. dostihu) do další hry totalizátorové hry, což je však jednou ze základních zvyklostí </w:t>
      </w:r>
      <w:r>
        <w:br/>
        <w:t>u totalizátorové hry, kterou doch</w:t>
      </w:r>
      <w:r w:rsidR="006F311C">
        <w:t>ází k navyšování herní jistiny.</w:t>
      </w:r>
    </w:p>
    <w:p w14:paraId="578FEB48" w14:textId="77777777" w:rsidR="0028190C" w:rsidRPr="0028190C" w:rsidRDefault="0028190C" w:rsidP="0028190C">
      <w:pPr>
        <w:pStyle w:val="Nadpis3"/>
      </w:pPr>
      <w:bookmarkStart w:id="23" w:name="_Toc73611588"/>
      <w:r w:rsidRPr="0028190C">
        <w:t>Konkrétní popis nástrojů, včetně oblastí, na které by bylo vhodné se v budoucnu zaměřit, a návrh doporučení či možných variant řešení</w:t>
      </w:r>
      <w:bookmarkEnd w:id="23"/>
    </w:p>
    <w:p w14:paraId="3E2F30CE" w14:textId="0C5191A3" w:rsidR="009061CF" w:rsidRPr="009061CF" w:rsidRDefault="009061CF" w:rsidP="0028190C">
      <w:pPr>
        <w:pStyle w:val="Nadpis5"/>
        <w:numPr>
          <w:ilvl w:val="0"/>
          <w:numId w:val="13"/>
        </w:numPr>
      </w:pPr>
      <w:bookmarkStart w:id="24" w:name="_Toc73611589"/>
      <w:r>
        <w:t>Kursová sázka</w:t>
      </w:r>
      <w:bookmarkEnd w:id="24"/>
    </w:p>
    <w:p w14:paraId="121CA6F1" w14:textId="5ADDEDB1" w:rsidR="00F21CD3" w:rsidRDefault="002D4E39" w:rsidP="003D2CF6">
      <w:pPr>
        <w:pStyle w:val="Nadpis6"/>
        <w:numPr>
          <w:ilvl w:val="0"/>
          <w:numId w:val="11"/>
        </w:numPr>
      </w:pPr>
      <w:bookmarkStart w:id="25" w:name="_Toc73611590"/>
      <w:r w:rsidRPr="00C112E9">
        <w:t xml:space="preserve">Vypořádání dlouhodobých sázek vzhledem k platnosti základního povolení </w:t>
      </w:r>
      <w:r>
        <w:t>nebo</w:t>
      </w:r>
      <w:r w:rsidRPr="00C112E9">
        <w:t xml:space="preserve"> k ukončení provozování</w:t>
      </w:r>
      <w:bookmarkEnd w:id="25"/>
    </w:p>
    <w:p w14:paraId="13FE79FE" w14:textId="4AB3F8E1" w:rsidR="002D4E39" w:rsidRDefault="002D4E39" w:rsidP="009F3A73">
      <w:r>
        <w:t>Součástí nabídky kursových sázek jsou i tzv. dlouhodobé sázky. Jedná se o sázky, které jsou vyhodnoceny v dlouhodobějším horizontu, např. sázka na vítěze konkrétní fotbalové ligy, sázka na nejlepšího střelce konkrétní hokejové ligy, politické nebo</w:t>
      </w:r>
      <w:r w:rsidR="00472B56">
        <w:t> </w:t>
      </w:r>
      <w:r>
        <w:t>společenské sázky vztažené ke konkrétní osobě, konkrétnímu roku či vstupu člověka na povrch planety Mars</w:t>
      </w:r>
      <w:r w:rsidR="00833ECA">
        <w:t xml:space="preserve"> apod</w:t>
      </w:r>
      <w:r>
        <w:t>. Vzhledem ke skutečnosti, že výsledek těchto sázek je mnohdy znám až po několika měsících či dokonce letech, mohou vzniknout situace, kdy</w:t>
      </w:r>
      <w:r w:rsidR="007570E9">
        <w:t> </w:t>
      </w:r>
      <w:r>
        <w:t>při</w:t>
      </w:r>
      <w:r w:rsidR="007570E9">
        <w:t> </w:t>
      </w:r>
      <w:r>
        <w:t>skončení platnosti základního povolení (ať již uplynutím platnosti povolení, nebo na</w:t>
      </w:r>
      <w:r w:rsidR="007570E9">
        <w:t> </w:t>
      </w:r>
      <w:r>
        <w:t>žádost provozovatele) není daná sázková příležitost rozhodnuta a</w:t>
      </w:r>
      <w:r w:rsidR="007570E9">
        <w:t> </w:t>
      </w:r>
      <w:r>
        <w:t>vyhodnocena a</w:t>
      </w:r>
      <w:r w:rsidR="007570E9">
        <w:t> </w:t>
      </w:r>
      <w:r>
        <w:t>je třeba určit způsob jejího vypořádání. Zachování současné právní praxe je problematické i z hlediska vypořádání kaucí.</w:t>
      </w:r>
    </w:p>
    <w:p w14:paraId="249ACF01" w14:textId="582B2959" w:rsidR="002D4E39" w:rsidRDefault="002D4E39" w:rsidP="00CA1FED">
      <w:pPr>
        <w:pStyle w:val="Nadpis7"/>
      </w:pPr>
      <w:r>
        <w:t xml:space="preserve">Varianta I. </w:t>
      </w:r>
      <w:r w:rsidR="009F3A73">
        <w:t>–</w:t>
      </w:r>
      <w:r w:rsidR="0056149B">
        <w:t xml:space="preserve"> Nevyhodnocené</w:t>
      </w:r>
      <w:r>
        <w:t xml:space="preserve"> sázky </w:t>
      </w:r>
      <w:r w:rsidR="00B56F0D">
        <w:t>budou</w:t>
      </w:r>
      <w:r>
        <w:t xml:space="preserve"> vyhodnoceny v kursu 1  </w:t>
      </w:r>
    </w:p>
    <w:p w14:paraId="62042903" w14:textId="7CC00328" w:rsidR="002D4E39" w:rsidRDefault="002D4E39" w:rsidP="00ED280E">
      <w:r>
        <w:t xml:space="preserve">Jedním z možných řešení by bylo vyhodnocení </w:t>
      </w:r>
      <w:r w:rsidR="00B12006">
        <w:t xml:space="preserve">dlouhodobé sázky </w:t>
      </w:r>
      <w:r>
        <w:t xml:space="preserve">v kursu 1. Běžně se vyhodnocení v kursu 1 používá u nerozhodnutých kursových příležitostí, např. v situaci, kdy utkání </w:t>
      </w:r>
      <w:r w:rsidRPr="000D6A80">
        <w:t>není dohráno</w:t>
      </w:r>
      <w:r>
        <w:t>, nebo je odloženo. K obdobnému postupu by bylo možné přikročit i</w:t>
      </w:r>
      <w:r w:rsidR="007A0FFD">
        <w:t> </w:t>
      </w:r>
      <w:r>
        <w:t xml:space="preserve">v situacích, kdy v okamžiku zániku základního povolení nebyly vyhodnoceny všechny sázky. </w:t>
      </w:r>
    </w:p>
    <w:p w14:paraId="327BBC63" w14:textId="51C25084" w:rsidR="007A0FFD" w:rsidRDefault="002D4E39" w:rsidP="00ED280E">
      <w:r>
        <w:lastRenderedPageBreak/>
        <w:t>Výše uvedený postup by byl uveden v zákoně o hazardních hrách a popsán provozovatel</w:t>
      </w:r>
      <w:r w:rsidR="00F92380">
        <w:t>em</w:t>
      </w:r>
      <w:r>
        <w:t xml:space="preserve"> v herním plánu tak, aby byla zajištěna informo</w:t>
      </w:r>
      <w:r w:rsidR="00ED280E">
        <w:t xml:space="preserve">vanost účastníka hazardní hry. </w:t>
      </w:r>
      <w:r>
        <w:t xml:space="preserve">Tímto způsobem by bylo zaručeno, že účastník hazardní hry </w:t>
      </w:r>
      <w:r w:rsidRPr="00C84BD1">
        <w:t>si j</w:t>
      </w:r>
      <w:r>
        <w:t xml:space="preserve">e při vsazení dlouhodobé sázky </w:t>
      </w:r>
      <w:r w:rsidRPr="00C84BD1">
        <w:t>vědom</w:t>
      </w:r>
      <w:r>
        <w:t>, že situac</w:t>
      </w:r>
      <w:r w:rsidR="00F92380">
        <w:t>e může nastat a je informován o </w:t>
      </w:r>
      <w:r>
        <w:t>násled</w:t>
      </w:r>
      <w:r w:rsidR="00F92380">
        <w:t>ném postupu provozovatele.</w:t>
      </w:r>
    </w:p>
    <w:p w14:paraId="2697CA4C" w14:textId="6542CEBA" w:rsidR="00F92380" w:rsidRDefault="00F92380" w:rsidP="00ED280E">
      <w:r>
        <w:t>Výhody:</w:t>
      </w:r>
    </w:p>
    <w:p w14:paraId="4F019E3F" w14:textId="302663C6" w:rsidR="00F92380" w:rsidRDefault="00F92380" w:rsidP="00ED280E">
      <w:r>
        <w:t>Jedná se o jednoduché a transparentní řešení, kdy nedochází ke ztrátám ani na straně sázejícího, kterému je vrácena celá výše jeho sázky, ale také na straně provozovatele.</w:t>
      </w:r>
    </w:p>
    <w:p w14:paraId="2A3E7C8E" w14:textId="53E1C23C" w:rsidR="00F92380" w:rsidRDefault="00F92380" w:rsidP="00ED280E">
      <w:r>
        <w:t>Nevýhody:</w:t>
      </w:r>
    </w:p>
    <w:p w14:paraId="16E54952" w14:textId="6EF89939" w:rsidR="00F92380" w:rsidRDefault="00F92380" w:rsidP="00ED280E">
      <w:r>
        <w:t xml:space="preserve">Nezohledňuje kurs, ve kterém byla sázka uzavřena. </w:t>
      </w:r>
    </w:p>
    <w:p w14:paraId="0751E393" w14:textId="2BB0F752" w:rsidR="002D4E39" w:rsidRPr="00C402A8" w:rsidRDefault="002D4E39" w:rsidP="00CA1FED">
      <w:pPr>
        <w:pStyle w:val="Nadpis7"/>
      </w:pPr>
      <w:r w:rsidRPr="00C402A8">
        <w:t>Varianta II</w:t>
      </w:r>
      <w:r w:rsidR="00ED280E">
        <w:t>. –</w:t>
      </w:r>
      <w:r w:rsidR="0056149B">
        <w:t xml:space="preserve"> N</w:t>
      </w:r>
      <w:r>
        <w:t>erozhodnuté sázky jsou vyhodnoceny prostřednictvím koeficientu</w:t>
      </w:r>
    </w:p>
    <w:p w14:paraId="6B94400A" w14:textId="183677AB" w:rsidR="002D4E39" w:rsidRDefault="002D4E39" w:rsidP="00ED280E">
      <w:pPr>
        <w:rPr>
          <w:i/>
        </w:rPr>
      </w:pPr>
      <w:r>
        <w:t>Dalším možným řešením by bylo využití obdobného konceptu jako je CashOut, tedy vyhodnocení dlouhodobých sázek prostřednictvím koeficientu.</w:t>
      </w:r>
      <w:r w:rsidR="00F92380" w:rsidRPr="00F92380">
        <w:t xml:space="preserve"> </w:t>
      </w:r>
      <w:r w:rsidR="00F92380">
        <w:t>Dlouhodobé sázky by tak byly vyplaceny jako násobek koeficientu, který by vycházel z aktuálních kursů dotčené příležitosti či příležitostí na podobném principu jako u CashOut</w:t>
      </w:r>
      <w:r w:rsidR="00F92380">
        <w:rPr>
          <w:rStyle w:val="Znakapoznpodarou"/>
        </w:rPr>
        <w:footnoteReference w:id="7"/>
      </w:r>
      <w:r w:rsidR="00F92380">
        <w:t>.</w:t>
      </w:r>
    </w:p>
    <w:p w14:paraId="5DF3ABA2" w14:textId="57E89DAF" w:rsidR="00F92380" w:rsidRDefault="00F92380" w:rsidP="00ED280E">
      <w:r>
        <w:t>Výhody:</w:t>
      </w:r>
    </w:p>
    <w:p w14:paraId="31699DF8" w14:textId="2E412298" w:rsidR="002D4E39" w:rsidRDefault="002D4E39" w:rsidP="00ED280E">
      <w:r>
        <w:t xml:space="preserve">Navrhovaná varianta by z pohledu účastníka hazardní hry mohla zohlednit aktuální situaci (pravděpodobnost výhry), než je tomu v případě varianty I. </w:t>
      </w:r>
    </w:p>
    <w:p w14:paraId="7C21D46F" w14:textId="64396A47" w:rsidR="00F92380" w:rsidRDefault="00F92380" w:rsidP="00ED280E">
      <w:r>
        <w:t>Nevýhody:</w:t>
      </w:r>
    </w:p>
    <w:p w14:paraId="3BDE00F2" w14:textId="71F91830" w:rsidR="002D4E39" w:rsidRDefault="002D4E39" w:rsidP="00ED280E">
      <w:r>
        <w:t>Výše uvedený postup by nicméně vyžadoval zásah do definičních znaků kursové sázky v zákoně o hazardních hrách, neboť výhra je podmíněna uhodnutím sázkové příležitosti, k čemuž by v tomto případě nedošlo</w:t>
      </w:r>
      <w:r>
        <w:rPr>
          <w:rStyle w:val="Znakapoznpodarou"/>
        </w:rPr>
        <w:footnoteReference w:id="8"/>
      </w:r>
      <w:r>
        <w:t>. Pokud by tedy neproběhl zásah do</w:t>
      </w:r>
      <w:r w:rsidR="007A0FFD">
        <w:t> </w:t>
      </w:r>
      <w:r>
        <w:t>definičních znaků, za současného znění zákona o hazardních hrách by nebylo možné v</w:t>
      </w:r>
      <w:r w:rsidR="004606F0">
        <w:t>yužít navrhovaný postup varianty</w:t>
      </w:r>
      <w:r>
        <w:t xml:space="preserve"> II. v případě sólo sázek. Bylo by také třeba stanovit parametry tvorby takového koeficientu.</w:t>
      </w:r>
    </w:p>
    <w:p w14:paraId="2775F638" w14:textId="4C7865AF" w:rsidR="00324385" w:rsidRDefault="000327C9" w:rsidP="00CA1FED">
      <w:pPr>
        <w:pStyle w:val="Nadpis7"/>
      </w:pPr>
      <w:r w:rsidRPr="000327C9">
        <w:t>Hodnocení</w:t>
      </w:r>
      <w:r>
        <w:t xml:space="preserve"> variant</w:t>
      </w:r>
    </w:p>
    <w:p w14:paraId="2AA6D4C8" w14:textId="1A78C295" w:rsidR="000327C9" w:rsidRPr="00AD5EAF" w:rsidRDefault="00B8488D" w:rsidP="004606F0">
      <w:r w:rsidRPr="005537D4">
        <w:t>Jako nejvhodnější je považována v</w:t>
      </w:r>
      <w:r w:rsidR="000327C9" w:rsidRPr="005537D4">
        <w:t>arianta I.</w:t>
      </w:r>
      <w:r w:rsidRPr="005537D4">
        <w:t>, tedy ú</w:t>
      </w:r>
      <w:r w:rsidR="000327C9" w:rsidRPr="005537D4">
        <w:t xml:space="preserve">prava zákona o hazardních hrách </w:t>
      </w:r>
      <w:r w:rsidRPr="005537D4">
        <w:t>tak, že</w:t>
      </w:r>
      <w:r w:rsidR="000327C9" w:rsidRPr="005537D4">
        <w:t xml:space="preserve"> nerozhodnuté sázky jsou vyhodnoceny v kursu 1</w:t>
      </w:r>
      <w:r w:rsidRPr="005537D4">
        <w:t>. J</w:t>
      </w:r>
      <w:r w:rsidR="000327C9" w:rsidRPr="005537D4">
        <w:t>edná se o jednoznačný postup, se kterým budou účastníci hazardní hry dopředu seznámeni.</w:t>
      </w:r>
    </w:p>
    <w:p w14:paraId="20C780B3" w14:textId="25CD7C49" w:rsidR="00891213" w:rsidRDefault="002D4E39" w:rsidP="003D2CF6">
      <w:pPr>
        <w:pStyle w:val="Nadpis6"/>
      </w:pPr>
      <w:bookmarkStart w:id="26" w:name="_Toc73611591"/>
      <w:r>
        <w:t>Sázková burza</w:t>
      </w:r>
      <w:bookmarkEnd w:id="26"/>
    </w:p>
    <w:p w14:paraId="7A84E687" w14:textId="55A42897" w:rsidR="00DD1EA8" w:rsidRDefault="002D4E39" w:rsidP="00DD1EA8">
      <w:r>
        <w:t>Sázková burza je alternativním způsobem provozování kursových sázek.</w:t>
      </w:r>
      <w:r>
        <w:rPr>
          <w:rStyle w:val="Znakapoznpodarou"/>
        </w:rPr>
        <w:footnoteReference w:id="9"/>
      </w:r>
      <w:r>
        <w:t xml:space="preserve"> Účastníci sázkové burzy sami vytváří kurs na základě n</w:t>
      </w:r>
      <w:r w:rsidR="00E302AE">
        <w:t xml:space="preserve">abídky a poptávky. </w:t>
      </w:r>
      <w:r w:rsidR="00DD1EA8">
        <w:t>Jedná se o koncept, který je v zahraničí zpravidla provozován provozovateli kursových sázek</w:t>
      </w:r>
      <w:r w:rsidR="00DD1EA8">
        <w:rPr>
          <w:rStyle w:val="Znakapoznpodarou"/>
        </w:rPr>
        <w:footnoteReference w:id="10"/>
      </w:r>
      <w:r w:rsidR="00DD1EA8">
        <w:t xml:space="preserve">. </w:t>
      </w:r>
    </w:p>
    <w:p w14:paraId="5C949D97" w14:textId="18CC19B5" w:rsidR="00DD1EA8" w:rsidRPr="008A597D" w:rsidRDefault="00E302AE" w:rsidP="00DD1EA8">
      <w:r>
        <w:lastRenderedPageBreak/>
        <w:t>Absentuje</w:t>
      </w:r>
      <w:r w:rsidR="00DD1EA8">
        <w:t xml:space="preserve"> zde</w:t>
      </w:r>
      <w:r>
        <w:t xml:space="preserve"> </w:t>
      </w:r>
      <w:r w:rsidR="002D4E39">
        <w:t>činnost provozovatele</w:t>
      </w:r>
      <w:r>
        <w:t xml:space="preserve"> ve smyslu c</w:t>
      </w:r>
      <w:r w:rsidR="00471CBC">
        <w:t>entrálního stanovení kursů (viz </w:t>
      </w:r>
      <w:r>
        <w:t>požadavek § 35 zákona o hazardních hrách)</w:t>
      </w:r>
      <w:r w:rsidR="002D4E39">
        <w:t>, který v tom</w:t>
      </w:r>
      <w:r>
        <w:t>to</w:t>
      </w:r>
      <w:r w:rsidR="002D4E39">
        <w:t xml:space="preserve"> případě poskytuje platformu, v rámci které jsou jednotliví účastníci hazardní hry propojeni. Provozovatel pak z každé vyhrané sázky získává provizi,</w:t>
      </w:r>
      <w:r w:rsidR="00DD1EA8">
        <w:t xml:space="preserve"> popř. jinak stanovený poplatek</w:t>
      </w:r>
      <w:r w:rsidR="00DD1EA8" w:rsidRPr="00DD1EA8">
        <w:t>. Právě tvorba kursu je jedním ze zásadních rozdílů mezi sázkovou burzou a přijímáním sázek provozovatelem.</w:t>
      </w:r>
    </w:p>
    <w:p w14:paraId="25A1EF15" w14:textId="185E2452" w:rsidR="002D4E39" w:rsidRDefault="002D4E39" w:rsidP="004606F0">
      <w:r>
        <w:t>Provozování sázkové burzy je však v rozporu s</w:t>
      </w:r>
      <w:r w:rsidR="00E302AE">
        <w:t> výše uvedeným ustanovením</w:t>
      </w:r>
      <w:r>
        <w:t xml:space="preserve"> zákona o</w:t>
      </w:r>
      <w:r w:rsidR="00324385">
        <w:t> </w:t>
      </w:r>
      <w:r>
        <w:t>hazardních hrách, neboť právě stanovení kursů je jedna z činností, která</w:t>
      </w:r>
      <w:r w:rsidR="00891213">
        <w:t> </w:t>
      </w:r>
      <w:r>
        <w:t>charakterizuje provozování kursové sázky. Také samotný příjem sázek ze strany provozovatele je v případě provozování sázkové burzy do značné míry potlačen, neboť</w:t>
      </w:r>
      <w:r w:rsidR="00891213">
        <w:t> </w:t>
      </w:r>
      <w:r>
        <w:t xml:space="preserve">činnost provozovatele se </w:t>
      </w:r>
      <w:r w:rsidR="00E302AE">
        <w:t xml:space="preserve">může </w:t>
      </w:r>
      <w:r>
        <w:t>omez</w:t>
      </w:r>
      <w:r w:rsidR="00E302AE">
        <w:t>it</w:t>
      </w:r>
      <w:r>
        <w:t xml:space="preserve"> </w:t>
      </w:r>
      <w:r w:rsidR="00E302AE">
        <w:t xml:space="preserve">pouze </w:t>
      </w:r>
      <w:r>
        <w:t>na poskytnutí platformy.</w:t>
      </w:r>
    </w:p>
    <w:p w14:paraId="37CDD4E2" w14:textId="527ECF01" w:rsidR="002D4E39" w:rsidRDefault="002D4E39" w:rsidP="004606F0">
      <w:r>
        <w:t>Provozovatel sázkové burzy vypisuje události a příležitosti, na které mohou účastníci hazardní hry podávat sázky, či přijímat sázky v kursu, který sami př</w:t>
      </w:r>
      <w:r w:rsidR="00471CBC">
        <w:t>ijmou, či </w:t>
      </w:r>
      <w:r>
        <w:t xml:space="preserve">nabídnou. </w:t>
      </w:r>
      <w:r w:rsidR="00DD1EA8">
        <w:t>Zároveň účastník hazardní hry</w:t>
      </w:r>
      <w:r w:rsidR="00DD1EA8" w:rsidRPr="00E71FD9">
        <w:t xml:space="preserve">, který nabízí kurs na vybranou sázkovou příležitost, může do přijetí jeho nabídky jiným </w:t>
      </w:r>
      <w:r w:rsidR="00DD1EA8">
        <w:t>účastníkem</w:t>
      </w:r>
      <w:r w:rsidR="00DD1EA8" w:rsidRPr="00E71FD9">
        <w:t xml:space="preserve"> tuto svou nabídku kdykoliv </w:t>
      </w:r>
      <w:r w:rsidR="00DD1EA8">
        <w:t>vzít zpět</w:t>
      </w:r>
      <w:r w:rsidR="004D43F2">
        <w:t xml:space="preserve"> a </w:t>
      </w:r>
      <w:r w:rsidR="00DD1EA8" w:rsidRPr="00E71FD9">
        <w:t xml:space="preserve">peníze jsou mu vráceny na jeho </w:t>
      </w:r>
      <w:r w:rsidR="00DD1EA8">
        <w:t>uživatelské</w:t>
      </w:r>
      <w:r w:rsidR="00DD1EA8" w:rsidRPr="00E71FD9">
        <w:t xml:space="preserve"> konto. </w:t>
      </w:r>
      <w:r>
        <w:t xml:space="preserve">Sázku je </w:t>
      </w:r>
      <w:r w:rsidR="00DD1EA8">
        <w:t xml:space="preserve">tedy </w:t>
      </w:r>
      <w:r>
        <w:t xml:space="preserve">možné zrušit až do chvíle, kdy je přijata jiným účastníkem hazardní hry, poté je už sázka nevratná. Sázka je také zrušena v případě, že nebyla přijata jiným účastníkem hazardní hry do zahájení události (v případě </w:t>
      </w:r>
      <w:r w:rsidRPr="000C1588">
        <w:t>live sázek</w:t>
      </w:r>
      <w:r w:rsidR="00B01BFF">
        <w:rPr>
          <w:rStyle w:val="Znakapoznpodarou"/>
        </w:rPr>
        <w:footnoteReference w:id="11"/>
      </w:r>
      <w:r w:rsidR="004606F0">
        <w:t xml:space="preserve"> do ukončení události). </w:t>
      </w:r>
      <w:r w:rsidR="00DD1EA8" w:rsidRPr="00E71FD9">
        <w:t xml:space="preserve">Možnost výhry je zcela závislá na vložení vkladu pozdějším účastníkem hazardní hry, a to v případě </w:t>
      </w:r>
      <w:r w:rsidR="00DD1EA8">
        <w:t>účastník</w:t>
      </w:r>
      <w:r w:rsidR="00DD1EA8" w:rsidRPr="00E71FD9">
        <w:t>ů, kteří vkládají nabídku</w:t>
      </w:r>
      <w:r w:rsidR="00DD1EA8">
        <w:t xml:space="preserve"> a poptávku</w:t>
      </w:r>
      <w:r w:rsidR="00DD1EA8" w:rsidRPr="00E71FD9">
        <w:t xml:space="preserve"> na sázkové příležitosti</w:t>
      </w:r>
      <w:r w:rsidR="00DD1EA8">
        <w:t xml:space="preserve">. </w:t>
      </w:r>
      <w:r>
        <w:t>Provozovatel sázky vyhodnocuje,</w:t>
      </w:r>
      <w:r w:rsidR="004E1601">
        <w:t xml:space="preserve"> kontroluje dodržování podmínek </w:t>
      </w:r>
      <w:r>
        <w:t>a řeší jejich případné porušení.</w:t>
      </w:r>
      <w:r>
        <w:rPr>
          <w:rStyle w:val="Znakapoznpodarou"/>
        </w:rPr>
        <w:footnoteReference w:id="12"/>
      </w:r>
    </w:p>
    <w:p w14:paraId="2C11B64D" w14:textId="720AD43E" w:rsidR="001416C3" w:rsidRDefault="001416C3" w:rsidP="00CA1FED">
      <w:pPr>
        <w:pStyle w:val="Nadpis7"/>
      </w:pPr>
      <w:r>
        <w:t xml:space="preserve">Varianta I. – Zachování </w:t>
      </w:r>
      <w:r w:rsidR="00585EA7">
        <w:t xml:space="preserve">současného </w:t>
      </w:r>
      <w:r>
        <w:t>stavu</w:t>
      </w:r>
    </w:p>
    <w:p w14:paraId="411E0C26" w14:textId="3CFF3F26" w:rsidR="001416C3" w:rsidRDefault="001416C3" w:rsidP="001416C3">
      <w:r>
        <w:t>Tato varianta představuje zachování stávajícího stavu, tedy neumožnění provozování sázkové burzy podle zákona o hazardních hrách.</w:t>
      </w:r>
    </w:p>
    <w:p w14:paraId="27267491" w14:textId="38B8488E" w:rsidR="001416C3" w:rsidRDefault="001416C3" w:rsidP="001416C3">
      <w:r>
        <w:t>Výhody:</w:t>
      </w:r>
    </w:p>
    <w:p w14:paraId="10C447DB" w14:textId="2AA4D2AB" w:rsidR="001416C3" w:rsidRDefault="001416C3" w:rsidP="001416C3">
      <w:r>
        <w:t>Zůstane zachováno stávající nastavení právní úpravy se silnou pozicí provozovatele, která by mohla být vnímána jako slabší vzhledem k tomu, že kurzy nejsou v případě sázkové burzy stanovovány centrálně.</w:t>
      </w:r>
    </w:p>
    <w:p w14:paraId="057A9A1A" w14:textId="3D9ECE68" w:rsidR="001416C3" w:rsidRDefault="001416C3" w:rsidP="001416C3">
      <w:r>
        <w:t>Nevýhody:</w:t>
      </w:r>
    </w:p>
    <w:p w14:paraId="10613A29" w14:textId="4193A0A9" w:rsidR="001416C3" w:rsidRPr="001416C3" w:rsidRDefault="001416C3" w:rsidP="001416C3">
      <w:r>
        <w:t>Omezení nabídky provozovaných hazardních her legálními provozovateli.</w:t>
      </w:r>
    </w:p>
    <w:p w14:paraId="5A145982" w14:textId="50846580" w:rsidR="002D4E39" w:rsidRPr="00C402A8" w:rsidRDefault="002D4E39" w:rsidP="00CA1FED">
      <w:pPr>
        <w:pStyle w:val="Nadpis7"/>
      </w:pPr>
      <w:r w:rsidRPr="00C402A8">
        <w:t xml:space="preserve">Varianta </w:t>
      </w:r>
      <w:r w:rsidR="00324385">
        <w:t>I</w:t>
      </w:r>
      <w:r w:rsidR="001416C3">
        <w:t>I</w:t>
      </w:r>
      <w:r w:rsidR="00324385">
        <w:t>.</w:t>
      </w:r>
      <w:r w:rsidR="004E1601">
        <w:t xml:space="preserve"> –</w:t>
      </w:r>
      <w:r w:rsidR="00324385">
        <w:t xml:space="preserve"> </w:t>
      </w:r>
      <w:r>
        <w:t xml:space="preserve">Úprava zákona o hazardních hrách </w:t>
      </w:r>
      <w:r w:rsidR="00554B7B">
        <w:t>ve smyslu</w:t>
      </w:r>
      <w:r>
        <w:t xml:space="preserve"> povolení sázkové burzy</w:t>
      </w:r>
    </w:p>
    <w:p w14:paraId="7F42CD5B" w14:textId="77777777" w:rsidR="001416C3" w:rsidRDefault="002D4E39" w:rsidP="001416C3">
      <w:r>
        <w:t>Varianta I. spočívá v úpravě zákona o hazardních hrách takovým způsobem, aby bylo provozování sázkové burzy umožněno. Možným postupem by mohla být novela zákona o hazardních hrách ve smyslu doplnění ustanovení, které by provozování sázkové burzy výslovně umožnilo a bylo speciální k obecné právní úpravě týkající se</w:t>
      </w:r>
      <w:r w:rsidR="00893F8F">
        <w:t> </w:t>
      </w:r>
      <w:r>
        <w:t xml:space="preserve">provozování kursových sázek. </w:t>
      </w:r>
      <w:r w:rsidR="001416C3">
        <w:t xml:space="preserve">Provozování sázkové burzy se jeví jako koncept provozování kursových sázek, který není výrazněji rizikovější, než provozování standardních kursových sázek. Naopak, pro samotné účastníky hazardní hry může přinášet i řadu výše uvedených benefitů. Navíc se jedná o fungující koncept </w:t>
      </w:r>
      <w:r w:rsidR="001416C3">
        <w:lastRenderedPageBreak/>
        <w:t>zahraničních provozovatelů, který může být pro určité účastníky hazardních her důvodem k neúčasti u nelegálních provozovatelů.</w:t>
      </w:r>
    </w:p>
    <w:p w14:paraId="526EB41B" w14:textId="6F0D0B54" w:rsidR="00DD1EA8" w:rsidRDefault="00DD1EA8" w:rsidP="004E1601">
      <w:r>
        <w:t>Výhody:</w:t>
      </w:r>
    </w:p>
    <w:p w14:paraId="6CE0F464" w14:textId="38462F2D" w:rsidR="002D4E39" w:rsidRPr="009F7B1A" w:rsidRDefault="002D4E39" w:rsidP="004E1601">
      <w:r>
        <w:t>Výrazným benefitem sázkové burzy je omezení různých forem limitace účastníků hazardních her, zejména pak individuální limitace úspěšných účastníků hazardní hry, neboť nabídka a poptávka a tedy vytvoření kursu je závislá pouze na jednotlivých účastnících hazardní hry a</w:t>
      </w:r>
      <w:r w:rsidR="007570E9">
        <w:t> </w:t>
      </w:r>
      <w:r>
        <w:t xml:space="preserve">provozovatel do průběhu hry nevstupuje. Dalším efektem provozování kursových sázek je vliv na kurs, který </w:t>
      </w:r>
      <w:r w:rsidR="00DD1EA8">
        <w:t>lze zpravidla považovat za</w:t>
      </w:r>
      <w:r>
        <w:t xml:space="preserve"> výhodnější, než v případě, kdy kurs stanovuje sám provozovatel.</w:t>
      </w:r>
    </w:p>
    <w:p w14:paraId="6D7CF172" w14:textId="2B09E6AF" w:rsidR="00DD1EA8" w:rsidRDefault="00DD1EA8" w:rsidP="004E1601">
      <w:r>
        <w:t>Nevýhody:</w:t>
      </w:r>
    </w:p>
    <w:p w14:paraId="0D0C9C7D" w14:textId="28DE933F" w:rsidR="002D4E39" w:rsidRDefault="002D4E39" w:rsidP="004E1601">
      <w:r>
        <w:t>Rizikem, které je výraznější než v případě, kdy je kurs stanoven provozovatelem, je</w:t>
      </w:r>
      <w:r w:rsidR="00893F8F">
        <w:t> </w:t>
      </w:r>
      <w:r>
        <w:t xml:space="preserve">riziko match-fixingu a </w:t>
      </w:r>
      <w:r w:rsidRPr="009F7B1A">
        <w:t>praní špinavých peněz</w:t>
      </w:r>
      <w:r>
        <w:t>. Zvýšené riziko match-fixingu v případě sázkové burzy zmiňují zejména sami provozovatelé (standardních) kursových sázek, nicméně v současné době nebyly t</w:t>
      </w:r>
      <w:r w:rsidR="004C74BE">
        <w:t>y</w:t>
      </w:r>
      <w:r>
        <w:t xml:space="preserve">to případy zaznamenány ve větším rozsahu v porovnání se standardním provozováním kursových sázek. Jedním z důvodů může být i skutečnost, že také provozovatelé sázkové burzy monitorují podezřelé zápasy prostřednictvím organizací, které se na to specializují, přičemž rizikové účastníky hazardní hry lze identifikovat na základě registrace. Obdobně limitované je také riziko praní špinavých peněz.  </w:t>
      </w:r>
    </w:p>
    <w:p w14:paraId="5A8D8169" w14:textId="1865EABA" w:rsidR="001416C3" w:rsidRDefault="001416C3" w:rsidP="0031300A">
      <w:pPr>
        <w:pStyle w:val="Nadpis7"/>
      </w:pPr>
      <w:r>
        <w:t>Hodnocení variant</w:t>
      </w:r>
    </w:p>
    <w:p w14:paraId="074D999A" w14:textId="391B2B20" w:rsidR="003E2FBE" w:rsidRDefault="003E2FBE" w:rsidP="003E2FBE">
      <w:r>
        <w:t>Doporučuje se přistoupit k variantě II, jelikož se provozování sázkové burzy jeví jako koncept provozování kursových sázek, který není výrazněji rizikovější, než provozování standardních kursových sázek. Naopak, pro samotné účastníky hazardní hry může přinášet i řadu výše uvede</w:t>
      </w:r>
      <w:r w:rsidR="0017463F">
        <w:t>ných benefitů. Navíc se jedná o </w:t>
      </w:r>
      <w:r>
        <w:t>fungující koncept zahraničních provozovatelů, který může být pro určité účastníky hazardních her důvodem k neúčasti u nelegálních provozovatelů.</w:t>
      </w:r>
    </w:p>
    <w:p w14:paraId="2835EE43" w14:textId="245860D9" w:rsidR="00184456" w:rsidRDefault="002D4E39" w:rsidP="003D2CF6">
      <w:pPr>
        <w:pStyle w:val="Nadpis6"/>
      </w:pPr>
      <w:bookmarkStart w:id="27" w:name="_Toc73611592"/>
      <w:r w:rsidRPr="00EF4E24">
        <w:t xml:space="preserve">Terminologie </w:t>
      </w:r>
      <w:r>
        <w:t xml:space="preserve">sázková </w:t>
      </w:r>
      <w:r w:rsidR="003E2FBE">
        <w:t>událost a</w:t>
      </w:r>
      <w:r>
        <w:t xml:space="preserve"> sázková </w:t>
      </w:r>
      <w:r w:rsidRPr="00EF4E24">
        <w:t>příležitost</w:t>
      </w:r>
      <w:bookmarkEnd w:id="27"/>
    </w:p>
    <w:p w14:paraId="1D6F2D56" w14:textId="0347958D" w:rsidR="002D4E39" w:rsidRDefault="002D4E39" w:rsidP="0017290C">
      <w:r>
        <w:t>Zákon o hazardních hrách v případě provozování kursových sázek obsahuje termín sázkové příležitosti</w:t>
      </w:r>
      <w:r w:rsidR="003E2FBE">
        <w:t xml:space="preserve"> a sázkové události</w:t>
      </w:r>
      <w:r>
        <w:t xml:space="preserve">. Dle ustálené terminologie jsou k sázkové události </w:t>
      </w:r>
      <w:r w:rsidR="003E2FBE">
        <w:t xml:space="preserve">(ve smyslu sportovní událost nebo jiná událost veřejné pozornosti) </w:t>
      </w:r>
      <w:r>
        <w:t xml:space="preserve">vypsány sázkové příležitosti, na které jsou podávány sázky. </w:t>
      </w:r>
      <w:r w:rsidR="003E2FBE">
        <w:t>S</w:t>
      </w:r>
      <w:r>
        <w:t>ázková příležitost je jedním z možných výsledků události</w:t>
      </w:r>
      <w:r>
        <w:rPr>
          <w:rStyle w:val="Znakapoznpodarou"/>
        </w:rPr>
        <w:footnoteReference w:id="13"/>
      </w:r>
      <w:r>
        <w:t xml:space="preserve">. Za synonymum pro sázkovou příležitost lze považovat výraz tip. </w:t>
      </w:r>
    </w:p>
    <w:p w14:paraId="3AFF7DC5" w14:textId="1AAEC3C0" w:rsidR="00D23B3A" w:rsidRPr="00414A38" w:rsidRDefault="003E2FBE" w:rsidP="005537D4">
      <w:pPr>
        <w:rPr>
          <w:rFonts w:cs="Arial"/>
          <w:b/>
          <w:szCs w:val="24"/>
        </w:rPr>
      </w:pPr>
      <w:r>
        <w:rPr>
          <w:rFonts w:cs="Arial"/>
          <w:szCs w:val="24"/>
        </w:rPr>
        <w:t>Z</w:t>
      </w:r>
      <w:r w:rsidR="002D4E39" w:rsidRPr="00324385">
        <w:rPr>
          <w:rFonts w:cs="Arial"/>
          <w:szCs w:val="24"/>
        </w:rPr>
        <w:t xml:space="preserve">ákon o hazardních hrách </w:t>
      </w:r>
      <w:r>
        <w:rPr>
          <w:rFonts w:cs="Arial"/>
          <w:szCs w:val="24"/>
        </w:rPr>
        <w:t xml:space="preserve">však </w:t>
      </w:r>
      <w:r w:rsidR="002D4E39" w:rsidRPr="00324385">
        <w:rPr>
          <w:rFonts w:cs="Arial"/>
          <w:szCs w:val="24"/>
        </w:rPr>
        <w:t>používá termín</w:t>
      </w:r>
      <w:r w:rsidR="00414A38">
        <w:rPr>
          <w:rFonts w:cs="Arial"/>
          <w:szCs w:val="24"/>
        </w:rPr>
        <w:t>y</w:t>
      </w:r>
      <w:r w:rsidR="002D4E39" w:rsidRPr="00324385">
        <w:rPr>
          <w:rFonts w:cs="Arial"/>
          <w:szCs w:val="24"/>
        </w:rPr>
        <w:t xml:space="preserve"> sázková událost </w:t>
      </w:r>
      <w:r w:rsidR="00414A38">
        <w:rPr>
          <w:rFonts w:cs="Arial"/>
          <w:szCs w:val="24"/>
        </w:rPr>
        <w:t xml:space="preserve">a sázková příležitost zejména v § 27 a 28 zákona o hazardních hrách nejednotně. </w:t>
      </w:r>
      <w:r w:rsidR="002D4E39" w:rsidRPr="00751221">
        <w:t>Jako vhodné řešení výše uvedeného nedostatku se jeví úprava př</w:t>
      </w:r>
      <w:r w:rsidR="00B12006">
        <w:t>íslušných ustanovení v zákoně o </w:t>
      </w:r>
      <w:r w:rsidR="002D4E39" w:rsidRPr="00751221">
        <w:t>hazardních hrách.</w:t>
      </w:r>
      <w:r w:rsidR="00751221">
        <w:t xml:space="preserve"> </w:t>
      </w:r>
      <w:r w:rsidR="002D4E39" w:rsidRPr="00751221">
        <w:t>Pozitivem tohoto kroku je nejen sjednocení terminologie v zákoně o</w:t>
      </w:r>
      <w:r w:rsidR="00324385" w:rsidRPr="00751221">
        <w:t> </w:t>
      </w:r>
      <w:r w:rsidR="002D4E39" w:rsidRPr="00751221">
        <w:t xml:space="preserve">hazardních hrách a </w:t>
      </w:r>
      <w:r w:rsidR="00414A38">
        <w:t xml:space="preserve">reportingové </w:t>
      </w:r>
      <w:r w:rsidR="002D4E39" w:rsidRPr="00751221">
        <w:t>vyhlášce,</w:t>
      </w:r>
      <w:r w:rsidR="009F0933">
        <w:t xml:space="preserve"> která</w:t>
      </w:r>
      <w:r w:rsidR="00414A38">
        <w:t xml:space="preserve"> tyto pojmy obsahuj</w:t>
      </w:r>
      <w:r w:rsidR="009F0933">
        <w:t>e</w:t>
      </w:r>
      <w:r w:rsidR="00414A38">
        <w:t xml:space="preserve"> dle obecně platného znění, </w:t>
      </w:r>
      <w:r w:rsidR="002D4E39" w:rsidRPr="00751221">
        <w:t>ale také zvýšení srozumitelnosti legislativního textu pro běžné účastníky hazardních her a subjekty, které nově vstupují na trh</w:t>
      </w:r>
      <w:r w:rsidR="002D4E39">
        <w:t>.</w:t>
      </w:r>
    </w:p>
    <w:p w14:paraId="38BB08E9" w14:textId="0CF8556B" w:rsidR="00404870" w:rsidRPr="00AD0B4E" w:rsidRDefault="002D4E39" w:rsidP="003D2CF6">
      <w:pPr>
        <w:pStyle w:val="Nadpis6"/>
        <w:rPr>
          <w:rFonts w:cs="Arial"/>
        </w:rPr>
      </w:pPr>
      <w:bookmarkStart w:id="28" w:name="_Toc73611593"/>
      <w:r>
        <w:lastRenderedPageBreak/>
        <w:t>Postup</w:t>
      </w:r>
      <w:r w:rsidRPr="00EF4E24">
        <w:t xml:space="preserve"> provozovatele při prokázání či dokládání match-fixingu</w:t>
      </w:r>
      <w:bookmarkEnd w:id="28"/>
    </w:p>
    <w:p w14:paraId="683AAE6B" w14:textId="7D56559E" w:rsidR="002D4E39" w:rsidRPr="00893F8F" w:rsidRDefault="0017463F" w:rsidP="00751221">
      <w:r>
        <w:t>V</w:t>
      </w:r>
      <w:r w:rsidR="002D4E39" w:rsidRPr="00893F8F">
        <w:t> souvislosti se správním řízením ve věci vydání zák</w:t>
      </w:r>
      <w:r w:rsidR="00EF5ACA">
        <w:t>ladního povolení v § 88 odst.</w:t>
      </w:r>
      <w:r w:rsidR="002D4E39" w:rsidRPr="00893F8F">
        <w:t xml:space="preserve"> 5 </w:t>
      </w:r>
      <w:r>
        <w:t xml:space="preserve">zákon o hazardních hrách </w:t>
      </w:r>
      <w:r w:rsidR="002D4E39" w:rsidRPr="00893F8F">
        <w:t xml:space="preserve">požaduje, aby provozovatel kursových sázek předložil smlouvu se subjektem, který bude monitorovat ovlivňování sportovních výsledků. Dále je v základním povolení stanovena navazující povinnost informovat </w:t>
      </w:r>
      <w:r w:rsidR="00EF5ACA">
        <w:t>M</w:t>
      </w:r>
      <w:r w:rsidR="002D4E39" w:rsidRPr="00893F8F">
        <w:t>inisterstvo financí a orgány činné v trestním řízení v situacích, pokud získá informace o možném nezákonném ovlivnění sázkové události. V případech, kdy k takové skutečnosti dojde, jsou provozovatelé v návaznosti na</w:t>
      </w:r>
      <w:r w:rsidR="00893F8F" w:rsidRPr="00893F8F">
        <w:t> </w:t>
      </w:r>
      <w:r w:rsidR="002D4E39" w:rsidRPr="00893F8F">
        <w:t>schválený  herní plán oprávněni pozastavit příjem sázek, případně i zrušit sázky v případě, že se prokáže ovlivnění sázkové příležitosti.</w:t>
      </w:r>
    </w:p>
    <w:p w14:paraId="2E422E5E" w14:textId="77777777" w:rsidR="002D4E39" w:rsidRDefault="002D4E39" w:rsidP="00751221">
      <w:r>
        <w:t>Smlouvy o monitorování</w:t>
      </w:r>
      <w:r w:rsidRPr="00AC7E0C">
        <w:t xml:space="preserve"> o</w:t>
      </w:r>
      <w:r>
        <w:t xml:space="preserve">vlivňování sportovních výsledků jsou uzavírány se subjekty, které jsou schopny pokrýt portfolio událostí, které provozovatel nabízí. V celosvětovém měřítku se jedná například </w:t>
      </w:r>
      <w:r w:rsidRPr="00961753">
        <w:t>Sportradar, IBIA – dříve ESSA atd.</w:t>
      </w:r>
      <w:r>
        <w:t xml:space="preserve">, </w:t>
      </w:r>
      <w:r w:rsidRPr="00961753">
        <w:t>v </w:t>
      </w:r>
      <w:r>
        <w:t xml:space="preserve"> lokálním</w:t>
      </w:r>
      <w:r w:rsidRPr="00961753">
        <w:t xml:space="preserve"> </w:t>
      </w:r>
      <w:r>
        <w:t>měřítku</w:t>
      </w:r>
      <w:r w:rsidRPr="00961753">
        <w:t xml:space="preserve"> </w:t>
      </w:r>
      <w:r>
        <w:t>n</w:t>
      </w:r>
      <w:r w:rsidRPr="00961753">
        <w:t>apř. Jockey Club České republiky</w:t>
      </w:r>
      <w:r>
        <w:t xml:space="preserve">. </w:t>
      </w:r>
    </w:p>
    <w:p w14:paraId="3BF98A6A" w14:textId="2E75F24A" w:rsidR="002D4E39" w:rsidRDefault="002D4E39" w:rsidP="00751221">
      <w:r>
        <w:t>Problematický je však následující postup směrem k účastníkům hazardní hry při rušení sázek a prokazování, že k match-fixingu došlo. Informace od organizací, které</w:t>
      </w:r>
      <w:r w:rsidR="00324385">
        <w:t> </w:t>
      </w:r>
      <w:r>
        <w:t>monitorují ovlivňování sportovních výsledků, pomáhají v rámci ochrany účastníků hazardních her i provozovatelů zachytávat včas podezřelé sázkové události a umožňují provozovatelům pružně reagovat, např. odstranit takovou událost z nabídky, nebo ji do nabídky nezařadit. Informace se týkají například zaznamenání neobvykle vysokých sázek pro daný trh, neobvyklého množství sázek na určitou sázkovou příležitost, nestandardních pohybů kursů atd. Zatímco z preventivního hlediska mají informace od organizací monitorujících ovlivňování sportovních výsledků velký význam a umožňují provozovateli reagovat odpov</w:t>
      </w:r>
      <w:r w:rsidR="00FD7114">
        <w:t>ídajícím způsobem. J</w:t>
      </w:r>
      <w:r>
        <w:t>ako samotný důkaz, že skutečně došlo k match-fixingu, nemusejí být zcela dostačující. Za</w:t>
      </w:r>
      <w:r w:rsidR="00324385">
        <w:t> </w:t>
      </w:r>
      <w:r w:rsidR="00EF5ACA">
        <w:t xml:space="preserve">skutečné prokázání </w:t>
      </w:r>
      <w:r>
        <w:t>match-fixingu může být považováno až pravomocné rozhodnutí soudu nebo např. přiznání subjektu ov</w:t>
      </w:r>
      <w:r w:rsidR="00FD7114">
        <w:t>livňujícího sportovní výsledek.</w:t>
      </w:r>
    </w:p>
    <w:p w14:paraId="7FEE71C0" w14:textId="2C8B1980" w:rsidR="002D4E39" w:rsidRPr="0028052B" w:rsidRDefault="002D4E39" w:rsidP="00CA1FED">
      <w:pPr>
        <w:pStyle w:val="Nadpis7"/>
      </w:pPr>
      <w:r w:rsidRPr="0028052B">
        <w:t>Varianta I</w:t>
      </w:r>
      <w:r w:rsidR="00404870">
        <w:t>.</w:t>
      </w:r>
      <w:r>
        <w:t xml:space="preserve"> </w:t>
      </w:r>
      <w:r w:rsidR="00EF5ACA">
        <w:t xml:space="preserve">– </w:t>
      </w:r>
      <w:r>
        <w:t xml:space="preserve">Úprava zákona o hazardních hrách </w:t>
      </w:r>
      <w:r w:rsidR="00404870">
        <w:t xml:space="preserve">spočívající v doplnění </w:t>
      </w:r>
      <w:r>
        <w:t>obecné</w:t>
      </w:r>
      <w:r w:rsidR="00404870">
        <w:t>ho</w:t>
      </w:r>
      <w:r w:rsidR="00751221">
        <w:t xml:space="preserve"> </w:t>
      </w:r>
      <w:r>
        <w:t>postupu při prokazování match-fixingu</w:t>
      </w:r>
    </w:p>
    <w:p w14:paraId="798ED6FF" w14:textId="76DC2FB9" w:rsidR="002D4E39" w:rsidRDefault="002D4E39" w:rsidP="00EF5ACA">
      <w:r>
        <w:t>Vhodným řešením výše uvedené situace by mohla být obecná úprava v zákoně o</w:t>
      </w:r>
      <w:r w:rsidR="00893F8F">
        <w:t> </w:t>
      </w:r>
      <w:r>
        <w:t xml:space="preserve">hazardních hrách a její upřesnění ve schváleném  herním plánu, kterou by bylo postaveno najisto, že v případě získání informace o </w:t>
      </w:r>
      <w:r w:rsidR="00D23F4A">
        <w:t xml:space="preserve">možném </w:t>
      </w:r>
      <w:r>
        <w:t>ovlivnění sportovního výsledku od</w:t>
      </w:r>
      <w:r w:rsidR="00472B56">
        <w:t> </w:t>
      </w:r>
      <w:r w:rsidR="009F0933">
        <w:t>organizace, která</w:t>
      </w:r>
      <w:r>
        <w:t xml:space="preserve"> monitoruje ovlivňování sportovních výsledků nebo z jiného relevantního a důvěryhodného zdroje (např. asociace jednotlivých </w:t>
      </w:r>
      <w:r w:rsidR="00EF5ACA">
        <w:t xml:space="preserve">sportů, celostátní média apod.), </w:t>
      </w:r>
      <w:r>
        <w:t>je možné sázky na konkrétní sázkovou příležitost bez dalšího zrušit</w:t>
      </w:r>
      <w:r w:rsidR="00D23F4A">
        <w:t>. Jednalo by se tedy o</w:t>
      </w:r>
      <w:r>
        <w:t xml:space="preserve"> seznam důkazů, které by případně provozovatel musel při zrušení sázky účastníkovi hazardní hry doložit.</w:t>
      </w:r>
      <w:r w:rsidR="00D23F4A">
        <w:t xml:space="preserve"> Rovněž je předvídáno stanovení postupu v případě zrušení takové sázky.</w:t>
      </w:r>
      <w:r>
        <w:t xml:space="preserve"> </w:t>
      </w:r>
    </w:p>
    <w:p w14:paraId="1533403C" w14:textId="0E52D260" w:rsidR="003A3D90" w:rsidRDefault="003A3D90" w:rsidP="00EF5ACA">
      <w:r>
        <w:t>Výhody:</w:t>
      </w:r>
    </w:p>
    <w:p w14:paraId="77DAE567" w14:textId="74B9A50C" w:rsidR="002D4E39" w:rsidRPr="00582CB6" w:rsidRDefault="002D4E39" w:rsidP="00EF5ACA">
      <w:r>
        <w:t>Tímto postupem by byla posilněna právní jistota účastníků hazardních her, neboť by</w:t>
      </w:r>
      <w:r w:rsidR="00893F8F">
        <w:t> </w:t>
      </w:r>
      <w:r>
        <w:t>byli předem informován</w:t>
      </w:r>
      <w:r w:rsidR="003A3D90">
        <w:t>i</w:t>
      </w:r>
      <w:r>
        <w:t>, kterými důkazy musí provozovatel disponovat</w:t>
      </w:r>
      <w:r w:rsidR="009F0933">
        <w:t xml:space="preserve"> pro zrušení uzavřené sázky</w:t>
      </w:r>
      <w:r>
        <w:t xml:space="preserve">. </w:t>
      </w:r>
    </w:p>
    <w:p w14:paraId="1A5D5916" w14:textId="2F8A09B1" w:rsidR="003A3D90" w:rsidRDefault="003A3D90" w:rsidP="00EF5ACA">
      <w:r>
        <w:t>Nevýhody:</w:t>
      </w:r>
    </w:p>
    <w:p w14:paraId="239F887F" w14:textId="717CB34C" w:rsidR="002D4E39" w:rsidRPr="00206858" w:rsidRDefault="002D4E39" w:rsidP="00EF5ACA">
      <w:r>
        <w:t>Negativem výše uvedeného postupu, tedy akceptace jiného důvodu, než rozhodnutí odpovídajícího orgánu nebo přiznání subjektu ovlivňujícího sportovní výsledek je</w:t>
      </w:r>
      <w:r w:rsidR="00893F8F">
        <w:t> </w:t>
      </w:r>
      <w:r>
        <w:t xml:space="preserve">skutečnost, že např. informace od organizace monitorující ovlivňování sportovních </w:t>
      </w:r>
      <w:r>
        <w:lastRenderedPageBreak/>
        <w:t>výsledků nemusí být v budoucnu potvrzena, neboť některé situace během sázkové události mohou být záměrně, nebo mylně vykládány jako důkazy match-fixingu (vlastní gól, hrubá chyba neodpovídající úrovni dané soutěže atd.)</w:t>
      </w:r>
      <w:r w:rsidR="00D23F4A">
        <w:t xml:space="preserve">. </w:t>
      </w:r>
    </w:p>
    <w:p w14:paraId="64D1BBCA" w14:textId="5AC9DABC" w:rsidR="002D4E39" w:rsidRDefault="002D4E39" w:rsidP="00CA1FED">
      <w:pPr>
        <w:pStyle w:val="Nadpis7"/>
      </w:pPr>
      <w:r w:rsidRPr="0028052B">
        <w:t>Varianta II</w:t>
      </w:r>
      <w:r>
        <w:t>.</w:t>
      </w:r>
      <w:r w:rsidR="00EF5ACA">
        <w:t xml:space="preserve"> –</w:t>
      </w:r>
      <w:r w:rsidR="001D297F">
        <w:t xml:space="preserve"> Ú</w:t>
      </w:r>
      <w:r>
        <w:t>prava zákona o hazardních h</w:t>
      </w:r>
      <w:r w:rsidR="008725D0">
        <w:t xml:space="preserve">rách </w:t>
      </w:r>
      <w:r w:rsidR="001D297F">
        <w:t>ve smyslu u</w:t>
      </w:r>
      <w:r w:rsidR="008725D0">
        <w:t>znání prokázaného match</w:t>
      </w:r>
      <w:r w:rsidR="008725D0">
        <w:noBreakHyphen/>
      </w:r>
      <w:r>
        <w:t>fixingu až po pravomocném rozhodnutí soudu či přiznání přímého účastníka</w:t>
      </w:r>
    </w:p>
    <w:p w14:paraId="5D1E1F4E" w14:textId="28C3F5DF" w:rsidR="002D4E39" w:rsidRPr="004B64FE" w:rsidRDefault="00D23F4A" w:rsidP="00EF5ACA">
      <w:r>
        <w:t>Dalším vhodným řešením by mohla být úprava zákona o hazardních hrách ve smyslu uznání prokázaného match</w:t>
      </w:r>
      <w:r>
        <w:noBreakHyphen/>
        <w:t>fixingu až po pravomocném rozhodnutí soudu</w:t>
      </w:r>
      <w:r w:rsidR="009F0933">
        <w:t xml:space="preserve"> či přiznání přímého účastníka.</w:t>
      </w:r>
    </w:p>
    <w:p w14:paraId="3DE72100" w14:textId="3B90D92C" w:rsidR="000327C9" w:rsidRDefault="00B27F6C" w:rsidP="00EF5ACA">
      <w:r>
        <w:t>Výhody</w:t>
      </w:r>
      <w:r w:rsidR="000327C9">
        <w:t>:</w:t>
      </w:r>
    </w:p>
    <w:p w14:paraId="132B1BB4" w14:textId="474491C2" w:rsidR="002D4E39" w:rsidRPr="004B64FE" w:rsidRDefault="004B64FE" w:rsidP="00EF5ACA">
      <w:r w:rsidRPr="004B64FE">
        <w:t xml:space="preserve">Výhodou této varianty je, že </w:t>
      </w:r>
      <w:r w:rsidR="00D23F4A">
        <w:t>m</w:t>
      </w:r>
      <w:r w:rsidR="002D4E39" w:rsidRPr="004B64FE">
        <w:t>atch-</w:t>
      </w:r>
      <w:r w:rsidR="0017463F">
        <w:t>fixing bude skutečně prokázán a </w:t>
      </w:r>
      <w:r w:rsidR="002D4E39" w:rsidRPr="004B64FE">
        <w:t>nezpochybnitelný.</w:t>
      </w:r>
    </w:p>
    <w:p w14:paraId="3B1BFEE3" w14:textId="74F3E0B5" w:rsidR="000327C9" w:rsidRDefault="00B27F6C" w:rsidP="009F0933">
      <w:pPr>
        <w:keepNext/>
      </w:pPr>
      <w:r>
        <w:t>Nevýhody:</w:t>
      </w:r>
    </w:p>
    <w:p w14:paraId="6076AA5D" w14:textId="4291E1DF" w:rsidR="002D4E39" w:rsidRPr="004B64FE" w:rsidRDefault="004B64FE" w:rsidP="00EF5ACA">
      <w:r w:rsidRPr="004B64FE">
        <w:t xml:space="preserve">Naopak nevýhodou této varianty je </w:t>
      </w:r>
      <w:r w:rsidR="000327C9">
        <w:t>v</w:t>
      </w:r>
      <w:r w:rsidR="002D4E39" w:rsidRPr="004B64FE">
        <w:t>elmi dlouhý časový úsek, než k této situaci dojde, většinou v řádu měsíců až let.</w:t>
      </w:r>
    </w:p>
    <w:p w14:paraId="43729285" w14:textId="3A44DD32" w:rsidR="002D4E39" w:rsidRDefault="0080110D" w:rsidP="00CA1FED">
      <w:pPr>
        <w:pStyle w:val="Nadpis7"/>
      </w:pPr>
      <w:r>
        <w:t>Hodnocení variant</w:t>
      </w:r>
    </w:p>
    <w:p w14:paraId="49875B71" w14:textId="36A10CAE" w:rsidR="002D4E39" w:rsidRDefault="001D297F" w:rsidP="00364D0C">
      <w:r w:rsidRPr="005537D4">
        <w:t>Preferovaným řešením je v</w:t>
      </w:r>
      <w:r w:rsidR="000327C9" w:rsidRPr="005537D4">
        <w:t>arianta I</w:t>
      </w:r>
      <w:r w:rsidRPr="005537D4">
        <w:t>., tedy</w:t>
      </w:r>
      <w:r w:rsidR="000327C9" w:rsidRPr="005537D4">
        <w:t xml:space="preserve"> </w:t>
      </w:r>
      <w:r w:rsidRPr="005537D4">
        <w:t>ú</w:t>
      </w:r>
      <w:r w:rsidR="000327C9" w:rsidRPr="005537D4">
        <w:t xml:space="preserve">prava zákona o hazardních hrách </w:t>
      </w:r>
      <w:r w:rsidRPr="005537D4">
        <w:t>ve</w:t>
      </w:r>
      <w:r>
        <w:t> </w:t>
      </w:r>
      <w:r w:rsidRPr="005537D4">
        <w:t>smyslu</w:t>
      </w:r>
      <w:r w:rsidR="000327C9" w:rsidRPr="005537D4">
        <w:t xml:space="preserve"> obecné</w:t>
      </w:r>
      <w:r w:rsidRPr="005537D4">
        <w:t>ho</w:t>
      </w:r>
      <w:r w:rsidR="000327C9" w:rsidRPr="005537D4">
        <w:t xml:space="preserve"> uvedení postupu při prokazování match-fixingu a jeho popis v herním plánu</w:t>
      </w:r>
      <w:r w:rsidRPr="005537D4">
        <w:t>.</w:t>
      </w:r>
      <w:r w:rsidR="000327C9" w:rsidRPr="005537D4">
        <w:t xml:space="preserve"> </w:t>
      </w:r>
      <w:r w:rsidRPr="005537D4">
        <w:t>Aplikováním této varianty řešení by</w:t>
      </w:r>
      <w:r w:rsidR="000327C9" w:rsidRPr="005537D4">
        <w:t xml:space="preserve"> došlo k upřesnění daného postupu a řešení problematiky match-fixingu v přijatelném časovém horizontu.</w:t>
      </w:r>
      <w:r w:rsidR="00FD7114">
        <w:t xml:space="preserve"> Byla by dána transparentní pravidla pro takový postup, což by současně posílilo právní jistotu jak sázejících, tak i provozovatelů hazardních her.</w:t>
      </w:r>
    </w:p>
    <w:p w14:paraId="53CFF55B" w14:textId="31C9196A" w:rsidR="001D297F" w:rsidRDefault="002D4E39" w:rsidP="003D2CF6">
      <w:pPr>
        <w:pStyle w:val="Nadpis6"/>
      </w:pPr>
      <w:bookmarkStart w:id="29" w:name="_Toc73611594"/>
      <w:r>
        <w:t>Zablokování uživatelského konta provozovatelem z důvodu match-fixingu</w:t>
      </w:r>
      <w:bookmarkEnd w:id="29"/>
    </w:p>
    <w:p w14:paraId="6CD31245" w14:textId="6EF8EDA3" w:rsidR="002D4E39" w:rsidRDefault="002D4E39" w:rsidP="00364D0C">
      <w:r w:rsidRPr="00893C9E">
        <w:t xml:space="preserve">V případě, že provozovatel pojme podezření, že se </w:t>
      </w:r>
      <w:r>
        <w:t>účastník hazardní hry</w:t>
      </w:r>
      <w:r w:rsidRPr="00893C9E">
        <w:t xml:space="preserve"> podílel na</w:t>
      </w:r>
      <w:r w:rsidR="004B64FE">
        <w:t> </w:t>
      </w:r>
      <w:r w:rsidRPr="00893C9E">
        <w:t xml:space="preserve">match-fixingu, může nastat situace, kdy se provozovatel rozhodne uživatelské konto zablokovat. </w:t>
      </w:r>
      <w:r>
        <w:t xml:space="preserve">Tato blokace však </w:t>
      </w:r>
      <w:r w:rsidR="00331F8E">
        <w:t xml:space="preserve">nyní </w:t>
      </w:r>
      <w:r>
        <w:t xml:space="preserve">může nastat pouze v souladu s podmínkami stanovenými v herním plánu. </w:t>
      </w:r>
    </w:p>
    <w:p w14:paraId="7870C385" w14:textId="58B075B8" w:rsidR="002D4E39" w:rsidRPr="00893C9E" w:rsidRDefault="002D4E39" w:rsidP="00364D0C">
      <w:r>
        <w:t>V současné</w:t>
      </w:r>
      <w:r w:rsidR="00FD7114">
        <w:t xml:space="preserve"> době </w:t>
      </w:r>
      <w:r>
        <w:t xml:space="preserve">neexistuje jednotný přístup provozovatelů, zejména ve smyslu zda je vhodné </w:t>
      </w:r>
      <w:r w:rsidRPr="00893C9E">
        <w:t xml:space="preserve">zamezit disponování </w:t>
      </w:r>
      <w:r>
        <w:t xml:space="preserve">všemi </w:t>
      </w:r>
      <w:r w:rsidRPr="00893C9E">
        <w:t xml:space="preserve">prostředky </w:t>
      </w:r>
      <w:r>
        <w:t>na uživatelském kontě, popř. na</w:t>
      </w:r>
      <w:r w:rsidR="004B64FE">
        <w:t> </w:t>
      </w:r>
      <w:r>
        <w:t xml:space="preserve"> jak dlouho</w:t>
      </w:r>
      <w:r w:rsidRPr="00893C9E">
        <w:t xml:space="preserve">. V herních plánech se </w:t>
      </w:r>
      <w:r>
        <w:t xml:space="preserve">často </w:t>
      </w:r>
      <w:r w:rsidRPr="00893C9E">
        <w:t>uvádí, že provozovatel je oprávněn pozastavit výplatu výher</w:t>
      </w:r>
      <w:r>
        <w:t xml:space="preserve"> v případě </w:t>
      </w:r>
      <w:r w:rsidRPr="00951DAA">
        <w:t>pochybnosti o regulérnosti sázky</w:t>
      </w:r>
      <w:r>
        <w:t>,</w:t>
      </w:r>
      <w:r w:rsidRPr="00951DAA">
        <w:t xml:space="preserve"> nejdéle však do</w:t>
      </w:r>
      <w:r w:rsidR="00FA79E6">
        <w:t> </w:t>
      </w:r>
      <w:r w:rsidRPr="00951DAA">
        <w:t>uplynutí zákonné šedesátidenní lhůty pro</w:t>
      </w:r>
      <w:r w:rsidR="004B64FE">
        <w:t> </w:t>
      </w:r>
      <w:r w:rsidRPr="00951DAA">
        <w:t>vyplacení výhry</w:t>
      </w:r>
      <w:r>
        <w:t>. V</w:t>
      </w:r>
      <w:r w:rsidRPr="00893C9E">
        <w:t xml:space="preserve"> případě, že by účast na kursové sázce byla vyhodnocena jako podezřelý obchod ve</w:t>
      </w:r>
      <w:r w:rsidR="004B64FE">
        <w:t> </w:t>
      </w:r>
      <w:r w:rsidRPr="00893C9E">
        <w:t xml:space="preserve">smyslu </w:t>
      </w:r>
      <w:r>
        <w:t>AML</w:t>
      </w:r>
      <w:r w:rsidR="00FA79E6">
        <w:t xml:space="preserve"> zákona</w:t>
      </w:r>
      <w:r w:rsidRPr="00893C9E">
        <w:t xml:space="preserve">, </w:t>
      </w:r>
      <w:r>
        <w:t xml:space="preserve">je provozovatel oprávněn </w:t>
      </w:r>
      <w:r w:rsidRPr="00893C9E">
        <w:t>pozastavit výplatu výher</w:t>
      </w:r>
      <w:r w:rsidRPr="00893C9E" w:rsidDel="00212557">
        <w:t xml:space="preserve"> </w:t>
      </w:r>
      <w:r w:rsidRPr="00893C9E">
        <w:t xml:space="preserve">maximálně po dobu stanovenou </w:t>
      </w:r>
      <w:r>
        <w:t>tímto zákonem</w:t>
      </w:r>
      <w:r w:rsidRPr="00893C9E">
        <w:t xml:space="preserve">. </w:t>
      </w:r>
    </w:p>
    <w:p w14:paraId="2513E646" w14:textId="7C1B0380" w:rsidR="002D4E39" w:rsidRPr="00CA4CDE" w:rsidRDefault="002D4E39" w:rsidP="00CA1FED">
      <w:pPr>
        <w:pStyle w:val="Nadpis7"/>
      </w:pPr>
      <w:r w:rsidRPr="00CA4CDE">
        <w:t xml:space="preserve">Varianta I. </w:t>
      </w:r>
      <w:r w:rsidR="00364D0C">
        <w:t xml:space="preserve">– </w:t>
      </w:r>
      <w:r w:rsidRPr="00CA4CDE">
        <w:t>Zachování současného postupu uváděného v herních plánech, tedy možnost pozastavit (blokovat) výplatu výhry u podezřelých sázek</w:t>
      </w:r>
    </w:p>
    <w:p w14:paraId="673C09B5" w14:textId="4F3BD8B6" w:rsidR="0080110D" w:rsidRDefault="0080110D" w:rsidP="00364D0C">
      <w:r>
        <w:t>Výhody:</w:t>
      </w:r>
    </w:p>
    <w:p w14:paraId="4FB007D6" w14:textId="541AB672" w:rsidR="002D4E39" w:rsidRDefault="00203A68" w:rsidP="00364D0C">
      <w:r>
        <w:t>Za výhodu je považováno, že</w:t>
      </w:r>
      <w:r w:rsidR="002D4E39">
        <w:t xml:space="preserve"> blokovány </w:t>
      </w:r>
      <w:r>
        <w:t xml:space="preserve">jsou </w:t>
      </w:r>
      <w:r w:rsidR="002D4E39">
        <w:t>pouze peněžní prostředky týkající se</w:t>
      </w:r>
      <w:r>
        <w:t> </w:t>
      </w:r>
      <w:r w:rsidR="002D4E39">
        <w:t>podezřelé sázky. S ostatními peněžními prostředky na uživatelském kontě i</w:t>
      </w:r>
      <w:r>
        <w:t> </w:t>
      </w:r>
      <w:r w:rsidR="002D4E39">
        <w:t>s uživatelským kontem obecně může sázející libovolně nakládat.</w:t>
      </w:r>
    </w:p>
    <w:p w14:paraId="45F5902A" w14:textId="351002BB" w:rsidR="0080110D" w:rsidRDefault="0080110D" w:rsidP="00364D0C">
      <w:r>
        <w:t>Nevýhody:</w:t>
      </w:r>
    </w:p>
    <w:p w14:paraId="2F296AF8" w14:textId="4DC5D619" w:rsidR="002D4E39" w:rsidRPr="00983C4D" w:rsidRDefault="00203A68" w:rsidP="00364D0C">
      <w:r>
        <w:lastRenderedPageBreak/>
        <w:t xml:space="preserve">Negativem této varianty je, že </w:t>
      </w:r>
      <w:r w:rsidR="0017463F">
        <w:t xml:space="preserve">by se </w:t>
      </w:r>
      <w:r>
        <w:t>h</w:t>
      </w:r>
      <w:r w:rsidR="002D4E39">
        <w:t>ypoteticky mohlo stát, že i další peněžní prostředky na uživatelském kontě pocházejí z podezřelých obchodů ve smyslu AML</w:t>
      </w:r>
      <w:r w:rsidR="00BA26A7">
        <w:t xml:space="preserve"> zákona</w:t>
      </w:r>
      <w:r w:rsidR="002D4E39">
        <w:t>, které však ještě nebyly zjištěny, a</w:t>
      </w:r>
      <w:r>
        <w:t> </w:t>
      </w:r>
      <w:r w:rsidR="002D4E39">
        <w:t>sázející by s nimi mohl libovolně nakládat.</w:t>
      </w:r>
    </w:p>
    <w:p w14:paraId="62F977D8" w14:textId="09BB6403" w:rsidR="002D4E39" w:rsidRPr="00292B9A" w:rsidRDefault="002D4E39" w:rsidP="00CA1FED">
      <w:pPr>
        <w:pStyle w:val="Nadpis7"/>
      </w:pPr>
      <w:r w:rsidRPr="00292B9A">
        <w:t>Varianta II</w:t>
      </w:r>
      <w:r>
        <w:t>.</w:t>
      </w:r>
      <w:r w:rsidRPr="00292B9A">
        <w:t xml:space="preserve"> </w:t>
      </w:r>
      <w:r w:rsidR="00364D0C">
        <w:t xml:space="preserve">– </w:t>
      </w:r>
      <w:r w:rsidRPr="00292B9A">
        <w:t>Rozšíření herního plánu o možnost zablokovat uživatelské konto v případě podezření na match-fixing</w:t>
      </w:r>
    </w:p>
    <w:p w14:paraId="59EA7570" w14:textId="5E849BBA" w:rsidR="0080110D" w:rsidRDefault="0080110D" w:rsidP="00364D0C">
      <w:r>
        <w:t>Výhody:</w:t>
      </w:r>
    </w:p>
    <w:p w14:paraId="61A1AB25" w14:textId="41F6B096" w:rsidR="002D4E39" w:rsidRDefault="00DD0D23" w:rsidP="00364D0C">
      <w:r>
        <w:t>Kladem této varianty je, že p</w:t>
      </w:r>
      <w:r w:rsidR="002D4E39" w:rsidRPr="001109FF">
        <w:t>okud</w:t>
      </w:r>
      <w:r w:rsidR="002D4E39">
        <w:t xml:space="preserve"> by i ostatní peněžní prostředky na uživatelském kontě pocházely z podezřelých obchodů ve smyslu AML</w:t>
      </w:r>
      <w:r w:rsidR="00DC16CC">
        <w:t xml:space="preserve"> zákona</w:t>
      </w:r>
      <w:r w:rsidR="002D4E39">
        <w:t xml:space="preserve">, </w:t>
      </w:r>
      <w:r w:rsidR="009F0933">
        <w:t xml:space="preserve">dochází </w:t>
      </w:r>
      <w:r w:rsidR="002D4E39">
        <w:t xml:space="preserve">případně </w:t>
      </w:r>
      <w:r w:rsidR="009F0933">
        <w:t>k </w:t>
      </w:r>
      <w:r w:rsidR="002D4E39">
        <w:t>zabránění dalším podezřelým sázkám.</w:t>
      </w:r>
    </w:p>
    <w:p w14:paraId="205704D1" w14:textId="32AE63EB" w:rsidR="0080110D" w:rsidRDefault="0080110D" w:rsidP="009F0933">
      <w:pPr>
        <w:keepNext/>
      </w:pPr>
      <w:r>
        <w:t>Nevýhody:</w:t>
      </w:r>
    </w:p>
    <w:p w14:paraId="122FA673" w14:textId="64D1CCA7" w:rsidR="002D4E39" w:rsidRPr="001109FF" w:rsidRDefault="00DD0D23" w:rsidP="00364D0C">
      <w:r>
        <w:t>Naopak záporem této varianty je, že z</w:t>
      </w:r>
      <w:r w:rsidR="002D4E39">
        <w:t>ablokování</w:t>
      </w:r>
      <w:r>
        <w:t>m</w:t>
      </w:r>
      <w:r w:rsidR="002D4E39">
        <w:t xml:space="preserve"> uživatelského konta kvůli pouhému podezření, </w:t>
      </w:r>
      <w:r>
        <w:t xml:space="preserve">vzniká </w:t>
      </w:r>
      <w:r w:rsidR="002D4E39">
        <w:t>možnost zneužití ze strany provozovatele.</w:t>
      </w:r>
    </w:p>
    <w:p w14:paraId="491154DB" w14:textId="7EE6A306" w:rsidR="002D4E39" w:rsidRDefault="0080110D" w:rsidP="00CA1FED">
      <w:pPr>
        <w:pStyle w:val="Nadpis7"/>
      </w:pPr>
      <w:r>
        <w:t>Hodnocení variant</w:t>
      </w:r>
    </w:p>
    <w:p w14:paraId="38F12F8C" w14:textId="3AD984B0" w:rsidR="002D4E39" w:rsidRDefault="00331F8E" w:rsidP="00364D0C">
      <w:r>
        <w:t xml:space="preserve">Doporučuje se volba varianty I., kdy </w:t>
      </w:r>
      <w:r w:rsidR="00503E23">
        <w:t xml:space="preserve">by </w:t>
      </w:r>
      <w:r>
        <w:t>b</w:t>
      </w:r>
      <w:r w:rsidR="002D4E39">
        <w:t xml:space="preserve">lokovány měly být pouze peněžní prostředky, které se vztahují k podezřelé sázce, a to za podmínek uvedených v herním plánu. </w:t>
      </w:r>
      <w:r w:rsidR="009F0933">
        <w:t xml:space="preserve">Obecně by však možnost tohoto postupu měla být zakotvena v zákoně. </w:t>
      </w:r>
      <w:r w:rsidR="002D4E39">
        <w:t>V případě, že by se podezření potvrdilo, byl by provozovatel oprávněn uživatelské konto zrušit</w:t>
      </w:r>
      <w:r>
        <w:t xml:space="preserve"> (k tomu blíže </w:t>
      </w:r>
      <w:r w:rsidR="00D55320">
        <w:t>Příloha č. 4</w:t>
      </w:r>
      <w:r w:rsidR="0017463F">
        <w:t> </w:t>
      </w:r>
      <w:r>
        <w:t>Registrace a uživatelské konto</w:t>
      </w:r>
      <w:r w:rsidR="0017463F">
        <w:t xml:space="preserve"> a </w:t>
      </w:r>
      <w:r w:rsidR="00D55320">
        <w:t>Příloha č. 2</w:t>
      </w:r>
      <w:r w:rsidR="0017463F">
        <w:t> </w:t>
      </w:r>
      <w:r w:rsidR="004327CB">
        <w:t>Obecná ustanovení</w:t>
      </w:r>
      <w:r>
        <w:t>)</w:t>
      </w:r>
      <w:r w:rsidR="002D4E39">
        <w:t>.</w:t>
      </w:r>
      <w:r>
        <w:t xml:space="preserve"> S ohledem na </w:t>
      </w:r>
      <w:r w:rsidR="004327CB">
        <w:t>navrhované úpravy</w:t>
      </w:r>
      <w:r>
        <w:t xml:space="preserve"> </w:t>
      </w:r>
      <w:r w:rsidR="004327CB">
        <w:t>v dalších částech se rovněž doporučuje možnost omezení dispozice s peněžními prostředky účastníka hazardní hry v případě podezření na match-fixing upravit výslovně v zákoně o hazardních hrách.</w:t>
      </w:r>
    </w:p>
    <w:p w14:paraId="0C33CD47" w14:textId="66B2EEB6" w:rsidR="00DC16CC" w:rsidRDefault="007570E9" w:rsidP="003D2CF6">
      <w:pPr>
        <w:pStyle w:val="Nadpis6"/>
      </w:pPr>
      <w:bookmarkStart w:id="30" w:name="_Toc73611595"/>
      <w:r w:rsidRPr="00221738">
        <w:t>CashOut</w:t>
      </w:r>
      <w:bookmarkEnd w:id="30"/>
    </w:p>
    <w:p w14:paraId="3129F7FA" w14:textId="1B6DEBB9" w:rsidR="007570E9" w:rsidRDefault="007570E9" w:rsidP="00364D0C">
      <w:r>
        <w:t>Jak je uvedeno v § 27 odst. 1 zákona o hazardních hrách, k</w:t>
      </w:r>
      <w:r w:rsidRPr="001A1DF1">
        <w:t xml:space="preserve">ursová sázka je hazardní hra, u níž je výhra podmíněna uhodnutím sázkové příležitosti. </w:t>
      </w:r>
      <w:r>
        <w:t>CashOut je nástroj, který může účastník hazardní hry na základě vlastního rozhodnutí využít, ale využití závisí pln</w:t>
      </w:r>
      <w:r w:rsidR="00CA4CDE">
        <w:t>ě</w:t>
      </w:r>
      <w:r>
        <w:t xml:space="preserve"> na jeho vůli.</w:t>
      </w:r>
      <w:r w:rsidRPr="00A549A1">
        <w:t xml:space="preserve"> Dohoda o CashOut spočívá v návrhu nové výše celkového kurzu po úpravě </w:t>
      </w:r>
      <w:r>
        <w:t>o</w:t>
      </w:r>
      <w:r w:rsidRPr="00A549A1">
        <w:t xml:space="preserve"> již vyhodnocen</w:t>
      </w:r>
      <w:r>
        <w:t>é</w:t>
      </w:r>
      <w:r w:rsidRPr="00A549A1">
        <w:t xml:space="preserve"> a správně tipovan</w:t>
      </w:r>
      <w:r>
        <w:t>é</w:t>
      </w:r>
      <w:r w:rsidRPr="00A549A1">
        <w:t xml:space="preserve"> příležitost</w:t>
      </w:r>
      <w:r>
        <w:t>i a</w:t>
      </w:r>
      <w:r w:rsidRPr="00A549A1">
        <w:t xml:space="preserve"> o koeficient CashOu</w:t>
      </w:r>
      <w:r>
        <w:t>t. CashOut  se n</w:t>
      </w:r>
      <w:r w:rsidRPr="00A549A1">
        <w:t xml:space="preserve">epovažuje za uzavření nové sázky. </w:t>
      </w:r>
      <w:r w:rsidR="001C1ED4">
        <w:t>CashOut nelze využít u solo sázek.</w:t>
      </w:r>
    </w:p>
    <w:p w14:paraId="55E4A340" w14:textId="4F9579C0" w:rsidR="0031300A" w:rsidRDefault="0031300A" w:rsidP="00CA1FED">
      <w:pPr>
        <w:pStyle w:val="Nadpis7"/>
      </w:pPr>
      <w:r>
        <w:t xml:space="preserve">Varianta I. – Zachování </w:t>
      </w:r>
      <w:r w:rsidR="00585EA7">
        <w:t xml:space="preserve">současného </w:t>
      </w:r>
      <w:r>
        <w:t>stavu</w:t>
      </w:r>
    </w:p>
    <w:p w14:paraId="19E7A7CD" w14:textId="51EED4D2" w:rsidR="003C0CDA" w:rsidRDefault="00282352" w:rsidP="0031300A">
      <w:r>
        <w:t xml:space="preserve">Definice kursové sázky nicméně podle současné právní úpravy umožňuje tzv. </w:t>
      </w:r>
      <w:r w:rsidRPr="00A549A1">
        <w:t>CashOut</w:t>
      </w:r>
      <w:r>
        <w:t xml:space="preserve">, tedy </w:t>
      </w:r>
      <w:r w:rsidRPr="00A549A1">
        <w:t xml:space="preserve">změnu uzavřené kursové sázky, která je </w:t>
      </w:r>
      <w:r w:rsidRPr="000C1588">
        <w:t>provedena na základě žádosti sázejícího</w:t>
      </w:r>
      <w:r>
        <w:t xml:space="preserve"> a</w:t>
      </w:r>
      <w:r w:rsidRPr="00A549A1">
        <w:t xml:space="preserve"> za současného splnění daných podmínek</w:t>
      </w:r>
      <w:r>
        <w:t xml:space="preserve"> </w:t>
      </w:r>
      <w:r w:rsidRPr="003C32B1">
        <w:t>(</w:t>
      </w:r>
      <w:r w:rsidRPr="00F31426">
        <w:t>obecná pravidla, která se drobně mohou lišit dle provozovatele</w:t>
      </w:r>
      <w:r>
        <w:rPr>
          <w:rStyle w:val="Znakapoznpodarou"/>
        </w:rPr>
        <w:footnoteReference w:id="14"/>
      </w:r>
      <w:r>
        <w:t xml:space="preserve">). V souvislosti s definicí kursové sázky je tedy pro možnost využít CashOut nutné, aby </w:t>
      </w:r>
      <w:r w:rsidRPr="00A549A1">
        <w:t>tiket obsahova</w:t>
      </w:r>
      <w:r>
        <w:t>l</w:t>
      </w:r>
      <w:r w:rsidRPr="00A549A1">
        <w:t xml:space="preserve"> alespoň jednu vyhodnocenou příležitost</w:t>
      </w:r>
      <w:r>
        <w:rPr>
          <w:rStyle w:val="Znakapoznpodarou"/>
        </w:rPr>
        <w:footnoteReference w:id="15"/>
      </w:r>
      <w:r>
        <w:t>.</w:t>
      </w:r>
    </w:p>
    <w:p w14:paraId="18077821" w14:textId="2687B744" w:rsidR="00282352" w:rsidRDefault="0031300A" w:rsidP="0031300A">
      <w:r>
        <w:t>Výhody:</w:t>
      </w:r>
    </w:p>
    <w:p w14:paraId="3F8E7762" w14:textId="45835CC4" w:rsidR="00282352" w:rsidRDefault="00282352" w:rsidP="0031300A">
      <w:r>
        <w:lastRenderedPageBreak/>
        <w:t>Již podle stávající právní úpravy byla nalezena možnost dohodu o Cashout v určitých případech uzavřít.</w:t>
      </w:r>
    </w:p>
    <w:p w14:paraId="25974959" w14:textId="08C8C248" w:rsidR="0031300A" w:rsidRDefault="0031300A" w:rsidP="00282352">
      <w:pPr>
        <w:keepNext/>
      </w:pPr>
      <w:r>
        <w:t>Nevýhody:</w:t>
      </w:r>
    </w:p>
    <w:p w14:paraId="18D2001A" w14:textId="5DBB5717" w:rsidR="00282352" w:rsidRPr="0031300A" w:rsidRDefault="00282352" w:rsidP="0031300A">
      <w:r>
        <w:t xml:space="preserve">Legální provozovatelé mohou být do určité míry omezeni oproti </w:t>
      </w:r>
      <w:r w:rsidR="00503E23">
        <w:t xml:space="preserve">nelegálním </w:t>
      </w:r>
      <w:r>
        <w:t>provozovatelům, kteří nabízejí kursové sázky bez omezení.</w:t>
      </w:r>
    </w:p>
    <w:p w14:paraId="52D3318B" w14:textId="46997735" w:rsidR="007570E9" w:rsidRDefault="007570E9" w:rsidP="00CA1FED">
      <w:pPr>
        <w:pStyle w:val="Nadpis7"/>
      </w:pPr>
      <w:r w:rsidRPr="00496F04">
        <w:t xml:space="preserve">Varianta </w:t>
      </w:r>
      <w:r w:rsidR="0031300A">
        <w:t>I</w:t>
      </w:r>
      <w:r>
        <w:t xml:space="preserve">I. </w:t>
      </w:r>
      <w:r w:rsidR="00364D0C">
        <w:t xml:space="preserve">– </w:t>
      </w:r>
      <w:r w:rsidR="00ED4468">
        <w:t>Umožnění uzavření dohody o CashOut i bez vyhodnocení sázkové příležitosti</w:t>
      </w:r>
    </w:p>
    <w:p w14:paraId="0B208A70" w14:textId="7708E757" w:rsidR="007570E9" w:rsidRDefault="007570E9" w:rsidP="00364D0C">
      <w:r>
        <w:t xml:space="preserve">Variantní řešení pro využití konceptu CashOut by bylo jeho umožnění i v situaci, kdy nebyla vyhodnocena žádná sázková příležitost. </w:t>
      </w:r>
      <w:r w:rsidR="00ED4468">
        <w:t xml:space="preserve">Stávající správní praxe s ohledem na výše uvedené umožňuje uzavřít dohodu o CashOut pouze v případě sázky na více sázkových příležitostí (AKO), uvedená změna by umožňovala </w:t>
      </w:r>
      <w:r w:rsidR="00503E23">
        <w:t xml:space="preserve">její </w:t>
      </w:r>
      <w:r w:rsidR="00ED4468">
        <w:t>uzavření také na tzv. solo sázky.</w:t>
      </w:r>
    </w:p>
    <w:p w14:paraId="4245A0AB" w14:textId="374ABF1F" w:rsidR="0080110D" w:rsidRDefault="0080110D" w:rsidP="00ED4468">
      <w:pPr>
        <w:keepNext/>
      </w:pPr>
      <w:r>
        <w:t>Výhody:</w:t>
      </w:r>
    </w:p>
    <w:p w14:paraId="7A6B99E4" w14:textId="0F2A5AB5" w:rsidR="007570E9" w:rsidRDefault="007570E9" w:rsidP="00364D0C">
      <w:r>
        <w:t>Tato varianta má pozitivní dopad na účastníky hazardní hry z toho důvodu, že se obecně jedná o nástroj, který umožňuje účastníkům reagovat na aktuální situaci související s vývojem sázkové příležitosti, či příležitostí. Zároveň by byla omezena motivace účastníků hazardní hry účelově navyšovat počty sázkových příležitostí tak, aby jim byl CashOut umožněn.</w:t>
      </w:r>
      <w:r w:rsidR="00ED4468">
        <w:t xml:space="preserve"> </w:t>
      </w:r>
      <w:r w:rsidR="0093013E">
        <w:t>V některých regulacích je tento institut označován za prvek bezpečnějšího hazardního hraní, lze uvést např. Velkou Británii</w:t>
      </w:r>
      <w:r w:rsidR="00ED4468">
        <w:rPr>
          <w:rStyle w:val="Znakapoznpodarou"/>
        </w:rPr>
        <w:footnoteReference w:id="16"/>
      </w:r>
      <w:r w:rsidR="00ED4468">
        <w:t>.</w:t>
      </w:r>
    </w:p>
    <w:p w14:paraId="4992E94B" w14:textId="56BC0993" w:rsidR="0080110D" w:rsidRDefault="0080110D" w:rsidP="00364D0C">
      <w:r>
        <w:t>Nevýhody:</w:t>
      </w:r>
    </w:p>
    <w:p w14:paraId="6C071AE6" w14:textId="5AC47C68" w:rsidR="007570E9" w:rsidRDefault="007570E9" w:rsidP="00364D0C">
      <w:r w:rsidRPr="00360939">
        <w:t>Um</w:t>
      </w:r>
      <w:r w:rsidR="00ED4468">
        <w:t>ožnění CashOut bez omezení</w:t>
      </w:r>
      <w:r w:rsidRPr="00360939">
        <w:t xml:space="preserve"> vyžaduje poměrně zásadní zásah</w:t>
      </w:r>
      <w:r w:rsidR="0093013E">
        <w:t xml:space="preserve"> do stávající kon</w:t>
      </w:r>
      <w:r w:rsidR="0031300A">
        <w:t>cepce kursového sázení a také</w:t>
      </w:r>
      <w:r w:rsidR="0093013E">
        <w:t xml:space="preserve"> by se jednalo o výjimku ze zásady nevratnosti sázky.</w:t>
      </w:r>
      <w:r w:rsidR="0031300A">
        <w:t xml:space="preserve"> Uvedená změna by s sebou rovněž nesla nutnost úpravy reportingové vyhlášky.</w:t>
      </w:r>
    </w:p>
    <w:p w14:paraId="3EE59A1E" w14:textId="7F97CB0D" w:rsidR="0031300A" w:rsidRDefault="0031300A" w:rsidP="007D3234">
      <w:pPr>
        <w:pStyle w:val="Nadpis7"/>
      </w:pPr>
      <w:r>
        <w:t>Hodnocení variant</w:t>
      </w:r>
    </w:p>
    <w:p w14:paraId="0CE2B95C" w14:textId="3F126FDF" w:rsidR="0031300A" w:rsidRDefault="003F3749" w:rsidP="00364D0C">
      <w:r>
        <w:t xml:space="preserve">V tomto případě neexistuje jednoznačná preference, potenciální řešení bude nutné konzultovat s dotčenými subjekty. </w:t>
      </w:r>
      <w:r w:rsidR="00100185">
        <w:t>V obou případech by</w:t>
      </w:r>
      <w:r>
        <w:t xml:space="preserve"> bylo vhodné upravit § 27 odst. </w:t>
      </w:r>
      <w:r w:rsidR="00100185">
        <w:t>3 zákon o hazardních hrách v oblasti určení výše výhry, jelikož v některých případech nejen</w:t>
      </w:r>
      <w:r>
        <w:t>om v případě uzavření dohody o C</w:t>
      </w:r>
      <w:r w:rsidR="00100185">
        <w:t>ashOut dochází k situacím, kdy není výše výhry přímo úměrná kursu, ve kterém byla sázka přijata. Na tyto případy již reaguj</w:t>
      </w:r>
      <w:r>
        <w:t>e rovněž reportingová vyhláška.</w:t>
      </w:r>
    </w:p>
    <w:p w14:paraId="52D7E5BE" w14:textId="77777777" w:rsidR="002D4E39" w:rsidRPr="00463BFB" w:rsidRDefault="002D4E39" w:rsidP="003D2CF6">
      <w:pPr>
        <w:pStyle w:val="Nadpis6"/>
      </w:pPr>
      <w:bookmarkStart w:id="31" w:name="_Toc73611596"/>
      <w:r w:rsidRPr="00463BFB">
        <w:t>Poskytování sázek na zvířecí dostihy bez registrace i na pobočkách a ne pouze na závodišti</w:t>
      </w:r>
      <w:bookmarkEnd w:id="31"/>
    </w:p>
    <w:p w14:paraId="428A5B7C" w14:textId="5B4C7AD6" w:rsidR="00F47F17" w:rsidRDefault="002D4E39" w:rsidP="00364D0C">
      <w:r>
        <w:t xml:space="preserve">Účast na sázkách na zvířecí dostihy není podle § 29 odst. 1 zákona o hazardních hrách podmíněná registrací účastníka hazardní hry. </w:t>
      </w:r>
      <w:r w:rsidRPr="004E0639">
        <w:t xml:space="preserve">U sázek na zvířecí dostihy byl zachován princip obsažený </w:t>
      </w:r>
      <w:r w:rsidRPr="009721CC">
        <w:t>již v zákoně o loteriích</w:t>
      </w:r>
      <w:r w:rsidRPr="004E0639">
        <w:t>, kterým je stanovení nižších požadavků na</w:t>
      </w:r>
      <w:r w:rsidR="00893F8F">
        <w:t> </w:t>
      </w:r>
      <w:r w:rsidRPr="004E0639">
        <w:t>provozování hazardních her souvisejících s dostihovými závody, a to</w:t>
      </w:r>
      <w:r>
        <w:t xml:space="preserve"> </w:t>
      </w:r>
      <w:r w:rsidR="0017463F">
        <w:t>s </w:t>
      </w:r>
      <w:r w:rsidRPr="004E0639">
        <w:t xml:space="preserve">přihlédnutím </w:t>
      </w:r>
      <w:r>
        <w:t>k</w:t>
      </w:r>
      <w:r w:rsidR="007E7363">
        <w:t> </w:t>
      </w:r>
      <w:r>
        <w:t>povaze</w:t>
      </w:r>
      <w:r w:rsidR="007E7363">
        <w:t xml:space="preserve"> </w:t>
      </w:r>
      <w:r>
        <w:t>sázek na zvířecí dostihy</w:t>
      </w:r>
      <w:r w:rsidR="00661707">
        <w:t xml:space="preserve"> </w:t>
      </w:r>
      <w:r>
        <w:t xml:space="preserve">a související </w:t>
      </w:r>
      <w:r w:rsidRPr="004E0639">
        <w:t>tradic</w:t>
      </w:r>
      <w:r w:rsidR="00F47F17">
        <w:t>í</w:t>
      </w:r>
      <w:r w:rsidRPr="004E0639">
        <w:t xml:space="preserve">, pro kterou by mohlo být důsledné trvání na dodržení podmínek </w:t>
      </w:r>
      <w:r>
        <w:t xml:space="preserve">nejen </w:t>
      </w:r>
      <w:r w:rsidRPr="004E0639">
        <w:t>likvidační</w:t>
      </w:r>
      <w:r>
        <w:t xml:space="preserve">, ale svým způsobem také </w:t>
      </w:r>
      <w:r>
        <w:lastRenderedPageBreak/>
        <w:t>neodůvodněné</w:t>
      </w:r>
      <w:r w:rsidRPr="004E0639">
        <w:t xml:space="preserve">. Tento princip </w:t>
      </w:r>
      <w:r w:rsidR="00F47F17">
        <w:t xml:space="preserve">je </w:t>
      </w:r>
      <w:r w:rsidRPr="004E0639">
        <w:t xml:space="preserve">v zákoně </w:t>
      </w:r>
      <w:r>
        <w:t>o</w:t>
      </w:r>
      <w:r w:rsidR="007570E9">
        <w:t> </w:t>
      </w:r>
      <w:r>
        <w:t xml:space="preserve">hazardních hrách </w:t>
      </w:r>
      <w:r w:rsidRPr="004E0639">
        <w:t>několikrát akcentován.</w:t>
      </w:r>
      <w:r>
        <w:t xml:space="preserve"> Sázky na zvíře</w:t>
      </w:r>
      <w:r w:rsidR="00F47F17">
        <w:t>cí dostihy však mohou být a jsou přijímány</w:t>
      </w:r>
      <w:r>
        <w:t xml:space="preserve"> také v kamenných provozovnách sázkových kanceláří, nikoli pouze přímo na závodištích.</w:t>
      </w:r>
      <w:r w:rsidR="00F47F17">
        <w:t xml:space="preserve"> S ohledem na výše uvedený argument, kdy má právní úprava reflektovat tradici příjmu sázek na zvířecí dostihy</w:t>
      </w:r>
      <w:r w:rsidR="004E3027">
        <w:t>,</w:t>
      </w:r>
      <w:r w:rsidR="00F47F17">
        <w:t xml:space="preserve"> se jeví jako neodůvodněná situace, kdy by </w:t>
      </w:r>
      <w:r>
        <w:t>někteří sáze</w:t>
      </w:r>
      <w:r w:rsidR="00F47F17">
        <w:t>jící nemuseli</w:t>
      </w:r>
      <w:r>
        <w:t xml:space="preserve"> být registrováni ve smyslu zákona o hazardních hrách</w:t>
      </w:r>
      <w:r w:rsidR="00F47F17">
        <w:t xml:space="preserve">, pokud by chtěli uzavírat pouze sázky na zvířecí dostihy a takové sázky by měly </w:t>
      </w:r>
      <w:r w:rsidR="004E3027">
        <w:t>být přijímány v sázkové kanceláři</w:t>
      </w:r>
      <w:r>
        <w:t xml:space="preserve">, </w:t>
      </w:r>
      <w:r w:rsidR="004E3027">
        <w:t>když</w:t>
      </w:r>
      <w:r>
        <w:t xml:space="preserve"> </w:t>
      </w:r>
      <w:r w:rsidR="004E3027">
        <w:t xml:space="preserve">se </w:t>
      </w:r>
      <w:r>
        <w:t xml:space="preserve">povaha samotné hry (např. na výsledek fotbalového zápasu nebo výsledek koňského dostihu) se v prostředí sázkové kanceláře neliší. </w:t>
      </w:r>
    </w:p>
    <w:p w14:paraId="3F957900" w14:textId="1B0E8A09" w:rsidR="002D4E39" w:rsidRDefault="002D4E39" w:rsidP="00364D0C">
      <w:r>
        <w:t>Lze tedy</w:t>
      </w:r>
      <w:r w:rsidR="004E3027">
        <w:t xml:space="preserve"> usuzovat, že cílem právní úpravy bylo </w:t>
      </w:r>
      <w:r>
        <w:t xml:space="preserve">stanovit specifické podmínky provozování v případě sázení na zvířecí dostihy </w:t>
      </w:r>
      <w:r w:rsidR="004E3027">
        <w:t xml:space="preserve">přímo </w:t>
      </w:r>
      <w:r>
        <w:t>na závodištích. Toto omezení však zákon o hazardních hrách výslovně nestanoví. Mohlo by tedy hypoteticky docházet k situaci, kdy by možnosti sázet na pobočce denně bez</w:t>
      </w:r>
      <w:r w:rsidR="00893F8F">
        <w:t> </w:t>
      </w:r>
      <w:r>
        <w:t>registrace využila osoba, která má problémy s patolog</w:t>
      </w:r>
      <w:r w:rsidR="00040F2A">
        <w:t>ickým hráčstvím a je uvedena v R</w:t>
      </w:r>
      <w:r>
        <w:t>ejstříku vyloučených osob.</w:t>
      </w:r>
    </w:p>
    <w:p w14:paraId="644FB9B5" w14:textId="071398FD" w:rsidR="002D4E39" w:rsidRPr="00CF4E37" w:rsidRDefault="002D4E39" w:rsidP="00CA1FED">
      <w:pPr>
        <w:pStyle w:val="Nadpis7"/>
      </w:pPr>
      <w:r>
        <w:t xml:space="preserve">Varianta I. </w:t>
      </w:r>
      <w:r w:rsidR="00364D0C">
        <w:t>–</w:t>
      </w:r>
      <w:r w:rsidR="004E3027">
        <w:t xml:space="preserve"> U</w:t>
      </w:r>
      <w:r>
        <w:t>možnění kursových sázek bez registrace pouze na závodišti</w:t>
      </w:r>
    </w:p>
    <w:p w14:paraId="7CC91E2A" w14:textId="08789BF1" w:rsidR="004E3027" w:rsidRDefault="002D4E39" w:rsidP="000468E7">
      <w:r>
        <w:t xml:space="preserve">První variantou je změna zákona o hazardních hrách ve smyslu konkretizace místa provozování této hazardní hry, aby byly mírnější podmínky registrace účastníků hazardních her uplatňovány pouze v případě </w:t>
      </w:r>
      <w:r w:rsidR="00D3305C">
        <w:t>sázek na zvířecí</w:t>
      </w:r>
      <w:r w:rsidR="001C1ED4">
        <w:t xml:space="preserve"> dostihy</w:t>
      </w:r>
      <w:r>
        <w:t xml:space="preserve"> </w:t>
      </w:r>
      <w:r w:rsidR="00D3305C">
        <w:t xml:space="preserve">uzavíraných </w:t>
      </w:r>
      <w:r>
        <w:t xml:space="preserve">přímo na závodišti. </w:t>
      </w:r>
      <w:r w:rsidR="00AD3B52">
        <w:t>R</w:t>
      </w:r>
      <w:r w:rsidR="000917DE">
        <w:t>ovněž platí, že pokud by byla na závodišti uzavírána kursová sázka na jinou sázkovou událost, než by byl zvířecí dostih, tak by musely být podmínky registrace a další s tím související plněny. Rovněž</w:t>
      </w:r>
      <w:r>
        <w:t xml:space="preserve"> by bylo dále vhodn</w:t>
      </w:r>
      <w:r w:rsidR="00D3305C">
        <w:t>é upravit § 15 odst. </w:t>
      </w:r>
      <w:r>
        <w:t>1 zákona o</w:t>
      </w:r>
      <w:r w:rsidR="00893F8F">
        <w:t> </w:t>
      </w:r>
      <w:r>
        <w:t xml:space="preserve">hazardních hrách, neboť </w:t>
      </w:r>
      <w:r w:rsidR="004E3027">
        <w:t>na základě současného</w:t>
      </w:r>
      <w:r>
        <w:t xml:space="preserve"> znění </w:t>
      </w:r>
      <w:r w:rsidR="004E3027">
        <w:t xml:space="preserve">se </w:t>
      </w:r>
      <w:r w:rsidR="00D3305C">
        <w:t xml:space="preserve">výjimka pro sebeomezující opatření na sázky uzavírané na zvířecí dostihy dovozuje, jelikož v tomto případě není účastníkovi zřizováno uživatelské konto. </w:t>
      </w:r>
      <w:r w:rsidR="004E3027">
        <w:t xml:space="preserve"> </w:t>
      </w:r>
    </w:p>
    <w:p w14:paraId="23A2F7F2" w14:textId="4F99B277" w:rsidR="00FD6E85" w:rsidRPr="00DF3E78" w:rsidRDefault="00FD6E85" w:rsidP="000468E7">
      <w:r>
        <w:t>Výhody:</w:t>
      </w:r>
    </w:p>
    <w:p w14:paraId="100B0985" w14:textId="2F5654F1" w:rsidR="002D4E39" w:rsidRDefault="002D4E39" w:rsidP="000468E7">
      <w:r>
        <w:t xml:space="preserve">Pozitivem je </w:t>
      </w:r>
      <w:r w:rsidR="00AD3B52">
        <w:t>komplexní poskytnutí</w:t>
      </w:r>
      <w:r>
        <w:t xml:space="preserve"> ochrany účastníků kursové sázky přímo na provozovně, kdy </w:t>
      </w:r>
      <w:r w:rsidR="00AD3B52">
        <w:t>by mohlo docházet</w:t>
      </w:r>
      <w:r>
        <w:t xml:space="preserve"> k dvojímu přístu</w:t>
      </w:r>
      <w:r w:rsidR="000917DE">
        <w:t>pu k účastníkům kursové sázky a </w:t>
      </w:r>
      <w:r w:rsidR="00AD3B52">
        <w:t xml:space="preserve">účastníkům, kteří by chtěli uzavírat sázky </w:t>
      </w:r>
      <w:r w:rsidR="000917DE">
        <w:t xml:space="preserve">pouze </w:t>
      </w:r>
      <w:r w:rsidR="00AD3B52">
        <w:t>na zvířecí dostihy. Nejedná se však pouze o </w:t>
      </w:r>
      <w:r>
        <w:t>sjednocení podmínek pro účastník</w:t>
      </w:r>
      <w:r w:rsidR="000468E7">
        <w:t xml:space="preserve">y kursových sázek v provozovně, </w:t>
      </w:r>
      <w:r>
        <w:t>ale také zajištění proveditelnosti sebeomezujících opatření, neboť</w:t>
      </w:r>
      <w:r w:rsidR="006E7431">
        <w:t> </w:t>
      </w:r>
      <w:r>
        <w:t>ta</w:t>
      </w:r>
      <w:r w:rsidR="006876DD">
        <w:t> </w:t>
      </w:r>
      <w:r>
        <w:t>jsou v současné době provozovatelé povinni plnit i v souvislosti s kursovou sázkou na zvířecí dostihy.</w:t>
      </w:r>
    </w:p>
    <w:p w14:paraId="56605FBD" w14:textId="3302EB00" w:rsidR="00FD6E85" w:rsidRDefault="00FD6E85" w:rsidP="000468E7">
      <w:r>
        <w:t>Nevýhody:</w:t>
      </w:r>
    </w:p>
    <w:p w14:paraId="42E76F2B" w14:textId="185F3E9A" w:rsidR="002D4E39" w:rsidRDefault="002D4E39" w:rsidP="000468E7">
      <w:r>
        <w:t>Jako negativum může být spatřováno určení, kdy se již pobočka provozovatele nachází na závodišti a kdy nikoliv. Pro účastníky hazardní hry může být komplikované odlišení sázek podávaných v rámci uživatelského konta a</w:t>
      </w:r>
      <w:r w:rsidR="00FD6E85">
        <w:t> </w:t>
      </w:r>
      <w:r>
        <w:t>bez</w:t>
      </w:r>
      <w:r w:rsidR="00FD6E85">
        <w:t> </w:t>
      </w:r>
      <w:r>
        <w:t>registrace.</w:t>
      </w:r>
    </w:p>
    <w:p w14:paraId="43A0A26E" w14:textId="6A02AA9E" w:rsidR="002D4E39" w:rsidRPr="00CF4E37" w:rsidRDefault="002D4E39" w:rsidP="00CA1FED">
      <w:pPr>
        <w:pStyle w:val="Nadpis7"/>
      </w:pPr>
      <w:r>
        <w:t>Varianta II.</w:t>
      </w:r>
      <w:r w:rsidR="000468E7">
        <w:t xml:space="preserve"> – </w:t>
      </w:r>
      <w:r>
        <w:t xml:space="preserve">Úprava zákona o hazardních hrách </w:t>
      </w:r>
      <w:r w:rsidR="00FD6E85">
        <w:t>ve smyslu</w:t>
      </w:r>
      <w:r>
        <w:t xml:space="preserve"> umožnění kursových sázek bez registrace pouze provozovateli, který provozuje výhradně kursové sázky na zvířecí dostihy na závodišti</w:t>
      </w:r>
    </w:p>
    <w:p w14:paraId="04843FB0" w14:textId="3204C3C3" w:rsidR="002D4E39" w:rsidRDefault="002D4E39" w:rsidP="000468E7">
      <w:r>
        <w:t>Přijímání kur</w:t>
      </w:r>
      <w:r w:rsidR="000917DE">
        <w:t>sových sázek bez registrace by na základě této varianty bylo</w:t>
      </w:r>
      <w:r>
        <w:t xml:space="preserve"> umožněno pouze provozovateli, který přijímá výhradně kursové sázky na zvířecí dostihy na závodišti a nepřijímá sázky na žádné jiné události vyj</w:t>
      </w:r>
      <w:r w:rsidR="000917DE">
        <w:t>ma zvířecích dostihů. Pokud by přijímal</w:t>
      </w:r>
      <w:r>
        <w:t xml:space="preserve"> kursové sázky na</w:t>
      </w:r>
      <w:r w:rsidR="00893F8F">
        <w:t> </w:t>
      </w:r>
      <w:r>
        <w:t xml:space="preserve">zvířecí dostihy provozovatel, který </w:t>
      </w:r>
      <w:r w:rsidR="000917DE">
        <w:t xml:space="preserve">v rámci své činnosti </w:t>
      </w:r>
      <w:r>
        <w:t>přijímá i sázky na jiné sportovní události či</w:t>
      </w:r>
      <w:r w:rsidR="00472B56">
        <w:t> </w:t>
      </w:r>
      <w:r>
        <w:t xml:space="preserve">události veřejné pozornosti, </w:t>
      </w:r>
      <w:r w:rsidR="001C1ED4">
        <w:t xml:space="preserve">případně sázky </w:t>
      </w:r>
      <w:r w:rsidR="001C1ED4">
        <w:lastRenderedPageBreak/>
        <w:t xml:space="preserve">na zvířecí dostihy jinde než na závodišti, </w:t>
      </w:r>
      <w:r>
        <w:t>bude vždy povinná registrace účastníka hazardní hry</w:t>
      </w:r>
      <w:r w:rsidR="000917DE">
        <w:t>.</w:t>
      </w:r>
    </w:p>
    <w:p w14:paraId="0A2A4B9E" w14:textId="65EEB1D0" w:rsidR="0080110D" w:rsidRDefault="0080110D" w:rsidP="000917DE">
      <w:pPr>
        <w:keepNext/>
      </w:pPr>
      <w:r>
        <w:t>Výhody:</w:t>
      </w:r>
    </w:p>
    <w:p w14:paraId="762B1EA6" w14:textId="3A384348" w:rsidR="002D4E39" w:rsidRDefault="002D4E39" w:rsidP="000468E7">
      <w:r>
        <w:t>Výhodou této varianty jsou jednoznačná pravidla pro příjem sázek na zvířecí dostihy vycházející</w:t>
      </w:r>
      <w:r w:rsidR="000917DE">
        <w:t xml:space="preserve"> už z charakteru provozovatele </w:t>
      </w:r>
      <w:r>
        <w:t>a tradice takového provozování, ať už z pozice účastníka hazardní hry a jeho ochrany, tak z pozice výkonu dozoru.</w:t>
      </w:r>
    </w:p>
    <w:p w14:paraId="1B79FC6C" w14:textId="11721A51" w:rsidR="000917DE" w:rsidRDefault="000917DE" w:rsidP="000468E7">
      <w:r>
        <w:t>Nevýhoda:</w:t>
      </w:r>
    </w:p>
    <w:p w14:paraId="61684DEC" w14:textId="17147989" w:rsidR="000917DE" w:rsidRDefault="006E741A" w:rsidP="000468E7">
      <w:r>
        <w:t xml:space="preserve">Na základě této varianty by došlo k výraznějšímu odlišení dvou typů provozovatelů kursových sázek s ohledem na podmínky provozování kursových sázek na zvířecí dostihy, je však vzpomenout, že zákon o hazardních hrách již takové odlišení předvídá, když v případě kursových sázek na zvířecí dostih </w:t>
      </w:r>
      <w:r w:rsidR="001C1ED4">
        <w:t xml:space="preserve">bez ohledu na místo přijímání sázky </w:t>
      </w:r>
      <w:r>
        <w:t xml:space="preserve">stanovuje nižší výši kauce. </w:t>
      </w:r>
    </w:p>
    <w:p w14:paraId="6F43BD97" w14:textId="51B908D6" w:rsidR="002D4E39" w:rsidRDefault="0080110D" w:rsidP="00CA1FED">
      <w:pPr>
        <w:pStyle w:val="Nadpis7"/>
      </w:pPr>
      <w:r>
        <w:t>Hodnocení variant</w:t>
      </w:r>
    </w:p>
    <w:p w14:paraId="14CD2A4B" w14:textId="1C68F327" w:rsidR="002D4E39" w:rsidRDefault="001C10CB" w:rsidP="000468E7">
      <w:r>
        <w:t>Jako nejvhodnější varianta řešení se jeví v</w:t>
      </w:r>
      <w:r w:rsidR="000917DE">
        <w:t>arianta I</w:t>
      </w:r>
      <w:r w:rsidR="006E741A">
        <w:t>I</w:t>
      </w:r>
      <w:r w:rsidR="002D4E39" w:rsidRPr="0099765F">
        <w:t>.</w:t>
      </w:r>
      <w:r>
        <w:rPr>
          <w:iCs/>
        </w:rPr>
        <w:t>, a to</w:t>
      </w:r>
      <w:r w:rsidR="002D4E39" w:rsidRPr="0099765F">
        <w:rPr>
          <w:iCs/>
        </w:rPr>
        <w:t xml:space="preserve"> </w:t>
      </w:r>
      <w:r>
        <w:t>ú</w:t>
      </w:r>
      <w:r w:rsidR="003B5CF9">
        <w:t>prava zákona o </w:t>
      </w:r>
      <w:r w:rsidR="002D4E39" w:rsidRPr="0099765F">
        <w:t xml:space="preserve">hazardních hrách </w:t>
      </w:r>
      <w:r w:rsidR="000C2585">
        <w:t>ve smyslu</w:t>
      </w:r>
      <w:r w:rsidR="002D4E39" w:rsidRPr="0099765F">
        <w:t xml:space="preserve"> umožnění kursových sázek bez registrace pouze provozovateli, který</w:t>
      </w:r>
      <w:r w:rsidR="000C2585">
        <w:t> </w:t>
      </w:r>
      <w:r w:rsidR="002D4E39" w:rsidRPr="0099765F">
        <w:t>provozuje výhradně kursové sázky na zvířecí dostihy na závodišti</w:t>
      </w:r>
      <w:r w:rsidR="002D4E39">
        <w:t xml:space="preserve"> z důvodu možnosti stanovení jednoznačných pravidel provozování.</w:t>
      </w:r>
    </w:p>
    <w:p w14:paraId="4795E24F" w14:textId="5448ACC0" w:rsidR="006876DD" w:rsidRDefault="006876DD" w:rsidP="0028190C">
      <w:pPr>
        <w:pStyle w:val="Nadpis5"/>
      </w:pPr>
      <w:bookmarkStart w:id="32" w:name="_Toc73611597"/>
      <w:r w:rsidRPr="005537D4">
        <w:t>Totalizátorová hra</w:t>
      </w:r>
      <w:bookmarkEnd w:id="32"/>
    </w:p>
    <w:p w14:paraId="043B8916" w14:textId="229762B7" w:rsidR="002D4E39" w:rsidRPr="00022129" w:rsidRDefault="002D4E39" w:rsidP="003D2CF6">
      <w:pPr>
        <w:pStyle w:val="Nadpis6"/>
        <w:numPr>
          <w:ilvl w:val="0"/>
          <w:numId w:val="15"/>
        </w:numPr>
      </w:pPr>
      <w:bookmarkStart w:id="33" w:name="_Toc73611598"/>
      <w:r w:rsidRPr="00022129">
        <w:t>Nemožnost převádět nevyplacené výhry z jedné hry totalizátorové hry do další hry totalizátorové hry</w:t>
      </w:r>
      <w:r w:rsidR="00910382">
        <w:t xml:space="preserve"> a stanovení </w:t>
      </w:r>
      <w:r w:rsidR="00377BE4">
        <w:t>úhrnné ceny výher</w:t>
      </w:r>
      <w:bookmarkEnd w:id="33"/>
    </w:p>
    <w:p w14:paraId="7B06BC73" w14:textId="2B908F05" w:rsidR="002D4E39" w:rsidRDefault="002D4E39" w:rsidP="00D43551">
      <w:r>
        <w:t>Zákon o hazardních hrách v části věnované totalizátorové hře stanoví, že v</w:t>
      </w:r>
      <w:r w:rsidRPr="00B42BB5">
        <w:t>ýše výhry je závislá na poměru počtu výherců k celkové výši sázek a předem stanovenému podílu výher</w:t>
      </w:r>
      <w:r>
        <w:t>. Dále uvádí, že úhrnná cena výher u totalizátorové hry nesmí být nižší než 40 % a vyšší než 80 % herní jistiny a definuje herní jistin</w:t>
      </w:r>
      <w:r w:rsidR="002655FC">
        <w:t>u jako</w:t>
      </w:r>
      <w:r>
        <w:t xml:space="preserve"> součin počtu prodaných sázkových tiketů a výše vkladu za</w:t>
      </w:r>
      <w:r w:rsidR="006876DD">
        <w:t> </w:t>
      </w:r>
      <w:r>
        <w:t>jeden sázkový tiket</w:t>
      </w:r>
      <w:r w:rsidRPr="00B42BB5">
        <w:t>.</w:t>
      </w:r>
    </w:p>
    <w:p w14:paraId="1847F5F7" w14:textId="7A3E3EE2" w:rsidR="00585EA7" w:rsidRDefault="00377BE4" w:rsidP="00377BE4">
      <w:r>
        <w:t xml:space="preserve">Výše uvedená definice totalizátorové hře neumožňuje převádět nevyplacené výhry z jedné hry totalizátorové hry do další hry totalizátorové hry. </w:t>
      </w:r>
      <w:r w:rsidR="006F311C">
        <w:t xml:space="preserve">Zákon o hazardních hrách to umožňuje pouze u loterie. </w:t>
      </w:r>
      <w:r>
        <w:t>Nemo</w:t>
      </w:r>
      <w:r w:rsidR="003B5CF9">
        <w:t>žnost zmíněného převodu a tím i </w:t>
      </w:r>
      <w:r>
        <w:t>navyšování herní jistiny (dalo by se říci i vytváření jackpotu), které je p</w:t>
      </w:r>
      <w:r w:rsidR="00E37C59">
        <w:t xml:space="preserve">ro totalizátorovou hru typické, </w:t>
      </w:r>
      <w:r>
        <w:t>může zapříčiňovat nižší atraktivitu pro sázející, což může být důvodem, proč nebylo dosud vydáno žádné základní povolení k provozování totalizátorové hry.</w:t>
      </w:r>
      <w:r>
        <w:rPr>
          <w:rStyle w:val="Znakapoznpodarou"/>
        </w:rPr>
        <w:footnoteReference w:id="17"/>
      </w:r>
      <w:r>
        <w:t xml:space="preserve"> Podobný vliv může mít také stanovení výše úhrnné ceny výh</w:t>
      </w:r>
      <w:r w:rsidR="00E37C59">
        <w:t>er, která může být maximálně 80 </w:t>
      </w:r>
      <w:r>
        <w:t xml:space="preserve">% herní jistiny. </w:t>
      </w:r>
    </w:p>
    <w:p w14:paraId="00BE313A" w14:textId="593FC78A" w:rsidR="00377BE4" w:rsidRDefault="00377BE4" w:rsidP="00377BE4">
      <w:r>
        <w:t>Vhodnou variantou řešení se na základě dostupných dat jeví z</w:t>
      </w:r>
      <w:r w:rsidRPr="00EE4353">
        <w:t xml:space="preserve">měna § 33 odst. 2 </w:t>
      </w:r>
      <w:r w:rsidR="003B5CF9">
        <w:t>zákona o hazardních hrách spočívající v </w:t>
      </w:r>
      <w:r w:rsidRPr="00EE4353">
        <w:t xml:space="preserve">doplnění </w:t>
      </w:r>
      <w:r>
        <w:t>možnosti převádět nedosažené výhry z předchozích totalizátorových her do další hry totalizátorové hry. Obdobný koncept j</w:t>
      </w:r>
      <w:r w:rsidR="003B5CF9">
        <w:t>e již v současnosti aplikován u </w:t>
      </w:r>
      <w:r>
        <w:t xml:space="preserve">loterií, kde je umožněno, aby jistina byla </w:t>
      </w:r>
      <w:r w:rsidRPr="0025563D">
        <w:t>doplněna o</w:t>
      </w:r>
      <w:r>
        <w:t> </w:t>
      </w:r>
      <w:r w:rsidRPr="0025563D">
        <w:t>nedosažené výhry z</w:t>
      </w:r>
      <w:r>
        <w:t> </w:t>
      </w:r>
      <w:r w:rsidRPr="0025563D">
        <w:t>předchozích sázkových období</w:t>
      </w:r>
      <w:r>
        <w:t xml:space="preserve">. Rovněž se navrhuje zvýšit horní hranici úhrnné ceny </w:t>
      </w:r>
      <w:r w:rsidRPr="004976DE">
        <w:t>výher u totalizátorové hry</w:t>
      </w:r>
      <w:r>
        <w:t xml:space="preserve"> na 9</w:t>
      </w:r>
      <w:r w:rsidRPr="004976DE">
        <w:t>0 % herní jistiny</w:t>
      </w:r>
      <w:r>
        <w:t>.</w:t>
      </w:r>
    </w:p>
    <w:p w14:paraId="1B73360B" w14:textId="77777777" w:rsidR="00377BE4" w:rsidRPr="0025563D" w:rsidRDefault="00377BE4" w:rsidP="00377BE4">
      <w:r>
        <w:lastRenderedPageBreak/>
        <w:t xml:space="preserve">Obě tyto změny by umožnily takové podmínky, za kterých by byla totalizátorová hra atraktivní pro sázející i provozovatele. Zároveň nebylo identifikováno významné negativum tohoto postupu.  </w:t>
      </w:r>
    </w:p>
    <w:p w14:paraId="766A3ECE" w14:textId="11130B1B" w:rsidR="002D4E39" w:rsidRDefault="002D4E39" w:rsidP="003D2CF6">
      <w:pPr>
        <w:pStyle w:val="Nadpis6"/>
      </w:pPr>
      <w:bookmarkStart w:id="34" w:name="_Toc73611599"/>
      <w:r w:rsidRPr="00131425">
        <w:t>Registrace a sebeomezující opatření u totalizátorové hry</w:t>
      </w:r>
      <w:bookmarkEnd w:id="34"/>
    </w:p>
    <w:p w14:paraId="30388D8B" w14:textId="525D3A3F" w:rsidR="00174D85" w:rsidRDefault="00694A37" w:rsidP="00694A37">
      <w:r>
        <w:t xml:space="preserve">Zákon o hazardních hrách ve stávajícím znění neupravuje povinnost registrace </w:t>
      </w:r>
      <w:r>
        <w:br/>
        <w:t xml:space="preserve">a nastavení sebeomezujících opatření u totalizátorové hry. </w:t>
      </w:r>
      <w:r w:rsidR="00174D85">
        <w:t>Zavedení registrace a možnost</w:t>
      </w:r>
      <w:r>
        <w:t xml:space="preserve"> nastavení sebeomezujících opatření </w:t>
      </w:r>
      <w:r w:rsidR="00174D85">
        <w:t xml:space="preserve">by představovalo koncepční řešení, kdy by úprava byla shodná s provozováním kursové sázky, současně </w:t>
      </w:r>
      <w:r>
        <w:t>by došlo zejména k posílení prvku ochrany účastníka haza</w:t>
      </w:r>
      <w:r w:rsidR="00174D85">
        <w:t xml:space="preserve">rdní hry. To je třeba uvažovat </w:t>
      </w:r>
      <w:r w:rsidR="00BB4D5B">
        <w:t>i v </w:t>
      </w:r>
      <w:r>
        <w:t>kontextu další navrhované změny, tedy umožnění převádět nedosažené výhry z předchozí hry totalizátorové h</w:t>
      </w:r>
      <w:r w:rsidRPr="008C567C">
        <w:t>r</w:t>
      </w:r>
      <w:r>
        <w:t>y a navýšení horní hranice úhrnné ceny výher, což může zájem o tuto hazardní hru zvýšit.</w:t>
      </w:r>
    </w:p>
    <w:p w14:paraId="7E2BABA2" w14:textId="6235422C" w:rsidR="00694A37" w:rsidRDefault="00174D85" w:rsidP="00694A37">
      <w:r>
        <w:t>V případě zavedení této povinnosti by bylo třeba zohlednit, že totalizátorová hra je často provozována přímo na závodišti a měla by zde být zachována výjimka z povinnosti registrace podobně jako u kursové sázky. Totalizátorová hra je pro sázení přímo na závodišti typická a v tomto kontextu ji upravoval i zákon o loteriích.</w:t>
      </w:r>
    </w:p>
    <w:p w14:paraId="6659BB68" w14:textId="044ABAEC" w:rsidR="00694A37" w:rsidRDefault="00694A37" w:rsidP="00694A37">
      <w:r>
        <w:t xml:space="preserve">Vzhledem k výše uvedenému je vhodné </w:t>
      </w:r>
      <w:r w:rsidRPr="005B5C13">
        <w:t xml:space="preserve">registraci a sebeomezující opatření </w:t>
      </w:r>
      <w:r w:rsidRPr="005B5C13">
        <w:br/>
        <w:t>u totalizátorové hry zavést, avšak se zachováním výjimky</w:t>
      </w:r>
      <w:r>
        <w:t xml:space="preserve"> pro totalizátorovou hru </w:t>
      </w:r>
      <w:r w:rsidR="00174D85">
        <w:t xml:space="preserve">na zvířecí dostih </w:t>
      </w:r>
      <w:r>
        <w:t>provozovanou na závodišti tak, jako je tomu u kursové sázky na zvířecí dostih</w:t>
      </w:r>
      <w:r w:rsidR="00174D85">
        <w:t xml:space="preserve"> provozované na závodišti</w:t>
      </w:r>
      <w:r>
        <w:t xml:space="preserve">. </w:t>
      </w:r>
    </w:p>
    <w:p w14:paraId="6687200A" w14:textId="64403459" w:rsidR="00BE0B1D" w:rsidRDefault="00C347C8" w:rsidP="003D2CF6">
      <w:pPr>
        <w:pStyle w:val="Nadpis6"/>
      </w:pPr>
      <w:bookmarkStart w:id="35" w:name="_Toc73611600"/>
      <w:r>
        <w:t>Sdílená totalizátorová hra</w:t>
      </w:r>
      <w:bookmarkEnd w:id="35"/>
    </w:p>
    <w:p w14:paraId="49DCC5D0" w14:textId="24DD564B" w:rsidR="00DB6A9C" w:rsidRDefault="00B14235" w:rsidP="00B14235">
      <w:pPr>
        <w:pStyle w:val="Bezmezer"/>
      </w:pPr>
      <w:r>
        <w:t xml:space="preserve">V průběhu účinnosti zákona o hazardních hrách se Ministerstvo setkalo s dotazy, zda by bylo možné provozovat totalizátorovou hru společně s dalšími </w:t>
      </w:r>
      <w:r w:rsidR="00DB6A9C">
        <w:t>provozovateli,</w:t>
      </w:r>
      <w:r>
        <w:t xml:space="preserve"> </w:t>
      </w:r>
      <w:r w:rsidR="00DB6A9C">
        <w:t>o</w:t>
      </w:r>
      <w:r>
        <w:t>bdobně jako to zákon o hazardních hrách připoušt</w:t>
      </w:r>
      <w:r w:rsidR="003B5CF9">
        <w:t>í v § 19 u loterie. Vzhledem ke </w:t>
      </w:r>
      <w:r>
        <w:t xml:space="preserve">skutečnosti, že sdílené provozování je umožněno právě pouze výslovně u loterie, dospělo Ministerstvo financí k závěru, že u totalizátorové hry není sdílené provozování podle </w:t>
      </w:r>
      <w:r w:rsidR="00DB6A9C">
        <w:t xml:space="preserve">stávajícího znění </w:t>
      </w:r>
      <w:r>
        <w:t>zákon</w:t>
      </w:r>
      <w:r w:rsidR="00DB6A9C">
        <w:t>a o hazardních hrách přípustné.</w:t>
      </w:r>
    </w:p>
    <w:p w14:paraId="48D3A12E" w14:textId="77777777" w:rsidR="00DB6A9C" w:rsidRDefault="00DB6A9C" w:rsidP="00B14235">
      <w:pPr>
        <w:pStyle w:val="Bezmezer"/>
      </w:pPr>
    </w:p>
    <w:p w14:paraId="3710725D" w14:textId="4B2D9808" w:rsidR="00DB6A9C" w:rsidRPr="00DB6A9C" w:rsidRDefault="00B14235" w:rsidP="00B14235">
      <w:pPr>
        <w:pStyle w:val="Bezmezer"/>
        <w:rPr>
          <w:rFonts w:ascii="Calibri" w:hAnsi="Calibri"/>
          <w:sz w:val="22"/>
        </w:rPr>
      </w:pPr>
      <w:r>
        <w:t xml:space="preserve">Doporučuje se umožnit provozování totalizátorové hry i jako sdílené totalizátorové hry, která je provozována více provozovateli, i na území jiného členského státu Evropské unie nebo státu, který je smluvní stranou Dohody o Evropském hospodářském prostoru, na principu </w:t>
      </w:r>
      <w:r w:rsidR="00DB6A9C">
        <w:t xml:space="preserve">sdílení herní jistiny </w:t>
      </w:r>
      <w:r>
        <w:t>účastník</w:t>
      </w:r>
      <w:r w:rsidR="00DB6A9C">
        <w:t>ů hazardní hry registrovaných u </w:t>
      </w:r>
      <w:r>
        <w:t xml:space="preserve">jednotlivých provozovatelů. Při provozování sdílené totalizátorové hry </w:t>
      </w:r>
      <w:r w:rsidR="00DB6A9C">
        <w:t>by výhru vyplácel</w:t>
      </w:r>
      <w:r>
        <w:t xml:space="preserve"> a další pov</w:t>
      </w:r>
      <w:r w:rsidR="00DB6A9C">
        <w:t>innosti podle tohoto zákona plnil</w:t>
      </w:r>
      <w:r>
        <w:t xml:space="preserve"> vždy provozovatel, u něhož byla sázka přijata. Provozování </w:t>
      </w:r>
      <w:r>
        <w:rPr>
          <w:color w:val="000000"/>
        </w:rPr>
        <w:t>sdílené totalizátorové hry</w:t>
      </w:r>
      <w:r w:rsidR="00DB6A9C">
        <w:t xml:space="preserve"> by mohlo probíhat</w:t>
      </w:r>
      <w:r>
        <w:t xml:space="preserve"> na podobném principu jako u sdílené loterie</w:t>
      </w:r>
      <w:r w:rsidR="00DB6A9C">
        <w:t xml:space="preserve">. V rámci změny zákona je </w:t>
      </w:r>
      <w:r w:rsidR="003B5CF9">
        <w:t>třeba zvážit a </w:t>
      </w:r>
      <w:r w:rsidR="00DB6A9C">
        <w:t>vzít v úvahu dopad do zákona o dani z hazardních her, reportingové vyhlášky apod.</w:t>
      </w:r>
    </w:p>
    <w:p w14:paraId="5E0CDD78" w14:textId="77777777" w:rsidR="007D3234" w:rsidRDefault="007D3234">
      <w:pPr>
        <w:spacing w:line="259" w:lineRule="auto"/>
        <w:jc w:val="left"/>
        <w:rPr>
          <w:rFonts w:eastAsiaTheme="majorEastAsia" w:cstheme="majorBidi"/>
          <w:b/>
          <w:sz w:val="36"/>
          <w:szCs w:val="26"/>
        </w:rPr>
      </w:pPr>
      <w:r>
        <w:br w:type="page"/>
      </w:r>
    </w:p>
    <w:p w14:paraId="14F96640" w14:textId="22C0EB3A" w:rsidR="00DA6384" w:rsidRPr="00AD1A24" w:rsidRDefault="00DA6384" w:rsidP="00AD1A24">
      <w:pPr>
        <w:pStyle w:val="Nadpis2"/>
      </w:pPr>
      <w:bookmarkStart w:id="36" w:name="_Toc73611601"/>
      <w:r w:rsidRPr="00AD1A24">
        <w:lastRenderedPageBreak/>
        <w:t>Bingo</w:t>
      </w:r>
      <w:bookmarkEnd w:id="36"/>
    </w:p>
    <w:p w14:paraId="7118AF31" w14:textId="0D6BEEFD" w:rsidR="00251E52" w:rsidRPr="0010145E" w:rsidRDefault="00251E52" w:rsidP="00AD1A24">
      <w:pPr>
        <w:pStyle w:val="Nadpis3"/>
      </w:pPr>
      <w:bookmarkStart w:id="37" w:name="_Toc73611602"/>
      <w:r w:rsidRPr="0010145E">
        <w:t>Ko</w:t>
      </w:r>
      <w:r w:rsidR="00AD1A24">
        <w:t>nkrétní popis regulace</w:t>
      </w:r>
      <w:r w:rsidRPr="0010145E">
        <w:t xml:space="preserve"> obsažené v zákoně o</w:t>
      </w:r>
      <w:r>
        <w:t> </w:t>
      </w:r>
      <w:r w:rsidRPr="0010145E">
        <w:t>loteriích</w:t>
      </w:r>
      <w:bookmarkEnd w:id="37"/>
    </w:p>
    <w:p w14:paraId="3587D1AB" w14:textId="681AEDE5" w:rsidR="00CE781D" w:rsidRDefault="00CE781D" w:rsidP="009E63FD">
      <w:r>
        <w:t>Zákon o loteriích upravoval výčet hazardních her</w:t>
      </w:r>
      <w:r w:rsidR="003B5CF9">
        <w:t xml:space="preserve"> v</w:t>
      </w:r>
      <w:r>
        <w:t xml:space="preserve"> § 2, který se stal v průběhu účinnosti zákona o loteriích značně nepřehledným. Hazardní hra bingo pak byla konkrétně upravena v § 2 písm. g)</w:t>
      </w:r>
      <w:r w:rsidR="003B5CF9">
        <w:t xml:space="preserve"> zákona o loteriích</w:t>
      </w:r>
      <w:r>
        <w:rPr>
          <w:rStyle w:val="Znakapoznpodarou"/>
          <w:rFonts w:cs="Arial"/>
        </w:rPr>
        <w:footnoteReference w:id="18"/>
      </w:r>
      <w:r>
        <w:t xml:space="preserve">, kdy toto ustanovení vymezovalo obsahové podmínky tiketu, definovalo prostředek, skrze který bylo možné hazardní hru provozovat, dále upravovalo podmínky slosování a výši jistiny, přičemž výslovný název bingo zde nebyl uveden. </w:t>
      </w:r>
    </w:p>
    <w:p w14:paraId="63D3EF99" w14:textId="10C42E8E" w:rsidR="00857C42" w:rsidRDefault="003B5CF9" w:rsidP="009E63FD">
      <w:pPr>
        <w:rPr>
          <w:rFonts w:eastAsia="Times New Roman"/>
          <w:lang w:eastAsia="cs-CZ"/>
        </w:rPr>
      </w:pPr>
      <w:r>
        <w:rPr>
          <w:rFonts w:eastAsia="Times New Roman"/>
          <w:lang w:eastAsia="cs-CZ"/>
        </w:rPr>
        <w:t>V</w:t>
      </w:r>
      <w:r w:rsidR="00857C42">
        <w:rPr>
          <w:rFonts w:eastAsia="Times New Roman"/>
          <w:lang w:eastAsia="cs-CZ"/>
        </w:rPr>
        <w:t xml:space="preserve"> § 2 písm. g)</w:t>
      </w:r>
      <w:r>
        <w:rPr>
          <w:rFonts w:eastAsia="Times New Roman"/>
          <w:lang w:eastAsia="cs-CZ"/>
        </w:rPr>
        <w:t xml:space="preserve"> zákon o loteriích</w:t>
      </w:r>
      <w:r w:rsidR="00857C42">
        <w:rPr>
          <w:rFonts w:eastAsia="Times New Roman"/>
          <w:lang w:eastAsia="cs-CZ"/>
        </w:rPr>
        <w:t xml:space="preserve"> uvádí, že hazardní hra bingo je provozována pomocí zvláštního druhu žetonů. </w:t>
      </w:r>
      <w:r>
        <w:rPr>
          <w:rFonts w:eastAsia="Times New Roman"/>
          <w:lang w:eastAsia="cs-CZ"/>
        </w:rPr>
        <w:t>P</w:t>
      </w:r>
      <w:r w:rsidR="00857C42">
        <w:rPr>
          <w:rFonts w:eastAsia="Times New Roman"/>
          <w:lang w:eastAsia="cs-CZ"/>
        </w:rPr>
        <w:t xml:space="preserve">omocí zvláštních hracích žetonů účastník kupoval přímo v hracím prostoru tikety. V rámci </w:t>
      </w:r>
      <w:r w:rsidR="00FD5EC9">
        <w:rPr>
          <w:rFonts w:eastAsia="Times New Roman"/>
          <w:lang w:eastAsia="cs-CZ"/>
        </w:rPr>
        <w:t xml:space="preserve">povolovacího </w:t>
      </w:r>
      <w:r w:rsidR="00857C42">
        <w:rPr>
          <w:rFonts w:eastAsia="Times New Roman"/>
          <w:lang w:eastAsia="cs-CZ"/>
        </w:rPr>
        <w:t xml:space="preserve">procesu nedocházelo ke schvalování těchto zvláštních žetonů, docházelo ke schvalování herního plánu a návštěvnického řádu. </w:t>
      </w:r>
    </w:p>
    <w:p w14:paraId="307B77C0" w14:textId="7D3F1FD3" w:rsidR="00FD1FFB" w:rsidRDefault="00FD1FFB" w:rsidP="009E63FD">
      <w:r>
        <w:t>Další podmínkou pro řádné provozování hazardní hry bingo podle zákona o loteriích bylo, že losování se provádí veřejně, za pomoci mechanického zařízení, které</w:t>
      </w:r>
      <w:r w:rsidR="00EC39DB">
        <w:t> </w:t>
      </w:r>
      <w:r>
        <w:t xml:space="preserve">spočívalo v postupném losování čísel od jedné do devadesáti. </w:t>
      </w:r>
    </w:p>
    <w:p w14:paraId="660F271F" w14:textId="54B62240" w:rsidR="00FD1FFB" w:rsidRDefault="00FD1FFB" w:rsidP="009E63FD">
      <w:r>
        <w:t xml:space="preserve">Zákon o loteriích upravoval výpočet výhry jako úhrnnou výši vkladů ve všech hrách bingo podle druhu výhry a v každé hře podle výsledku losování, </w:t>
      </w:r>
      <w:r w:rsidR="00174D85">
        <w:rPr>
          <w:rFonts w:eastAsia="Times New Roman"/>
          <w:lang w:eastAsia="cs-CZ"/>
        </w:rPr>
        <w:t>kdy herní jistin</w:t>
      </w:r>
      <w:r>
        <w:rPr>
          <w:rFonts w:eastAsia="Times New Roman"/>
          <w:lang w:eastAsia="cs-CZ"/>
        </w:rPr>
        <w:t>ou byl součin všech prodaných tiketů.</w:t>
      </w:r>
    </w:p>
    <w:p w14:paraId="4E507A6C" w14:textId="19A8DC1E" w:rsidR="00251E52" w:rsidRPr="00251E52" w:rsidRDefault="00251E52" w:rsidP="00AD1A24">
      <w:pPr>
        <w:pStyle w:val="Nadpis3"/>
        <w:rPr>
          <w:rFonts w:cs="Arial"/>
        </w:rPr>
      </w:pPr>
      <w:bookmarkStart w:id="38" w:name="_Toc73611603"/>
      <w:r>
        <w:t>Konkrétní pop</w:t>
      </w:r>
      <w:r w:rsidR="00AD1A24">
        <w:t>is regulace obsažené v zákoně o </w:t>
      </w:r>
      <w:r>
        <w:t>hazardních hrách</w:t>
      </w:r>
      <w:bookmarkEnd w:id="38"/>
    </w:p>
    <w:p w14:paraId="73B23426" w14:textId="14779078" w:rsidR="00251E52" w:rsidRDefault="00251E52" w:rsidP="00733181">
      <w:pPr>
        <w:rPr>
          <w:rFonts w:eastAsia="Times New Roman"/>
          <w:lang w:eastAsia="cs-CZ"/>
        </w:rPr>
      </w:pPr>
      <w:r>
        <w:t xml:space="preserve">Hazardní hru </w:t>
      </w:r>
      <w:r w:rsidRPr="00AD1A24">
        <w:rPr>
          <w:b/>
        </w:rPr>
        <w:t>bingo</w:t>
      </w:r>
      <w:r w:rsidR="00733181">
        <w:t xml:space="preserve"> </w:t>
      </w:r>
      <w:r>
        <w:t>upravuje §</w:t>
      </w:r>
      <w:r w:rsidR="00CE781D">
        <w:t> </w:t>
      </w:r>
      <w:r>
        <w:t>3 odst. 2 písm. d) zákona o hazardních hrách</w:t>
      </w:r>
      <w:r w:rsidR="00857C42">
        <w:t>.</w:t>
      </w:r>
      <w:r>
        <w:t xml:space="preserve"> </w:t>
      </w:r>
      <w:r w:rsidR="00857C42">
        <w:t>B</w:t>
      </w:r>
      <w:r>
        <w:t>ližší charakteristiku lze naleznout v</w:t>
      </w:r>
      <w:r w:rsidR="00CE781D">
        <w:t> </w:t>
      </w:r>
      <w:r w:rsidR="008F4B56">
        <w:t>h</w:t>
      </w:r>
      <w:r w:rsidRPr="006E3D64">
        <w:rPr>
          <w:rFonts w:eastAsia="Times New Roman"/>
          <w:lang w:eastAsia="cs-CZ"/>
        </w:rPr>
        <w:t>lavě III, konkrétně se jedná o § 39, 40 a 41</w:t>
      </w:r>
      <w:r w:rsidR="0046620B">
        <w:rPr>
          <w:rFonts w:eastAsia="Times New Roman"/>
          <w:lang w:eastAsia="cs-CZ"/>
        </w:rPr>
        <w:t xml:space="preserve"> zákona o </w:t>
      </w:r>
      <w:r>
        <w:rPr>
          <w:rFonts w:eastAsia="Times New Roman"/>
          <w:lang w:eastAsia="cs-CZ"/>
        </w:rPr>
        <w:t>hazardních hrách.</w:t>
      </w:r>
      <w:r w:rsidRPr="004B2108">
        <w:rPr>
          <w:rFonts w:eastAsia="Times New Roman"/>
          <w:lang w:eastAsia="cs-CZ"/>
        </w:rPr>
        <w:t xml:space="preserve"> </w:t>
      </w:r>
      <w:r>
        <w:rPr>
          <w:rFonts w:eastAsia="Times New Roman"/>
          <w:lang w:eastAsia="cs-CZ"/>
        </w:rPr>
        <w:t>Zákon o hazardních hrách v případě hazardní hry bingo nezná pojem zvláštní hrací žetony, za které by účastník mohl kupovat sázkové tikety. V případě zákona o</w:t>
      </w:r>
      <w:r w:rsidR="00857C42">
        <w:rPr>
          <w:rFonts w:eastAsia="Times New Roman"/>
          <w:lang w:eastAsia="cs-CZ"/>
        </w:rPr>
        <w:t> </w:t>
      </w:r>
      <w:r>
        <w:rPr>
          <w:rFonts w:eastAsia="Times New Roman"/>
          <w:lang w:eastAsia="cs-CZ"/>
        </w:rPr>
        <w:t>hazardních hrách jsou sázkové tikety kupovány přímo na pokladně kasina</w:t>
      </w:r>
      <w:r>
        <w:rPr>
          <w:rStyle w:val="Znakapoznpodarou"/>
          <w:rFonts w:eastAsia="Times New Roman" w:cs="Arial"/>
          <w:lang w:eastAsia="cs-CZ"/>
        </w:rPr>
        <w:footnoteReference w:id="19"/>
      </w:r>
      <w:r w:rsidR="00BC0868">
        <w:rPr>
          <w:rFonts w:eastAsia="Times New Roman"/>
          <w:lang w:eastAsia="cs-CZ"/>
        </w:rPr>
        <w:t xml:space="preserve">. </w:t>
      </w:r>
      <w:r>
        <w:rPr>
          <w:rFonts w:eastAsia="Times New Roman"/>
          <w:lang w:eastAsia="cs-CZ"/>
        </w:rPr>
        <w:t>Cílem této úpravy bylo vytvoření transparentního prostředí (zejména s ohledem na dozorující orgány), a to tím, že transakce nákupu sázkových tiketů je umožněna pouze na</w:t>
      </w:r>
      <w:r w:rsidR="00857C42">
        <w:rPr>
          <w:rFonts w:eastAsia="Times New Roman"/>
          <w:lang w:eastAsia="cs-CZ"/>
        </w:rPr>
        <w:t> </w:t>
      </w:r>
      <w:r>
        <w:rPr>
          <w:rFonts w:eastAsia="Times New Roman"/>
          <w:lang w:eastAsia="cs-CZ"/>
        </w:rPr>
        <w:t xml:space="preserve">pokladně kasina, která je dle § 72 odst. 3 monitorována po celou provozní dobu.  </w:t>
      </w:r>
    </w:p>
    <w:p w14:paraId="6B5333E2" w14:textId="44F720EC" w:rsidR="00251E52" w:rsidRPr="009A5A9F" w:rsidRDefault="00251E52" w:rsidP="00733181">
      <w:pPr>
        <w:rPr>
          <w:rFonts w:eastAsia="Times New Roman"/>
          <w:lang w:eastAsia="cs-CZ"/>
        </w:rPr>
      </w:pPr>
      <w:r w:rsidRPr="00FB7F10">
        <w:rPr>
          <w:rFonts w:eastAsia="Times New Roman"/>
          <w:lang w:eastAsia="cs-CZ"/>
        </w:rPr>
        <w:t xml:space="preserve">Zákon o hazardních hrách </w:t>
      </w:r>
      <w:r w:rsidRPr="00AD1A24">
        <w:rPr>
          <w:rFonts w:eastAsia="Times New Roman"/>
          <w:b/>
          <w:lang w:eastAsia="cs-CZ"/>
        </w:rPr>
        <w:t>nevymezuje bližší obsahové podmínky sázkového tiketu</w:t>
      </w:r>
      <w:r w:rsidRPr="00FB7F10">
        <w:rPr>
          <w:rFonts w:eastAsia="Times New Roman"/>
          <w:lang w:eastAsia="cs-CZ"/>
        </w:rPr>
        <w:t>,</w:t>
      </w:r>
      <w:r w:rsidRPr="006E3D64">
        <w:rPr>
          <w:rFonts w:eastAsia="Times New Roman"/>
          <w:lang w:eastAsia="cs-CZ"/>
        </w:rPr>
        <w:t xml:space="preserve"> neboť na mezinárodním poli existuje několik verzí této hazardní hry, které se odlišují právě tvarem, resp. počtem číselných polí sázkového tiketu</w:t>
      </w:r>
      <w:r>
        <w:rPr>
          <w:rStyle w:val="Znakapoznpodarou"/>
          <w:rFonts w:eastAsia="Times New Roman" w:cs="Arial"/>
          <w:lang w:eastAsia="cs-CZ"/>
        </w:rPr>
        <w:footnoteReference w:id="20"/>
      </w:r>
      <w:r w:rsidR="00857C42">
        <w:rPr>
          <w:rFonts w:eastAsia="Times New Roman"/>
          <w:lang w:eastAsia="cs-CZ"/>
        </w:rPr>
        <w:t>.</w:t>
      </w:r>
      <w:r w:rsidR="00BC0868">
        <w:rPr>
          <w:rFonts w:eastAsia="Times New Roman"/>
          <w:lang w:eastAsia="cs-CZ"/>
        </w:rPr>
        <w:t xml:space="preserve"> </w:t>
      </w:r>
      <w:r>
        <w:rPr>
          <w:rFonts w:eastAsia="Times New Roman"/>
          <w:lang w:eastAsia="cs-CZ"/>
        </w:rPr>
        <w:t xml:space="preserve">Z tohoto důvodu </w:t>
      </w:r>
      <w:r>
        <w:rPr>
          <w:rFonts w:eastAsia="Times New Roman"/>
          <w:lang w:eastAsia="cs-CZ"/>
        </w:rPr>
        <w:lastRenderedPageBreak/>
        <w:t xml:space="preserve">zákonodárce ponechal volbu použitého vzorce (každý sázkový tiket obsahuje předem daná náhodně zvolená čísla) na volném uvážení provozovatele, avšak musí být vybrán </w:t>
      </w:r>
      <w:r w:rsidR="006A7F85">
        <w:rPr>
          <w:rFonts w:eastAsia="Times New Roman"/>
          <w:lang w:eastAsia="cs-CZ"/>
        </w:rPr>
        <w:t xml:space="preserve">některý </w:t>
      </w:r>
      <w:r>
        <w:rPr>
          <w:rFonts w:eastAsia="Times New Roman"/>
          <w:lang w:eastAsia="cs-CZ"/>
        </w:rPr>
        <w:t>ze vzorců uvedených ve schváleném herním plánu</w:t>
      </w:r>
      <w:r>
        <w:rPr>
          <w:rStyle w:val="Znakapoznpodarou"/>
          <w:rFonts w:eastAsia="Times New Roman" w:cs="Arial"/>
          <w:lang w:eastAsia="cs-CZ"/>
        </w:rPr>
        <w:footnoteReference w:id="21"/>
      </w:r>
      <w:r>
        <w:rPr>
          <w:rFonts w:eastAsia="Times New Roman"/>
          <w:lang w:eastAsia="cs-CZ"/>
        </w:rPr>
        <w:t>, který vydává Ministerstvo financí, jako přílohu základního povolení k </w:t>
      </w:r>
      <w:r w:rsidR="00FD1FFB">
        <w:rPr>
          <w:rFonts w:eastAsia="Times New Roman"/>
          <w:lang w:eastAsia="cs-CZ"/>
        </w:rPr>
        <w:t>provozování hazardní hry bingo.</w:t>
      </w:r>
    </w:p>
    <w:p w14:paraId="29308B28" w14:textId="581E29EF" w:rsidR="00251E52" w:rsidRDefault="00FD1FFB" w:rsidP="00733181">
      <w:r>
        <w:t xml:space="preserve">Podmínka pro řádné provozování hazardní hry bingo, že losování se provádí veřejně, za pomoci mechanického zařízení, které </w:t>
      </w:r>
      <w:r w:rsidRPr="002A14F3">
        <w:rPr>
          <w:b/>
        </w:rPr>
        <w:t>spočívá v postupném losování čísel od jedné do devadesáti</w:t>
      </w:r>
      <w:r>
        <w:t xml:space="preserve">, se </w:t>
      </w:r>
      <w:r w:rsidR="00251E52">
        <w:t>v zákoně o hazardních hrách nevyskytuje, proto je dána možnost provozovat hazardní hru pomocí dálkového způsobu, jako internetovou hazardní hru nebo generovat čísla pomocí ge</w:t>
      </w:r>
      <w:r w:rsidR="00BC0868">
        <w:t xml:space="preserve">nerátoru náhodných čísel (RNG). </w:t>
      </w:r>
      <w:r w:rsidR="00251E52">
        <w:t>Přesné technické parametry pro mechanické zařízení jsou uvedeny v dokumentu odborného</w:t>
      </w:r>
      <w:r w:rsidR="00251E52" w:rsidRPr="00B52953">
        <w:t xml:space="preserve"> posouzení a osvědčení o provozuschopnosti</w:t>
      </w:r>
      <w:r w:rsidR="00251E52">
        <w:t>, který</w:t>
      </w:r>
      <w:r w:rsidR="002A14F3">
        <w:t xml:space="preserve"> je povinnou přílohou žádosti o </w:t>
      </w:r>
      <w:r w:rsidR="00251E52">
        <w:t>vydání základního povolení</w:t>
      </w:r>
      <w:r>
        <w:t xml:space="preserve"> dle zákona o hazardních hrách.</w:t>
      </w:r>
    </w:p>
    <w:p w14:paraId="46575246" w14:textId="5BACC8D2" w:rsidR="00251E52" w:rsidRPr="006971F3" w:rsidRDefault="00251E52" w:rsidP="00733181">
      <w:pPr>
        <w:rPr>
          <w:rFonts w:eastAsia="Times New Roman"/>
          <w:lang w:eastAsia="cs-CZ"/>
        </w:rPr>
      </w:pPr>
      <w:r w:rsidRPr="006E3D64">
        <w:rPr>
          <w:rFonts w:eastAsia="Times New Roman"/>
          <w:lang w:eastAsia="cs-CZ"/>
        </w:rPr>
        <w:t>Zákon o hazardních hrách oproti zákon</w:t>
      </w:r>
      <w:r>
        <w:rPr>
          <w:rFonts w:eastAsia="Times New Roman"/>
          <w:lang w:eastAsia="cs-CZ"/>
        </w:rPr>
        <w:t>u</w:t>
      </w:r>
      <w:r w:rsidRPr="006E3D64">
        <w:rPr>
          <w:rFonts w:eastAsia="Times New Roman"/>
          <w:lang w:eastAsia="cs-CZ"/>
        </w:rPr>
        <w:t xml:space="preserve"> o loteriích stanovil, že </w:t>
      </w:r>
      <w:r w:rsidRPr="002A14F3">
        <w:rPr>
          <w:rFonts w:eastAsia="Times New Roman"/>
          <w:b/>
          <w:lang w:eastAsia="cs-CZ"/>
        </w:rPr>
        <w:t>úhrnná cena výher</w:t>
      </w:r>
      <w:r w:rsidRPr="006E3D64">
        <w:rPr>
          <w:rFonts w:eastAsia="Times New Roman"/>
          <w:lang w:eastAsia="cs-CZ"/>
        </w:rPr>
        <w:t xml:space="preserve"> musí být stanovena mezi </w:t>
      </w:r>
      <w:r w:rsidRPr="002A14F3">
        <w:rPr>
          <w:rFonts w:eastAsia="Times New Roman"/>
          <w:b/>
          <w:lang w:eastAsia="cs-CZ"/>
        </w:rPr>
        <w:t>40 % a 80 % herní jistiny</w:t>
      </w:r>
      <w:r>
        <w:rPr>
          <w:rStyle w:val="Znakapoznpodarou"/>
          <w:rFonts w:eastAsia="Times New Roman" w:cs="Arial"/>
          <w:lang w:eastAsia="cs-CZ"/>
        </w:rPr>
        <w:footnoteReference w:id="22"/>
      </w:r>
      <w:r w:rsidR="00BC0868">
        <w:rPr>
          <w:rFonts w:eastAsia="Times New Roman"/>
          <w:lang w:eastAsia="cs-CZ"/>
        </w:rPr>
        <w:t>, k</w:t>
      </w:r>
      <w:r w:rsidRPr="003C4CC0">
        <w:rPr>
          <w:rFonts w:eastAsia="Times New Roman"/>
          <w:lang w:eastAsia="cs-CZ"/>
        </w:rPr>
        <w:t>dy herní jistinou je součin</w:t>
      </w:r>
      <w:r w:rsidRPr="003C4CC0">
        <w:t xml:space="preserve"> </w:t>
      </w:r>
      <w:r w:rsidR="00FD4BC3" w:rsidRPr="005537D4">
        <w:t xml:space="preserve">počtu </w:t>
      </w:r>
      <w:r w:rsidRPr="003C4CC0">
        <w:t xml:space="preserve">prodaných </w:t>
      </w:r>
      <w:r w:rsidR="00FD4BC3" w:rsidRPr="005537D4">
        <w:t xml:space="preserve">sázkových </w:t>
      </w:r>
      <w:r w:rsidRPr="003C4CC0">
        <w:t>tiketů v jedné hře</w:t>
      </w:r>
      <w:r w:rsidR="00FD4BC3" w:rsidRPr="005537D4">
        <w:t xml:space="preserve"> a prodejní ceny za jeden sázkový tiket</w:t>
      </w:r>
      <w:r w:rsidRPr="003C4CC0">
        <w:t>.</w:t>
      </w:r>
      <w:r w:rsidRPr="006E3D64">
        <w:rPr>
          <w:rFonts w:eastAsia="Times New Roman"/>
          <w:lang w:eastAsia="cs-CZ"/>
        </w:rPr>
        <w:t xml:space="preserve"> </w:t>
      </w:r>
      <w:r>
        <w:rPr>
          <w:rFonts w:eastAsia="Times New Roman"/>
          <w:lang w:eastAsia="cs-CZ"/>
        </w:rPr>
        <w:t>Čímž</w:t>
      </w:r>
      <w:r w:rsidR="00973F58">
        <w:rPr>
          <w:rFonts w:eastAsia="Times New Roman"/>
          <w:lang w:eastAsia="cs-CZ"/>
        </w:rPr>
        <w:t> </w:t>
      </w:r>
      <w:r>
        <w:rPr>
          <w:rFonts w:eastAsia="Times New Roman"/>
          <w:lang w:eastAsia="cs-CZ"/>
        </w:rPr>
        <w:t>došlo oproti zákonu o loteriích ke stanovení rozpětí úhrnné ceny výher a</w:t>
      </w:r>
      <w:r w:rsidR="00973F58">
        <w:rPr>
          <w:rFonts w:eastAsia="Times New Roman"/>
          <w:lang w:eastAsia="cs-CZ"/>
        </w:rPr>
        <w:t> </w:t>
      </w:r>
      <w:r>
        <w:rPr>
          <w:rFonts w:eastAsia="Times New Roman"/>
          <w:lang w:eastAsia="cs-CZ"/>
        </w:rPr>
        <w:t xml:space="preserve">k omezení tzv. kumulovaných výher. </w:t>
      </w:r>
    </w:p>
    <w:p w14:paraId="1EFC31FB" w14:textId="2CE58825" w:rsidR="00251E52" w:rsidRDefault="00251E52" w:rsidP="00733181">
      <w:r>
        <w:t xml:space="preserve">Zákon o hazardních hrách oproti zákonu o loteriích stanovil přímou </w:t>
      </w:r>
      <w:r w:rsidRPr="002A14F3">
        <w:rPr>
          <w:b/>
        </w:rPr>
        <w:t>podmínku</w:t>
      </w:r>
      <w:r>
        <w:t xml:space="preserve"> </w:t>
      </w:r>
      <w:r w:rsidRPr="002A14F3">
        <w:rPr>
          <w:b/>
        </w:rPr>
        <w:t>provozování binga v kasinu</w:t>
      </w:r>
      <w:r>
        <w:t xml:space="preserve">. </w:t>
      </w:r>
      <w:r w:rsidRPr="0057719B">
        <w:t xml:space="preserve"> </w:t>
      </w:r>
      <w:r w:rsidRPr="00A018F4">
        <w:t>V </w:t>
      </w:r>
      <w:r>
        <w:t>kasinu</w:t>
      </w:r>
      <w:r w:rsidRPr="00A018F4">
        <w:t xml:space="preserve"> může být provozována technická hra, živá</w:t>
      </w:r>
      <w:r w:rsidR="00D77DDC">
        <w:t xml:space="preserve"> hra</w:t>
      </w:r>
      <w:r w:rsidRPr="00A018F4">
        <w:t xml:space="preserve"> a</w:t>
      </w:r>
      <w:r w:rsidR="009654AC">
        <w:t> </w:t>
      </w:r>
      <w:r w:rsidRPr="00A018F4">
        <w:t>bingo, přičemž ostatní hazardní hry (loterie, kursová sázka, totalizátorová hra, tombola a turnaj malého rozsahu) musí být provozovány mimo tyto herní prostory. Dochází tak k odstranění rizika, že účastníci méně rizikové hazardní hry (např.</w:t>
      </w:r>
      <w:r w:rsidR="009654AC">
        <w:t> </w:t>
      </w:r>
      <w:r w:rsidRPr="00A018F4">
        <w:t xml:space="preserve">stíracích losů), budou vystaveni pokušení účastnit se více rizikových hazardních her. </w:t>
      </w:r>
      <w:r w:rsidRPr="007A51B7">
        <w:t>Účelem těchto omezení je zmírnění, resp. eliminace a především předcházení případných negativním dopadům neodlučitelně spojených s provozem kasin</w:t>
      </w:r>
      <w:r>
        <w:t>.</w:t>
      </w:r>
    </w:p>
    <w:p w14:paraId="30C59A61" w14:textId="77777777" w:rsidR="0028190C" w:rsidRPr="0028190C" w:rsidRDefault="0028190C" w:rsidP="0028190C">
      <w:pPr>
        <w:pStyle w:val="Nadpis3"/>
      </w:pPr>
      <w:bookmarkStart w:id="39" w:name="_Toc73611604"/>
      <w:r w:rsidRPr="0028190C">
        <w:t>Konkrétní popis nástrojů, včetně oblastí, na které by bylo vhodné se v budoucnu zaměřit, a návrh doporučení či možných variant řešení</w:t>
      </w:r>
      <w:bookmarkEnd w:id="39"/>
    </w:p>
    <w:p w14:paraId="2197A8B4" w14:textId="10F5FC64" w:rsidR="00251E52" w:rsidRPr="00143AF5" w:rsidRDefault="00251E52" w:rsidP="00143AF5">
      <w:r w:rsidRPr="00143AF5">
        <w:rPr>
          <w:lang w:eastAsia="cs-CZ"/>
        </w:rPr>
        <w:t>Zákon o hazardních hrách vymezuje podmínky</w:t>
      </w:r>
      <w:r w:rsidR="002A14F3">
        <w:rPr>
          <w:lang w:eastAsia="cs-CZ"/>
        </w:rPr>
        <w:t xml:space="preserve"> pro bingo</w:t>
      </w:r>
      <w:r w:rsidRPr="00143AF5">
        <w:rPr>
          <w:lang w:eastAsia="cs-CZ"/>
        </w:rPr>
        <w:t xml:space="preserve"> jen velmi obecně a dává tak provozovateli možnost zvolit si různou variantu provozování binga, a to provozování </w:t>
      </w:r>
      <w:r w:rsidR="006A7F85">
        <w:rPr>
          <w:rStyle w:val="Odkaznakoment"/>
          <w:rFonts w:cs="Arial"/>
          <w:sz w:val="24"/>
          <w:szCs w:val="24"/>
        </w:rPr>
        <w:t>nejen pomocí dálkové</w:t>
      </w:r>
      <w:r w:rsidRPr="00143AF5">
        <w:rPr>
          <w:rStyle w:val="Odkaznakoment"/>
          <w:rFonts w:cs="Arial"/>
          <w:sz w:val="24"/>
          <w:szCs w:val="24"/>
        </w:rPr>
        <w:t>ho přístupu, internetu, ale i mechanicky nebo pomocí RNG, ale i různé provozování na základně místních poměrů</w:t>
      </w:r>
      <w:r w:rsidR="002D1542">
        <w:rPr>
          <w:lang w:eastAsia="cs-CZ"/>
        </w:rPr>
        <w:t>.</w:t>
      </w:r>
      <w:r w:rsidRPr="00143AF5">
        <w:rPr>
          <w:lang w:eastAsia="cs-CZ"/>
        </w:rPr>
        <w:t xml:space="preserve"> </w:t>
      </w:r>
      <w:r w:rsidR="002D1542">
        <w:rPr>
          <w:lang w:eastAsia="cs-CZ"/>
        </w:rPr>
        <w:t>Z</w:t>
      </w:r>
      <w:r w:rsidRPr="00143AF5">
        <w:rPr>
          <w:lang w:eastAsia="cs-CZ"/>
        </w:rPr>
        <w:t xml:space="preserve">ároveň provozování hazardní hry musí plnit podmínky řádného provozování. </w:t>
      </w:r>
      <w:r w:rsidRPr="00143AF5">
        <w:t xml:space="preserve">Ministerstvo financí </w:t>
      </w:r>
      <w:r w:rsidR="002A14F3">
        <w:t xml:space="preserve">prozatím </w:t>
      </w:r>
      <w:r w:rsidRPr="00143AF5">
        <w:t xml:space="preserve">eviduje povolení k provozování hazardní hry bingo vydávané </w:t>
      </w:r>
      <w:r w:rsidR="0046620B">
        <w:t xml:space="preserve">dle zákona o </w:t>
      </w:r>
      <w:r w:rsidR="006A7F85">
        <w:t>hazardních hrách</w:t>
      </w:r>
      <w:r w:rsidR="0046620B">
        <w:t>, pouze u </w:t>
      </w:r>
      <w:r w:rsidRPr="00143AF5">
        <w:t>jednoho provozovatele</w:t>
      </w:r>
      <w:r w:rsidR="002A14F3">
        <w:t xml:space="preserve"> (stav k 1. 6. 2021)</w:t>
      </w:r>
      <w:r w:rsidRPr="00143AF5">
        <w:t>.</w:t>
      </w:r>
    </w:p>
    <w:p w14:paraId="0126D48E" w14:textId="0E19F546" w:rsidR="00251E52" w:rsidRDefault="00251E52" w:rsidP="00143AF5">
      <w:pPr>
        <w:rPr>
          <w:rFonts w:cs="Arial"/>
        </w:rPr>
      </w:pPr>
      <w:r w:rsidRPr="00143AF5">
        <w:rPr>
          <w:rFonts w:cs="Arial"/>
        </w:rPr>
        <w:t xml:space="preserve">Vzhledem k tomu, že </w:t>
      </w:r>
      <w:r w:rsidR="002A14F3">
        <w:rPr>
          <w:rFonts w:cs="Arial"/>
        </w:rPr>
        <w:t>po</w:t>
      </w:r>
      <w:r w:rsidRPr="00143AF5">
        <w:rPr>
          <w:rFonts w:cs="Arial"/>
        </w:rPr>
        <w:t xml:space="preserve">dle zákona o hazardních hrách je vydáno jediné základní povolení </w:t>
      </w:r>
      <w:r w:rsidR="002A14F3">
        <w:rPr>
          <w:rFonts w:cs="Arial"/>
        </w:rPr>
        <w:t xml:space="preserve">k provozování binga </w:t>
      </w:r>
      <w:r w:rsidRPr="00143AF5">
        <w:rPr>
          <w:rFonts w:cs="Arial"/>
        </w:rPr>
        <w:t>a pouze jedno povolení k umístění herního prostoru, objektivní zhodnocení implementace na základě samotného provozu, je</w:t>
      </w:r>
      <w:r w:rsidR="00A449C0">
        <w:rPr>
          <w:rFonts w:cs="Arial"/>
        </w:rPr>
        <w:t xml:space="preserve"> v tomto případě velmi obtížné.</w:t>
      </w:r>
    </w:p>
    <w:p w14:paraId="16DE5EE4" w14:textId="299D21D7" w:rsidR="003C01FF" w:rsidRPr="003C01FF" w:rsidRDefault="003C01FF" w:rsidP="003D2CF6">
      <w:pPr>
        <w:pStyle w:val="Nadpis6"/>
        <w:numPr>
          <w:ilvl w:val="0"/>
          <w:numId w:val="16"/>
        </w:numPr>
      </w:pPr>
      <w:bookmarkStart w:id="40" w:name="_Toc73611605"/>
      <w:r w:rsidRPr="003C01FF">
        <w:lastRenderedPageBreak/>
        <w:t xml:space="preserve">Nemožnost převádět nevyplacené výhry z jedné hry </w:t>
      </w:r>
      <w:r>
        <w:t>binga</w:t>
      </w:r>
      <w:r w:rsidRPr="003C01FF">
        <w:t xml:space="preserve"> do další hry </w:t>
      </w:r>
      <w:r>
        <w:t>binga</w:t>
      </w:r>
      <w:bookmarkEnd w:id="40"/>
    </w:p>
    <w:p w14:paraId="1CEC472F" w14:textId="781F13B2" w:rsidR="00A449C0" w:rsidRPr="003C01FF" w:rsidRDefault="00EA61C0" w:rsidP="00143AF5">
      <w:pPr>
        <w:rPr>
          <w:color w:val="000000"/>
        </w:rPr>
      </w:pPr>
      <w:r>
        <w:rPr>
          <w:color w:val="000000"/>
        </w:rPr>
        <w:t>Stávající</w:t>
      </w:r>
      <w:r w:rsidR="00584FE3">
        <w:rPr>
          <w:color w:val="000000"/>
        </w:rPr>
        <w:t xml:space="preserve"> znění § 40 odst. 2</w:t>
      </w:r>
      <w:r>
        <w:rPr>
          <w:color w:val="000000"/>
        </w:rPr>
        <w:t xml:space="preserve"> zákona o hazardních hrách neumožňuje v případě binga</w:t>
      </w:r>
      <w:r w:rsidR="00251E52" w:rsidRPr="00143AF5">
        <w:rPr>
          <w:color w:val="000000"/>
        </w:rPr>
        <w:t xml:space="preserve"> </w:t>
      </w:r>
      <w:r>
        <w:rPr>
          <w:color w:val="000000"/>
        </w:rPr>
        <w:t xml:space="preserve">doplňovat herní jistinu o případné </w:t>
      </w:r>
      <w:r w:rsidR="003C01FF">
        <w:rPr>
          <w:color w:val="000000"/>
        </w:rPr>
        <w:t xml:space="preserve">nevyplacené </w:t>
      </w:r>
      <w:r>
        <w:rPr>
          <w:color w:val="000000"/>
        </w:rPr>
        <w:t>výhry z předchozích her. V tomto případě se nabízí srovnání s právní úpravou u loterií, která obdobné</w:t>
      </w:r>
      <w:r w:rsidR="00251E52" w:rsidRPr="00143AF5">
        <w:rPr>
          <w:color w:val="000000"/>
        </w:rPr>
        <w:t xml:space="preserve"> znění </w:t>
      </w:r>
      <w:r w:rsidR="0046620B">
        <w:rPr>
          <w:color w:val="000000"/>
        </w:rPr>
        <w:t>obsahuje a </w:t>
      </w:r>
      <w:r>
        <w:rPr>
          <w:color w:val="000000"/>
        </w:rPr>
        <w:t>toto doplnění připouští. Právě situace,</w:t>
      </w:r>
      <w:r w:rsidR="00532D03" w:rsidRPr="00143AF5">
        <w:t xml:space="preserve"> kdy herní jistina, jako součin počtu prodaných</w:t>
      </w:r>
      <w:r w:rsidR="009473F1">
        <w:t xml:space="preserve"> sázkových tiketů v jedné hře a </w:t>
      </w:r>
      <w:r w:rsidR="00532D03" w:rsidRPr="00143AF5">
        <w:t>prodejní</w:t>
      </w:r>
      <w:r>
        <w:t xml:space="preserve"> ceny za jeden sázkový tiket, nemůže být doplněna</w:t>
      </w:r>
      <w:r w:rsidR="003C01FF">
        <w:t xml:space="preserve"> o </w:t>
      </w:r>
      <w:r w:rsidR="00532D03" w:rsidRPr="00143AF5">
        <w:t>nedosažené výhry z předchozích her</w:t>
      </w:r>
      <w:r w:rsidR="003C01FF">
        <w:t>, může způsobovat překážky vstupu na trh u této hry</w:t>
      </w:r>
      <w:r w:rsidR="00532D03" w:rsidRPr="00143AF5">
        <w:t xml:space="preserve">. Tento návrh je </w:t>
      </w:r>
      <w:r w:rsidR="003C01FF">
        <w:t xml:space="preserve">však </w:t>
      </w:r>
      <w:r w:rsidR="00532D03" w:rsidRPr="00143AF5">
        <w:t>zapotřebí podrobit širší analýze a zhodnotit možné důsledky</w:t>
      </w:r>
      <w:r w:rsidR="003C01FF">
        <w:t>, a to i s ohledem na rizikovost této hazardní hry jak v  land-based</w:t>
      </w:r>
      <w:r w:rsidR="003C01FF" w:rsidRPr="003C01FF">
        <w:t xml:space="preserve"> </w:t>
      </w:r>
      <w:r w:rsidR="003C01FF">
        <w:t>prostředí, tak i jako internetové hry.</w:t>
      </w:r>
    </w:p>
    <w:p w14:paraId="01C521FD" w14:textId="77777777" w:rsidR="00BE0B1D" w:rsidRDefault="00BE0B1D">
      <w:pPr>
        <w:spacing w:line="259" w:lineRule="auto"/>
        <w:jc w:val="left"/>
        <w:rPr>
          <w:rFonts w:eastAsiaTheme="majorEastAsia" w:cstheme="majorBidi"/>
          <w:b/>
          <w:sz w:val="36"/>
          <w:szCs w:val="26"/>
        </w:rPr>
      </w:pPr>
      <w:r>
        <w:br w:type="page"/>
      </w:r>
    </w:p>
    <w:p w14:paraId="1A2D550E" w14:textId="5663190F" w:rsidR="004530EC" w:rsidRDefault="004530EC" w:rsidP="003C01FF">
      <w:pPr>
        <w:pStyle w:val="Nadpis2"/>
      </w:pPr>
      <w:bookmarkStart w:id="41" w:name="_Toc73611606"/>
      <w:r>
        <w:lastRenderedPageBreak/>
        <w:t>Technická hra</w:t>
      </w:r>
      <w:bookmarkEnd w:id="41"/>
    </w:p>
    <w:p w14:paraId="1526BCC7" w14:textId="0C950B3B" w:rsidR="004530EC" w:rsidRPr="0010145E" w:rsidRDefault="004530EC" w:rsidP="003C01FF">
      <w:pPr>
        <w:pStyle w:val="Nadpis3"/>
      </w:pPr>
      <w:bookmarkStart w:id="42" w:name="_Toc73611607"/>
      <w:r w:rsidRPr="0010145E">
        <w:t>Konkrétní popis regulace obsažené v zákoně o</w:t>
      </w:r>
      <w:r>
        <w:t> </w:t>
      </w:r>
      <w:r w:rsidRPr="0010145E">
        <w:t>loteriích</w:t>
      </w:r>
      <w:bookmarkEnd w:id="42"/>
    </w:p>
    <w:p w14:paraId="07915BF0" w14:textId="6E1B0813" w:rsidR="009F65A8" w:rsidRDefault="009F65A8" w:rsidP="009F65A8">
      <w:r>
        <w:t>Předchozí právní úprava technickou hru jako samostatnou kategorii loterií a jiných podobných her neupravovala. Zákon o loteriích definoval několik typů technických herních zařízení obsluhovaných přímo sázejícími, avšak jejich regulace byla nejednotná, u některých technických herních zařízení podmínky provozování zcela absentovaly a byly stanoveny v rámci povolení k provozování podle § 50 odst. 3 zákona o loteriích. V souvislosti s tímto ustanovením mohlo Ministerstvo financí povolovat i další druhy loterií a jiných podobných her, které nebyly v zákoně upraveny ani v obecné rovině (tj. ve formě definice po</w:t>
      </w:r>
      <w:r w:rsidR="00471CBC">
        <w:t>dle § 2 zákona o loteriích), za </w:t>
      </w:r>
      <w:r>
        <w:t xml:space="preserve">předpokladu, že v povolení budou všechny podmínky provozování takové hry stanoveny. Tento způsob regulace nicméně snižoval právní jistotu na straně provozovatelů hazardních her a činil i obtíže také v oblasti správní praxe povolování k provozování loterií a jiných podobných her. </w:t>
      </w:r>
    </w:p>
    <w:p w14:paraId="03715DE0" w14:textId="0D6068CD" w:rsidR="004530EC" w:rsidRDefault="004530EC" w:rsidP="003C01FF">
      <w:pPr>
        <w:pStyle w:val="Nadpis3"/>
      </w:pPr>
      <w:bookmarkStart w:id="43" w:name="_Toc73611608"/>
      <w:r>
        <w:t>Konkrétní popis regulace obsažené v z</w:t>
      </w:r>
      <w:r w:rsidR="009F65A8">
        <w:t>ákoně o </w:t>
      </w:r>
      <w:r>
        <w:t>hazardních hrách</w:t>
      </w:r>
      <w:bookmarkEnd w:id="43"/>
    </w:p>
    <w:p w14:paraId="0048DAE0" w14:textId="77777777" w:rsidR="009F65A8" w:rsidRDefault="009F65A8" w:rsidP="0028190C">
      <w:pPr>
        <w:pStyle w:val="Nadpis5"/>
        <w:numPr>
          <w:ilvl w:val="0"/>
          <w:numId w:val="28"/>
        </w:numPr>
      </w:pPr>
      <w:bookmarkStart w:id="44" w:name="_Toc73611609"/>
      <w:r>
        <w:t>Obecná charakteristika</w:t>
      </w:r>
      <w:bookmarkEnd w:id="44"/>
    </w:p>
    <w:p w14:paraId="060167F2" w14:textId="77777777" w:rsidR="009F65A8" w:rsidRDefault="009F65A8" w:rsidP="009F65A8">
      <w:r>
        <w:t xml:space="preserve">Technická hra je jednou z šesti druhů hazardních her, k jejichž provozování zákon o hazardních hrách vyžaduje základní povolení. Zároveň představuje druh hazardní hry, který byl v době přípravy zákona o hazardních hrách vyhodnocen jako druh hry, se kterým je spojena vysoká míra negativních vlivů souvisejících zejména s patologickým hráčstvím, a zároveň jeden z nejrizikovějších druhů hazardních her.  </w:t>
      </w:r>
    </w:p>
    <w:p w14:paraId="7EFD549A" w14:textId="25182FB6" w:rsidR="009F65A8" w:rsidRDefault="009F65A8" w:rsidP="009F65A8">
      <w:r>
        <w:t>Zákon o hazardních hrách obsahuje koncept tzv. „technické neutrality“</w:t>
      </w:r>
      <w:r w:rsidR="006C5569">
        <w:t xml:space="preserve"> a </w:t>
      </w:r>
      <w:r>
        <w:t>tak nerozlišuje typ či uspořádání použitého technického zařízení a zavádí samostatný druh hazardní hry ve smyslu § 3 zákona o hazardních hrách označovaný jako technická hra. Podmínkou provozování hazardní hry prostřednictvím technického zařízení zůstává povinnost provozovat technické zařízení pouze v herním prostoru (vyjma technické hry provozované prostřednictvím</w:t>
      </w:r>
      <w:r w:rsidR="003B5CF9">
        <w:t xml:space="preserve"> veřejné sítě internet), a to s </w:t>
      </w:r>
      <w:r>
        <w:t>ohledem na vyšší škodlivost technických her. Důvodem je zajištění dostatečné kontroly provozování a ochrana účastníků hazardních her</w:t>
      </w:r>
      <w:r>
        <w:rPr>
          <w:rStyle w:val="Znakapoznpodarou"/>
        </w:rPr>
        <w:footnoteReference w:id="23"/>
      </w:r>
      <w:r>
        <w:t xml:space="preserve">. </w:t>
      </w:r>
    </w:p>
    <w:p w14:paraId="57A38E2B" w14:textId="0B246D96" w:rsidR="009F65A8" w:rsidRDefault="009F65A8" w:rsidP="009F65A8">
      <w:r>
        <w:t>Technickou hru zákon o hazardních hrách definuje jako hazardní hru provozovanou prostřednictvím technického zařízení přímo obsluhovaného sázejícím, přičemž upravuje demonstrativní výčet technických her, které lze provozovat – válcovou hru, elektromechanickou ruletu a elektromechanické kostky. Technické zařízení je programově řízené mechanické, elektromechanické, elektronické nebo jiné podobné zařízení přímo obsluhované sázejícím. Může být funkčně nedělitelné (v praxi se jedná o výherní hrací přístroje provozované v herním prostoru, které obsahují generátory náhodných čísel) nebo takové, které tvoří spolu se serverem funkčně nedělitelný celek s předem určitelným počtem koncových zařízení, kdy při odpojení od serveru není koncové zařízení funkční a nel</w:t>
      </w:r>
      <w:r w:rsidR="00471CBC">
        <w:t>ze jej použít samostatně (např. </w:t>
      </w:r>
      <w:r>
        <w:t xml:space="preserve">centrální loterní systémy </w:t>
      </w:r>
      <w:r>
        <w:lastRenderedPageBreak/>
        <w:t xml:space="preserve">provozované v herním prostoru). Rozdíl mezi těmito dvěma druhy zařízení spočívá zejména v tom, že funkčně nedělitelné zařízení proces generování výsledku hry vytváří samostatně, kdežto v případě u technického zařízení, </w:t>
      </w:r>
      <w:r w:rsidRPr="00E7680E">
        <w:t>které tvoří spolu se serverem funkčně nedělitelný celek s předem určitelným počtem koncových zařízení</w:t>
      </w:r>
      <w:r>
        <w:t xml:space="preserve">, je proces generování výsledku hry vytvářen serverem. </w:t>
      </w:r>
      <w:r w:rsidR="006A7F85">
        <w:t>U obou těchto zařízení však musí docházet k jejich napojení na tzv. centrální autoritu, která technicky zajišťuje dodržování zá</w:t>
      </w:r>
      <w:r w:rsidR="00471CBC">
        <w:t>konných podmínek, jako je např. </w:t>
      </w:r>
      <w:r w:rsidR="006A7F85">
        <w:t>kontrola nastavených sebeomezujících opatření.</w:t>
      </w:r>
    </w:p>
    <w:p w14:paraId="3891E2CF" w14:textId="7FBE6A3E" w:rsidR="009F65A8" w:rsidRDefault="009F65A8" w:rsidP="009F65A8">
      <w:r>
        <w:t>Sázející se účastní technické hry prostřednictvím tzv. herní pozice, která je součástí koncového zařízení. Jedno technické zařízení může disponovat více herními pozicemi současně. Technické zařízení, obdobně jako v případě ostatních zařízení, prostřednictvím kterých jsou hazardní hry provozovány, musí vždy splňovat technické parametry, jejichž rozsah stanoví technická vyhláška (</w:t>
      </w:r>
      <w:r w:rsidRPr="00DC13BA">
        <w:t xml:space="preserve">dále se odkazuje na </w:t>
      </w:r>
      <w:r w:rsidR="00D55320">
        <w:t>Přílohu č. 11</w:t>
      </w:r>
      <w:r w:rsidR="00AE1558">
        <w:t> </w:t>
      </w:r>
      <w:r w:rsidRPr="00DC13BA">
        <w:t>Technické parametry a činnost odborného posuzování a osvědčování</w:t>
      </w:r>
      <w:r>
        <w:t>).</w:t>
      </w:r>
    </w:p>
    <w:p w14:paraId="4FB6FB36" w14:textId="51BA3181" w:rsidR="009F65A8" w:rsidRDefault="009F65A8" w:rsidP="009F65A8">
      <w:r>
        <w:t xml:space="preserve">Technickou hru je, stejně jako </w:t>
      </w:r>
      <w:r w:rsidR="006C5569">
        <w:t>většinu druhů</w:t>
      </w:r>
      <w:r>
        <w:t xml:space="preserve"> hazardních her, možné provozovat také jako internetovou hru (</w:t>
      </w:r>
      <w:r w:rsidRPr="00DC13BA">
        <w:t xml:space="preserve">dále se odkazuje na </w:t>
      </w:r>
      <w:r w:rsidR="00D55320">
        <w:t>Přílohu č. 7</w:t>
      </w:r>
      <w:r w:rsidR="00AE1558">
        <w:t> </w:t>
      </w:r>
      <w:r>
        <w:t>Internetová hra).</w:t>
      </w:r>
    </w:p>
    <w:p w14:paraId="39D0228E" w14:textId="3086B7FC" w:rsidR="009F65A8" w:rsidRDefault="009F65A8" w:rsidP="009F65A8">
      <w:r>
        <w:t>V případě provozování hazardní hry, jakožto hazardní hry, se kterou se pojí vysoké riziko vzniku závislostí a obecně rizikového chování účastníků hazardních her, obsahuje zákon o hazardních hrách řadu specifických podmínek provozování, které se uplatní pouze v případě provozování technické hry (ať již provozované formou land-based nebo on-line). Zároveň se uplatní i obecné instituty zodpovědného hraní (</w:t>
      </w:r>
      <w:r w:rsidRPr="00DC13BA">
        <w:t xml:space="preserve">dále se odkazuje na </w:t>
      </w:r>
      <w:r w:rsidR="00D55320">
        <w:t>Přílohu č. 3</w:t>
      </w:r>
      <w:r w:rsidR="00AE1558">
        <w:t> </w:t>
      </w:r>
      <w:r>
        <w:t>Opatření zodpovědného hraní).</w:t>
      </w:r>
    </w:p>
    <w:p w14:paraId="00CA768F" w14:textId="77777777" w:rsidR="009F65A8" w:rsidRPr="00B7096E" w:rsidRDefault="009F65A8" w:rsidP="0028190C">
      <w:pPr>
        <w:pStyle w:val="Nadpis5"/>
      </w:pPr>
      <w:bookmarkStart w:id="45" w:name="_Toc73611610"/>
      <w:r w:rsidRPr="00B7096E">
        <w:t>Hra technické hry</w:t>
      </w:r>
      <w:bookmarkEnd w:id="45"/>
    </w:p>
    <w:p w14:paraId="7232FEAC" w14:textId="32233986" w:rsidR="009F65A8" w:rsidRDefault="009F65A8" w:rsidP="009F65A8">
      <w:r>
        <w:t>Zákon o hazardních hrách nově obsahuje definici jednotlivé hry technické hry. Jedna hra technické hry je v podle § 50 odst. 1 a 2 zákona o hazardních hrách ukončený proces, při kterém se po jednom spuštění vytvář</w:t>
      </w:r>
      <w:r w:rsidR="006C5569">
        <w:t>í náhodný proces výsledku hry a </w:t>
      </w:r>
      <w:r>
        <w:t xml:space="preserve">nejpozději před ukončením této hry se odečte z vkladu sázka na jednu hru. </w:t>
      </w:r>
    </w:p>
    <w:p w14:paraId="29610B91" w14:textId="043CBADA" w:rsidR="009F65A8" w:rsidRPr="00DB1D0C" w:rsidRDefault="009F65A8" w:rsidP="009F65A8">
      <w:r>
        <w:t>V průběhu jedné hry není dovoleno uskutečňovat další sázky a jedna hra nesmí být kratší než 2 vteřiny. Termín "náhodný proces" je přitom v souladu se správní praxí vykládán tím způsobem, že konečný výsledek hazardní hry může být tvořen několika výsledky generátoru náhodných čísel, které ve svém celku určí výsledek jedné hry technické hry. Rozhodujícím kritériem pro určení, zda se jedná o samostatnou hru technické hry, je skutečnost, zda se jedná o spuštění hry ve smyslu § 50 odst. 1 zákona o hazardních hrách</w:t>
      </w:r>
      <w:r w:rsidRPr="00CF7C90">
        <w:t>, tedy zmáčknutí herního tlačítka, které je zároveň spoj</w:t>
      </w:r>
      <w:r w:rsidRPr="00437A2A">
        <w:t>eno s vůlí sázejícího vložit peněžní prostředky, se kterými v daný okamžik disponuje, do hry (za vložení peněžních</w:t>
      </w:r>
      <w:r>
        <w:t xml:space="preserve"> prostředků do hry se rozumí, lze-li tyto prostředky na základě náhody ztratit, nebo na jejich základě získat výhru). Na základě tohoto úkonu dojde k zahájení nové hry, které může nastat pouze po ukončení hry </w:t>
      </w:r>
      <w:r w:rsidRPr="00DB1D0C">
        <w:t>předchozí.</w:t>
      </w:r>
    </w:p>
    <w:p w14:paraId="0B057B17" w14:textId="2E6C33BF" w:rsidR="009F65A8" w:rsidRDefault="009F65A8" w:rsidP="009F65A8">
      <w:r w:rsidRPr="005E6508">
        <w:t>V případě, že hra obsahuje bonusové či jiné herní prvky, tedy zahájení bonusové hry není spojeno s vůli sázejícího vložit do hry peněžní prostředky, se kterými může disponovat, je nutné vždy jednotlivě zkoumat, zda tento proces není rozdělen do více her podle § 50 zákona o hazardních hrách. Kupříkladu bonusové hry, jejichž spuštění není spojeno s vložením další sázky do hry (např. volná otočení válců, kde může dojít pouze k navýšení výhry), jsou pokládány za součást základní hry, v rámci které byly spuštěny (nikoliv jako samostatné hry), a splnění parametrů (herních limitů) se posuzuje za tyto dvě části hry v celku.</w:t>
      </w:r>
      <w:r>
        <w:t xml:space="preserve"> </w:t>
      </w:r>
    </w:p>
    <w:p w14:paraId="6C4FEAC8" w14:textId="77777777" w:rsidR="009F65A8" w:rsidRDefault="009F65A8" w:rsidP="0028190C">
      <w:pPr>
        <w:pStyle w:val="Nadpis5"/>
      </w:pPr>
      <w:bookmarkStart w:id="46" w:name="_Toc73611611"/>
      <w:r>
        <w:lastRenderedPageBreak/>
        <w:t>Výherní podíl</w:t>
      </w:r>
      <w:bookmarkEnd w:id="46"/>
    </w:p>
    <w:p w14:paraId="50EEFB28" w14:textId="4A8433DE" w:rsidR="009F65A8" w:rsidRDefault="002E4E22" w:rsidP="009F65A8">
      <w:r>
        <w:t>V</w:t>
      </w:r>
      <w:r w:rsidR="009F65A8">
        <w:t xml:space="preserve"> § 51 zákona o hazardních hrách </w:t>
      </w:r>
      <w:r>
        <w:t xml:space="preserve">se </w:t>
      </w:r>
      <w:r w:rsidR="009F65A8">
        <w:t xml:space="preserve">stanoví, že </w:t>
      </w:r>
      <w:r w:rsidR="009F65A8" w:rsidRPr="005E6508">
        <w:t>konstrukce technických her nesmí umožnit nastavení výherního podílu nižšího než 75 % a vyššího než 100 %. Výherním podílem se rozumí hodnota průměru podílu sázek zjištěna na souboru nejméně 100 000 her. Výherním podílem se rozumí rovněž střední hodnota výherního podílu</w:t>
      </w:r>
      <w:r w:rsidR="009F65A8">
        <w:rPr>
          <w:rStyle w:val="Znakapoznpodarou"/>
        </w:rPr>
        <w:footnoteReference w:id="24"/>
      </w:r>
      <w:r w:rsidR="009F65A8" w:rsidRPr="005E6508">
        <w:t>.</w:t>
      </w:r>
      <w:r w:rsidR="009F65A8" w:rsidRPr="00CF7C90">
        <w:t xml:space="preserve"> </w:t>
      </w:r>
      <w:r w:rsidR="009F65A8">
        <w:t xml:space="preserve">Za výherní podíl je označován statistický údaj o technické hře vyjadřující v procentech návratnost peněžních prostředků vložených účastníkem hazardní hry do technické hry. Každá technická hra (ve smyslu Válcová hra I., Válcová hra II.) má odlišný výherní podíl, resp. se její výherní podíl stanovuje samostatně. </w:t>
      </w:r>
    </w:p>
    <w:p w14:paraId="7B261B26" w14:textId="77777777" w:rsidR="009F65A8" w:rsidRDefault="009F65A8" w:rsidP="0028190C">
      <w:pPr>
        <w:pStyle w:val="Nadpis5"/>
      </w:pPr>
      <w:bookmarkStart w:id="47" w:name="_Toc73611612"/>
      <w:r>
        <w:t>Povinná přestávka</w:t>
      </w:r>
      <w:bookmarkEnd w:id="47"/>
    </w:p>
    <w:p w14:paraId="7FEC770A" w14:textId="6900D016" w:rsidR="009F65A8" w:rsidRPr="0046620B" w:rsidRDefault="009F65A8" w:rsidP="009F65A8">
      <w:pPr>
        <w:rPr>
          <w:iCs/>
        </w:rPr>
      </w:pPr>
      <w:r>
        <w:t xml:space="preserve">Jak bylo řečeno výše, v případě technických </w:t>
      </w:r>
      <w:r w:rsidR="001F16B2">
        <w:t xml:space="preserve">her </w:t>
      </w:r>
      <w:r>
        <w:t xml:space="preserve">zákon o hazardních hrách stanoví dodatečné instituty zodpovědného hraní, a to nad rámec obecných opatření zodpovědného hraní. </w:t>
      </w:r>
      <w:r w:rsidR="002E4E22">
        <w:t>V</w:t>
      </w:r>
      <w:r>
        <w:t xml:space="preserve"> § 50 odst. 3 zákona o hazardních hrách </w:t>
      </w:r>
      <w:r w:rsidR="002E4E22">
        <w:t xml:space="preserve">se </w:t>
      </w:r>
      <w:r>
        <w:t>stanoví,</w:t>
      </w:r>
      <w:r w:rsidRPr="00437A2A">
        <w:t xml:space="preserve"> že </w:t>
      </w:r>
      <w:r w:rsidRPr="005E6508">
        <w:rPr>
          <w:iCs/>
        </w:rPr>
        <w:t>účast na technické hře jedním účastníkem hazardní hry musí být vždy po u</w:t>
      </w:r>
      <w:r w:rsidR="0046620B">
        <w:rPr>
          <w:iCs/>
        </w:rPr>
        <w:t>plynutí 120 </w:t>
      </w:r>
      <w:r w:rsidRPr="005E6508">
        <w:rPr>
          <w:iCs/>
        </w:rPr>
        <w:t>minut přerušena na dobu nejméně 15 minut, během které nebude účastníkovi hazardní hry umožněna účast na žádné technické hře.</w:t>
      </w:r>
      <w:r>
        <w:rPr>
          <w:i/>
          <w:iCs/>
        </w:rPr>
        <w:t xml:space="preserve"> </w:t>
      </w:r>
    </w:p>
    <w:p w14:paraId="2D9FACC0" w14:textId="77777777" w:rsidR="009F65A8" w:rsidRDefault="009F65A8" w:rsidP="009F65A8">
      <w:r>
        <w:t>V rámci implementace této povinnosti lze u jednotlivých provozovatelů zaznamenat menší odlišnosti ve způsobu přerušení účasti, avšak zpravidla přerušení probíhá tak, že v okamžiku dosažení 120 minut aktivní účasti na technické hře systém provozovatele danému účastníkovi hazardní hry po dokončení rozehrané hry (ve smyslu jednoho „zatočení“) účast přeruší a zároveň účastníkovi hazardní hry oznámí (zpravidla prostřednictvím vyskakovacího okna), že mu nebude po dobu 15 minut další účast na technické hře umožněna. Během této doby může být účastníkovi hazardní hry umožněno pohybovat se v nastavení svého uživatelského konta</w:t>
      </w:r>
      <w:r>
        <w:rPr>
          <w:rStyle w:val="Znakapoznpodarou"/>
        </w:rPr>
        <w:footnoteReference w:id="25"/>
      </w:r>
      <w:r>
        <w:t xml:space="preserve">. </w:t>
      </w:r>
    </w:p>
    <w:p w14:paraId="61B30DCD" w14:textId="24A4B697" w:rsidR="009F65A8" w:rsidRDefault="009F65A8" w:rsidP="009F65A8">
      <w:pPr>
        <w:rPr>
          <w:i/>
          <w:iCs/>
        </w:rPr>
      </w:pPr>
      <w:r>
        <w:t xml:space="preserve">Pokud provozovatel provozuje více druhů hazardních her, může provozovatel účastníkovi hazardní hry umožnit na těchto druzích hazardních her účast. Po uplynutí povinné přestávky může být účastníkovi hazardní hry umožněno zahájit další účast na technické hře. </w:t>
      </w:r>
    </w:p>
    <w:p w14:paraId="2D255953" w14:textId="77777777" w:rsidR="009F65A8" w:rsidRDefault="009F65A8" w:rsidP="0028190C">
      <w:pPr>
        <w:pStyle w:val="Nadpis5"/>
      </w:pPr>
      <w:bookmarkStart w:id="48" w:name="_Toc73611613"/>
      <w:r>
        <w:t>Nejvyšší sázka a nejvyšší výhra</w:t>
      </w:r>
      <w:bookmarkEnd w:id="48"/>
    </w:p>
    <w:p w14:paraId="0CE0958E" w14:textId="68478264" w:rsidR="009F65A8" w:rsidRDefault="009F65A8" w:rsidP="009F65A8">
      <w:r>
        <w:t>Jedná se o další z nástrojů zodpovědného hraní, který je stanoven specificky pro technickou hru</w:t>
      </w:r>
      <w:r>
        <w:rPr>
          <w:rStyle w:val="Znakapoznpodarou"/>
        </w:rPr>
        <w:footnoteReference w:id="26"/>
      </w:r>
      <w:r>
        <w:t>. Obdobně jako u předchozí právní úpravy zákon o hazardních hrách zavedl u technické hry limity pro sázku a výhru koncepčně pro všechna zařízení, prostřednictvím kterých je technická hra provozována, a to v závislosti na typ</w:t>
      </w:r>
      <w:r w:rsidR="001F16B2">
        <w:t>u</w:t>
      </w:r>
      <w:r>
        <w:t xml:space="preserve"> herního prostoru, ve které</w:t>
      </w:r>
      <w:r w:rsidR="006A7F85">
        <w:t>m</w:t>
      </w:r>
      <w:r>
        <w:t xml:space="preserve"> je technická hra provozována. Konkrétní limity jsou pro hernu </w:t>
      </w:r>
      <w:r>
        <w:lastRenderedPageBreak/>
        <w:t>stanoveny ve výši 100 Kč pro nejvyšší sázku a 50 000 Kč pro nejvyšší výhru v případě herny, a 1 000 Kč pro nejvyšší sázku a 500 000 Kč pro nejvyšší výhru v případě kasina.</w:t>
      </w:r>
    </w:p>
    <w:p w14:paraId="1ED6183E" w14:textId="5A772D51" w:rsidR="009F65A8" w:rsidRPr="00F7720C" w:rsidRDefault="009F65A8" w:rsidP="009F65A8">
      <w:r>
        <w:t xml:space="preserve">Ministerstvo financí disponuje herními a finančními daty zasílanými provozovateli </w:t>
      </w:r>
      <w:r w:rsidRPr="00F7720C">
        <w:t xml:space="preserve">hazardních her, na základě kterých byla provedena základní analýza týkající se výše sázek, a to v </w:t>
      </w:r>
      <w:r w:rsidR="006A7F85">
        <w:t>období</w:t>
      </w:r>
      <w:r w:rsidRPr="00F7720C">
        <w:t xml:space="preserve"> od 1. 10. 2019 do 31. 10. 2019</w:t>
      </w:r>
      <w:r w:rsidRPr="00F7720C">
        <w:rPr>
          <w:rStyle w:val="Znakapoznpodarou"/>
        </w:rPr>
        <w:footnoteReference w:id="27"/>
      </w:r>
      <w:r w:rsidRPr="00F7720C">
        <w:t xml:space="preserve">. </w:t>
      </w:r>
    </w:p>
    <w:p w14:paraId="166CCA15" w14:textId="3C3C2A21" w:rsidR="009F65A8" w:rsidRPr="005E6508" w:rsidRDefault="009F65A8" w:rsidP="009F65A8">
      <w:pPr>
        <w:pStyle w:val="Titulek"/>
        <w:keepNext/>
      </w:pPr>
      <w:bookmarkStart w:id="49" w:name="_Toc73521726"/>
      <w:r w:rsidRPr="005E6508">
        <w:t xml:space="preserve">Graf č. </w:t>
      </w:r>
      <w:r w:rsidR="00A70360">
        <w:fldChar w:fldCharType="begin"/>
      </w:r>
      <w:r w:rsidR="00A70360">
        <w:instrText xml:space="preserve"> SEQ Graf_č. \* ARABIC </w:instrText>
      </w:r>
      <w:r w:rsidR="00A70360">
        <w:fldChar w:fldCharType="separate"/>
      </w:r>
      <w:r w:rsidR="004105FD">
        <w:rPr>
          <w:noProof/>
        </w:rPr>
        <w:t>1</w:t>
      </w:r>
      <w:r w:rsidR="00A70360">
        <w:rPr>
          <w:noProof/>
        </w:rPr>
        <w:fldChar w:fldCharType="end"/>
      </w:r>
      <w:r w:rsidRPr="005E6508">
        <w:t>: Uzavřené sázky</w:t>
      </w:r>
      <w:r w:rsidR="001F16B2">
        <w:t xml:space="preserve"> na technickou hru</w:t>
      </w:r>
      <w:r w:rsidRPr="005E6508">
        <w:t xml:space="preserve"> </w:t>
      </w:r>
      <w:r w:rsidR="004105FD">
        <w:t xml:space="preserve">v </w:t>
      </w:r>
      <w:r>
        <w:t xml:space="preserve">hernách </w:t>
      </w:r>
      <w:r w:rsidR="001F16B2">
        <w:t>v období 1. 10. – 31. 10. 2019</w:t>
      </w:r>
      <w:bookmarkEnd w:id="49"/>
    </w:p>
    <w:p w14:paraId="66914D03" w14:textId="77777777" w:rsidR="009F65A8" w:rsidRPr="005E6508" w:rsidRDefault="009F65A8" w:rsidP="009F65A8">
      <w:pPr>
        <w:rPr>
          <w:rFonts w:cs="Arial"/>
        </w:rPr>
      </w:pPr>
      <w:r w:rsidRPr="005E6508">
        <w:rPr>
          <w:noProof/>
          <w:lang w:eastAsia="cs-CZ"/>
        </w:rPr>
        <w:drawing>
          <wp:inline distT="0" distB="0" distL="0" distR="0" wp14:anchorId="1061FCC3" wp14:editId="1A2A770B">
            <wp:extent cx="4808220" cy="2827020"/>
            <wp:effectExtent l="0" t="0" r="11430" b="11430"/>
            <wp:docPr id="10" name="Graf 10">
              <a:extLst xmlns:a="http://schemas.openxmlformats.org/drawingml/2006/main">
                <a:ext uri="{FF2B5EF4-FFF2-40B4-BE49-F238E27FC236}">
                  <a16:creationId xmlns:a16="http://schemas.microsoft.com/office/drawing/2014/main" id="{1F1E143E-E315-4292-B7DC-5EE0639348A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F444D92" w14:textId="77777777" w:rsidR="009F65A8" w:rsidRPr="005E6508" w:rsidRDefault="009F65A8" w:rsidP="009F65A8">
      <w:pPr>
        <w:rPr>
          <w:rFonts w:cs="Arial"/>
        </w:rPr>
      </w:pPr>
      <w:r w:rsidRPr="005E6508">
        <w:rPr>
          <w:rFonts w:cs="Arial"/>
          <w:i/>
          <w:iCs/>
          <w:sz w:val="20"/>
          <w:szCs w:val="20"/>
        </w:rPr>
        <w:t>Zdroj: Ministerstvo financí ČR, 2021.</w:t>
      </w:r>
    </w:p>
    <w:p w14:paraId="2A60BFF1" w14:textId="1222920A" w:rsidR="009F65A8" w:rsidRPr="005E6508" w:rsidRDefault="004105FD" w:rsidP="009F65A8">
      <w:r>
        <w:t>Graf č. 1</w:t>
      </w:r>
      <w:r w:rsidR="009F65A8" w:rsidRPr="005E6508">
        <w:t xml:space="preserve"> zobrazuje všechny sázky uzavřené ve všech povolených hernách na území Č</w:t>
      </w:r>
      <w:r w:rsidR="009F65A8">
        <w:t>eské republiky</w:t>
      </w:r>
      <w:r w:rsidR="009F65A8" w:rsidRPr="005E6508">
        <w:t>. Uvedená data zahrnují rovněž sázky uskutečněné v cizí měně, které jsou přepočteny podle aktuálního směnného kurzu ČNB a zaokrouhl</w:t>
      </w:r>
      <w:r w:rsidR="009F65A8">
        <w:t xml:space="preserve">eny. Podle zjištěných dat účastníci hazardních her </w:t>
      </w:r>
      <w:r w:rsidR="009F65A8" w:rsidRPr="005E6508">
        <w:t xml:space="preserve">uskutečnili nejvíce sázek ve výši </w:t>
      </w:r>
      <w:r w:rsidR="009F65A8" w:rsidRPr="005E6508">
        <w:rPr>
          <w:b/>
        </w:rPr>
        <w:t>5 Kč</w:t>
      </w:r>
      <w:r>
        <w:t xml:space="preserve"> (24,75 </w:t>
      </w:r>
      <w:r w:rsidR="009F65A8" w:rsidRPr="005E6508">
        <w:t xml:space="preserve">% ze všech uskutečněných sázek) a následně ve výši </w:t>
      </w:r>
      <w:r w:rsidR="009F65A8" w:rsidRPr="005E6508">
        <w:rPr>
          <w:b/>
        </w:rPr>
        <w:t>10 Kč</w:t>
      </w:r>
      <w:r w:rsidR="009F65A8" w:rsidRPr="005E6508">
        <w:t xml:space="preserve"> (22,45 %). Podíl sázek v hodnotě 100 Kč činil 6,32 %. Průměrná sázka činila </w:t>
      </w:r>
      <w:r w:rsidR="009F65A8" w:rsidRPr="005E6508">
        <w:rPr>
          <w:b/>
        </w:rPr>
        <w:t>21,85 Kč</w:t>
      </w:r>
      <w:r w:rsidR="009F65A8" w:rsidRPr="005E6508">
        <w:t xml:space="preserve">. </w:t>
      </w:r>
    </w:p>
    <w:p w14:paraId="5CB05B96" w14:textId="77777777" w:rsidR="009F65A8" w:rsidRPr="006312D0" w:rsidRDefault="009F65A8" w:rsidP="009F65A8">
      <w:pPr>
        <w:rPr>
          <w:highlight w:val="magenta"/>
        </w:rPr>
      </w:pPr>
    </w:p>
    <w:p w14:paraId="74B67DEE" w14:textId="4726E7FF" w:rsidR="009F65A8" w:rsidRPr="005E6508" w:rsidRDefault="009F65A8" w:rsidP="009F65A8">
      <w:pPr>
        <w:pStyle w:val="Titulek"/>
        <w:keepNext/>
      </w:pPr>
      <w:bookmarkStart w:id="50" w:name="_Toc73521727"/>
      <w:r w:rsidRPr="005E6508">
        <w:lastRenderedPageBreak/>
        <w:t xml:space="preserve">Graf č. </w:t>
      </w:r>
      <w:r w:rsidR="00A70360">
        <w:fldChar w:fldCharType="begin"/>
      </w:r>
      <w:r w:rsidR="00A70360">
        <w:instrText xml:space="preserve"> SEQ Graf_č. \* ARABIC </w:instrText>
      </w:r>
      <w:r w:rsidR="00A70360">
        <w:fldChar w:fldCharType="separate"/>
      </w:r>
      <w:r w:rsidR="004105FD">
        <w:rPr>
          <w:noProof/>
        </w:rPr>
        <w:t>2</w:t>
      </w:r>
      <w:r w:rsidR="00A70360">
        <w:rPr>
          <w:noProof/>
        </w:rPr>
        <w:fldChar w:fldCharType="end"/>
      </w:r>
      <w:r w:rsidRPr="005E6508">
        <w:t xml:space="preserve">: </w:t>
      </w:r>
      <w:r w:rsidR="001F16B2" w:rsidRPr="005E6508">
        <w:t>Uzavřené sázky</w:t>
      </w:r>
      <w:r w:rsidR="001F16B2">
        <w:t xml:space="preserve"> na technickou hru</w:t>
      </w:r>
      <w:r w:rsidR="001F16B2" w:rsidRPr="005E6508">
        <w:t xml:space="preserve"> </w:t>
      </w:r>
      <w:r w:rsidR="001F16B2">
        <w:t>v kasinech v období 1. 10. – 31. 10. 2019</w:t>
      </w:r>
      <w:bookmarkEnd w:id="50"/>
    </w:p>
    <w:p w14:paraId="1809F7A5" w14:textId="77777777" w:rsidR="009F65A8" w:rsidRPr="006312D0" w:rsidRDefault="009F65A8" w:rsidP="009F65A8">
      <w:pPr>
        <w:spacing w:after="0"/>
        <w:rPr>
          <w:rFonts w:cs="Arial"/>
          <w:i/>
          <w:iCs/>
          <w:sz w:val="20"/>
          <w:szCs w:val="20"/>
          <w:highlight w:val="magenta"/>
        </w:rPr>
      </w:pPr>
      <w:r w:rsidRPr="006312D0">
        <w:rPr>
          <w:noProof/>
          <w:highlight w:val="magenta"/>
          <w:lang w:eastAsia="cs-CZ"/>
        </w:rPr>
        <w:drawing>
          <wp:inline distT="0" distB="0" distL="0" distR="0" wp14:anchorId="6A25AF4B" wp14:editId="46CC8F7D">
            <wp:extent cx="4823460" cy="2811780"/>
            <wp:effectExtent l="0" t="0" r="15240" b="7620"/>
            <wp:docPr id="21" name="Graf 21">
              <a:extLst xmlns:a="http://schemas.openxmlformats.org/drawingml/2006/main">
                <a:ext uri="{FF2B5EF4-FFF2-40B4-BE49-F238E27FC236}">
                  <a16:creationId xmlns:a16="http://schemas.microsoft.com/office/drawing/2014/main" id="{56F0152E-101E-42DC-AAA9-B806479A989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607EF849" w14:textId="77777777" w:rsidR="002F2BFF" w:rsidRDefault="002F2BFF" w:rsidP="009F65A8">
      <w:pPr>
        <w:rPr>
          <w:i/>
          <w:sz w:val="20"/>
        </w:rPr>
      </w:pPr>
    </w:p>
    <w:p w14:paraId="516E22DF" w14:textId="0C457AA6" w:rsidR="009F65A8" w:rsidRPr="005E6508" w:rsidRDefault="009F65A8" w:rsidP="009F65A8">
      <w:pPr>
        <w:rPr>
          <w:b/>
          <w:bCs/>
          <w:i/>
          <w:sz w:val="20"/>
        </w:rPr>
      </w:pPr>
      <w:r w:rsidRPr="005E6508">
        <w:rPr>
          <w:i/>
          <w:sz w:val="20"/>
        </w:rPr>
        <w:t>Zdroj: Ministerstvo financí ČR, 2021.</w:t>
      </w:r>
    </w:p>
    <w:p w14:paraId="093CAC1E" w14:textId="5B64D49B" w:rsidR="009F65A8" w:rsidRPr="005E6508" w:rsidRDefault="004105FD" w:rsidP="009F65A8">
      <w:r>
        <w:t>Graf č. 2</w:t>
      </w:r>
      <w:r w:rsidR="009F65A8" w:rsidRPr="005E6508">
        <w:t xml:space="preserve"> zobrazuje všechny sázky uzavřené ve všech povolených kasinech na území České republiky. Uvedená data zahrnují rovněž sázky uskutečněné v cizí měně, které jsou přepočteny podle aktuálního směnného kurzu ČNB a následně zaokrouhleny. Podle zjištěných dat </w:t>
      </w:r>
      <w:r w:rsidR="00B45123">
        <w:t>účastníci hazardní hry</w:t>
      </w:r>
      <w:r w:rsidR="009F65A8" w:rsidRPr="005E6508">
        <w:t xml:space="preserve"> uskutečnili nejvíce sázek ve výši </w:t>
      </w:r>
      <w:r w:rsidR="009F65A8" w:rsidRPr="005E6508">
        <w:rPr>
          <w:b/>
        </w:rPr>
        <w:t>10 Kč</w:t>
      </w:r>
      <w:r w:rsidR="009F65A8" w:rsidRPr="005E6508">
        <w:t xml:space="preserve"> (23,47 % ze všech uskutečněných sázek) a následně ve výši </w:t>
      </w:r>
      <w:r w:rsidR="009F65A8" w:rsidRPr="005E6508">
        <w:rPr>
          <w:b/>
        </w:rPr>
        <w:t>5 Kč</w:t>
      </w:r>
      <w:r w:rsidR="009F65A8" w:rsidRPr="005E6508">
        <w:t xml:space="preserve"> (19,28 %). Podíl sázek v hodnotě 1 000 Kč činil 0,21 %. Průměrná sázka činila </w:t>
      </w:r>
      <w:r w:rsidR="00AA3E49">
        <w:rPr>
          <w:b/>
        </w:rPr>
        <w:t>31,77 </w:t>
      </w:r>
      <w:r w:rsidR="009F65A8" w:rsidRPr="005E6508">
        <w:rPr>
          <w:b/>
        </w:rPr>
        <w:t>Kč</w:t>
      </w:r>
      <w:r w:rsidR="009F65A8" w:rsidRPr="005E6508">
        <w:t xml:space="preserve">. </w:t>
      </w:r>
    </w:p>
    <w:p w14:paraId="77A3ABF9" w14:textId="3C617FEE" w:rsidR="009F65A8" w:rsidRPr="00517DF1" w:rsidRDefault="009F65A8" w:rsidP="009F65A8">
      <w:r w:rsidRPr="005E6508">
        <w:t xml:space="preserve">Z výše uvedeného je zřejmé, že podíl sázek, které dosahovaly zákonného limitu, tvořil 6,32 % v případě heren a 0,21 % v případě kasin. Skutečnost, že herny vykazují podíl limitních sázek vyšší než kasina, je s největší pravděpodobností způsoben odlišnými hranicemi limitů v jednotlivých herních prostorech. Zároveň je však z dat zřejmé, že </w:t>
      </w:r>
      <w:r w:rsidRPr="00517DF1">
        <w:t>podíl sázek v kasinech převyšujících</w:t>
      </w:r>
      <w:r w:rsidR="003B5CF9">
        <w:t xml:space="preserve"> hodnotu 100 Kč (tj. </w:t>
      </w:r>
      <w:r w:rsidRPr="005E6508">
        <w:t>maximální výš</w:t>
      </w:r>
      <w:r w:rsidRPr="00517DF1">
        <w:t>i</w:t>
      </w:r>
      <w:r w:rsidRPr="005E6508">
        <w:t xml:space="preserve"> sázky v herně) činí 3,10 % z celkového počtu uskutečněných sázek. Tedy ačkoli mohou účastníci hazardní hry v kasinu sázet i vyšší částky než 100 Kč (resp. nad 3 </w:t>
      </w:r>
      <w:r w:rsidR="003B5CF9">
        <w:t>eura</w:t>
      </w:r>
      <w:r w:rsidRPr="005E6508">
        <w:t>), nedochází k tomu ve významné míře</w:t>
      </w:r>
      <w:r w:rsidRPr="00517DF1">
        <w:rPr>
          <w:rStyle w:val="Znakapoznpodarou"/>
        </w:rPr>
        <w:footnoteReference w:id="28"/>
      </w:r>
      <w:r w:rsidRPr="005E6508">
        <w:t xml:space="preserve">. </w:t>
      </w:r>
    </w:p>
    <w:p w14:paraId="5D096EAF" w14:textId="01CF9CAB" w:rsidR="009F65A8" w:rsidRPr="005E6508" w:rsidRDefault="009F65A8" w:rsidP="009F65A8">
      <w:pPr>
        <w:rPr>
          <w:bCs/>
        </w:rPr>
      </w:pPr>
      <w:r w:rsidRPr="00517DF1">
        <w:t>V případě internetové hry jsou limity maximálních sázek nastav</w:t>
      </w:r>
      <w:r w:rsidR="00C26B04">
        <w:t>eny obdobně, jako v případě kasi</w:t>
      </w:r>
      <w:r w:rsidRPr="00517DF1">
        <w:t xml:space="preserve">n, tj. 1000 Kč. </w:t>
      </w:r>
      <w:r w:rsidRPr="005E6508">
        <w:rPr>
          <w:bCs/>
        </w:rPr>
        <w:t xml:space="preserve">Z analýzy herních a finančních dat poskytnutých provozovateli vyplývá, že sázky přesahující hodnotu 100 Kč tvořily ve sledovaném období 2,13 % ze všech uskutečněných sázek. </w:t>
      </w:r>
    </w:p>
    <w:p w14:paraId="4DE819E6" w14:textId="796A7AAC" w:rsidR="009F65A8" w:rsidRPr="005E6508" w:rsidRDefault="009F65A8" w:rsidP="009F65A8">
      <w:pPr>
        <w:pStyle w:val="Titulek"/>
        <w:keepNext/>
      </w:pPr>
      <w:bookmarkStart w:id="51" w:name="_Toc73521728"/>
      <w:r w:rsidRPr="005E6508">
        <w:lastRenderedPageBreak/>
        <w:t xml:space="preserve">Graf č. </w:t>
      </w:r>
      <w:r w:rsidR="00A70360">
        <w:fldChar w:fldCharType="begin"/>
      </w:r>
      <w:r w:rsidR="00A70360">
        <w:instrText xml:space="preserve"> SEQ Graf_č. \* ARABIC </w:instrText>
      </w:r>
      <w:r w:rsidR="00A70360">
        <w:fldChar w:fldCharType="separate"/>
      </w:r>
      <w:r w:rsidR="0027783C">
        <w:rPr>
          <w:noProof/>
        </w:rPr>
        <w:t>3</w:t>
      </w:r>
      <w:r w:rsidR="00A70360">
        <w:rPr>
          <w:noProof/>
        </w:rPr>
        <w:fldChar w:fldCharType="end"/>
      </w:r>
      <w:r w:rsidRPr="005E6508">
        <w:t>: Uzavřené sázky u internetové technické hry</w:t>
      </w:r>
      <w:r w:rsidR="001F16B2" w:rsidRPr="001F16B2">
        <w:t xml:space="preserve"> </w:t>
      </w:r>
      <w:r w:rsidR="001F16B2">
        <w:t>v období 1. 10. – 31. 10. 2019</w:t>
      </w:r>
      <w:bookmarkEnd w:id="51"/>
    </w:p>
    <w:p w14:paraId="5C365CBA" w14:textId="77777777" w:rsidR="009F65A8" w:rsidRPr="005E6508" w:rsidRDefault="009F65A8" w:rsidP="009F65A8">
      <w:pPr>
        <w:spacing w:after="0"/>
        <w:rPr>
          <w:rFonts w:cs="Arial"/>
          <w:noProof/>
          <w:lang w:eastAsia="cs-CZ"/>
        </w:rPr>
      </w:pPr>
      <w:r w:rsidRPr="005E6508">
        <w:rPr>
          <w:noProof/>
          <w:lang w:eastAsia="cs-CZ"/>
        </w:rPr>
        <w:drawing>
          <wp:inline distT="0" distB="0" distL="0" distR="0" wp14:anchorId="45B289BC" wp14:editId="569BEFED">
            <wp:extent cx="4853940" cy="2940710"/>
            <wp:effectExtent l="0" t="0" r="3810" b="12065"/>
            <wp:docPr id="24" name="Graf 24">
              <a:extLst xmlns:a="http://schemas.openxmlformats.org/drawingml/2006/main">
                <a:ext uri="{FF2B5EF4-FFF2-40B4-BE49-F238E27FC236}">
                  <a16:creationId xmlns:a16="http://schemas.microsoft.com/office/drawing/2014/main" id="{03D0940C-F612-402B-861D-7E335563DA4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2C90330C" w14:textId="77777777" w:rsidR="009F65A8" w:rsidRPr="005E6508" w:rsidRDefault="009F65A8" w:rsidP="009F65A8">
      <w:pPr>
        <w:rPr>
          <w:rFonts w:cs="Arial"/>
          <w:i/>
          <w:iCs/>
          <w:sz w:val="20"/>
          <w:szCs w:val="20"/>
        </w:rPr>
      </w:pPr>
      <w:r w:rsidRPr="005E6508">
        <w:rPr>
          <w:rFonts w:cs="Arial"/>
          <w:i/>
          <w:iCs/>
          <w:sz w:val="20"/>
          <w:szCs w:val="20"/>
        </w:rPr>
        <w:t>Zdroj: Ministerstvo financí ČR, 2020.</w:t>
      </w:r>
    </w:p>
    <w:p w14:paraId="33032748" w14:textId="413FB41F" w:rsidR="009F65A8" w:rsidRPr="005E6508" w:rsidRDefault="009F65A8" w:rsidP="009F65A8">
      <w:r w:rsidRPr="005E6508">
        <w:t xml:space="preserve">Graf </w:t>
      </w:r>
      <w:r w:rsidR="0027783C">
        <w:t>č. 3</w:t>
      </w:r>
      <w:r w:rsidRPr="005E6508">
        <w:t xml:space="preserve"> zobrazuje všechny sázky uzavřené na internetu v rámci všech provozovatelů internetové technické hry. Podle zjištěných dat účastníci hazardní hry uskutečnili nejvíce sázek ve výši </w:t>
      </w:r>
      <w:r w:rsidRPr="005E6508">
        <w:rPr>
          <w:b/>
        </w:rPr>
        <w:t>10 Kč</w:t>
      </w:r>
      <w:r w:rsidRPr="005E6508">
        <w:t xml:space="preserve"> (15,70 % </w:t>
      </w:r>
      <w:r w:rsidR="00996F41">
        <w:t>ze všech uskutečněných sázek) a </w:t>
      </w:r>
      <w:r w:rsidRPr="005E6508">
        <w:t xml:space="preserve">následně ve výši </w:t>
      </w:r>
      <w:r w:rsidRPr="005E6508">
        <w:rPr>
          <w:b/>
        </w:rPr>
        <w:t>5 Kč</w:t>
      </w:r>
      <w:r w:rsidRPr="005E6508">
        <w:t xml:space="preserve"> (13,33 %). Průměrná sázka činila </w:t>
      </w:r>
      <w:r w:rsidRPr="005E6508">
        <w:rPr>
          <w:b/>
        </w:rPr>
        <w:t>23,38 Kč</w:t>
      </w:r>
      <w:r w:rsidRPr="005E6508">
        <w:t xml:space="preserve">. Sázky přesahující 100 Kč tvořily </w:t>
      </w:r>
      <w:r w:rsidRPr="005E6508">
        <w:rPr>
          <w:b/>
          <w:bCs/>
        </w:rPr>
        <w:t>2,13 %</w:t>
      </w:r>
      <w:r w:rsidRPr="005E6508">
        <w:t>.</w:t>
      </w:r>
    </w:p>
    <w:p w14:paraId="1B06B96B" w14:textId="77777777" w:rsidR="009F65A8" w:rsidRDefault="009F65A8" w:rsidP="0028190C">
      <w:pPr>
        <w:pStyle w:val="Nadpis5"/>
      </w:pPr>
      <w:bookmarkStart w:id="52" w:name="_Toc73611614"/>
      <w:r>
        <w:t>Nejvyšší hodinová prohra</w:t>
      </w:r>
      <w:bookmarkEnd w:id="52"/>
    </w:p>
    <w:p w14:paraId="6C04038D" w14:textId="5C0EF394" w:rsidR="009F65A8" w:rsidRDefault="009F65A8" w:rsidP="009F65A8">
      <w:pPr>
        <w:rPr>
          <w:iCs/>
        </w:rPr>
      </w:pPr>
      <w:r>
        <w:rPr>
          <w:iCs/>
        </w:rPr>
        <w:t xml:space="preserve">Kromě stanovení nejvyšší sázky a nejvyšší výhry zákon o hazardních hrách stanoví také institut </w:t>
      </w:r>
      <w:r>
        <w:t>nejvyšší hodinové prohry takovým způsobem, že se nejvyšší hodinová prohra vztahuje na všechny technické h</w:t>
      </w:r>
      <w:bookmarkStart w:id="53" w:name="_GoBack"/>
      <w:bookmarkEnd w:id="53"/>
      <w:r>
        <w:t>ry jednoho provozovatele</w:t>
      </w:r>
      <w:r w:rsidR="006A7F85">
        <w:t xml:space="preserve"> provozované daným způsobem</w:t>
      </w:r>
      <w:r>
        <w:t xml:space="preserve">, limit hodinové prohry není omezen pevně stanovenými částkami, ale je stanoven vzorcem uvedeným </w:t>
      </w:r>
      <w:r w:rsidR="001F16B2">
        <w:t xml:space="preserve">v </w:t>
      </w:r>
      <w:r>
        <w:t xml:space="preserve">§ 53 </w:t>
      </w:r>
      <w:r w:rsidR="001F16B2">
        <w:t xml:space="preserve">odst. 1 </w:t>
      </w:r>
      <w:r>
        <w:t>zákona o hazardních hrách, a to jako</w:t>
      </w:r>
      <w:r w:rsidRPr="004B0968">
        <w:t xml:space="preserve"> </w:t>
      </w:r>
      <w:r w:rsidRPr="005E6508">
        <w:rPr>
          <w:iCs/>
        </w:rPr>
        <w:t>objem prostředků, které může sázející prohrát na jedné herní pozici během jedné hodiny. Je součinem nejvyšší možné sázky do jedné hry, nejvyššího možn</w:t>
      </w:r>
      <w:r w:rsidR="00996F41">
        <w:rPr>
          <w:iCs/>
        </w:rPr>
        <w:t>ého počtu her za jednu hodinu a </w:t>
      </w:r>
      <w:r w:rsidRPr="005E6508">
        <w:rPr>
          <w:iCs/>
        </w:rPr>
        <w:t xml:space="preserve">setiny rozdílu jednoho sta a nastaveného výherního podílu. </w:t>
      </w:r>
      <w:r>
        <w:rPr>
          <w:iCs/>
        </w:rPr>
        <w:t xml:space="preserve">Takto vypočtenou hodnotu nesmí účastník hazardní hry v rámci technické hry </w:t>
      </w:r>
      <w:r w:rsidR="006A7F85">
        <w:rPr>
          <w:iCs/>
        </w:rPr>
        <w:t>provozované daným způsobem</w:t>
      </w:r>
      <w:r>
        <w:rPr>
          <w:iCs/>
        </w:rPr>
        <w:t xml:space="preserve"> v rámci jedné hodiny přesáhnout</w:t>
      </w:r>
      <w:r>
        <w:rPr>
          <w:rStyle w:val="Znakapoznpodarou"/>
          <w:iCs/>
        </w:rPr>
        <w:footnoteReference w:id="29"/>
      </w:r>
      <w:r>
        <w:rPr>
          <w:iCs/>
        </w:rPr>
        <w:t xml:space="preserve">. </w:t>
      </w:r>
    </w:p>
    <w:p w14:paraId="71093593" w14:textId="77777777" w:rsidR="009F65A8" w:rsidRDefault="009F65A8" w:rsidP="009F65A8">
      <w:r>
        <w:t>Hodnota nejvyšší hodinové prohry činí u většiny provozovatelů 45 000 Kč pro hernu a 450 000 Kč pro kasino a internet. Tato hodnota je odvozena od toho, že ve většině případů provozovatel provozuje alespoň jednu technickou hru, která má výherní podíl stanovený hraničními hodnotami, tj. 75 % výherním podílem a délkou trvání jedné hry 2 sekundy. Je to nejvyšší hodnota, která může být stanovena.</w:t>
      </w:r>
    </w:p>
    <w:p w14:paraId="09594443" w14:textId="02EF2A89" w:rsidR="009F65A8" w:rsidRDefault="009F65A8" w:rsidP="009F65A8">
      <w:r>
        <w:t xml:space="preserve">Stanovisko </w:t>
      </w:r>
      <w:r w:rsidRPr="002474D4">
        <w:t>odboru 34 k nejvyšší hodinové proh</w:t>
      </w:r>
      <w:r w:rsidR="0028190C">
        <w:t>ře dle § 53 zákona o </w:t>
      </w:r>
      <w:r w:rsidRPr="002474D4">
        <w:t>hazardních hrách</w:t>
      </w:r>
      <w:r>
        <w:t xml:space="preserve"> se mimo jiné zabývá určením výpočtu nejvyšší hodinové prohry v případě nabídky více technických her </w:t>
      </w:r>
      <w:r w:rsidRPr="002474D4">
        <w:t>(ve smyslu Válcová hra I., Válcová hra II.)</w:t>
      </w:r>
      <w:r>
        <w:t xml:space="preserve">. Pokud provozovatel nabízí </w:t>
      </w:r>
      <w:r>
        <w:lastRenderedPageBreak/>
        <w:t xml:space="preserve">více technických her, výsledná částka nejvyšší hodinové prohry je hodnota, která odpovídá nejvyšší částce z množiny částek nejvyšší hodinové prohry určené na základě parametrů </w:t>
      </w:r>
      <w:r w:rsidRPr="00FB3A55">
        <w:t>konkrétních technických her</w:t>
      </w:r>
      <w:r w:rsidR="0042023F">
        <w:t xml:space="preserve"> daným způsobem</w:t>
      </w:r>
      <w:r w:rsidRPr="005E6508">
        <w:t xml:space="preserve">. </w:t>
      </w:r>
      <w:r w:rsidRPr="00FB3A55">
        <w:t xml:space="preserve">V této </w:t>
      </w:r>
      <w:r w:rsidRPr="008721D8">
        <w:t xml:space="preserve">souvislosti jsou rozlišovány technické hry, </w:t>
      </w:r>
      <w:r w:rsidRPr="00B7096E">
        <w:t>které</w:t>
      </w:r>
      <w:r w:rsidR="00996F41">
        <w:t xml:space="preserve"> jsou provozovány ve formě land</w:t>
      </w:r>
      <w:r w:rsidR="00996F41">
        <w:noBreakHyphen/>
      </w:r>
      <w:r w:rsidRPr="00B7096E">
        <w:t>based v herně, technické hry, které jsou provozován ve formě land-based v kas</w:t>
      </w:r>
      <w:r w:rsidR="008D70C0">
        <w:t>i</w:t>
      </w:r>
      <w:r w:rsidRPr="00B7096E">
        <w:t>nu, a ty, které jsou provozovány ve formě on-line.</w:t>
      </w:r>
      <w:r w:rsidRPr="009C6651">
        <w:t xml:space="preserve"> Pokud by t</w:t>
      </w:r>
      <w:r w:rsidRPr="009D4BE4">
        <w:t xml:space="preserve">ak </w:t>
      </w:r>
      <w:r w:rsidRPr="00FB3A55">
        <w:t>např. účastník</w:t>
      </w:r>
      <w:r>
        <w:t xml:space="preserve"> technické hry dosáhl hodinové prohry v herně (která je vzhledem k výpočtu nejvyšší hodinové prohry stanovena jako nižší částky), je možné se dále účastnit technické hry v kas</w:t>
      </w:r>
      <w:r w:rsidR="008D70C0">
        <w:t>i</w:t>
      </w:r>
      <w:r>
        <w:t>nu nebo internetové hry.</w:t>
      </w:r>
    </w:p>
    <w:p w14:paraId="409C7B8E" w14:textId="117B4B81" w:rsidR="009F65A8" w:rsidRDefault="009F65A8" w:rsidP="009F65A8">
      <w:r>
        <w:t xml:space="preserve">Další související problematikou je počítání času u hodinové prohry. K tomu bylo stanoveno, že okamžik zahájení rozhodného období hodinové prohry začíná běžet okamžikem zahájení hry, tedy vložením první sázky do hry technické hry </w:t>
      </w:r>
      <w:r w:rsidR="0042023F">
        <w:t>a </w:t>
      </w:r>
      <w:r>
        <w:t>rozhodným obdobím v tomto případě je jedna hodina</w:t>
      </w:r>
      <w:r>
        <w:rPr>
          <w:rStyle w:val="Znakapoznpodarou"/>
        </w:rPr>
        <w:footnoteReference w:id="30"/>
      </w:r>
      <w:r>
        <w:t xml:space="preserve">. Po dosažení jedné hodiny bez relevantní pauzy od zahájení hry dochází k vynulování času a rozhodný čas začíná běžet znovu. Pokud by účastník hazardní hry přerušil v tomto rozhodném období svou účast na technické hře, ať už například opuštěním aktivního okna hry nebo opuštěním herní pozice, pak by toto rozhodné období (ve smyslu lhůty pro výpočet nejvyšší hodinové prohry) nadále trvalo za předpokladu, že by od zahájení jeho účasti na technické hře do znovuzahájení uplynula méně než jedna hodina. </w:t>
      </w:r>
    </w:p>
    <w:p w14:paraId="4E3CDFC9" w14:textId="4416E6E3" w:rsidR="009F65A8" w:rsidRDefault="009F65A8" w:rsidP="009F65A8">
      <w:r>
        <w:t>V případě výpočtu nejvyšší hodinové prohry se dále zohledňuje případné provozování technické hry ve více měnách. V případě technických her, které jsou provozovány v jiné než české měně, je nutné částku nejvyšší hodinové prohry konkrétní technické hry převést do české měny, a to s použitím směnného kurzu ke dni, kdy byl konstrukční požadavek předmětem odborného posouzení, tedy dnem posouzení dané technické hry. Kurz musí být stanoven důvěryhodným způsobem, např. Českou národní bankou. Výši kurzu je nutné sledovat i v průběhu provozování technické hry. Pokud dojde ke změně směnného kurzu o více než 10 % a ta</w:t>
      </w:r>
      <w:r w:rsidR="0046620B">
        <w:t>to změna bude trvat déle než 30 </w:t>
      </w:r>
      <w:r>
        <w:t>kalendářních dnů, jedná se o důvod pro změnu základního povolení</w:t>
      </w:r>
      <w:r w:rsidR="0042023F">
        <w:t xml:space="preserve"> na základě nově předloženého odborného posouzení</w:t>
      </w:r>
      <w:r>
        <w:t>.</w:t>
      </w:r>
    </w:p>
    <w:p w14:paraId="2007445D" w14:textId="77777777" w:rsidR="0028190C" w:rsidRPr="0028190C" w:rsidRDefault="0028190C" w:rsidP="0028190C">
      <w:pPr>
        <w:pStyle w:val="Nadpis3"/>
      </w:pPr>
      <w:bookmarkStart w:id="54" w:name="_Toc73611615"/>
      <w:r w:rsidRPr="0028190C">
        <w:t>Konkrétní popis nástrojů, včetně oblastí, na které by bylo vhodné se v budoucnu zaměřit, a návrh doporučení či možných variant řešení</w:t>
      </w:r>
      <w:bookmarkEnd w:id="54"/>
    </w:p>
    <w:p w14:paraId="4A0CBC8A" w14:textId="77777777" w:rsidR="0028190C" w:rsidRPr="00BA7CDB" w:rsidRDefault="0028190C" w:rsidP="0028190C">
      <w:pPr>
        <w:pStyle w:val="Nadpis5"/>
        <w:numPr>
          <w:ilvl w:val="0"/>
          <w:numId w:val="29"/>
        </w:numPr>
      </w:pPr>
      <w:bookmarkStart w:id="55" w:name="_Toc73611616"/>
      <w:r>
        <w:t>Hra technické hry</w:t>
      </w:r>
      <w:bookmarkEnd w:id="55"/>
    </w:p>
    <w:p w14:paraId="65A9DD7C" w14:textId="77777777" w:rsidR="0028190C" w:rsidRDefault="0028190C" w:rsidP="003D2CF6">
      <w:pPr>
        <w:pStyle w:val="Nadpis6"/>
        <w:numPr>
          <w:ilvl w:val="0"/>
          <w:numId w:val="30"/>
        </w:numPr>
      </w:pPr>
      <w:bookmarkStart w:id="56" w:name="_Toc73611617"/>
      <w:r>
        <w:t>Herní koncept „Risk“</w:t>
      </w:r>
      <w:bookmarkEnd w:id="56"/>
    </w:p>
    <w:p w14:paraId="40A2D8B4" w14:textId="5EB20D4F" w:rsidR="0028190C" w:rsidRPr="00CB47AC" w:rsidRDefault="0028190C" w:rsidP="0028190C">
      <w:r w:rsidRPr="00CB47AC">
        <w:t>V době účinnosti zákona o loteriích byl v souvislosti s technickými hrami (resp. s loteriemi nebo jinými podobnými hrami provozovanými prostřednictvím technických, přímo obsluhovaných, zařízení) provozován tzv. „Risk“. Jedná se o herní prvek, který účastníkům hazardní hry umožnil výhru z předcházejí</w:t>
      </w:r>
      <w:r w:rsidR="00996F41">
        <w:t>cí (základní hry) riskovat, tj. </w:t>
      </w:r>
      <w:r w:rsidRPr="00CB47AC">
        <w:t xml:space="preserve">znásobit či ztratit, a to na základě dobrovolné interakce </w:t>
      </w:r>
      <w:r w:rsidR="0042023F">
        <w:t>spojené s úmyslem</w:t>
      </w:r>
      <w:r w:rsidRPr="00CB47AC">
        <w:t xml:space="preserve"> vložit </w:t>
      </w:r>
      <w:r w:rsidRPr="00CB47AC">
        <w:lastRenderedPageBreak/>
        <w:t xml:space="preserve">sázku do hazardní hry. O výsledku risku rozhodoval náhodný výsledek generátoru náhodných čísel. </w:t>
      </w:r>
    </w:p>
    <w:p w14:paraId="4260587E" w14:textId="623DB904" w:rsidR="0028190C" w:rsidRDefault="0028190C" w:rsidP="0028190C">
      <w:pPr>
        <w:rPr>
          <w:rFonts w:cs="Arial"/>
        </w:rPr>
      </w:pPr>
      <w:r w:rsidRPr="00CB47AC">
        <w:t>Z pohledu zákona o hazardních hrách je výše popsaná hra považována za novou hru ve smyslu § 50 zákona o hazardních hrách, neboť t</w:t>
      </w:r>
      <w:r w:rsidR="0027783C">
        <w:t>yto dvě hry (tj. základní hru a </w:t>
      </w:r>
      <w:r w:rsidRPr="00CB47AC">
        <w:t>následný risk) odděluje „spuštění hry“ ve smyslu § 50 odst. 1 zákona o hazardních hrách, tedy zmáčknutí herního tlačítka, které je zároveň spojeno s vůlí sázejícího vložit peněžní prostředky, se kterými účastník hazardní hry v daný okamžik disponuje, do hry.</w:t>
      </w:r>
      <w:r>
        <w:t xml:space="preserve"> Vzhledem ke skutečnosti, že „Risk“ je považován za samostatnou hru technické hry, </w:t>
      </w:r>
      <w:r>
        <w:rPr>
          <w:rFonts w:cs="Arial"/>
        </w:rPr>
        <w:t xml:space="preserve">je nutné samostatně posoudit, zda tato nová hra splňuje požadavek na </w:t>
      </w:r>
      <w:r w:rsidRPr="00A01D44">
        <w:rPr>
          <w:rFonts w:cs="Arial"/>
        </w:rPr>
        <w:t>maximální výši sázky a výhry a ostatní parametr</w:t>
      </w:r>
      <w:r w:rsidR="0042023F">
        <w:rPr>
          <w:rFonts w:cs="Arial"/>
        </w:rPr>
        <w:t>y podle zákona o </w:t>
      </w:r>
      <w:r>
        <w:rPr>
          <w:rFonts w:cs="Arial"/>
        </w:rPr>
        <w:t>hazardních hrách.</w:t>
      </w:r>
    </w:p>
    <w:p w14:paraId="052FB138" w14:textId="6A125932" w:rsidR="0028190C" w:rsidRDefault="0028190C" w:rsidP="0028190C">
      <w:pPr>
        <w:rPr>
          <w:rFonts w:cs="Arial"/>
        </w:rPr>
      </w:pPr>
      <w:r>
        <w:rPr>
          <w:rFonts w:cs="Arial"/>
        </w:rPr>
        <w:t>Provozování herního prvku „Risk“ je tedy aktuálně omezeno do určité míry skutečností, že není možné povolit tech</w:t>
      </w:r>
      <w:r w:rsidR="0042023F">
        <w:rPr>
          <w:rFonts w:cs="Arial"/>
        </w:rPr>
        <w:t>nickou hru, která umožňuje</w:t>
      </w:r>
      <w:r>
        <w:rPr>
          <w:rFonts w:cs="Arial"/>
        </w:rPr>
        <w:t xml:space="preserve"> sázky </w:t>
      </w:r>
      <w:r w:rsidR="0042023F">
        <w:rPr>
          <w:rFonts w:cs="Arial"/>
        </w:rPr>
        <w:t xml:space="preserve">o vyšší hodnotě </w:t>
      </w:r>
      <w:r>
        <w:rPr>
          <w:rFonts w:cs="Arial"/>
        </w:rPr>
        <w:t xml:space="preserve">než </w:t>
      </w:r>
      <w:r w:rsidR="0042023F">
        <w:rPr>
          <w:rFonts w:cs="Arial"/>
        </w:rPr>
        <w:t xml:space="preserve">té </w:t>
      </w:r>
      <w:r>
        <w:rPr>
          <w:rFonts w:cs="Arial"/>
        </w:rPr>
        <w:t xml:space="preserve">uvedené </w:t>
      </w:r>
      <w:r w:rsidR="0042023F">
        <w:rPr>
          <w:rFonts w:cs="Arial"/>
        </w:rPr>
        <w:t>jako maximální v zákoně o hazardních hrách.</w:t>
      </w:r>
      <w:r>
        <w:rPr>
          <w:rFonts w:cs="Arial"/>
        </w:rPr>
        <w:t xml:space="preserve"> Případná výhra by tak mohla být riskována pouze do výše maximální možné sázky. Zároveň však i tato varianta herního prvku „Risk“ může být p</w:t>
      </w:r>
      <w:r w:rsidR="00270F9B">
        <w:rPr>
          <w:rFonts w:cs="Arial"/>
        </w:rPr>
        <w:t>ovažována z hlediska vlivu na </w:t>
      </w:r>
      <w:r>
        <w:rPr>
          <w:rFonts w:cs="Arial"/>
        </w:rPr>
        <w:t>zodpovědnou účast na hazardní hře za rizikovou.</w:t>
      </w:r>
    </w:p>
    <w:p w14:paraId="11AE63D9" w14:textId="77777777" w:rsidR="0028190C" w:rsidRDefault="0028190C" w:rsidP="00CC010A">
      <w:pPr>
        <w:pStyle w:val="Nadpis7"/>
      </w:pPr>
      <w:r w:rsidRPr="00DF2033" w:rsidDel="008C3902">
        <w:t xml:space="preserve"> </w:t>
      </w:r>
      <w:r w:rsidRPr="00B02A65">
        <w:t>Varianta I. – Zachování</w:t>
      </w:r>
      <w:r>
        <w:t xml:space="preserve"> současného stavu</w:t>
      </w:r>
    </w:p>
    <w:p w14:paraId="6A393FA4" w14:textId="77777777" w:rsidR="0028190C" w:rsidRDefault="0028190C" w:rsidP="0028190C">
      <w:r>
        <w:t xml:space="preserve">Přestože není podle zákona o hazardních hrách možné povolit hru „Risk“, jejíž technické parametry by byly v rozporu s požadavky na maximální sázku a výhru, </w:t>
      </w:r>
      <w:r>
        <w:rPr>
          <w:rFonts w:cs="Arial"/>
        </w:rPr>
        <w:t xml:space="preserve">nelze vyloučit povolení takové technické hry, která bude obsahovat zákonem akceptovatelnou podobu hry „Risk“ (např. takovou, která účastníku hazardní hry umožní riskovat pouze část výhry, a to do výše maximální sázky do jedné hry). Do současné doby však takový koncept nebyl v rámci správního řízení o udělení základního povolení posuzován a nelze předjímat, zda by bylo základní povolení bez dalšího vydáno, resp. jaké podmínky řádného provozování by byly případně stanoveny. Lze uvažovat např. o omezení počtu herních prvků risk takovým způsobem, aby nedošlo </w:t>
      </w:r>
      <w:r w:rsidRPr="005467D9">
        <w:rPr>
          <w:rFonts w:cs="Arial"/>
        </w:rPr>
        <w:t>k převážení herních principů „Risku“ nad herními principy válcové (či jiné technické) hry, v rámci které by byl prvek „Risk“ provozován</w:t>
      </w:r>
      <w:r>
        <w:rPr>
          <w:rFonts w:cs="Arial"/>
        </w:rPr>
        <w:t>.</w:t>
      </w:r>
    </w:p>
    <w:p w14:paraId="314B5F2E" w14:textId="77777777" w:rsidR="0028190C" w:rsidRDefault="0028190C" w:rsidP="0028190C">
      <w:r>
        <w:t>Výhody:</w:t>
      </w:r>
    </w:p>
    <w:p w14:paraId="338F3111" w14:textId="4904D07B" w:rsidR="0028190C" w:rsidRDefault="0028190C" w:rsidP="0028190C">
      <w:r>
        <w:t>Za určitou výhodu může být považováno, že provozovatelé mohou do určité míry zatraktivnit jimi provozované hazardní hry.</w:t>
      </w:r>
    </w:p>
    <w:p w14:paraId="175A2C59" w14:textId="77777777" w:rsidR="0028190C" w:rsidRDefault="0028190C" w:rsidP="0028190C">
      <w:r>
        <w:t xml:space="preserve">Nevýhody: </w:t>
      </w:r>
    </w:p>
    <w:p w14:paraId="79641DA2" w14:textId="77777777" w:rsidR="0028190C" w:rsidRDefault="0028190C" w:rsidP="0028190C">
      <w:r>
        <w:t>Z pohledu provozovatelů hazardních her přináší tato varianta vyšší náklady na přizpůsobení nastavení technických her požadavku omezit případné vsazení výhry pouze co do</w:t>
      </w:r>
      <w:r>
        <w:rPr>
          <w:rFonts w:cs="Arial"/>
        </w:rPr>
        <w:t xml:space="preserve"> výše maximální sázky do jedné hry. Zároveň je s herním prvkem „Risk“ spojen také případný dopad na chování účastníků hazardních her, neboť těm je umožněno riskovat část již připsané či zobrazené výhry, což může vést k rizikovému jednání.</w:t>
      </w:r>
    </w:p>
    <w:p w14:paraId="10D1BEC0" w14:textId="517F827E" w:rsidR="0028190C" w:rsidRPr="00290026" w:rsidRDefault="0028190C" w:rsidP="0028190C">
      <w:pPr>
        <w:pStyle w:val="Nadpis7"/>
      </w:pPr>
      <w:r w:rsidRPr="00290026">
        <w:t>Varianta II. –</w:t>
      </w:r>
      <w:r w:rsidRPr="005E6508">
        <w:t xml:space="preserve"> Z</w:t>
      </w:r>
      <w:r w:rsidR="00CC010A">
        <w:t>ákaz</w:t>
      </w:r>
      <w:r w:rsidRPr="00290026">
        <w:t xml:space="preserve"> riskování, resp. sázení připsané či zobrazené výhry</w:t>
      </w:r>
    </w:p>
    <w:p w14:paraId="2B4E4A32" w14:textId="77777777" w:rsidR="0042023F" w:rsidRDefault="0042023F" w:rsidP="0042023F">
      <w:r>
        <w:t>Varianta by spočívala v přijetí právní úpravy, která by výslovně funkcionalitu tzv. risku nebo jí obdobné zakazovala.</w:t>
      </w:r>
    </w:p>
    <w:p w14:paraId="716F8F63" w14:textId="77777777" w:rsidR="0042023F" w:rsidRDefault="0042023F" w:rsidP="0028190C"/>
    <w:p w14:paraId="598F78A1" w14:textId="4BC220C2" w:rsidR="0028190C" w:rsidRPr="00290026" w:rsidRDefault="0028190C" w:rsidP="00270F9B">
      <w:pPr>
        <w:keepNext/>
      </w:pPr>
      <w:r w:rsidRPr="00290026">
        <w:lastRenderedPageBreak/>
        <w:t xml:space="preserve">Výhody: </w:t>
      </w:r>
    </w:p>
    <w:p w14:paraId="7013B11F" w14:textId="77777777" w:rsidR="0028190C" w:rsidRPr="00290026" w:rsidRDefault="0028190C" w:rsidP="0028190C">
      <w:r w:rsidRPr="00290026">
        <w:t>Z technické hry bude výslovně vyloučen rizikový prvek, který nese znaky rizikovější formy hazardu. Provozovatelé také nebudou moci usilovat o schválení jeho modifikovaných variant, na které se nevztahuje omezení plynoucí ze zákona o hazardních hrách (§ 50 a násl.).</w:t>
      </w:r>
    </w:p>
    <w:p w14:paraId="3E7EDD09" w14:textId="77777777" w:rsidR="0028190C" w:rsidRPr="00290026" w:rsidRDefault="0028190C" w:rsidP="0028190C">
      <w:r w:rsidRPr="00290026">
        <w:t xml:space="preserve">Nevýhody: </w:t>
      </w:r>
    </w:p>
    <w:p w14:paraId="503D80D3" w14:textId="77777777" w:rsidR="0042023F" w:rsidRDefault="0042023F" w:rsidP="0042023F">
      <w:r>
        <w:t>Z pohledu provozovatelů je tímto snížena atraktivita hraní technické hry o tento specifický prvek</w:t>
      </w:r>
      <w:r w:rsidRPr="00290026">
        <w:t xml:space="preserve">. </w:t>
      </w:r>
    </w:p>
    <w:p w14:paraId="27A45A73" w14:textId="37B25A43" w:rsidR="0028190C" w:rsidRPr="00290026" w:rsidRDefault="0028190C" w:rsidP="0028190C">
      <w:pPr>
        <w:pStyle w:val="Nadpis7"/>
      </w:pPr>
      <w:r w:rsidRPr="00290026">
        <w:t>Hodnocení variant</w:t>
      </w:r>
    </w:p>
    <w:p w14:paraId="672EBFD2" w14:textId="77777777" w:rsidR="0028190C" w:rsidRDefault="0028190C" w:rsidP="0028190C">
      <w:r w:rsidRPr="00290026">
        <w:t>Za vhodnější variantu řešení je považována varianta II., tedy varianta spočívající v legislativní úpravě zákona o hazardních hrách, resp. zákazu riskování připsané či zobrazené výhry. Současné znění zákona o hazardních hrách nelze ve vztahu k této problematice považovat za vyhovující, neboť nevylučuje možnost schválení určitých variant herního prvku „RISK“, který je považován za rizikový.</w:t>
      </w:r>
      <w:r>
        <w:t xml:space="preserve">    </w:t>
      </w:r>
    </w:p>
    <w:p w14:paraId="0781D786" w14:textId="77777777" w:rsidR="0028190C" w:rsidRDefault="0028190C" w:rsidP="003D2CF6">
      <w:pPr>
        <w:pStyle w:val="Nadpis6"/>
      </w:pPr>
      <w:bookmarkStart w:id="57" w:name="_Toc73611618"/>
      <w:r>
        <w:t>Bonusové hry zdarma</w:t>
      </w:r>
      <w:bookmarkEnd w:id="57"/>
    </w:p>
    <w:p w14:paraId="1B35E94D" w14:textId="55A363D5" w:rsidR="0028190C" w:rsidRDefault="0028190C" w:rsidP="0028190C">
      <w:r>
        <w:t>Čast</w:t>
      </w:r>
      <w:r w:rsidR="009C0341">
        <w:t>o</w:t>
      </w:r>
      <w:r>
        <w:t xml:space="preserve"> vyskytujícím </w:t>
      </w:r>
      <w:r w:rsidR="00AB4B8A">
        <w:t xml:space="preserve">se </w:t>
      </w:r>
      <w:r>
        <w:t>prvkem technické hry, z</w:t>
      </w:r>
      <w:r w:rsidR="00270F9B">
        <w:t>ejména válcových her, jsou tzv. </w:t>
      </w:r>
      <w:r>
        <w:t>bonusové hry, které lze v průběhu hraní technické hry spustit v okamžiku splnění konkrétní podmínky upravené v herním plánu v pravidlech konkrétní technické hry (např. po obdržení pevně stanovené kombinace symbolů).</w:t>
      </w:r>
    </w:p>
    <w:p w14:paraId="7E43FC98" w14:textId="55A1F07E" w:rsidR="0028190C" w:rsidRDefault="0028190C" w:rsidP="0028190C">
      <w:r>
        <w:t>Typickým příkladem bonusové hry u válcových her jsou</w:t>
      </w:r>
      <w:r w:rsidR="00270F9B">
        <w:t xml:space="preserve"> tzv. volná otočení válců (tzv. </w:t>
      </w:r>
      <w:r>
        <w:t xml:space="preserve">„freespiny“), kdy </w:t>
      </w:r>
      <w:r w:rsidR="00B45123">
        <w:t>účastník hazardní hry</w:t>
      </w:r>
      <w:r>
        <w:t xml:space="preserve"> obdrží v základní hře výherní kombinaci symbolů, která spustí určitý počet volných otočení válců bez odečtení další sázky do hry. Tato opakovaná volná otočení nelze posuzovat jako samostatné hry technické hry (z důvodu neexistence sázky do hry) a lze je z pohledu zákona o hazardních hrách posuzovat jako dílčí součást hry dané technické hry, v rámci kte</w:t>
      </w:r>
      <w:r w:rsidR="0046620B">
        <w:t>ré byla daná otočení spuštěna</w:t>
      </w:r>
      <w:r>
        <w:t>.</w:t>
      </w:r>
      <w:r w:rsidR="00AB4B8A">
        <w:t xml:space="preserve"> Nelze je tak považovat za hry, ve kterých by sázku do hry za sázejícího vkládal provozovatel.</w:t>
      </w:r>
      <w:r>
        <w:t xml:space="preserve">  </w:t>
      </w:r>
    </w:p>
    <w:p w14:paraId="113E5A51" w14:textId="0F680642" w:rsidR="0028190C" w:rsidRDefault="0028190C" w:rsidP="0028190C">
      <w:pPr>
        <w:pStyle w:val="Nadpis7"/>
      </w:pPr>
      <w:r>
        <w:t xml:space="preserve">Varianta I. – </w:t>
      </w:r>
      <w:r w:rsidR="00585EA7">
        <w:t xml:space="preserve">Zachování </w:t>
      </w:r>
      <w:r>
        <w:t>současného stavu</w:t>
      </w:r>
    </w:p>
    <w:p w14:paraId="201B9C16" w14:textId="77777777" w:rsidR="0028190C" w:rsidRPr="005E6508" w:rsidRDefault="0028190C" w:rsidP="0028190C">
      <w:r>
        <w:t xml:space="preserve">Možným řešením by bylo zachování současného stavu, kdy v souladu s definicí jedné hry obsažené v § 50 odst. 1 zákona o hazardních hrách nejsou tzv. freespiny považovány za samostatnou hru </w:t>
      </w:r>
    </w:p>
    <w:p w14:paraId="5E3FB67B" w14:textId="77777777" w:rsidR="0028190C" w:rsidRDefault="0028190C" w:rsidP="0028190C">
      <w:r>
        <w:t>Výhody:</w:t>
      </w:r>
    </w:p>
    <w:p w14:paraId="4D487941" w14:textId="0E69404D" w:rsidR="0028190C" w:rsidRPr="005E6508" w:rsidRDefault="0028190C" w:rsidP="00AA3E49">
      <w:r>
        <w:t xml:space="preserve">Pozitivní dopady ponechání možnosti nabízet tzv. freespiny jako součást jedné hry technické hry spočívají zejména </w:t>
      </w:r>
      <w:r w:rsidR="00AB4B8A">
        <w:t xml:space="preserve">v </w:t>
      </w:r>
      <w:r>
        <w:t>ponechání atraktivity hry pro účastníky hazardních her, přičemž zároveň není přítomno riziko zv</w:t>
      </w:r>
      <w:r w:rsidR="00AA3E49">
        <w:t>ýšení vložené sázky, neboť tzv. </w:t>
      </w:r>
      <w:r>
        <w:t>freespiny jsou typické tím, že nevyžaduj</w:t>
      </w:r>
      <w:r w:rsidR="00AA3E49">
        <w:t>í sázku do hry a jedná se tak o </w:t>
      </w:r>
      <w:r>
        <w:t>vizualizaci hazardní hry. Umožnění provozování tohoto prvku zároveň může snížit motivaci účastníků hazardních her účastnit se hazardní hry u nelegálních provozovatelů.</w:t>
      </w:r>
      <w:r w:rsidRPr="005E6508">
        <w:t xml:space="preserve"> </w:t>
      </w:r>
    </w:p>
    <w:p w14:paraId="70609404" w14:textId="77777777" w:rsidR="0028190C" w:rsidRPr="00AD5EAF" w:rsidRDefault="0028190C" w:rsidP="00AB4B8A">
      <w:pPr>
        <w:keepNext/>
      </w:pPr>
      <w:r w:rsidRPr="000F0CBA">
        <w:lastRenderedPageBreak/>
        <w:t>Nevýhody:</w:t>
      </w:r>
      <w:r w:rsidRPr="00AD5EAF">
        <w:t xml:space="preserve"> </w:t>
      </w:r>
    </w:p>
    <w:p w14:paraId="441B62C0" w14:textId="77777777" w:rsidR="0028190C" w:rsidRDefault="0028190C" w:rsidP="0028190C">
      <w:r>
        <w:t xml:space="preserve">Negativní dopady tohoto řešení mohou spočívat zejména v možném podpoření účasti na hazardní hře, kdy ačkoli účastník hazardní hry nevkládá další sázku, aktivně se účastní hazardní hry a jeho prožitek je intenzivnější a po delší časový úsek. </w:t>
      </w:r>
    </w:p>
    <w:p w14:paraId="69A83EFB" w14:textId="77777777" w:rsidR="0028190C" w:rsidRDefault="0028190C" w:rsidP="0028190C">
      <w:pPr>
        <w:pStyle w:val="Nadpis7"/>
      </w:pPr>
      <w:r>
        <w:t>Varianta II. – Omezení možnosti nabízet tzv. freespiny</w:t>
      </w:r>
    </w:p>
    <w:p w14:paraId="76851E36" w14:textId="77777777" w:rsidR="0028190C" w:rsidRPr="005E6508" w:rsidRDefault="0028190C" w:rsidP="0028190C">
      <w:r>
        <w:t>Možným řešením by mohl být zákaz provozování tzv. freespinů jako součásti jedné hry technické hry. Tento zákaz by byl proveden na úrovni zákona o hazardních hrách.</w:t>
      </w:r>
    </w:p>
    <w:p w14:paraId="6BE5078F" w14:textId="77777777" w:rsidR="0028190C" w:rsidRPr="00AD5EAF" w:rsidRDefault="0028190C" w:rsidP="0028190C">
      <w:r w:rsidRPr="000F0CBA">
        <w:t>Výhody:</w:t>
      </w:r>
      <w:r w:rsidRPr="00AD5EAF">
        <w:t xml:space="preserve"> </w:t>
      </w:r>
    </w:p>
    <w:p w14:paraId="4C5FE239" w14:textId="77777777" w:rsidR="0028190C" w:rsidRDefault="0028190C" w:rsidP="0028190C">
      <w:r>
        <w:t xml:space="preserve">Výhodou navrhovaného řešení by bylo s největší pravděpodobností snížení atraktivity technické hry, což by mohlo mít vliv na snížení účasti na hazardní hře.   </w:t>
      </w:r>
    </w:p>
    <w:p w14:paraId="1576867E" w14:textId="77777777" w:rsidR="0028190C" w:rsidRPr="00AD5EAF" w:rsidRDefault="0028190C" w:rsidP="0028190C">
      <w:r w:rsidRPr="000F0CBA">
        <w:t>Nevýhody:</w:t>
      </w:r>
      <w:r w:rsidRPr="00AD5EAF">
        <w:t xml:space="preserve"> </w:t>
      </w:r>
    </w:p>
    <w:p w14:paraId="7F1244D2" w14:textId="77777777" w:rsidR="0028190C" w:rsidRDefault="0028190C" w:rsidP="0028190C">
      <w:pPr>
        <w:rPr>
          <w:bCs/>
        </w:rPr>
      </w:pPr>
      <w:r>
        <w:rPr>
          <w:bCs/>
        </w:rPr>
        <w:t xml:space="preserve">Bonusové hry ve formě volných otočení jsou s ohledem na jejich zastoupení na trhu takřka neodmyslitelnou součástí technických her. Možné omezení nabízet tzv. freespiny by tak mohlo mít dopad jak na náklady na straně provozovatelů, kteří by s největší pravděpodobností museli upravit nastavení jednotlivých technických her, tak i možnou zvýšenou poptávku po nelegálně provozovaných hazardních hrách, které tento prvek obsahují.  </w:t>
      </w:r>
    </w:p>
    <w:p w14:paraId="7AE71D34" w14:textId="77777777" w:rsidR="0028190C" w:rsidRDefault="0028190C" w:rsidP="0028190C">
      <w:pPr>
        <w:pStyle w:val="Nadpis7"/>
      </w:pPr>
      <w:r w:rsidRPr="00AD5EAF">
        <w:t>Hodnocení</w:t>
      </w:r>
      <w:r>
        <w:t xml:space="preserve"> variant</w:t>
      </w:r>
    </w:p>
    <w:p w14:paraId="0F5849E8" w14:textId="18929417" w:rsidR="0028190C" w:rsidRDefault="0028190C" w:rsidP="0028190C">
      <w:r>
        <w:t xml:space="preserve">Vhodnější variantou se jeví varianta I., tedy ponechání současného stavu, a to zejména z důvodu </w:t>
      </w:r>
      <w:r w:rsidR="00AB4B8A">
        <w:t xml:space="preserve">rizika stanovení </w:t>
      </w:r>
      <w:r>
        <w:t xml:space="preserve">nadměrně restriktivních podmínek provozování technické hry, což by mohlo mít dopad na zvýšení motivace účastníků hazardních her po nelegální nabídce technických her. </w:t>
      </w:r>
    </w:p>
    <w:p w14:paraId="4918000E" w14:textId="4771D0BC" w:rsidR="0028190C" w:rsidRPr="008B5B75" w:rsidRDefault="0028190C" w:rsidP="003D2CF6">
      <w:pPr>
        <w:pStyle w:val="Nadpis6"/>
      </w:pPr>
      <w:bookmarkStart w:id="58" w:name="_Toc73611619"/>
      <w:r w:rsidRPr="008B5B75">
        <w:t xml:space="preserve">Interakce účastníka hazardní hry </w:t>
      </w:r>
      <w:r w:rsidR="00CC010A">
        <w:t>a jeh</w:t>
      </w:r>
      <w:r w:rsidR="00890306">
        <w:t>o</w:t>
      </w:r>
      <w:r w:rsidR="00CC010A">
        <w:t xml:space="preserve"> vliv na výsledek hazardní hry</w:t>
      </w:r>
      <w:bookmarkEnd w:id="58"/>
    </w:p>
    <w:p w14:paraId="38C6EA75" w14:textId="7179DD97" w:rsidR="0028190C" w:rsidRDefault="0028190C" w:rsidP="0028190C">
      <w:pPr>
        <w:rPr>
          <w:bCs/>
        </w:rPr>
      </w:pPr>
      <w:r>
        <w:t xml:space="preserve">U veškerých interakcí </w:t>
      </w:r>
      <w:r w:rsidR="00B45123">
        <w:t>účastníka hazardní hry</w:t>
      </w:r>
      <w:r>
        <w:t xml:space="preserve">, které jsou v průběhu hry technické hry činěny, je nutné zhodnotit, zda mají či nemají vliv na </w:t>
      </w:r>
      <w:r w:rsidR="00AB4B8A">
        <w:t>výsledek hry technické hry, tj. </w:t>
      </w:r>
      <w:r>
        <w:t xml:space="preserve">zda se jedná pouze o vizualizaci konkrétní hry, nebo zda tyto interakce ovlivňují výsledek hry. </w:t>
      </w:r>
    </w:p>
    <w:p w14:paraId="421D6E62" w14:textId="2C575679" w:rsidR="0028190C" w:rsidRDefault="0028190C" w:rsidP="0028190C">
      <w:pPr>
        <w:rPr>
          <w:bCs/>
        </w:rPr>
      </w:pPr>
      <w:r>
        <w:rPr>
          <w:bCs/>
        </w:rPr>
        <w:t>V souladu se správní praxí je možné provozovat takové technické hry, ve kterých účastník hazardní hry provádí interakce</w:t>
      </w:r>
      <w:r>
        <w:rPr>
          <w:rStyle w:val="Znakapoznpodarou"/>
          <w:bCs/>
        </w:rPr>
        <w:footnoteReference w:id="31"/>
      </w:r>
      <w:r>
        <w:rPr>
          <w:bCs/>
        </w:rPr>
        <w:t xml:space="preserve">, které ačkoli mohou vyvolávat zdání, že ovlivňují výsledek hry, nemají vliv na výsledek hry, což dokládají jak pravidla hry obsažená v herních plánech provozovatele, tak i odborná posouzení pověřených osob. </w:t>
      </w:r>
      <w:r w:rsidR="00AB4B8A">
        <w:rPr>
          <w:bCs/>
        </w:rPr>
        <w:t>Problematickou pak může být dostatečná informovanost sázejícího o povaze dané interakce.</w:t>
      </w:r>
    </w:p>
    <w:p w14:paraId="7E20844F" w14:textId="59A2786F" w:rsidR="0028190C" w:rsidRDefault="0028190C" w:rsidP="0028190C">
      <w:pPr>
        <w:pStyle w:val="Nadpis7"/>
      </w:pPr>
      <w:r>
        <w:t xml:space="preserve">Varianta I. – </w:t>
      </w:r>
      <w:r w:rsidR="00585EA7">
        <w:t xml:space="preserve">Zachování </w:t>
      </w:r>
      <w:r>
        <w:t>současného stavu</w:t>
      </w:r>
    </w:p>
    <w:p w14:paraId="4080BB51" w14:textId="22349BBE" w:rsidR="0028190C" w:rsidRDefault="0028190C" w:rsidP="0028190C">
      <w:r>
        <w:t>Možným řešením by mohlo být ponechání současného stavu, kdy</w:t>
      </w:r>
      <w:r w:rsidR="00AB4B8A">
        <w:t xml:space="preserve"> by</w:t>
      </w:r>
      <w:r>
        <w:t xml:space="preserve"> </w:t>
      </w:r>
      <w:r w:rsidR="00AB4B8A">
        <w:t>i</w:t>
      </w:r>
      <w:r>
        <w:t xml:space="preserve">nformovanost účastníka </w:t>
      </w:r>
      <w:r w:rsidR="00AB4B8A">
        <w:t>hry o povaze těchto interakcí</w:t>
      </w:r>
      <w:r>
        <w:t xml:space="preserve"> byla i nadále požadována v rámci herních </w:t>
      </w:r>
      <w:r>
        <w:lastRenderedPageBreak/>
        <w:t>plánů.</w:t>
      </w:r>
      <w:r w:rsidR="00AB4B8A">
        <w:t xml:space="preserve"> Na základě dobrovolnosti by provozovatel mohl informovat o povaze interakce i jiným způsobem.</w:t>
      </w:r>
    </w:p>
    <w:p w14:paraId="259EEC91" w14:textId="77777777" w:rsidR="0028190C" w:rsidRDefault="0028190C" w:rsidP="00270F9B">
      <w:pPr>
        <w:keepNext/>
      </w:pPr>
      <w:r>
        <w:t>Výhody:</w:t>
      </w:r>
    </w:p>
    <w:p w14:paraId="5CE63DDB" w14:textId="77777777" w:rsidR="0028190C" w:rsidRPr="005E6508" w:rsidRDefault="0028190C" w:rsidP="0028190C">
      <w:r>
        <w:t>Výhody nebyly shledány.</w:t>
      </w:r>
    </w:p>
    <w:p w14:paraId="07DFE9D5" w14:textId="77777777" w:rsidR="0028190C" w:rsidRDefault="0028190C" w:rsidP="0028190C">
      <w:r>
        <w:t xml:space="preserve">Nevýhody: </w:t>
      </w:r>
    </w:p>
    <w:p w14:paraId="341A39BE" w14:textId="77777777" w:rsidR="0028190C" w:rsidRDefault="0028190C" w:rsidP="0028190C">
      <w:pPr>
        <w:rPr>
          <w:b/>
          <w:bCs/>
        </w:rPr>
      </w:pPr>
      <w:r>
        <w:t>Ačkoli jsou účastníci hazardní hry informováni o povaze své interakce v průběhu technické hry, a to formou informace v herním plánu, lze se důvodně domnívat, že tato forma není dostatečná, neboť v průběhu účasti na technické hře jako celku dochází k účasti na různých technických hrách (ve smyslu technické hry „Válcová hra I., Válcová hra II.) a účastníci hazardních her v zaujetí hrou herní plán podrobně nevyhodnocují.</w:t>
      </w:r>
    </w:p>
    <w:p w14:paraId="6D25EBB0" w14:textId="19AC882C" w:rsidR="0028190C" w:rsidRPr="00302596" w:rsidRDefault="0028190C" w:rsidP="0028190C">
      <w:pPr>
        <w:pStyle w:val="Nadpis7"/>
      </w:pPr>
      <w:r w:rsidRPr="00302596">
        <w:t>Varianta II. – Stanovení doplňujícího způsobu informo</w:t>
      </w:r>
      <w:r w:rsidR="0027783C">
        <w:t>vání účastníků hazardních her o </w:t>
      </w:r>
      <w:r w:rsidRPr="00302596">
        <w:t xml:space="preserve">povaze interakce </w:t>
      </w:r>
    </w:p>
    <w:p w14:paraId="62CFAB95" w14:textId="69DFED35" w:rsidR="0028190C" w:rsidRPr="005E6508" w:rsidRDefault="0028190C" w:rsidP="0028190C">
      <w:r w:rsidRPr="005E6508">
        <w:t xml:space="preserve">Možným řešením by mohlo být </w:t>
      </w:r>
      <w:r>
        <w:t>stanovení povinnosti provozovatelům technické hry, která obsahuje prvky interakce účastníka hazardní hry, informovat účastník</w:t>
      </w:r>
      <w:r w:rsidR="00AB4B8A">
        <w:t>a hazardní hry o skutečnosti, zda</w:t>
      </w:r>
      <w:r>
        <w:t xml:space="preserve"> jeho rozhodnutí nemají na výsledek hry vliv, přímo v konkrétní hře, přičemž formu toho upozornění je nutné dále analyzovat. Jako možná varianta se jeví např. pop-up okno zobrazené před zahájením hry. </w:t>
      </w:r>
    </w:p>
    <w:p w14:paraId="53F65BA7" w14:textId="77777777" w:rsidR="0028190C" w:rsidRDefault="0028190C" w:rsidP="0028190C">
      <w:r>
        <w:t xml:space="preserve">Výhody: </w:t>
      </w:r>
    </w:p>
    <w:p w14:paraId="2D26FE6B" w14:textId="6E3BF59F" w:rsidR="0028190C" w:rsidRDefault="0028190C" w:rsidP="0028190C">
      <w:r>
        <w:t xml:space="preserve">Výhodou navrhovaného řešení je zejména zvýšení informovanosti účastníka hazardní hry o povaze své interakce. Tento způsob informování by mohl mít pozitivní dopad na zodpovědné chování </w:t>
      </w:r>
      <w:r w:rsidR="00B45123">
        <w:t>účastníka hazardní hry</w:t>
      </w:r>
      <w:r>
        <w:t xml:space="preserve">, který by nenabýval dojmu, že svým chováním může výsledek hry ovlivnit např. tím, že se „naučí“ konkrétní úkon lépe intenzivnější hrou hazardní hry. </w:t>
      </w:r>
    </w:p>
    <w:p w14:paraId="4BFB262A" w14:textId="77777777" w:rsidR="0028190C" w:rsidRDefault="0028190C" w:rsidP="0028190C">
      <w:r>
        <w:t xml:space="preserve">Nevýhody: </w:t>
      </w:r>
    </w:p>
    <w:p w14:paraId="7CF3E42F" w14:textId="77777777" w:rsidR="0028190C" w:rsidRDefault="0028190C" w:rsidP="0028190C">
      <w:r>
        <w:t xml:space="preserve">Nevýhodou navrhované varianty jsou náklady, které mohou vzniknout provozovatelům v důsledku implementace uvedeného opatření. </w:t>
      </w:r>
    </w:p>
    <w:p w14:paraId="3385D17E" w14:textId="77777777" w:rsidR="0028190C" w:rsidRDefault="0028190C" w:rsidP="0028190C">
      <w:pPr>
        <w:pStyle w:val="Nadpis7"/>
      </w:pPr>
      <w:r>
        <w:t>Hodnocení variant</w:t>
      </w:r>
    </w:p>
    <w:p w14:paraId="2FC29056" w14:textId="036AD15D" w:rsidR="0028190C" w:rsidRDefault="0028190C" w:rsidP="0028190C">
      <w:r>
        <w:t xml:space="preserve">Jako vhodné řešení se jeví využití varianty II., tedy zintenzivnit informovanost účastníků hazardních her. Je však nutné dále analyzovat vhodný způsob poskytnutí informací tak, aby byly tyto informace pro účastníka hazardní hry </w:t>
      </w:r>
      <w:r w:rsidR="0027783C">
        <w:t>srozumitelné a </w:t>
      </w:r>
      <w:r>
        <w:t>nedošlo tak k jeho zahlcení. Dále je nutné zohlednit také technické možnosti zejména technických zařízení v hernách a k</w:t>
      </w:r>
      <w:r w:rsidR="008D70C0">
        <w:t>asi</w:t>
      </w:r>
      <w:r w:rsidR="0027783C">
        <w:t>nech, neboť již dnes zákon o </w:t>
      </w:r>
      <w:r>
        <w:t xml:space="preserve">hazardních hrách ukládá povinnost informovat účastníka hazardních her o řadě skutečností, které mají za cíl podpořit jeho zodpovědné chování. </w:t>
      </w:r>
    </w:p>
    <w:p w14:paraId="56280A9C" w14:textId="77777777" w:rsidR="0028190C" w:rsidRDefault="0028190C" w:rsidP="003D2CF6">
      <w:pPr>
        <w:pStyle w:val="Nadpis6"/>
        <w:rPr>
          <w:color w:val="FF0000"/>
        </w:rPr>
      </w:pPr>
      <w:bookmarkStart w:id="59" w:name="_Toc73611620"/>
      <w:r>
        <w:t>Jackpot</w:t>
      </w:r>
      <w:bookmarkEnd w:id="59"/>
    </w:p>
    <w:p w14:paraId="592BD491" w14:textId="77777777" w:rsidR="0028190C" w:rsidRDefault="0028190C" w:rsidP="0028190C">
      <w:r>
        <w:t xml:space="preserve">Častým prvkem, který je obsažen v technických hrách (zejména pak válcové hře) jsou tzv. jackpoty. Jackpoty netvoří nedílnou součást jednotlivých technických her, ale </w:t>
      </w:r>
      <w:r>
        <w:lastRenderedPageBreak/>
        <w:t>jedná se nadřazené prvky, které mohou být na jednotlivé technické hry napojeny</w:t>
      </w:r>
      <w:r>
        <w:rPr>
          <w:rStyle w:val="Znakapoznpodarou"/>
        </w:rPr>
        <w:footnoteReference w:id="32"/>
      </w:r>
      <w:r>
        <w:t>. Jackpot zpravidla pro určení výsledku využívá generátor náhodných čísel, který generuje výsledky nezávisle. Zároveň však jackpot není samostatnou hrou ve smyslu § 50 zákona o hazardních hrách a musí tedy umožnit dodržování relevantních požadavků stanovených v zákoně o hazardních hrách, např.</w:t>
      </w:r>
      <w:r w:rsidRPr="00686C8A">
        <w:t xml:space="preserve"> </w:t>
      </w:r>
      <w:r>
        <w:t>ne</w:t>
      </w:r>
      <w:r w:rsidRPr="00686C8A">
        <w:t>umožnit výp</w:t>
      </w:r>
      <w:r>
        <w:t>laty vyšší než maximální výhry nebo negativně ovlivnit</w:t>
      </w:r>
      <w:r w:rsidRPr="00686C8A">
        <w:t xml:space="preserve"> výherní podíl</w:t>
      </w:r>
      <w:r>
        <w:t>.</w:t>
      </w:r>
      <w:r w:rsidRPr="00686C8A">
        <w:t xml:space="preserve"> </w:t>
      </w:r>
      <w:r>
        <w:t xml:space="preserve">Jackpot je vždy posuzován jako součást každé jednotlivé hry technické hry, v rámci které je aktivován (resp. jako dílčí proces generování výsledku každé hry technické hry).  </w:t>
      </w:r>
    </w:p>
    <w:p w14:paraId="0186ACF9" w14:textId="77777777" w:rsidR="0028190C" w:rsidRDefault="0028190C" w:rsidP="0028190C">
      <w:r>
        <w:t xml:space="preserve">Z pohledu zákona o hazardních hrách je provozování jackpotů do jisté míry omezeno § 50 zákona o hazardních hrách, který zakazuje, aby v průběhu jedné hry technické hry byly uskutečňovány další sázky do hry. </w:t>
      </w:r>
      <w:r w:rsidRPr="009374FA">
        <w:t>Nen</w:t>
      </w:r>
      <w:r>
        <w:t xml:space="preserve">í tedy možné povolit jackpot, jehož spuštění by bylo </w:t>
      </w:r>
      <w:r w:rsidRPr="008725D1">
        <w:t>spojeno</w:t>
      </w:r>
      <w:r>
        <w:t xml:space="preserve"> s odečtením další sázky (resp. odečtením poměrné částky od uskutečněné sázky sázejícím). </w:t>
      </w:r>
    </w:p>
    <w:p w14:paraId="26A68E52" w14:textId="431D74D4" w:rsidR="0028190C" w:rsidRDefault="0028190C" w:rsidP="0028190C">
      <w:r>
        <w:t xml:space="preserve">Výsledek jackpotu je generován společně s výsledkem jednotlivé hry technické hry, na kterou je </w:t>
      </w:r>
      <w:r w:rsidRPr="00C76865">
        <w:t xml:space="preserve">jackpot napojen, a jeho výše je </w:t>
      </w:r>
      <w:r w:rsidR="00AB4B8A">
        <w:t>vypočtena</w:t>
      </w:r>
      <w:r w:rsidRPr="00C76865">
        <w:t xml:space="preserve"> z poměrné částky každé uskutečněné sázky sázejícím</w:t>
      </w:r>
      <w:r>
        <w:t xml:space="preserve"> (nejedná se o samostatnou sázku)</w:t>
      </w:r>
      <w:r w:rsidRPr="00C76865">
        <w:t>. Provozovatel může nastavovat poměrnou částku z každé uskutečněné sázky, přičemž</w:t>
      </w:r>
      <w:r>
        <w:t xml:space="preserve"> v herním plánu musí uvést, v jakém rozmezí je možné </w:t>
      </w:r>
      <w:r w:rsidR="00AB4B8A" w:rsidRPr="00C76865">
        <w:t>poměrnou částku z každé uskutečněné sázky</w:t>
      </w:r>
      <w:r w:rsidR="00AB4B8A">
        <w:t>, pomocí které se jackpot stanovuje,</w:t>
      </w:r>
      <w:r>
        <w:t xml:space="preserve"> nastavit (např. v procentuálním vyjádření). Tyto údaje musejí být rovněž ověřeny pověřenou osobou odborného posuzování. </w:t>
      </w:r>
    </w:p>
    <w:p w14:paraId="5EAEACAA" w14:textId="77777777" w:rsidR="0028190C" w:rsidRDefault="0028190C" w:rsidP="0028190C">
      <w:r>
        <w:t>Vzhledem ke skutečnosti, že jackpot je považován za součást hry technické hry, v rámci které je aktivován, musí být dodrženy podmínky stanovené zákonem pro jednu hru technické hry. Výhra jackpotu tak nesmí překročit zákonem o hazardních hrách stanovený limit, a to ani v součtu s případnou výhrou ze základní hry (50 000 Kč u technické hry provozované v herně, 500 0000 Kč u technické hry provozované v kasinu či na veřejné síti internet). Tyto skutečnosti jsou rovněž předmětem odborného posuzování. Zároveň je nutné zajistit, aby jackpot neovlivnil ověřený výherní podíl dané technické hry.</w:t>
      </w:r>
    </w:p>
    <w:p w14:paraId="6E22E908" w14:textId="521C9BB0" w:rsidR="0028190C" w:rsidRDefault="0028190C" w:rsidP="0028190C">
      <w:r w:rsidRPr="00341B32">
        <w:t>Výše uvedené podmínky provozování jackpotů však nebrání tomu, aby jackpoty zvyšovaly poptávku po technických hrách, které jackpot obsahují, neboť takové hry mohou v účastnících hazardních her vytvářet dojem, že je možné získat atraktivnější výhru.</w:t>
      </w:r>
      <w:r>
        <w:t xml:space="preserve"> </w:t>
      </w:r>
    </w:p>
    <w:p w14:paraId="2E8D9331" w14:textId="7BBB1D9D" w:rsidR="009B46A7" w:rsidRDefault="009B46A7" w:rsidP="0028190C">
      <w:r>
        <w:t>Varianta I. – Zachování současného stavu</w:t>
      </w:r>
    </w:p>
    <w:p w14:paraId="546C0EBD" w14:textId="477D30BE" w:rsidR="009B46A7" w:rsidRDefault="009B46A7" w:rsidP="0028190C">
      <w:r>
        <w:t xml:space="preserve">Možným řešením by mohlo být ponechání současného stavu, kdy provozování jackpotu je možné, nicméně vzhledem ke skutečnosti, že </w:t>
      </w:r>
      <w:r w:rsidR="001C0488">
        <w:t xml:space="preserve">jackpot </w:t>
      </w:r>
      <w:r>
        <w:t>je součástí konkrétní technické hry, podléhá limitům maximálních výher stanovených pro technickou hru v </w:t>
      </w:r>
      <w:r w:rsidR="00287CEC">
        <w:t xml:space="preserve">§ </w:t>
      </w:r>
      <w:r>
        <w:t xml:space="preserve">52 zákona o hazardních hrách. </w:t>
      </w:r>
    </w:p>
    <w:p w14:paraId="08D6C63B" w14:textId="5217C05A" w:rsidR="001C0488" w:rsidRDefault="001C0488" w:rsidP="0028190C">
      <w:r>
        <w:t>Výhody:</w:t>
      </w:r>
    </w:p>
    <w:p w14:paraId="743B1E79" w14:textId="5ED4899E" w:rsidR="001C0488" w:rsidRDefault="001C0488" w:rsidP="0028190C">
      <w:r>
        <w:t xml:space="preserve">Výhodou zachování současného stavu by byla možnost provozovatelů i nadále jackpot účastníkům hazardních her nabízet, a to ve stejné formě jako dosud. </w:t>
      </w:r>
    </w:p>
    <w:p w14:paraId="1AB05DD9" w14:textId="6FCEACF3" w:rsidR="001C0488" w:rsidRDefault="001C0488" w:rsidP="0028190C">
      <w:r>
        <w:t>Nevýhody:</w:t>
      </w:r>
    </w:p>
    <w:p w14:paraId="27A00F3A" w14:textId="25805E8C" w:rsidR="009B46A7" w:rsidRDefault="001C0488" w:rsidP="0028190C">
      <w:r>
        <w:lastRenderedPageBreak/>
        <w:t>Nevýhodou může být skutečnost, že jackpoty mohou zvyšovat</w:t>
      </w:r>
      <w:r w:rsidRPr="00341B32">
        <w:t xml:space="preserve"> poptávku po technických hrách, které jackpot obsahují, neboť takové hry mohou v účastnících hazardních her vytvářet dojem, že je možné získat atraktivnější výhru.</w:t>
      </w:r>
      <w:r>
        <w:t xml:space="preserve"> </w:t>
      </w:r>
      <w:r w:rsidR="00EC7279">
        <w:t xml:space="preserve">Zároveň však nastavené limity mohou v některých případech motivovat účastníka hazardní hry k přechodu k nelegálním provozovatelům, kteří mohou nabízet atraktivnější jackpoty. </w:t>
      </w:r>
    </w:p>
    <w:p w14:paraId="4C52D663" w14:textId="7ED3F4FF" w:rsidR="0028190C" w:rsidRDefault="0028190C" w:rsidP="0028190C">
      <w:pPr>
        <w:pStyle w:val="Nadpis7"/>
        <w:rPr>
          <w:bCs/>
        </w:rPr>
      </w:pPr>
      <w:r>
        <w:t xml:space="preserve">Varianta </w:t>
      </w:r>
      <w:r w:rsidR="009B46A7">
        <w:t>II</w:t>
      </w:r>
      <w:r>
        <w:t>. – Zákaz jackpotu</w:t>
      </w:r>
      <w:r>
        <w:rPr>
          <w:bCs/>
        </w:rPr>
        <w:t xml:space="preserve"> </w:t>
      </w:r>
    </w:p>
    <w:p w14:paraId="20F75ED2" w14:textId="77777777" w:rsidR="0028190C" w:rsidRDefault="0028190C" w:rsidP="0028190C">
      <w:r>
        <w:t>Možným řešením by mohl být zákaz provozování jackpotů, který by byl stanoven na úrovni zákona o hazardních.</w:t>
      </w:r>
    </w:p>
    <w:p w14:paraId="4CFD635F" w14:textId="77777777" w:rsidR="0028190C" w:rsidRDefault="0028190C" w:rsidP="0028190C">
      <w:r>
        <w:t>Výhody:</w:t>
      </w:r>
    </w:p>
    <w:p w14:paraId="2FDA1F7C" w14:textId="77777777" w:rsidR="0028190C" w:rsidRPr="005E6508" w:rsidRDefault="0028190C" w:rsidP="0028190C">
      <w:r>
        <w:t>Pozitivní dopad by měl navrhovaný způsob řešení na ochranu účastníků hazardních her, neboť ti by nebyli motivováni případnou vidinou vyšší výhry spočívající v získání jackpotu.</w:t>
      </w:r>
    </w:p>
    <w:p w14:paraId="5DF6A812" w14:textId="77777777" w:rsidR="0028190C" w:rsidRDefault="0028190C" w:rsidP="00F77D2F">
      <w:pPr>
        <w:keepNext/>
      </w:pPr>
      <w:r>
        <w:t xml:space="preserve">Nevýhody: </w:t>
      </w:r>
    </w:p>
    <w:p w14:paraId="5A9A9414" w14:textId="77777777" w:rsidR="0028190C" w:rsidRDefault="0028190C" w:rsidP="0028190C">
      <w:r>
        <w:t xml:space="preserve">Jackpoty jsou obdobně jako bonusové hry takřka neodmyslitelnou součástí technických her, a proto by jejich zákaz mohl zapříčinit zvýšení poptávky po nelegálně provozovaných hazardních hrách. </w:t>
      </w:r>
    </w:p>
    <w:p w14:paraId="772F9F6D" w14:textId="1E823D8E" w:rsidR="0028190C" w:rsidRPr="008B2820" w:rsidRDefault="0028190C" w:rsidP="0028190C">
      <w:pPr>
        <w:pStyle w:val="Nadpis7"/>
      </w:pPr>
      <w:r w:rsidRPr="008B2820">
        <w:t>Varianta I</w:t>
      </w:r>
      <w:r>
        <w:t>I</w:t>
      </w:r>
      <w:r w:rsidR="009B46A7">
        <w:t>I</w:t>
      </w:r>
      <w:r w:rsidRPr="008B2820">
        <w:t xml:space="preserve">. – Povinnost </w:t>
      </w:r>
      <w:r>
        <w:t>nezobrazit</w:t>
      </w:r>
      <w:r w:rsidR="00F77D2F">
        <w:t xml:space="preserve"> konkrétní výši</w:t>
      </w:r>
      <w:r w:rsidRPr="008B2820">
        <w:t xml:space="preserve"> jackpotu</w:t>
      </w:r>
    </w:p>
    <w:p w14:paraId="79040278" w14:textId="77777777" w:rsidR="0028190C" w:rsidRPr="005E6508" w:rsidRDefault="0028190C" w:rsidP="0028190C">
      <w:pPr>
        <w:rPr>
          <w:rFonts w:cs="Arial"/>
        </w:rPr>
      </w:pPr>
      <w:r w:rsidRPr="005E6508">
        <w:t xml:space="preserve">Možnou variantou řešení by mohlo být uložení </w:t>
      </w:r>
      <w:r>
        <w:t>zákazu</w:t>
      </w:r>
      <w:r w:rsidRPr="005E6508">
        <w:t xml:space="preserve"> provozovateli informovat účastníka hazardní hry o</w:t>
      </w:r>
      <w:r>
        <w:t xml:space="preserve"> maximální dosažitelné</w:t>
      </w:r>
      <w:r w:rsidRPr="005E6508">
        <w:t xml:space="preserve"> výši jackpotu</w:t>
      </w:r>
      <w:r>
        <w:t xml:space="preserve">. </w:t>
      </w:r>
    </w:p>
    <w:p w14:paraId="29DFA8C3" w14:textId="77777777" w:rsidR="0028190C" w:rsidRDefault="0028190C" w:rsidP="0028190C">
      <w:r>
        <w:t>Výhody:</w:t>
      </w:r>
    </w:p>
    <w:p w14:paraId="0459FB5D" w14:textId="40CC07F9" w:rsidR="0028190C" w:rsidRDefault="0028190C" w:rsidP="0028190C">
      <w:r>
        <w:t xml:space="preserve">Pozitivní dopad by měl navrhovaný způsob řešení na případnou možnost regulovat rizikové chování, neboť </w:t>
      </w:r>
      <w:r w:rsidR="00B45123">
        <w:t>účastník hazardní hry</w:t>
      </w:r>
      <w:r>
        <w:t xml:space="preserve"> by nebyl motivován případnou vidinou vyšší výhry spočívající v získání jackpotu.</w:t>
      </w:r>
    </w:p>
    <w:p w14:paraId="0B0CCCF2" w14:textId="77777777" w:rsidR="0028190C" w:rsidRDefault="0028190C" w:rsidP="00CC010A">
      <w:pPr>
        <w:keepNext/>
      </w:pPr>
      <w:r>
        <w:t>Nevýhody:</w:t>
      </w:r>
    </w:p>
    <w:p w14:paraId="051F0F33" w14:textId="68F64C39" w:rsidR="0028190C" w:rsidRDefault="0028190C" w:rsidP="0028190C">
      <w:r>
        <w:t xml:space="preserve">Jackpoty jsou obdobně jako bonusové hry takřka neodmyslitelnou součástí technických her a zatraktivňují hazardní hru pro účastníky hazardních her. Pokud by tak došlo k jejich omezení, byť ve formě nezobrazení potencionální výhry, mohlo by toto zapříčinit zvýšení poptávky po nelegálně provozovaných hazardních hrách. </w:t>
      </w:r>
      <w:r w:rsidR="00F77D2F">
        <w:t>Rovněž by mohla být snížena informovanost účastníka hazardní hry, jakou částku může jeho potenciální výhra tvořit.</w:t>
      </w:r>
    </w:p>
    <w:p w14:paraId="1396BC3F" w14:textId="6D866837" w:rsidR="0028190C" w:rsidRDefault="0028190C" w:rsidP="0028190C">
      <w:r w:rsidRPr="005E6508">
        <w:rPr>
          <w:u w:val="single"/>
        </w:rPr>
        <w:t>Varianta I</w:t>
      </w:r>
      <w:r w:rsidR="009B46A7">
        <w:rPr>
          <w:u w:val="single"/>
        </w:rPr>
        <w:t>V</w:t>
      </w:r>
      <w:r w:rsidRPr="005E6508">
        <w:rPr>
          <w:u w:val="single"/>
        </w:rPr>
        <w:t xml:space="preserve">. – Povinnost uvádět pravděpodobnost možného získání výhry z jackpotu </w:t>
      </w:r>
    </w:p>
    <w:p w14:paraId="18C07084" w14:textId="77777777" w:rsidR="0028190C" w:rsidRPr="005E6508" w:rsidRDefault="0028190C" w:rsidP="0028190C">
      <w:r>
        <w:t>Možné řešení, jakým zajistit informovanost účastníků hazardních her související s jackpoty, by bylo stanovení povinnosti provozovatelům hazardních her informovat účastníky hazardních her o pravděpodobnosti získání výhry jackpotu.</w:t>
      </w:r>
    </w:p>
    <w:p w14:paraId="29A93133" w14:textId="77777777" w:rsidR="0028190C" w:rsidRDefault="0028190C" w:rsidP="0028190C">
      <w:r>
        <w:t>Výhody:</w:t>
      </w:r>
    </w:p>
    <w:p w14:paraId="5AD142AC" w14:textId="39A6DB41" w:rsidR="0028190C" w:rsidRDefault="0028190C" w:rsidP="0028190C">
      <w:r>
        <w:t>Výhodou navrhovaného řešení je zejména umožnění účastníkům hazardní hry činit rozhodnutí úča</w:t>
      </w:r>
      <w:r w:rsidR="00F77D2F">
        <w:t>stnit se hazardní hry na základ</w:t>
      </w:r>
      <w:r>
        <w:t>ě</w:t>
      </w:r>
      <w:r w:rsidR="0027783C">
        <w:t xml:space="preserve"> objektivních informací, tedy i </w:t>
      </w:r>
      <w:r>
        <w:t>skutečnosti, jaká je pravděpodobnost získání jackpotu.</w:t>
      </w:r>
    </w:p>
    <w:p w14:paraId="28F7B5D3" w14:textId="77777777" w:rsidR="0028190C" w:rsidRDefault="0028190C" w:rsidP="0028190C">
      <w:r>
        <w:t>Nevýhody:</w:t>
      </w:r>
    </w:p>
    <w:p w14:paraId="4207245D" w14:textId="77777777" w:rsidR="0028190C" w:rsidRDefault="0028190C" w:rsidP="0028190C">
      <w:r>
        <w:lastRenderedPageBreak/>
        <w:t>Nebyly shledány.</w:t>
      </w:r>
    </w:p>
    <w:p w14:paraId="270ACCEB" w14:textId="6DAC42FA" w:rsidR="0028190C" w:rsidRDefault="0028190C" w:rsidP="0028190C">
      <w:pPr>
        <w:pStyle w:val="Nadpis7"/>
      </w:pPr>
      <w:r>
        <w:t>Hodnocení variant</w:t>
      </w:r>
    </w:p>
    <w:p w14:paraId="646411A2" w14:textId="7E20CCA4" w:rsidR="0028190C" w:rsidRDefault="0028190C" w:rsidP="0028190C">
      <w:pPr>
        <w:rPr>
          <w:bCs/>
        </w:rPr>
      </w:pPr>
      <w:r>
        <w:t xml:space="preserve">Jako vhodné řešení se jeví varianta </w:t>
      </w:r>
      <w:r w:rsidR="00EC7279">
        <w:t xml:space="preserve">I. ve spojení s variantou </w:t>
      </w:r>
      <w:r>
        <w:t>I</w:t>
      </w:r>
      <w:r w:rsidR="00EC7279">
        <w:t>V</w:t>
      </w:r>
      <w:r>
        <w:t>., která zajišťuje vhodnější informovanost účastníků hazardních her o možnosti získání jackpotu.</w:t>
      </w:r>
    </w:p>
    <w:p w14:paraId="6E0571E1" w14:textId="37F0F73C" w:rsidR="0028190C" w:rsidRPr="00BA7CDB" w:rsidRDefault="0028190C" w:rsidP="0028190C">
      <w:pPr>
        <w:pStyle w:val="Nadpis5"/>
      </w:pPr>
      <w:bookmarkStart w:id="60" w:name="_Toc73611621"/>
      <w:r w:rsidRPr="00BA7CDB">
        <w:t>Nejvyšší hodinová prohra</w:t>
      </w:r>
      <w:bookmarkEnd w:id="60"/>
    </w:p>
    <w:p w14:paraId="61EEB282" w14:textId="55EA2523" w:rsidR="0028190C" w:rsidRPr="000F0CBA" w:rsidRDefault="0028190C" w:rsidP="003D2CF6">
      <w:pPr>
        <w:pStyle w:val="Nadpis6"/>
        <w:numPr>
          <w:ilvl w:val="0"/>
          <w:numId w:val="33"/>
        </w:numPr>
      </w:pPr>
      <w:bookmarkStart w:id="61" w:name="_Toc73611622"/>
      <w:r w:rsidRPr="000F0CBA">
        <w:t xml:space="preserve">Hodnota je nastavena velmi vysoko, takže nereguluje </w:t>
      </w:r>
      <w:r w:rsidR="00B45123">
        <w:t>účastníky hazardní hry</w:t>
      </w:r>
      <w:r w:rsidRPr="000F0CBA">
        <w:t>, kteří nedisponují vysokými peněžními prostředky</w:t>
      </w:r>
      <w:bookmarkEnd w:id="61"/>
    </w:p>
    <w:p w14:paraId="1D43031D" w14:textId="7960E449" w:rsidR="0028190C" w:rsidRDefault="0028190C" w:rsidP="0028190C">
      <w:r w:rsidRPr="000F0CBA">
        <w:t xml:space="preserve">Nejvyšší hodinová prohra </w:t>
      </w:r>
      <w:r>
        <w:t>je jedním</w:t>
      </w:r>
      <w:r w:rsidRPr="000F0CBA">
        <w:t xml:space="preserve"> z nástrojů zodpovědné</w:t>
      </w:r>
      <w:r>
        <w:t>ho</w:t>
      </w:r>
      <w:r w:rsidRPr="000F0CBA">
        <w:t xml:space="preserve"> hraní</w:t>
      </w:r>
      <w:r w:rsidR="0046620B">
        <w:t>. Zákon o </w:t>
      </w:r>
      <w:r>
        <w:t>hazardních hrách obsahuje definici jejího výpočtu, přičemž v případě, že provozovatel provozuje více technických her, je nejvyšší hodinovou prohrou hodnota nejvyšší</w:t>
      </w:r>
      <w:r w:rsidR="003E7434">
        <w:t xml:space="preserve"> pro daný způsob provozování</w:t>
      </w:r>
      <w:r>
        <w:t>. Účelem tohoto institutu je omezit rizikové chování účastníků hazardních her, resp. zajistit, že účastník hazardní hry je seznámen s informací, jakou částku může případně v hazardní hře ztratit a tato částka je nepřekročitelná. Vzhledem ke stanovenému vzorci výpočtu nejvyšší hodinové p</w:t>
      </w:r>
      <w:r w:rsidR="0046620B">
        <w:t>rohry uvedenému v § 53 zákona o </w:t>
      </w:r>
      <w:r>
        <w:t>hazardních hrách je maximální možná hodnota ne</w:t>
      </w:r>
      <w:r w:rsidR="003E7434">
        <w:t>j</w:t>
      </w:r>
      <w:r>
        <w:t xml:space="preserve">vyšší hodinové prohry </w:t>
      </w:r>
      <w:r w:rsidRPr="000F0CBA">
        <w:t>45 000 Kč</w:t>
      </w:r>
      <w:r>
        <w:t xml:space="preserve"> v případě provozovaní technické hry formou land-based herně</w:t>
      </w:r>
      <w:r w:rsidRPr="000F0CBA">
        <w:t>, resp. 450 000 Kč</w:t>
      </w:r>
      <w:r>
        <w:t xml:space="preserve"> v případě provozovaní technické hry formou land-based v kasinu nebo jako internetové hry.</w:t>
      </w:r>
    </w:p>
    <w:p w14:paraId="2EDB39DE" w14:textId="543A02D0" w:rsidR="0028190C" w:rsidRPr="000F0CBA" w:rsidRDefault="0028190C" w:rsidP="0028190C">
      <w:r>
        <w:t>N</w:t>
      </w:r>
      <w:r w:rsidRPr="000F0CBA">
        <w:t xml:space="preserve">a základě </w:t>
      </w:r>
      <w:r>
        <w:t xml:space="preserve">herních a finančních </w:t>
      </w:r>
      <w:r w:rsidRPr="000F0CBA">
        <w:t xml:space="preserve">dat zaslaných od provozovatelů </w:t>
      </w:r>
      <w:r>
        <w:t xml:space="preserve">byla provedena základní analýza dosažení limitu nejvyšší hodinové prohry, a to </w:t>
      </w:r>
      <w:r w:rsidR="0046620B">
        <w:t>v intervalu od 1. 10. </w:t>
      </w:r>
      <w:r w:rsidRPr="000F0CBA">
        <w:t>2019 do 31. 10. 2019</w:t>
      </w:r>
      <w:r>
        <w:rPr>
          <w:rStyle w:val="Znakapoznpodarou"/>
        </w:rPr>
        <w:footnoteReference w:id="33"/>
      </w:r>
      <w:r w:rsidRPr="000F0CBA">
        <w:t xml:space="preserve">. </w:t>
      </w:r>
      <w:r>
        <w:t>V</w:t>
      </w:r>
      <w:r w:rsidRPr="00C0248F">
        <w:t xml:space="preserve">e sledovaném období se na technické hře účastnilo dohromady zhruba </w:t>
      </w:r>
      <w:r w:rsidRPr="00C0248F">
        <w:rPr>
          <w:b/>
          <w:bCs/>
        </w:rPr>
        <w:t>350 000</w:t>
      </w:r>
      <w:r w:rsidRPr="00C0248F">
        <w:t xml:space="preserve"> sázejících</w:t>
      </w:r>
      <w:r w:rsidR="00CC010A">
        <w:t>.</w:t>
      </w:r>
    </w:p>
    <w:p w14:paraId="2B47B452" w14:textId="7D638E60" w:rsidR="0028190C" w:rsidRDefault="0028190C" w:rsidP="0028190C">
      <w:pPr>
        <w:pStyle w:val="Titulek"/>
        <w:keepNext/>
      </w:pPr>
      <w:bookmarkStart w:id="62" w:name="_Toc73521729"/>
      <w:r>
        <w:t xml:space="preserve">Graf č. </w:t>
      </w:r>
      <w:r w:rsidR="00A70360">
        <w:fldChar w:fldCharType="begin"/>
      </w:r>
      <w:r w:rsidR="00A70360">
        <w:instrText xml:space="preserve"> SEQ Graf_č. \* ARABIC </w:instrText>
      </w:r>
      <w:r w:rsidR="00A70360">
        <w:fldChar w:fldCharType="separate"/>
      </w:r>
      <w:r w:rsidR="0027783C">
        <w:rPr>
          <w:noProof/>
        </w:rPr>
        <w:t>4</w:t>
      </w:r>
      <w:r w:rsidR="00A70360">
        <w:rPr>
          <w:noProof/>
        </w:rPr>
        <w:fldChar w:fldCharType="end"/>
      </w:r>
      <w:r>
        <w:t xml:space="preserve">: </w:t>
      </w:r>
      <w:r w:rsidRPr="00C05A41">
        <w:t>Hodinov</w:t>
      </w:r>
      <w:r>
        <w:t>á</w:t>
      </w:r>
      <w:r w:rsidRPr="00C05A41">
        <w:t xml:space="preserve"> prohr</w:t>
      </w:r>
      <w:r>
        <w:t>a</w:t>
      </w:r>
      <w:r w:rsidRPr="00C05A41">
        <w:t xml:space="preserve"> v hernách (období od 1. 10. 2019 do 31. 10. 2019)</w:t>
      </w:r>
      <w:bookmarkEnd w:id="62"/>
    </w:p>
    <w:p w14:paraId="78DD69E1" w14:textId="77777777" w:rsidR="0028190C" w:rsidRPr="004372F7" w:rsidRDefault="0028190C" w:rsidP="0028190C">
      <w:pPr>
        <w:rPr>
          <w:rFonts w:cs="Arial"/>
          <w:b/>
          <w:bCs/>
        </w:rPr>
      </w:pPr>
      <w:r w:rsidRPr="000F0CBA">
        <w:rPr>
          <w:noProof/>
          <w:lang w:eastAsia="cs-CZ"/>
        </w:rPr>
        <w:drawing>
          <wp:inline distT="0" distB="0" distL="0" distR="0" wp14:anchorId="74D499CE" wp14:editId="1B1D5851">
            <wp:extent cx="4572000" cy="2743200"/>
            <wp:effectExtent l="0" t="0" r="0" b="0"/>
            <wp:docPr id="6" name="Graf 6">
              <a:extLst xmlns:a="http://schemas.openxmlformats.org/drawingml/2006/main">
                <a:ext uri="{FF2B5EF4-FFF2-40B4-BE49-F238E27FC236}">
                  <a16:creationId xmlns:a16="http://schemas.microsoft.com/office/drawing/2014/main" id="{5D2578DB-BA5D-4FD4-8CA1-AF502C9B22D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133D080" w14:textId="77777777" w:rsidR="0028190C" w:rsidRPr="004372F7" w:rsidRDefault="0028190C" w:rsidP="0028190C">
      <w:pPr>
        <w:rPr>
          <w:rFonts w:cs="Arial"/>
          <w:i/>
          <w:iCs/>
          <w:sz w:val="20"/>
          <w:szCs w:val="20"/>
        </w:rPr>
      </w:pPr>
      <w:r w:rsidRPr="004372F7">
        <w:rPr>
          <w:rFonts w:cs="Arial"/>
          <w:i/>
          <w:iCs/>
          <w:sz w:val="20"/>
          <w:szCs w:val="20"/>
        </w:rPr>
        <w:t>Zdroj: Ministerstvo financí ČR, 2021</w:t>
      </w:r>
      <w:r>
        <w:rPr>
          <w:rFonts w:cs="Arial"/>
          <w:i/>
          <w:iCs/>
          <w:sz w:val="20"/>
          <w:szCs w:val="20"/>
        </w:rPr>
        <w:t>.</w:t>
      </w:r>
    </w:p>
    <w:p w14:paraId="1BD2B0C5" w14:textId="201173CA" w:rsidR="0028190C" w:rsidRPr="00C935A1" w:rsidRDefault="0027783C" w:rsidP="0028190C">
      <w:r>
        <w:lastRenderedPageBreak/>
        <w:t>Graf č. 4</w:t>
      </w:r>
      <w:r w:rsidR="0028190C" w:rsidRPr="00C935A1">
        <w:t xml:space="preserve"> zobrazuje počet účastníků hazardní hry, kteří v hernách prohráli v intervalu jedné hodiny objem peněžních prostředků přes</w:t>
      </w:r>
      <w:r>
        <w:t>ahující 30 000 Kč. Jednalo se o </w:t>
      </w:r>
      <w:r>
        <w:rPr>
          <w:b/>
          <w:bCs/>
        </w:rPr>
        <w:t>231 </w:t>
      </w:r>
      <w:r w:rsidR="0028190C" w:rsidRPr="00C935A1">
        <w:rPr>
          <w:b/>
          <w:bCs/>
        </w:rPr>
        <w:t>sázejících</w:t>
      </w:r>
      <w:r w:rsidR="0028190C" w:rsidRPr="00C935A1">
        <w:t xml:space="preserve"> – z toho pouze 4</w:t>
      </w:r>
      <w:r w:rsidR="0028190C">
        <w:t>6</w:t>
      </w:r>
      <w:r w:rsidR="0028190C">
        <w:rPr>
          <w:rStyle w:val="Znakapoznpodarou"/>
        </w:rPr>
        <w:footnoteReference w:id="34"/>
      </w:r>
      <w:r w:rsidR="0028190C" w:rsidRPr="00C935A1">
        <w:t xml:space="preserve"> sázejících prohrálo v rámci jedné hodiny částku přesahující 40 000 Kč.</w:t>
      </w:r>
      <w:r w:rsidR="0028190C" w:rsidRPr="00C935A1">
        <w:rPr>
          <w:rStyle w:val="Znakapoznpodarou"/>
        </w:rPr>
        <w:footnoteReference w:id="35"/>
      </w:r>
      <w:r w:rsidR="0028190C" w:rsidRPr="00C935A1">
        <w:t xml:space="preserve">  </w:t>
      </w:r>
    </w:p>
    <w:p w14:paraId="7CD4291D" w14:textId="05E97E3E" w:rsidR="0028190C" w:rsidRDefault="0028190C" w:rsidP="0028190C">
      <w:pPr>
        <w:pStyle w:val="Titulek"/>
        <w:keepNext/>
      </w:pPr>
      <w:bookmarkStart w:id="63" w:name="_Toc73521730"/>
      <w:r>
        <w:t xml:space="preserve">Graf č. </w:t>
      </w:r>
      <w:r w:rsidR="00A70360">
        <w:fldChar w:fldCharType="begin"/>
      </w:r>
      <w:r w:rsidR="00A70360">
        <w:instrText xml:space="preserve"> SEQ Graf_č. \* ARABIC </w:instrText>
      </w:r>
      <w:r w:rsidR="00A70360">
        <w:fldChar w:fldCharType="separate"/>
      </w:r>
      <w:r w:rsidR="0027783C">
        <w:rPr>
          <w:noProof/>
        </w:rPr>
        <w:t>5</w:t>
      </w:r>
      <w:r w:rsidR="00A70360">
        <w:rPr>
          <w:noProof/>
        </w:rPr>
        <w:fldChar w:fldCharType="end"/>
      </w:r>
      <w:r>
        <w:t xml:space="preserve">: </w:t>
      </w:r>
      <w:r w:rsidRPr="00F72752">
        <w:t>Hodinov</w:t>
      </w:r>
      <w:r>
        <w:t>á</w:t>
      </w:r>
      <w:r w:rsidRPr="00F72752">
        <w:t xml:space="preserve"> prohr</w:t>
      </w:r>
      <w:r>
        <w:t>a</w:t>
      </w:r>
      <w:r w:rsidRPr="00F72752">
        <w:t xml:space="preserve"> v kasinech (období od 1. 10. 2019 do 31. 10. 2019)</w:t>
      </w:r>
      <w:bookmarkEnd w:id="63"/>
    </w:p>
    <w:p w14:paraId="723A3C89" w14:textId="77777777" w:rsidR="0028190C" w:rsidRPr="004372F7" w:rsidRDefault="0028190C" w:rsidP="0028190C">
      <w:pPr>
        <w:rPr>
          <w:rFonts w:cs="Arial"/>
          <w:b/>
          <w:bCs/>
        </w:rPr>
      </w:pPr>
      <w:r w:rsidRPr="000F0CBA">
        <w:rPr>
          <w:noProof/>
          <w:lang w:eastAsia="cs-CZ"/>
        </w:rPr>
        <w:drawing>
          <wp:inline distT="0" distB="0" distL="0" distR="0" wp14:anchorId="4FD1E53B" wp14:editId="4253DF0D">
            <wp:extent cx="4572000" cy="2743200"/>
            <wp:effectExtent l="0" t="0" r="0" b="0"/>
            <wp:docPr id="7" name="Graf 7">
              <a:extLst xmlns:a="http://schemas.openxmlformats.org/drawingml/2006/main">
                <a:ext uri="{FF2B5EF4-FFF2-40B4-BE49-F238E27FC236}">
                  <a16:creationId xmlns:a16="http://schemas.microsoft.com/office/drawing/2014/main" id="{33ED649E-E090-4B68-9119-8EF609D5F9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F314F7A" w14:textId="77777777" w:rsidR="0028190C" w:rsidRPr="004372F7" w:rsidRDefault="0028190C" w:rsidP="0028190C">
      <w:pPr>
        <w:rPr>
          <w:rFonts w:cs="Arial"/>
          <w:i/>
          <w:iCs/>
          <w:sz w:val="20"/>
          <w:szCs w:val="20"/>
        </w:rPr>
      </w:pPr>
      <w:r w:rsidRPr="004372F7">
        <w:rPr>
          <w:rFonts w:cs="Arial"/>
          <w:i/>
          <w:iCs/>
          <w:sz w:val="20"/>
          <w:szCs w:val="20"/>
        </w:rPr>
        <w:t>Zdroj: Ministerstvo financí ČR, 2021</w:t>
      </w:r>
      <w:r>
        <w:rPr>
          <w:rFonts w:cs="Arial"/>
          <w:i/>
          <w:iCs/>
          <w:sz w:val="20"/>
          <w:szCs w:val="20"/>
        </w:rPr>
        <w:t>.</w:t>
      </w:r>
    </w:p>
    <w:p w14:paraId="61C2D0F6" w14:textId="3869AA68" w:rsidR="0028190C" w:rsidRPr="000F0CBA" w:rsidRDefault="0027783C" w:rsidP="0028190C">
      <w:r>
        <w:t>Graf č. 5</w:t>
      </w:r>
      <w:r w:rsidR="0028190C" w:rsidRPr="00C935A1">
        <w:t xml:space="preserve"> zobrazuje poč</w:t>
      </w:r>
      <w:r w:rsidR="008D70C0">
        <w:t>et účastníků hazardní hry v kasi</w:t>
      </w:r>
      <w:r w:rsidR="0028190C" w:rsidRPr="00C935A1">
        <w:t>nu, kteří v rámci jedné hodiny dosáhli prohry v daném objemu prostředků.</w:t>
      </w:r>
      <w:r w:rsidR="0028190C">
        <w:t xml:space="preserve"> Pouze 165 účastníku hazardní hry prohrálo v rámci hodinového intervalu částku přesahující 200 tis. Kč, a to v rámci 3859 zaznamenaných účastí</w:t>
      </w:r>
      <w:r w:rsidR="00B43E6B">
        <w:rPr>
          <w:rStyle w:val="Znakapoznpodarou"/>
        </w:rPr>
        <w:footnoteReference w:id="36"/>
      </w:r>
      <w:r w:rsidR="0028190C">
        <w:t xml:space="preserve">. </w:t>
      </w:r>
      <w:r w:rsidR="0028190C" w:rsidRPr="00C935A1">
        <w:t xml:space="preserve">  </w:t>
      </w:r>
    </w:p>
    <w:p w14:paraId="09D75ED0" w14:textId="44EAEB82" w:rsidR="0028190C" w:rsidRDefault="0028190C" w:rsidP="0028190C">
      <w:pPr>
        <w:pStyle w:val="Titulek"/>
        <w:keepNext/>
      </w:pPr>
      <w:bookmarkStart w:id="64" w:name="_Toc73521731"/>
      <w:r>
        <w:lastRenderedPageBreak/>
        <w:t xml:space="preserve">Graf č. </w:t>
      </w:r>
      <w:r w:rsidR="00A70360">
        <w:fldChar w:fldCharType="begin"/>
      </w:r>
      <w:r w:rsidR="00A70360">
        <w:instrText xml:space="preserve"> SEQ Graf_č. \* ARABIC </w:instrText>
      </w:r>
      <w:r w:rsidR="00A70360">
        <w:fldChar w:fldCharType="separate"/>
      </w:r>
      <w:r w:rsidR="0027783C">
        <w:rPr>
          <w:noProof/>
        </w:rPr>
        <w:t>6</w:t>
      </w:r>
      <w:r w:rsidR="00A70360">
        <w:rPr>
          <w:noProof/>
        </w:rPr>
        <w:fldChar w:fldCharType="end"/>
      </w:r>
      <w:r>
        <w:t xml:space="preserve">: </w:t>
      </w:r>
      <w:r w:rsidRPr="0080648A">
        <w:t>Hodinov</w:t>
      </w:r>
      <w:r>
        <w:t>á</w:t>
      </w:r>
      <w:r w:rsidRPr="0080648A">
        <w:t xml:space="preserve"> prohr</w:t>
      </w:r>
      <w:r>
        <w:t>a</w:t>
      </w:r>
      <w:r w:rsidRPr="0080648A">
        <w:t xml:space="preserve"> na internetu (období od 1. 10. 2019 do 31. 10. 2019)</w:t>
      </w:r>
      <w:bookmarkEnd w:id="64"/>
    </w:p>
    <w:p w14:paraId="265D0531" w14:textId="77777777" w:rsidR="0028190C" w:rsidRPr="004372F7" w:rsidRDefault="0028190C" w:rsidP="0028190C">
      <w:pPr>
        <w:rPr>
          <w:rFonts w:cs="Arial"/>
          <w:b/>
          <w:bCs/>
        </w:rPr>
      </w:pPr>
      <w:r w:rsidRPr="000F0CBA">
        <w:rPr>
          <w:noProof/>
          <w:lang w:eastAsia="cs-CZ"/>
        </w:rPr>
        <w:drawing>
          <wp:inline distT="0" distB="0" distL="0" distR="0" wp14:anchorId="26A0CEAA" wp14:editId="02251A8A">
            <wp:extent cx="4572000" cy="2743200"/>
            <wp:effectExtent l="0" t="0" r="0" b="0"/>
            <wp:docPr id="8" name="Graf 8">
              <a:extLst xmlns:a="http://schemas.openxmlformats.org/drawingml/2006/main">
                <a:ext uri="{FF2B5EF4-FFF2-40B4-BE49-F238E27FC236}">
                  <a16:creationId xmlns:a16="http://schemas.microsoft.com/office/drawing/2014/main" id="{0A951C33-8A7D-4452-8B3E-E18206A4E5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599CE20B" w14:textId="77777777" w:rsidR="0028190C" w:rsidRPr="004372F7" w:rsidRDefault="0028190C" w:rsidP="0028190C">
      <w:pPr>
        <w:rPr>
          <w:rFonts w:cs="Arial"/>
          <w:i/>
          <w:iCs/>
          <w:sz w:val="20"/>
          <w:szCs w:val="20"/>
        </w:rPr>
      </w:pPr>
      <w:r w:rsidRPr="004372F7">
        <w:rPr>
          <w:rFonts w:cs="Arial"/>
          <w:i/>
          <w:iCs/>
          <w:sz w:val="20"/>
          <w:szCs w:val="20"/>
        </w:rPr>
        <w:t>Zdroj: Ministerstvo financí ČR, 2021</w:t>
      </w:r>
      <w:r>
        <w:rPr>
          <w:rFonts w:cs="Arial"/>
          <w:i/>
          <w:iCs/>
          <w:sz w:val="20"/>
          <w:szCs w:val="20"/>
        </w:rPr>
        <w:t>.</w:t>
      </w:r>
    </w:p>
    <w:p w14:paraId="7298B781" w14:textId="5E8A918F" w:rsidR="0028190C" w:rsidRPr="000F0CBA" w:rsidRDefault="0028190C" w:rsidP="0028190C">
      <w:r w:rsidRPr="00C167A2">
        <w:t xml:space="preserve">Graf </w:t>
      </w:r>
      <w:r w:rsidR="0027783C">
        <w:t>č. 6</w:t>
      </w:r>
      <w:r w:rsidRPr="000F0CBA">
        <w:t xml:space="preserve"> zobrazuje</w:t>
      </w:r>
      <w:r>
        <w:t xml:space="preserve"> počet</w:t>
      </w:r>
      <w:r w:rsidRPr="000F0CBA">
        <w:t xml:space="preserve"> účastníků </w:t>
      </w:r>
      <w:r>
        <w:t>internetové technické hry, kteří v rámci jedné hodiny dosáhli prohry v daném objemu prostředků. Pouze 71 účastníku hazardní hry prohrálo v rámci hodinového intervalu částku přesahující</w:t>
      </w:r>
      <w:r w:rsidR="0027783C">
        <w:t xml:space="preserve"> 150 tis. Kč, a to v rámci 1379 </w:t>
      </w:r>
      <w:r>
        <w:t xml:space="preserve">zaznamenaných účastí. Jedná se o nižší počet účastí než v případě kasin. </w:t>
      </w:r>
      <w:r w:rsidRPr="00C935A1">
        <w:t xml:space="preserve">  </w:t>
      </w:r>
      <w:r>
        <w:t xml:space="preserve"> </w:t>
      </w:r>
      <w:r w:rsidRPr="000F0CBA">
        <w:t xml:space="preserve"> </w:t>
      </w:r>
    </w:p>
    <w:p w14:paraId="67C4C533" w14:textId="77777777" w:rsidR="0028190C" w:rsidRPr="005E6508" w:rsidRDefault="0028190C" w:rsidP="00E712EC">
      <w:r w:rsidRPr="005E6508">
        <w:t xml:space="preserve">Z uvedených dat vyplývá, že hodnot maximální nejvyšší hodinové prohry dosahuje pouze poměrně </w:t>
      </w:r>
      <w:r>
        <w:t xml:space="preserve">velmi </w:t>
      </w:r>
      <w:r w:rsidRPr="005E6508">
        <w:t>malá skupina účastníků hazardních her.</w:t>
      </w:r>
    </w:p>
    <w:p w14:paraId="02CE20C1" w14:textId="77777777" w:rsidR="0028190C" w:rsidRDefault="0028190C" w:rsidP="0028190C">
      <w:pPr>
        <w:pStyle w:val="Nadpis7"/>
      </w:pPr>
      <w:r w:rsidRPr="000F0CBA">
        <w:t xml:space="preserve">Varianta I. </w:t>
      </w:r>
      <w:r>
        <w:t xml:space="preserve">– </w:t>
      </w:r>
      <w:r w:rsidRPr="000F0CBA">
        <w:t>Zachování současné</w:t>
      </w:r>
      <w:r>
        <w:t>ho stavu</w:t>
      </w:r>
    </w:p>
    <w:p w14:paraId="38CB3CD1" w14:textId="77777777" w:rsidR="0028190C" w:rsidRDefault="0028190C" w:rsidP="0028190C">
      <w:r>
        <w:t xml:space="preserve">Návrh řešení by spočíval v zachování současného stavu, kdy bude ponechán aktuální vzorec výpočtu nejvyšší hodinové prohry a ta bude u všech provozovatelů zpravidla stanovena na hodnotu 45 000 Kč, resp. 450 000 Kč, neboť ve většině případů alespoň jedna z provozovaných technických her je nastavena v hraničních hodnotách relevantních pro výpočet nejvyšší hodinové prohry. </w:t>
      </w:r>
    </w:p>
    <w:p w14:paraId="67E8FA50" w14:textId="77777777" w:rsidR="0028190C" w:rsidRPr="00CC010A" w:rsidRDefault="0028190C" w:rsidP="00CC010A">
      <w:r w:rsidRPr="00CC010A">
        <w:t>Výhody:</w:t>
      </w:r>
    </w:p>
    <w:p w14:paraId="6FD7BE7A" w14:textId="77777777" w:rsidR="0028190C" w:rsidRDefault="0028190C" w:rsidP="0028190C">
      <w:r w:rsidRPr="000F0CBA">
        <w:t xml:space="preserve">Výhodou této varianty </w:t>
      </w:r>
      <w:r>
        <w:t xml:space="preserve">řešení </w:t>
      </w:r>
      <w:r w:rsidRPr="000F0CBA">
        <w:t xml:space="preserve">je, </w:t>
      </w:r>
      <w:r>
        <w:t xml:space="preserve">že alespoň v základní míře chrání určité skupiny účastníků hazardních her. </w:t>
      </w:r>
    </w:p>
    <w:p w14:paraId="42B35258" w14:textId="77777777" w:rsidR="0028190C" w:rsidRPr="00CC010A" w:rsidRDefault="0028190C" w:rsidP="0028190C">
      <w:r w:rsidRPr="00CC010A">
        <w:t>Nevýhody:</w:t>
      </w:r>
    </w:p>
    <w:p w14:paraId="746AD5E7" w14:textId="5EF27BC0" w:rsidR="0028190C" w:rsidRPr="000F0CBA" w:rsidRDefault="0028190C" w:rsidP="0028190C">
      <w:r>
        <w:t xml:space="preserve">Nevýhodou zachování současného stavu je skutečnost, že nejvyšší hodinová prohra v běžné výši (tj. výši maximální, 45 000 Kč pro </w:t>
      </w:r>
      <w:r w:rsidR="008D70C0">
        <w:t>herny a 450 000 Kč pro kasi</w:t>
      </w:r>
      <w:r w:rsidR="0027783C">
        <w:t>na a </w:t>
      </w:r>
      <w:r>
        <w:t>internetovou technickou hru) má pouze omezený dopad na ochranu účastníků hazardních her, neboť určitá hodnota nejvyšší hodinové prohry může být pro některé účastníky hazardních her zcela nedosažitelná (nedisponují objemem prostředků pro dosažení limitu nejvyšší hodinové prohry), naopak pro jiné se může jednat o částku, která od</w:t>
      </w:r>
      <w:r w:rsidR="00691CB0">
        <w:t>povídá jejich finanční situaci. Další nevýhodou je také skutečnost, že nejvyšší hodinová prohra je stanovena pro účast u jednoho provozovatele technické hry.</w:t>
      </w:r>
    </w:p>
    <w:p w14:paraId="419CFA40" w14:textId="77777777" w:rsidR="0028190C" w:rsidRPr="000F0CBA" w:rsidRDefault="0028190C" w:rsidP="0028190C">
      <w:pPr>
        <w:pStyle w:val="Nadpis7"/>
      </w:pPr>
      <w:r w:rsidRPr="000F0CBA">
        <w:lastRenderedPageBreak/>
        <w:t>Varianta I</w:t>
      </w:r>
      <w:r>
        <w:t>I</w:t>
      </w:r>
      <w:r w:rsidRPr="000F0CBA">
        <w:t xml:space="preserve">. </w:t>
      </w:r>
      <w:r>
        <w:t>– Pevně stanovená hodnota nejvyšší hodinové prohry</w:t>
      </w:r>
    </w:p>
    <w:p w14:paraId="3E39427D" w14:textId="4A2CD876" w:rsidR="0028190C" w:rsidRDefault="0028190C" w:rsidP="0028190C">
      <w:r w:rsidRPr="000F0CBA">
        <w:t xml:space="preserve">Podstatou tohoto řešení je stanovení </w:t>
      </w:r>
      <w:r>
        <w:t>konkrétních</w:t>
      </w:r>
      <w:r w:rsidRPr="000F0CBA">
        <w:t xml:space="preserve"> hodnot nejvyšší hodinové prohry, a to </w:t>
      </w:r>
      <w:r>
        <w:t>v závislosti na druhu herního prostoru, resp. formě</w:t>
      </w:r>
      <w:r w:rsidR="00270F9B">
        <w:t xml:space="preserve"> provozování technické hry (tj. </w:t>
      </w:r>
      <w:r>
        <w:t xml:space="preserve">samostatně </w:t>
      </w:r>
      <w:r w:rsidRPr="000F0CBA">
        <w:t xml:space="preserve">pro herny, kasina a internet). </w:t>
      </w:r>
    </w:p>
    <w:p w14:paraId="35B89C10" w14:textId="77777777" w:rsidR="0028190C" w:rsidRPr="000F0CBA" w:rsidRDefault="0028190C" w:rsidP="0028190C">
      <w:r>
        <w:t>Výhody:</w:t>
      </w:r>
    </w:p>
    <w:p w14:paraId="0647E5D0" w14:textId="77777777" w:rsidR="0028190C" w:rsidRDefault="0028190C" w:rsidP="0028190C">
      <w:r w:rsidRPr="000F0CBA">
        <w:t xml:space="preserve">Pozitivem </w:t>
      </w:r>
      <w:r>
        <w:t>navrhovaného řešení je skutečnost, že by účastníci hazardních her byli zcela srozumitelně informováni o maximálních částkách, které je možné v rámci technické hry prohrát. Aby byl dosažen optimální dopad této informace, bylo by dále vhodné se zaměřit na způsob poskytování této informace, a to nad rámec herního plánu, např. v rámci herního prostoru.</w:t>
      </w:r>
    </w:p>
    <w:p w14:paraId="0F48016E" w14:textId="77777777" w:rsidR="0028190C" w:rsidRPr="000F0CBA" w:rsidRDefault="0028190C" w:rsidP="0028190C">
      <w:r>
        <w:t>Nevýhody:</w:t>
      </w:r>
    </w:p>
    <w:p w14:paraId="586B9A86" w14:textId="00AB1005" w:rsidR="0028190C" w:rsidRDefault="0028190C" w:rsidP="0028190C">
      <w:r>
        <w:t>Nevýhodou navrhovaného řešení je samotné určení limitu nejvyšší hodinové prohry. V případě, že ta by byla stanovena v příliš nízké hodnotě, mohla by být zvýšena motivace účastníků hazardních k přechodu k nelegálním provozovatelům hazardních her. Nevýhodou, která se nicméně váže na varianty I., II. i III., je také skutečnost, že hodnoty nejvyšší hodinové prohry mají velmi odlišný dopad na různé účastníky hazardních her, kdy určitá hodnota nejvyšší hodinové prohry může být pro některé účastníky hazardních her zcela nedosažitelná (nedisponují objemem prostředků pro dosažení limitu nejvyšší hodinové prohry), naopak pro jiné se může jednat o částku, která odpovídá jejich finanční situaci.</w:t>
      </w:r>
      <w:r w:rsidR="00691CB0">
        <w:t xml:space="preserve"> Další nevýhodou je také skutečnost, že nejvyšší hodinová prohra je stanovena pro účast u jednoho provozovatele technické hry.</w:t>
      </w:r>
    </w:p>
    <w:p w14:paraId="3313DE0C" w14:textId="77777777" w:rsidR="0028190C" w:rsidRPr="000F0CBA" w:rsidRDefault="0028190C" w:rsidP="0028190C">
      <w:pPr>
        <w:pStyle w:val="Nadpis7"/>
      </w:pPr>
      <w:r w:rsidRPr="000F0CBA">
        <w:t>Varianta II</w:t>
      </w:r>
      <w:r>
        <w:t>I</w:t>
      </w:r>
      <w:r w:rsidRPr="000F0CBA">
        <w:t xml:space="preserve">. </w:t>
      </w:r>
      <w:r>
        <w:t xml:space="preserve">– </w:t>
      </w:r>
      <w:r w:rsidRPr="000F0CBA">
        <w:t>Nahrazení nejvyšší hodinové prohry pevně stanovenou částkou čisté měsíční prohry</w:t>
      </w:r>
    </w:p>
    <w:p w14:paraId="1C3A4442" w14:textId="77777777" w:rsidR="0028190C" w:rsidRDefault="0028190C" w:rsidP="0028190C">
      <w:r>
        <w:t>Navrhované řešení je určitou podvariantou varianty II., kdy by se případný limit pro prohrané částky vztahoval na období měsíce, nikoli hodiny a jednalo by se o čistou prohru.</w:t>
      </w:r>
    </w:p>
    <w:p w14:paraId="02595FE9" w14:textId="77777777" w:rsidR="0028190C" w:rsidRPr="000F0CBA" w:rsidRDefault="0028190C" w:rsidP="0028190C">
      <w:r>
        <w:t>Výhody:</w:t>
      </w:r>
    </w:p>
    <w:p w14:paraId="39C12F82" w14:textId="77777777" w:rsidR="0028190C" w:rsidRPr="005E6508" w:rsidRDefault="0028190C" w:rsidP="0028190C">
      <w:pPr>
        <w:rPr>
          <w:rFonts w:cs="Arial"/>
        </w:rPr>
      </w:pPr>
      <w:r>
        <w:rPr>
          <w:rFonts w:cs="Arial"/>
        </w:rPr>
        <w:t xml:space="preserve">Výhody navrhované varianty jsou obdobné, jako v případě varianty II., nicméně lze očekávat, že by stanovení čisté měsíční prohry mohlo mít efektivnější regulační účinek. </w:t>
      </w:r>
    </w:p>
    <w:p w14:paraId="43485B1B" w14:textId="77777777" w:rsidR="0028190C" w:rsidRDefault="0028190C" w:rsidP="0028190C">
      <w:r>
        <w:t>Nevýhody:</w:t>
      </w:r>
    </w:p>
    <w:p w14:paraId="49DBF339" w14:textId="64B958C1" w:rsidR="0028190C" w:rsidRDefault="0028190C" w:rsidP="00691CB0">
      <w:r>
        <w:t xml:space="preserve">Obdobně jako u varianty II. je nevýhodou navrhovaného řešení samotné určení limitu měsíční prohry. Dále, kromě skutečnosti, že stanovená částka může mít velmi odlišné dopady na různé skupiny účastníků hazardních her (ve smyslu jejich finančního zajištění), při stanovení příliš nízkého limitu lze očekávat zvýšenou poptávku účastníků hazardních her po nelegálních hazardních hrách. Zároveň je třeba doplnit, že čistou měsíční prohru si mohou již dnes účastníci hazardní hry nastavit v rámci sebeomezujících opatření, což jim umožňuje lépe přizpůsobit hraniční částku své finanční situaci. </w:t>
      </w:r>
      <w:r w:rsidR="00691CB0">
        <w:t>Další nevýhodou je také skutečnost, že nejvyšší hodinová prohra je stanovena pro účast u jednoho provozovatele technické hry.</w:t>
      </w:r>
    </w:p>
    <w:p w14:paraId="160EB870" w14:textId="77777777" w:rsidR="0028190C" w:rsidRPr="000F0CBA" w:rsidRDefault="0028190C" w:rsidP="00691CB0">
      <w:pPr>
        <w:pStyle w:val="Nadpis7"/>
      </w:pPr>
      <w:r w:rsidRPr="000F0CBA">
        <w:lastRenderedPageBreak/>
        <w:t>Varianta I</w:t>
      </w:r>
      <w:r>
        <w:t>V</w:t>
      </w:r>
      <w:r w:rsidRPr="000F0CBA">
        <w:t xml:space="preserve">. </w:t>
      </w:r>
      <w:r>
        <w:t>– Zrušení nejvyšší hodinové prohry</w:t>
      </w:r>
      <w:r w:rsidRPr="000F0CBA">
        <w:t xml:space="preserve"> </w:t>
      </w:r>
    </w:p>
    <w:p w14:paraId="4DC65549" w14:textId="77777777" w:rsidR="0028190C" w:rsidRDefault="0028190C" w:rsidP="00691CB0">
      <w:r>
        <w:t xml:space="preserve">Vzhledem k herním a finančním datům, které Ministerstvo financí získalo, se lze domnívat, že hodnota nejvyšší hodinové prohry není běžně dosahována. Možné řešení by tak mohlo být odstranění institutu nejvyšší hodinové prohry, kterou si však účastníci mohou i nadále stanovit individuálně v rámci sebeomezujících opatření. </w:t>
      </w:r>
    </w:p>
    <w:p w14:paraId="4CC2BEFD" w14:textId="77777777" w:rsidR="0028190C" w:rsidRDefault="0028190C" w:rsidP="0028190C">
      <w:r>
        <w:t>Výhody:</w:t>
      </w:r>
    </w:p>
    <w:p w14:paraId="6625D835" w14:textId="77777777" w:rsidR="0028190C" w:rsidRDefault="0028190C" w:rsidP="0028190C">
      <w:r>
        <w:t>Výhodou navrhované varianty je skutečnost, že dojde k zpřehlednění podmínek provozování a zároveň i k obecnému snížení nákladů na straně provozovatelů, neboť ti nebudou v souvislosti s nejvyšší hodinovou prohrou nuceni přizpůsobovat jednotlivé technické hry právní úpravě obsažené v zákoně o hazardních hrách.</w:t>
      </w:r>
    </w:p>
    <w:p w14:paraId="54E46376" w14:textId="77777777" w:rsidR="0028190C" w:rsidRDefault="0028190C" w:rsidP="0028190C">
      <w:r>
        <w:t>Negativa:</w:t>
      </w:r>
    </w:p>
    <w:p w14:paraId="58C88985" w14:textId="77777777" w:rsidR="0028190C" w:rsidRDefault="0028190C" w:rsidP="0028190C">
      <w:r>
        <w:t xml:space="preserve">Nebyla shledána významná negativa, neboť i při odstranění institutu nejvyšší hodinové prohry nedojde ke snížení ochrany účastníků hazardních her, neboť hraničních hodnot dosahuje pouze malé procento účastníků hazardních her, neboť v případě ostatních účastníků se jedná o nedosažitelnou částku, popř. znak zodpovědného hráčského chování. </w:t>
      </w:r>
    </w:p>
    <w:p w14:paraId="2050A37C" w14:textId="2DB54EB9" w:rsidR="0028190C" w:rsidRPr="000F0CBA" w:rsidRDefault="0027783C" w:rsidP="0028190C">
      <w:pPr>
        <w:pStyle w:val="Nadpis7"/>
      </w:pPr>
      <w:r>
        <w:t>Hodnocení variant</w:t>
      </w:r>
    </w:p>
    <w:p w14:paraId="0BB859D9" w14:textId="52E8247C" w:rsidR="0028190C" w:rsidRDefault="0028190C" w:rsidP="00E712EC">
      <w:pPr>
        <w:rPr>
          <w:rFonts w:eastAsiaTheme="majorEastAsia" w:cstheme="majorBidi"/>
          <w:b/>
          <w:sz w:val="36"/>
          <w:szCs w:val="26"/>
        </w:rPr>
      </w:pPr>
      <w:r>
        <w:t xml:space="preserve">Vhodným řešením by mohla být varianta IV., neboť ostatní varianty </w:t>
      </w:r>
      <w:r w:rsidR="003E7434">
        <w:t xml:space="preserve">s </w:t>
      </w:r>
      <w:r>
        <w:t>sebou nesou negativní dopady ve smyslu zvýšení poptávky po nelegálně provozovaných hazardních hrách. Zároveň vzhledem k herním a finančním datům, které má Ministerstvo financí k dispozici, se lze domnívat, že tento institut chrání pouze některé účastníky hazardních her a neuplatní se jako obecný regulační institut. Ačkoli však zákon o hazardních hrách obsahuje další instituty zodpovědného hraní, které mají pozitivní vliv na zodpovědné chování účastníků hazardních her a zajišťují jejich ochranu (</w:t>
      </w:r>
      <w:r w:rsidRPr="00DC13BA">
        <w:t xml:space="preserve">dále se odkazuje na </w:t>
      </w:r>
      <w:r w:rsidR="00B52F57">
        <w:t>přílohu</w:t>
      </w:r>
      <w:r w:rsidRPr="00DC13BA">
        <w:t xml:space="preserve"> </w:t>
      </w:r>
      <w:r w:rsidR="00380745">
        <w:t xml:space="preserve">č. 3 - </w:t>
      </w:r>
      <w:r>
        <w:t xml:space="preserve">Opatření zodpovědného hraní), bylo by však v případě zvolení varianty IV. vhodné dále analyzovat, zda by případné odstranění institutu nejvyšší hodinové prohry bylo vhodné nahradit jiným institutem zodpovědného hraní tak, aby byla zajištěna ochrana účastníků hazardních </w:t>
      </w:r>
      <w:r w:rsidR="00E712EC">
        <w:t>her v</w:t>
      </w:r>
      <w:r w:rsidR="00996F41">
        <w:t> </w:t>
      </w:r>
      <w:r w:rsidR="00A629F7">
        <w:t>obdobném</w:t>
      </w:r>
      <w:r w:rsidR="00E712EC">
        <w:t xml:space="preserve"> rozsahu.</w:t>
      </w:r>
      <w:r>
        <w:br w:type="page"/>
      </w:r>
    </w:p>
    <w:p w14:paraId="49822942" w14:textId="326FF28A" w:rsidR="00DA6384" w:rsidRDefault="00DA6384" w:rsidP="00BE0B1D">
      <w:pPr>
        <w:pStyle w:val="Nadpis2"/>
      </w:pPr>
      <w:bookmarkStart w:id="65" w:name="_Toc73611623"/>
      <w:r>
        <w:lastRenderedPageBreak/>
        <w:t>Živá hra</w:t>
      </w:r>
      <w:bookmarkEnd w:id="65"/>
    </w:p>
    <w:p w14:paraId="5A4F37F0" w14:textId="37EAEC23" w:rsidR="00993BAE" w:rsidRPr="0010145E" w:rsidRDefault="00993BAE" w:rsidP="00BE0B1D">
      <w:pPr>
        <w:pStyle w:val="Nadpis3"/>
      </w:pPr>
      <w:bookmarkStart w:id="66" w:name="_Toc73611624"/>
      <w:r w:rsidRPr="0010145E">
        <w:t>Ko</w:t>
      </w:r>
      <w:r w:rsidR="00084739">
        <w:t>nkrétní popis regulace</w:t>
      </w:r>
      <w:r w:rsidRPr="0010145E">
        <w:t xml:space="preserve"> obsažené v zákoně o</w:t>
      </w:r>
      <w:r>
        <w:t> </w:t>
      </w:r>
      <w:r w:rsidRPr="0010145E">
        <w:t>loteriích</w:t>
      </w:r>
      <w:bookmarkEnd w:id="66"/>
    </w:p>
    <w:p w14:paraId="54F8116A" w14:textId="59256700" w:rsidR="00B27F6C" w:rsidRDefault="00B27F6C" w:rsidP="009B346C">
      <w:r>
        <w:t>Zákon o loteriích přímo nedefinoval živou hru, pouze stanovoval, že se jedná o sázkové hry provozované ve zvláště k tomu určených hernách (kasinech), a to i za pomoci mechanických zařízení, při nichž není předem určen počet účastníků a ani není známa výše vsazených částek jedné hry, například ruleta, kostky, karetní hry, kdy sázející hrají proti provozovateli kasina,</w:t>
      </w:r>
      <w:r w:rsidR="00996F41">
        <w:t xml:space="preserve"> případně další hry schválené v </w:t>
      </w:r>
      <w:r>
        <w:t>herním plánu, jakož i varianty těchto her, přičemž výhra se vypočítává z výše vkladů podle podmínek stanovených herním plánem, zároveň tyto sázkové hry nelze provozovat v mobilních hernách (kasinech). Dále stanovoval, že může jít i o turnajové nebo</w:t>
      </w:r>
      <w:r w:rsidR="00217E77">
        <w:t> </w:t>
      </w:r>
      <w:r>
        <w:t xml:space="preserve">hotovostní sázkové hry provozované za pomoci karet, při nichž není předem určen počet účastníků a ani není známa výše vsazených částek, kdy účastníci platí vklad (sázku) nebo startovné, jehož návratnost se účastníkovi nezaručuje. Výhra se vypočítávala podle podmínek stanovených herním plánem. Sázkové hry podle tohoto ustanovení taktéž nelze provozovat v mobilních hernách (kasinech). Zároveň zákon o loteriích obsahoval obdobná ustanovení, týkající se žetonů, jako současný zákon o hazardních hrách. </w:t>
      </w:r>
      <w:r w:rsidRPr="00B161D5">
        <w:t>Nově však</w:t>
      </w:r>
      <w:r>
        <w:t> </w:t>
      </w:r>
      <w:r w:rsidRPr="00B161D5">
        <w:t>zákon o hazardních hrách stanovuje povinnost ve všech kasinech provozovatele používat stejnou sadu hodnotových žetonů.</w:t>
      </w:r>
    </w:p>
    <w:p w14:paraId="133D5EEB" w14:textId="17A8CCA9" w:rsidR="00993BAE" w:rsidRDefault="00993BAE" w:rsidP="00BE0B1D">
      <w:pPr>
        <w:pStyle w:val="Nadpis3"/>
      </w:pPr>
      <w:bookmarkStart w:id="67" w:name="_Toc73611625"/>
      <w:r>
        <w:t>Konkrétní pop</w:t>
      </w:r>
      <w:r w:rsidR="0027783C">
        <w:t xml:space="preserve">is regulace obsažené v </w:t>
      </w:r>
      <w:r w:rsidR="00BE0B1D">
        <w:t>zákoně o </w:t>
      </w:r>
      <w:r>
        <w:t>hazardních hrách</w:t>
      </w:r>
      <w:bookmarkEnd w:id="67"/>
    </w:p>
    <w:p w14:paraId="3089BB34" w14:textId="3C3CD33A" w:rsidR="005958FC" w:rsidRPr="005958FC" w:rsidRDefault="005958FC" w:rsidP="005958FC">
      <w:r w:rsidRPr="005958FC">
        <w:rPr>
          <w:bCs/>
        </w:rPr>
        <w:t>Zákon</w:t>
      </w:r>
      <w:r w:rsidRPr="005958FC">
        <w:t xml:space="preserve"> o hazardních hrách v § 57 a § 58 obsahuje definici živé hry a související podmínky jejího provozování. Živou hru zákon o hazardních hrách definuje jako hazardní hru, při které sázející hrají proti krupiér</w:t>
      </w:r>
      <w:r w:rsidR="0046620B">
        <w:t>ovi, nebo jeden proti druhému u </w:t>
      </w:r>
      <w:r w:rsidRPr="005958FC">
        <w:t>hracích stolů, aniž by byl předem určen počet sázejících a výše sázky do jedné hry. Výčet živých her je uveden demonstrativním způsobem., kdy zákon o hazardních hrách stanoví, že ž</w:t>
      </w:r>
      <w:r w:rsidRPr="005958FC">
        <w:rPr>
          <w:rFonts w:cs="Arial"/>
        </w:rPr>
        <w:t>ivou hrou se rozumí zejména ruleta, karetní hra, a to i provozovaná formou turnaje</w:t>
      </w:r>
      <w:r w:rsidRPr="005958FC">
        <w:rPr>
          <w:rStyle w:val="Znakapoznpodarou"/>
        </w:rPr>
        <w:footnoteReference w:id="37"/>
      </w:r>
      <w:r w:rsidRPr="005958FC">
        <w:rPr>
          <w:rFonts w:cs="Arial"/>
        </w:rPr>
        <w:t xml:space="preserve">, a hra v kostky. </w:t>
      </w:r>
    </w:p>
    <w:p w14:paraId="2EDF7948" w14:textId="46BB4D90" w:rsidR="005958FC" w:rsidRPr="005958FC" w:rsidRDefault="005958FC" w:rsidP="005958FC">
      <w:r w:rsidRPr="005958FC">
        <w:t>Živou hru je možné provozovat pouze prostřed</w:t>
      </w:r>
      <w:r>
        <w:t>nictvím žetonů. Zároveň zákon o </w:t>
      </w:r>
      <w:r w:rsidRPr="005958FC">
        <w:t xml:space="preserve">hazardních hrách stanovuje, že živá hra může probíhat pouze na hracích stolech. Tato podmínka ve vazbě na princip technické neutrality zajištuje, že živou hru nelze provozovat prostřednictvím technických zařízení.  </w:t>
      </w:r>
    </w:p>
    <w:p w14:paraId="4E3C8C42" w14:textId="23BE4208" w:rsidR="005958FC" w:rsidRPr="005958FC" w:rsidRDefault="005958FC" w:rsidP="005958FC">
      <w:r w:rsidRPr="005958FC">
        <w:t xml:space="preserve">Na základě vyhodnocení povahy živé hry a rizik s ní spojenými umožňuje zákon o hazardních hrách provozování živé hry pouze v herním prostoru typu kasino. V kasinu musí být umožněna hra minimálně u třech stolů a zároveň je v kasinu možné společně s živou hrou provozovat bingo a technickou hru, přičemž však živá hra musí být provozována jako hlavní činnost (dále se odkazuje na </w:t>
      </w:r>
      <w:r w:rsidR="00D55320">
        <w:t xml:space="preserve">Přílohu č. 6 </w:t>
      </w:r>
      <w:r w:rsidRPr="005958FC">
        <w:t>Herní prostor).</w:t>
      </w:r>
    </w:p>
    <w:p w14:paraId="03DD964C" w14:textId="65756618" w:rsidR="005958FC" w:rsidRPr="005958FC" w:rsidRDefault="005958FC" w:rsidP="005958FC">
      <w:r w:rsidRPr="005958FC">
        <w:t>V souvislosti se skutečností, že živá hra může být provozována pouze v kas</w:t>
      </w:r>
      <w:r w:rsidR="00F008E8">
        <w:t>i</w:t>
      </w:r>
      <w:r w:rsidRPr="005958FC">
        <w:t>nu, zákon o hazardních hrách dále obsahuje podmínku minimálního počtu stolů živé hry ve vztahu k provozování technických zařízení</w:t>
      </w:r>
      <w:r w:rsidRPr="005958FC">
        <w:rPr>
          <w:rStyle w:val="Znakapoznpodarou"/>
        </w:rPr>
        <w:footnoteReference w:id="38"/>
      </w:r>
      <w:r w:rsidRPr="005958FC">
        <w:t xml:space="preserve">. </w:t>
      </w:r>
    </w:p>
    <w:p w14:paraId="66DB9EAD" w14:textId="6CE96AC3" w:rsidR="005958FC" w:rsidRPr="005958FC" w:rsidRDefault="005958FC" w:rsidP="005958FC">
      <w:r w:rsidRPr="005958FC">
        <w:lastRenderedPageBreak/>
        <w:t xml:space="preserve">Živou hru lze také provozovat jako internetovou hru podle § 73 odst. 1 zákona o hazardních hrách. V takovém případě se na ní uplatní podmínky provozování stanovené pro internetové hry (dále se odkazuje na </w:t>
      </w:r>
      <w:r w:rsidR="00D55320">
        <w:t>Přílohu č. 7</w:t>
      </w:r>
      <w:r w:rsidRPr="005958FC">
        <w:t xml:space="preserve"> Internetová hra).</w:t>
      </w:r>
    </w:p>
    <w:p w14:paraId="12632E1D" w14:textId="77777777" w:rsidR="005958FC" w:rsidRPr="005958FC" w:rsidRDefault="005958FC" w:rsidP="005958FC">
      <w:r w:rsidRPr="005958FC">
        <w:t xml:space="preserve">Zákon o hazardních hrách nepožaduje pro účast na živé hře registraci a zřízení uživatelského konta, nicméně provozovatel je povinen umožnit účastníkovi hazardní hry nastavit si sebeomezující opatření. </w:t>
      </w:r>
    </w:p>
    <w:p w14:paraId="01ECCB28" w14:textId="5DDE7910" w:rsidR="005958FC" w:rsidRPr="005958FC" w:rsidRDefault="005958FC" w:rsidP="005958FC">
      <w:pPr>
        <w:rPr>
          <w:bCs/>
        </w:rPr>
      </w:pPr>
      <w:r w:rsidRPr="005958FC">
        <w:t xml:space="preserve">S účinností od 1. 1. 2020 byl zrušen </w:t>
      </w:r>
      <w:r w:rsidRPr="005958FC">
        <w:rPr>
          <w:bCs/>
        </w:rPr>
        <w:t xml:space="preserve">§ 59 zákona o hazardních hrách, který určoval, že u živé hry provozované formou turnaje s předem stanovenou minimální výší výhry je podmínkou konání turnaje uhrazení vkladů účastníků hazardní hry odpovídající nejméně 50 % předem stanovené minimální výše výhry a v případě, že souhrn vkladů bude vyšší než předem stanovená výše výhry nebo se bude jednat o turnaj bez předem stanovené výše výhry, nesmí provozovatel na výhrách vyplatit více než 95 % z úhrnné výše všech vkladů. Z pohledu regulace daně z hazardních her je </w:t>
      </w:r>
      <w:r w:rsidR="00F008E8">
        <w:rPr>
          <w:bCs/>
        </w:rPr>
        <w:t xml:space="preserve">původní </w:t>
      </w:r>
      <w:r w:rsidRPr="005958FC">
        <w:rPr>
          <w:bCs/>
        </w:rPr>
        <w:t xml:space="preserve">účel § 59 zákona o hazardních hrách zajištěn zákonem o dani z hazardních her. </w:t>
      </w:r>
    </w:p>
    <w:p w14:paraId="1E164171" w14:textId="77777777" w:rsidR="0028190C" w:rsidRPr="0028190C" w:rsidRDefault="0028190C" w:rsidP="0028190C">
      <w:pPr>
        <w:pStyle w:val="Nadpis3"/>
      </w:pPr>
      <w:bookmarkStart w:id="68" w:name="_Toc73611626"/>
      <w:r w:rsidRPr="0028190C">
        <w:t>Konkrétní popis nástrojů, včetně oblastí, na které by bylo vhodné se v budoucnu zaměřit, a návrh doporučení či možných variant řešení</w:t>
      </w:r>
      <w:bookmarkEnd w:id="68"/>
    </w:p>
    <w:p w14:paraId="385E1535" w14:textId="77777777" w:rsidR="005958FC" w:rsidRPr="005958FC" w:rsidRDefault="005958FC" w:rsidP="003D2CF6">
      <w:pPr>
        <w:pStyle w:val="Nadpis6"/>
        <w:numPr>
          <w:ilvl w:val="0"/>
          <w:numId w:val="32"/>
        </w:numPr>
      </w:pPr>
      <w:bookmarkStart w:id="69" w:name="_Toc73611627"/>
      <w:r w:rsidRPr="005958FC">
        <w:t>Kvalifikace krupiérů</w:t>
      </w:r>
      <w:bookmarkEnd w:id="69"/>
      <w:r w:rsidRPr="005958FC">
        <w:t xml:space="preserve">  </w:t>
      </w:r>
    </w:p>
    <w:p w14:paraId="0C6051CC" w14:textId="77777777" w:rsidR="005958FC" w:rsidRPr="005958FC" w:rsidRDefault="005958FC" w:rsidP="005958FC">
      <w:r w:rsidRPr="005958FC">
        <w:t xml:space="preserve">Zákon o hazardních hrách neklade žádné požadavky na kvalifikaci krupiérů, neboť se obecně předpokládá, že je v zájmu provozovatelů, kteří provozují živou hru, zajistit řádné provozování živé hry a tedy disponovat kvalifikovaným personálem. </w:t>
      </w:r>
    </w:p>
    <w:p w14:paraId="662EB3C8" w14:textId="744FE64F" w:rsidR="005958FC" w:rsidRPr="005958FC" w:rsidRDefault="005958FC" w:rsidP="005958FC">
      <w:r w:rsidRPr="005958FC">
        <w:t>Z dozorové činnosti však vyplývá, že dochází k situacím, kdy je živá hra provozována v rozporu s § 68 odst. 1 zákona o hazardních hrách, a to tím způsobem, že se jedná pouze o okrajovou činnost, kdy je fakticky tento herní prostor hernou, nicmén</w:t>
      </w:r>
      <w:r w:rsidR="002973A7">
        <w:t>ě formálně splňuje definici kasi</w:t>
      </w:r>
      <w:r w:rsidRPr="005958FC">
        <w:t xml:space="preserve">na a tedy umožňuje provozovat hazardní hry v tomto režimu. </w:t>
      </w:r>
      <w:r w:rsidR="005F3766">
        <w:t>V rámci dozorové činnosti jsou samozřejmě takové pokusy o obcházení regulace důsledně postihovány.</w:t>
      </w:r>
      <w:r w:rsidR="005F3766" w:rsidRPr="005958FC">
        <w:t xml:space="preserve"> </w:t>
      </w:r>
      <w:r w:rsidRPr="005958FC">
        <w:t xml:space="preserve">Vzhledem ke skutečnosti, že v daných případech není úmyslem provozovatele provozovat živou hru (je nabízena pouze za účelem naplnění formálních požadavků na herní prostor), chybí zároveň i motivace provozovatele provozovat tuto hru řádně.  V takových provozovnách se často kvalifikovaný personál nevyskytuje, naopak hru řídí </w:t>
      </w:r>
      <w:r w:rsidR="00270F9B">
        <w:t>nekvalifikovaný personál (např. </w:t>
      </w:r>
      <w:r w:rsidRPr="005958FC">
        <w:t>obsluha baru, obsluha technického zařízení atd.).</w:t>
      </w:r>
      <w:r w:rsidR="005F3766">
        <w:t xml:space="preserve"> </w:t>
      </w:r>
      <w:r w:rsidR="00F008E8">
        <w:t xml:space="preserve"> </w:t>
      </w:r>
    </w:p>
    <w:p w14:paraId="28B3F419" w14:textId="77777777" w:rsidR="005958FC" w:rsidRPr="005958FC" w:rsidRDefault="005958FC" w:rsidP="00B52F57">
      <w:pPr>
        <w:pStyle w:val="Nadpis7"/>
      </w:pPr>
      <w:r w:rsidRPr="005958FC">
        <w:t>Varianta I. – Zachování současného stavu</w:t>
      </w:r>
    </w:p>
    <w:p w14:paraId="1AA820E7" w14:textId="275249F7" w:rsidR="005958FC" w:rsidRPr="005958FC" w:rsidRDefault="005958FC" w:rsidP="005958FC">
      <w:r w:rsidRPr="005958FC">
        <w:t>Vzhledem ke skutečnosti, že v obecné rovině by mělo být zájmem samotných provozovatelů nabízet pouze takovou živou hru, jejíž řádné provozování je zajištěno, bylo by možným řešením ponechat současný stav.</w:t>
      </w:r>
    </w:p>
    <w:p w14:paraId="3F02EBC6" w14:textId="77777777" w:rsidR="005958FC" w:rsidRPr="005958FC" w:rsidRDefault="005958FC" w:rsidP="005958FC">
      <w:r w:rsidRPr="005958FC">
        <w:t>Výhody:</w:t>
      </w:r>
    </w:p>
    <w:p w14:paraId="6E1BEB0F" w14:textId="77777777" w:rsidR="005958FC" w:rsidRPr="005958FC" w:rsidRDefault="005958FC" w:rsidP="005958FC">
      <w:r w:rsidRPr="005958FC">
        <w:lastRenderedPageBreak/>
        <w:t>Výhodou navrhovaného řešení by nebyl vznik dodatečných nákladů na straně provozovatelů spojených s možnými mzdovými náklady za kvalifikované krupiéry. Většina provozovatelů živých her nicméně těmito krupiéry již dnes disponuje.</w:t>
      </w:r>
    </w:p>
    <w:p w14:paraId="4015A060" w14:textId="77777777" w:rsidR="005958FC" w:rsidRPr="005958FC" w:rsidRDefault="005958FC" w:rsidP="005958FC">
      <w:r w:rsidRPr="005958FC">
        <w:t>Nevýhody:</w:t>
      </w:r>
    </w:p>
    <w:p w14:paraId="18B65B85" w14:textId="52DCBA65" w:rsidR="005958FC" w:rsidRPr="005958FC" w:rsidRDefault="005958FC" w:rsidP="005958FC">
      <w:r w:rsidRPr="005958FC">
        <w:t>I nadále se účastníci haza</w:t>
      </w:r>
      <w:r w:rsidR="002973A7">
        <w:t>rdních her budou setkávat s kasi</w:t>
      </w:r>
      <w:r w:rsidRPr="005958FC">
        <w:t>ny, ve kterých obsluha není detailně seznámená se všemi aspekty provozo</w:t>
      </w:r>
      <w:r w:rsidR="007F252D">
        <w:t>vání živé hry (tj. nejedná se o </w:t>
      </w:r>
      <w:r w:rsidRPr="005958FC">
        <w:t xml:space="preserve">kvalifikovaného krupiéra). </w:t>
      </w:r>
    </w:p>
    <w:p w14:paraId="26E1AC39" w14:textId="2B94AC3D" w:rsidR="005958FC" w:rsidRPr="00B52F57" w:rsidRDefault="005958FC" w:rsidP="00B52F57">
      <w:pPr>
        <w:pStyle w:val="Nadpis7"/>
      </w:pPr>
      <w:r w:rsidRPr="00B52F57">
        <w:t xml:space="preserve">Varianta II. – Stanovení podmínek pro kvalifikaci krupiérů </w:t>
      </w:r>
    </w:p>
    <w:p w14:paraId="3A98D54F" w14:textId="77777777" w:rsidR="005958FC" w:rsidRPr="005958FC" w:rsidRDefault="005958FC" w:rsidP="005958FC">
      <w:r w:rsidRPr="005958FC">
        <w:t xml:space="preserve">Možnou variantou řešení by mohlo být stanovení povinné kvalifikace krupiéra. Podmínkou pro možnost vykonávání pozice krupiéra by mohlo být absolvování kurzu zakončené získáním výstupního dokumentu, přičemž by bylo nutné dále stanovit podmínky a rozsah kurzu. Další možností by mohlo být prokázání určitého počtu let praxe na pozici krupiéra. Na kvalifikaci krupiérů by byla zaměřena také dozorová činnost. </w:t>
      </w:r>
    </w:p>
    <w:p w14:paraId="143BFFEF" w14:textId="77777777" w:rsidR="005958FC" w:rsidRPr="005958FC" w:rsidRDefault="005958FC" w:rsidP="005958FC">
      <w:r w:rsidRPr="005958FC">
        <w:t>Výhody:</w:t>
      </w:r>
    </w:p>
    <w:p w14:paraId="5CD62B32" w14:textId="77777777" w:rsidR="005958FC" w:rsidRPr="005958FC" w:rsidRDefault="005958FC" w:rsidP="005958FC">
      <w:r w:rsidRPr="005958FC">
        <w:t xml:space="preserve">Navrhovanou variantou by byly vytvořeny podmínky pro to, aby se sjednotila úroveň profesionality všech krupiérů a tím i kvalita provozování hazardních her. </w:t>
      </w:r>
    </w:p>
    <w:p w14:paraId="1F43FFEC" w14:textId="77777777" w:rsidR="005958FC" w:rsidRPr="005958FC" w:rsidRDefault="005958FC" w:rsidP="005958FC">
      <w:r w:rsidRPr="005958FC">
        <w:t>Nevýhody:</w:t>
      </w:r>
    </w:p>
    <w:p w14:paraId="0EBDC3A6" w14:textId="0A9650FE" w:rsidR="005958FC" w:rsidRPr="005958FC" w:rsidRDefault="005958FC" w:rsidP="005958FC">
      <w:r w:rsidRPr="005958FC">
        <w:t>Za určitou nevýhodu je možné považovat možný nárůst nákladů na straně provozovatelů spojených se mzdovými výdaji, neboť nelze vyloučit případný tlak na nárůst mezd kvalifikovaných krupiérů. Lze však předpokládat, že ve většině případů kas</w:t>
      </w:r>
      <w:r w:rsidR="005F3766">
        <w:t>i</w:t>
      </w:r>
      <w:r w:rsidRPr="005958FC">
        <w:t>na již dnes kvalifikovanými krupiéry disponují.</w:t>
      </w:r>
      <w:r w:rsidR="005F3766">
        <w:t xml:space="preserve"> Nelze také vyloučit potenciální obcházení této povinnosti (např. pouze formálními školeními bez požadovaného efektu apod.)</w:t>
      </w:r>
      <w:r w:rsidRPr="005958FC">
        <w:t xml:space="preserve"> </w:t>
      </w:r>
    </w:p>
    <w:p w14:paraId="210772A6" w14:textId="24CDA77B" w:rsidR="005958FC" w:rsidRPr="005958FC" w:rsidRDefault="0027783C" w:rsidP="002973A7">
      <w:pPr>
        <w:pStyle w:val="Nadpis7"/>
      </w:pPr>
      <w:r>
        <w:t>Hodnocení variant</w:t>
      </w:r>
    </w:p>
    <w:p w14:paraId="35C61EC0" w14:textId="22A343F5" w:rsidR="005958FC" w:rsidRPr="005958FC" w:rsidRDefault="005958FC" w:rsidP="005958FC">
      <w:r w:rsidRPr="005958FC">
        <w:t xml:space="preserve">Za vhodnou variantu je považována varianta II., která povede k zajištění poskytnutí obdobné úrovně živé hry napříč jednotlivými provozovnami. Je však nutné dále konzultovat požadavky na kvalifikaci krupiérů s provozovateli živé hry </w:t>
      </w:r>
      <w:r w:rsidR="005F3766">
        <w:t xml:space="preserve">s cílem nastavení optimálního a pro všechny strany akceptovatelného standardu </w:t>
      </w:r>
      <w:r w:rsidRPr="005958FC">
        <w:t>a případně se zaměřit na přechodné období.</w:t>
      </w:r>
    </w:p>
    <w:p w14:paraId="0C967A6E" w14:textId="7FDA1A04" w:rsidR="005958FC" w:rsidRPr="005958FC" w:rsidRDefault="005958FC" w:rsidP="003D2CF6">
      <w:pPr>
        <w:pStyle w:val="Nadpis6"/>
      </w:pPr>
      <w:bookmarkStart w:id="70" w:name="_Toc73611628"/>
      <w:r w:rsidRPr="005958FC">
        <w:t>Žetony</w:t>
      </w:r>
      <w:r w:rsidR="002638B3">
        <w:t xml:space="preserve"> - </w:t>
      </w:r>
      <w:r w:rsidR="002638B3" w:rsidRPr="002638B3">
        <w:t>Vyznačená hodnota žetonu</w:t>
      </w:r>
      <w:bookmarkEnd w:id="70"/>
    </w:p>
    <w:p w14:paraId="03E376CD" w14:textId="4F95AE50" w:rsidR="005958FC" w:rsidRPr="005958FC" w:rsidRDefault="005958FC" w:rsidP="005958FC">
      <w:r w:rsidRPr="005958FC">
        <w:t>Zákon o hazardních hrách v § 58 odst. 1 stanoví požadavky na hodnotové žetony. Tyto žetony musí mít vyznačenou hodnotu a oficiální zkratku měny a musí být hmotné podstaty. Stejně označené hodnotové žetony se mohou používat pouze v</w:t>
      </w:r>
      <w:r w:rsidR="00996F41">
        <w:t> </w:t>
      </w:r>
      <w:r w:rsidRPr="005958FC">
        <w:t>kasinech provozovaných jedním provozovatelem. Provozovatel je povinen ve všech jím provozovaných kasinech používat stejnou sadu hodnotových žetonů.</w:t>
      </w:r>
    </w:p>
    <w:p w14:paraId="71862156" w14:textId="3747B7C7" w:rsidR="005958FC" w:rsidRPr="005958FC" w:rsidRDefault="002E4E22" w:rsidP="005958FC">
      <w:pPr>
        <w:rPr>
          <w:rStyle w:val="hgkelc"/>
          <w:rFonts w:cs="Arial"/>
        </w:rPr>
      </w:pPr>
      <w:r>
        <w:t xml:space="preserve">Výše uvedený </w:t>
      </w:r>
      <w:r w:rsidR="005958FC" w:rsidRPr="005958FC">
        <w:t>§ 58 odst. 1 zákona o hazardních hrách požaduje, aby na hodnotovém žetonu byla vyznačená oficiální zkrat</w:t>
      </w:r>
      <w:r w:rsidR="00996F41">
        <w:t>ka měny. Mohou však existovat i </w:t>
      </w:r>
      <w:r w:rsidR="005958FC" w:rsidRPr="005958FC">
        <w:t xml:space="preserve">jiné způsoby označení měny, které mohou být pro účastníky hazardních her srozumitelnější, např. znak </w:t>
      </w:r>
      <w:r w:rsidR="005958FC" w:rsidRPr="005958FC">
        <w:rPr>
          <w:rStyle w:val="hgkelc"/>
          <w:rFonts w:cs="Arial"/>
        </w:rPr>
        <w:t xml:space="preserve">€, nebo uvedení plného názvu měny, např. korun českých. </w:t>
      </w:r>
    </w:p>
    <w:p w14:paraId="0EED94E4" w14:textId="77777777" w:rsidR="005958FC" w:rsidRPr="005958FC" w:rsidRDefault="005958FC" w:rsidP="005958FC">
      <w:r w:rsidRPr="005958FC">
        <w:lastRenderedPageBreak/>
        <w:t>Možným řešením by mohlo být rozšíření možnosti označení měny na žetonu o další způsoby, než je pouze oficiální zkratka měny, nicméně tak, aby bylo bez dalšího zřejmé, o jakou měnu se jedná.</w:t>
      </w:r>
    </w:p>
    <w:p w14:paraId="7C6FEA07" w14:textId="3FAE6869" w:rsidR="005958FC" w:rsidRPr="005958FC" w:rsidRDefault="005958FC" w:rsidP="005958FC">
      <w:r w:rsidRPr="005958FC">
        <w:t>Výhodou navrhované</w:t>
      </w:r>
      <w:r w:rsidR="00203D37">
        <w:t>ho</w:t>
      </w:r>
      <w:r w:rsidRPr="005958FC">
        <w:t xml:space="preserve"> </w:t>
      </w:r>
      <w:r w:rsidR="00203D37">
        <w:t>řešení</w:t>
      </w:r>
      <w:r w:rsidRPr="005958FC">
        <w:t xml:space="preserve"> by mohlo být zvýšení komfortu jak provozovatelů živé hry, kteří by mohli zvolit vlastní formu označení, tak i případně účastníků hazardních her, neboť těm mohou být jiná označení, např. znak </w:t>
      </w:r>
      <w:r w:rsidRPr="005958FC">
        <w:rPr>
          <w:rStyle w:val="hgkelc"/>
          <w:rFonts w:cs="Arial"/>
        </w:rPr>
        <w:t xml:space="preserve">€ srozumitelnější. </w:t>
      </w:r>
      <w:r w:rsidRPr="005958FC">
        <w:t xml:space="preserve"> </w:t>
      </w:r>
    </w:p>
    <w:p w14:paraId="6EFFE34E" w14:textId="77777777" w:rsidR="005958FC" w:rsidRPr="005958FC" w:rsidRDefault="005958FC" w:rsidP="005958FC">
      <w:r w:rsidRPr="005958FC">
        <w:t>Možnou nevýhodou navrhovaného řešení by mohly být teoretické pochybnosti o tom, zda je označení dostatečně srozumitelné. Nicméně dle dostupných informací je způsob označování žetonů poměrně ustálen.</w:t>
      </w:r>
    </w:p>
    <w:p w14:paraId="0B01B329" w14:textId="66AC554B" w:rsidR="005958FC" w:rsidRPr="005958FC" w:rsidRDefault="005958FC" w:rsidP="005958FC">
      <w:pPr>
        <w:rPr>
          <w:rStyle w:val="hgkelc"/>
          <w:rFonts w:cs="Arial"/>
        </w:rPr>
      </w:pPr>
      <w:r w:rsidRPr="005958FC">
        <w:rPr>
          <w:rStyle w:val="hgkelc"/>
          <w:rFonts w:cs="Arial"/>
        </w:rPr>
        <w:t xml:space="preserve">Je nutné dále </w:t>
      </w:r>
      <w:r w:rsidR="002638B3">
        <w:rPr>
          <w:rStyle w:val="hgkelc"/>
          <w:rFonts w:cs="Arial"/>
        </w:rPr>
        <w:t>zvážit</w:t>
      </w:r>
      <w:r w:rsidRPr="005958FC">
        <w:rPr>
          <w:rStyle w:val="hgkelc"/>
          <w:rFonts w:cs="Arial"/>
        </w:rPr>
        <w:t>, zda je možné ponechat volbu označení plně na provozovateli, nebo zda by bylo vhodné možnosti blíže vymezit.</w:t>
      </w:r>
    </w:p>
    <w:p w14:paraId="2FC22E36" w14:textId="290F1401" w:rsidR="005958FC" w:rsidRPr="002638B3" w:rsidRDefault="002638B3" w:rsidP="003D2CF6">
      <w:pPr>
        <w:pStyle w:val="Nadpis6"/>
      </w:pPr>
      <w:bookmarkStart w:id="71" w:name="_Toc73611629"/>
      <w:r w:rsidRPr="005958FC">
        <w:t>Žetony</w:t>
      </w:r>
      <w:r>
        <w:t xml:space="preserve"> - </w:t>
      </w:r>
      <w:r w:rsidR="005958FC" w:rsidRPr="002638B3">
        <w:rPr>
          <w:rFonts w:eastAsiaTheme="minorHAnsi"/>
        </w:rPr>
        <w:t>Uvedení názvu provozovatele</w:t>
      </w:r>
      <w:r>
        <w:rPr>
          <w:rFonts w:eastAsiaTheme="minorHAnsi"/>
        </w:rPr>
        <w:t xml:space="preserve"> na žetonu</w:t>
      </w:r>
      <w:bookmarkEnd w:id="71"/>
    </w:p>
    <w:p w14:paraId="259F3DBF" w14:textId="4D9957F4" w:rsidR="005958FC" w:rsidRPr="005958FC" w:rsidRDefault="005958FC" w:rsidP="005958FC">
      <w:pPr>
        <w:rPr>
          <w:rFonts w:cs="Arial"/>
        </w:rPr>
      </w:pPr>
      <w:r w:rsidRPr="005958FC">
        <w:t>Zákon o hazardních hrách v § 58 odst. 2 dále stanoví, že stejně označené hodnotové žetony se mohou používat pouze v kasinech provozovaných jedním provozovatelem.</w:t>
      </w:r>
      <w:r w:rsidRPr="005958FC">
        <w:rPr>
          <w:rFonts w:cs="Arial"/>
        </w:rPr>
        <w:t xml:space="preserve"> Zákon o hazardních hrách však zároveň neupravuje povinnost provozovatele uvádět na žetonech svůj název. Mohlo by tak dojít k situaci, kdy by bylo možné uplatnit žetony u jiného provozovatele. Možným řešením by mohlo být stanovení povinnosti provozovateli uvést na žetonech název </w:t>
      </w:r>
      <w:r w:rsidR="00203D37">
        <w:rPr>
          <w:rFonts w:cs="Arial"/>
        </w:rPr>
        <w:t xml:space="preserve">či jinou identifikaci </w:t>
      </w:r>
      <w:r w:rsidRPr="005958FC">
        <w:rPr>
          <w:rFonts w:cs="Arial"/>
        </w:rPr>
        <w:t>provozovatele tak, aby nemohlo docházet např. k uplatnění žetonů u jiného provozovatele.</w:t>
      </w:r>
    </w:p>
    <w:p w14:paraId="3A104C13" w14:textId="10CEB512" w:rsidR="005958FC" w:rsidRPr="005958FC" w:rsidRDefault="005958FC" w:rsidP="005958FC">
      <w:pPr>
        <w:rPr>
          <w:rFonts w:cs="Arial"/>
        </w:rPr>
      </w:pPr>
      <w:r w:rsidRPr="005958FC">
        <w:rPr>
          <w:rFonts w:cs="Arial"/>
        </w:rPr>
        <w:t>Výhodou navrhovaného řešení je zejména zvýšení informovanosti účastníků hazardní hry v tom smyslu, který provozovatel živou hru prov</w:t>
      </w:r>
      <w:r w:rsidR="008B0F5B">
        <w:rPr>
          <w:rFonts w:cs="Arial"/>
        </w:rPr>
        <w:t xml:space="preserve">ozuje a je tedy za její provoz </w:t>
      </w:r>
      <w:r w:rsidRPr="005958FC">
        <w:rPr>
          <w:rFonts w:cs="Arial"/>
        </w:rPr>
        <w:t>odpovědný. Zároveň bude zabráněno potencionálním situacím, kdy by mohly být žetony jednoho provozovatele přeneseny a využity v kas</w:t>
      </w:r>
      <w:r w:rsidR="00203D37">
        <w:rPr>
          <w:rFonts w:cs="Arial"/>
        </w:rPr>
        <w:t>i</w:t>
      </w:r>
      <w:r w:rsidRPr="005958FC">
        <w:rPr>
          <w:rFonts w:cs="Arial"/>
        </w:rPr>
        <w:t xml:space="preserve">nu jiného provozovatele. </w:t>
      </w:r>
    </w:p>
    <w:p w14:paraId="18F10C86" w14:textId="77777777" w:rsidR="005958FC" w:rsidRPr="005958FC" w:rsidRDefault="005958FC" w:rsidP="005958FC">
      <w:pPr>
        <w:rPr>
          <w:rFonts w:cs="Arial"/>
        </w:rPr>
      </w:pPr>
      <w:r w:rsidRPr="005958FC">
        <w:rPr>
          <w:rFonts w:cs="Arial"/>
        </w:rPr>
        <w:t xml:space="preserve">Nevýhody je možné spatřit na straně provozovatelů, neboť nelze vyloučit, že případná úprava žetonů si vyžádá dodatečné finanční náklady. </w:t>
      </w:r>
    </w:p>
    <w:p w14:paraId="7AB94760" w14:textId="3C6326CE" w:rsidR="005958FC" w:rsidRPr="002638B3" w:rsidRDefault="005958FC" w:rsidP="005958FC">
      <w:pPr>
        <w:rPr>
          <w:rFonts w:cs="Arial"/>
        </w:rPr>
      </w:pPr>
      <w:r w:rsidRPr="005958FC">
        <w:rPr>
          <w:rFonts w:cs="Arial"/>
        </w:rPr>
        <w:t xml:space="preserve">Je nutné dále zvážit, jakým způsobem by bylo vhodné název </w:t>
      </w:r>
      <w:r w:rsidR="00203D37">
        <w:rPr>
          <w:rFonts w:cs="Arial"/>
        </w:rPr>
        <w:t xml:space="preserve">či jiné označení </w:t>
      </w:r>
      <w:r w:rsidRPr="005958FC">
        <w:rPr>
          <w:rFonts w:cs="Arial"/>
        </w:rPr>
        <w:t>uvádět tak, aby byl zohledněn omezený prostor na žetonu a zároveň aby tato povinnost plnila svůj účel.</w:t>
      </w:r>
    </w:p>
    <w:p w14:paraId="30F4284F" w14:textId="77777777" w:rsidR="005958FC" w:rsidRPr="005958FC" w:rsidRDefault="005958FC" w:rsidP="003D2CF6">
      <w:pPr>
        <w:pStyle w:val="Nadpis6"/>
      </w:pPr>
      <w:bookmarkStart w:id="72" w:name="_Toc73611630"/>
      <w:r w:rsidRPr="005958FC">
        <w:t>Sdílené turnaje živé hry</w:t>
      </w:r>
      <w:bookmarkEnd w:id="72"/>
      <w:r w:rsidRPr="005958FC">
        <w:t xml:space="preserve"> </w:t>
      </w:r>
    </w:p>
    <w:p w14:paraId="21BB310C" w14:textId="6D9E12D2" w:rsidR="005958FC" w:rsidRPr="005958FC" w:rsidRDefault="005958FC" w:rsidP="005958FC">
      <w:r w:rsidRPr="005958FC">
        <w:t>Internetové živé hry mohou být v obecné rovině provozovány také jako sdílené turnaje živé hry, kdy je hra provozována více provozovateli, i na území jiného členského státu Evropské unie nebo státu, kt</w:t>
      </w:r>
      <w:r w:rsidR="00996F41">
        <w:t>erý je smluvní stranou Dohody o </w:t>
      </w:r>
      <w:r w:rsidRPr="005958FC">
        <w:t>Evropském hospodářském prostoru, na principu společné hry účastníků hazardní hry registrovaných u jednotlivých provozovatelů. Podle zákona o hazardních hrách je však sdílené provozování umožněno pouze výslovně u loterie, a sdílené provozování podle stávajícího znění zákona o hazardních hrách není v případě živé hry přípustné.</w:t>
      </w:r>
    </w:p>
    <w:p w14:paraId="450E821E" w14:textId="515765E1" w:rsidR="005958FC" w:rsidRPr="005958FC" w:rsidRDefault="005958FC" w:rsidP="005958FC">
      <w:pPr>
        <w:pStyle w:val="Bezmezer"/>
      </w:pPr>
      <w:r w:rsidRPr="005958FC">
        <w:t xml:space="preserve">Možným řešením je umožnit provozování turnajů živé hry i jako sdílené hry, která je provozována více provozovateli, i na území jiného členského státu Evropské unie nebo státu, který je smluvní stranou Dohody o Evropském hospodářském prostoru, na principu sdílení herní jistiny účastníků hazardní hry registrovaných u jednotlivých provozovatelů. Při provozování sdíleného turnaje živé hry by výhru vyplácel a další povinnosti podle tohoto zákona plnil vždy provozovatel, u něhož byla sázka přijata. Provozování sdílené </w:t>
      </w:r>
      <w:r w:rsidR="008B0F5B">
        <w:t>živé</w:t>
      </w:r>
      <w:r w:rsidRPr="005958FC">
        <w:t xml:space="preserve"> hry by mohlo probíhat na podobném principu jako u sdílené </w:t>
      </w:r>
      <w:r w:rsidRPr="005958FC">
        <w:lastRenderedPageBreak/>
        <w:t>loterie. Výhodou navrhovaného řešení by bylo rozší</w:t>
      </w:r>
      <w:r w:rsidR="008B0F5B">
        <w:t>ření nabídky turnajů živé hry a </w:t>
      </w:r>
      <w:r w:rsidRPr="005958FC">
        <w:t>tedy i snížení potencionální motivace účastníků hazardních her vyhledávat tento produkt u nelegálních provozovatelů.</w:t>
      </w:r>
    </w:p>
    <w:p w14:paraId="5DAD0097" w14:textId="3639F7EA" w:rsidR="005958FC" w:rsidRPr="005958FC" w:rsidRDefault="005958FC" w:rsidP="005958FC">
      <w:pPr>
        <w:pStyle w:val="Bezmezer"/>
      </w:pPr>
    </w:p>
    <w:p w14:paraId="3F2C3E95" w14:textId="0F34C0D4" w:rsidR="005958FC" w:rsidRPr="002638B3" w:rsidRDefault="005958FC" w:rsidP="002638B3">
      <w:pPr>
        <w:pStyle w:val="Bezmezer"/>
        <w:rPr>
          <w:rFonts w:ascii="Calibri" w:hAnsi="Calibri" w:cs="Calibri"/>
          <w:sz w:val="22"/>
        </w:rPr>
      </w:pPr>
      <w:r w:rsidRPr="005958FC">
        <w:t>Aktuálně je n</w:t>
      </w:r>
      <w:r w:rsidR="008A5834">
        <w:t>a</w:t>
      </w:r>
      <w:r w:rsidRPr="005958FC">
        <w:t>vrhov</w:t>
      </w:r>
      <w:r w:rsidR="00B75331">
        <w:t xml:space="preserve">aným řešením </w:t>
      </w:r>
      <w:r w:rsidRPr="005958FC">
        <w:t>umožnit provozování sdílených turnajů živé hry. V rámci změny zákona je však třeba zvážit a vzít v úvahu dopad do zákona o dani z hazardních her, reportingové vyhlášky apod.</w:t>
      </w:r>
    </w:p>
    <w:p w14:paraId="1F69B7A4" w14:textId="5E4FD28F" w:rsidR="005958FC" w:rsidRPr="005958FC" w:rsidRDefault="005958FC" w:rsidP="003D2CF6">
      <w:pPr>
        <w:pStyle w:val="Nadpis6"/>
      </w:pPr>
      <w:bookmarkStart w:id="73" w:name="_Toc73611631"/>
      <w:r w:rsidRPr="005958FC">
        <w:t xml:space="preserve">Virtuální žetony používané </w:t>
      </w:r>
      <w:r w:rsidR="00B45123">
        <w:t>účastníky hazardní hry</w:t>
      </w:r>
      <w:r w:rsidRPr="005958FC">
        <w:t xml:space="preserve"> prostřednictvím tabletu, touchpadu apod.</w:t>
      </w:r>
      <w:bookmarkEnd w:id="73"/>
    </w:p>
    <w:p w14:paraId="35B6DC6E" w14:textId="77777777" w:rsidR="005958FC" w:rsidRPr="005958FC" w:rsidRDefault="005958FC" w:rsidP="005958FC">
      <w:r w:rsidRPr="005958FC">
        <w:t xml:space="preserve">Zákon o hazardních hrách v § 58 odst. 1 a 2 stanoví, že hodnotové i hrací žetony musí být hmotné podstaty. Zároveň § 42 odst. 1 zákona o hazardních hrách stanoví tzv. princip technické neutrality, kdy jsou za technickou hru považovány takové hazardní hry, které jsou provozovány prostřednictvím technického zařízení přímo obsluhovaného sázejícím. </w:t>
      </w:r>
    </w:p>
    <w:p w14:paraId="4333373C" w14:textId="153A5FD7" w:rsidR="005958FC" w:rsidRPr="005958FC" w:rsidRDefault="005958FC" w:rsidP="005958FC">
      <w:r w:rsidRPr="005958FC">
        <w:t>Při nahrazení žetonů hmotné podstaty žetony ve virtuální podobě (na obrazovce tabletu či touchpadu) by mohlo docházet k narušení technické neutrality</w:t>
      </w:r>
      <w:r w:rsidRPr="005958FC">
        <w:rPr>
          <w:rStyle w:val="Znakapoznpodarou"/>
        </w:rPr>
        <w:footnoteReference w:id="39"/>
      </w:r>
      <w:r w:rsidRPr="005958FC">
        <w:t xml:space="preserve"> a případně i k porušení § 3 zákona o hazardních hrách, kde je uváděn taxativní výčet druhů hazardních her, který nelze dále rozšiřovat či měnit. Zároveň by mohlo do</w:t>
      </w:r>
      <w:r w:rsidR="002638B3">
        <w:t>jít i </w:t>
      </w:r>
      <w:r w:rsidRPr="005958FC">
        <w:t xml:space="preserve">k narušení definice živé hry, která je charakteristická přítomností krupiéra u hracího stolu a právě také fyzickým prvkem hry na hracím stole. </w:t>
      </w:r>
    </w:p>
    <w:p w14:paraId="1EDAD962" w14:textId="6802FCA7" w:rsidR="005958FC" w:rsidRPr="005958FC" w:rsidRDefault="005958FC" w:rsidP="005958FC">
      <w:r w:rsidRPr="005958FC">
        <w:t>S přihlédnutím k neustálému technologickému vývoji v oblasti provozování hazardních her bude však možnost využívání virtuálních žet</w:t>
      </w:r>
      <w:r w:rsidR="00F713D9">
        <w:t>onů v živé hře dále posouzena a </w:t>
      </w:r>
      <w:r w:rsidR="008B0F5B">
        <w:t>analyzována.</w:t>
      </w:r>
    </w:p>
    <w:p w14:paraId="4CD23D3F" w14:textId="77777777" w:rsidR="005958FC" w:rsidRPr="005958FC" w:rsidRDefault="005958FC" w:rsidP="003D2CF6">
      <w:pPr>
        <w:pStyle w:val="Nadpis6"/>
      </w:pPr>
      <w:bookmarkStart w:id="74" w:name="_Toc73611632"/>
      <w:r w:rsidRPr="005958FC">
        <w:t>Live dealer games</w:t>
      </w:r>
      <w:bookmarkEnd w:id="74"/>
      <w:r w:rsidRPr="005958FC">
        <w:t xml:space="preserve"> </w:t>
      </w:r>
    </w:p>
    <w:p w14:paraId="38848004" w14:textId="11ACA7CC" w:rsidR="005958FC" w:rsidRPr="005958FC" w:rsidRDefault="005958FC" w:rsidP="005958FC">
      <w:r w:rsidRPr="005958FC">
        <w:t xml:space="preserve">Zákon o hazardních hrách v § 57 stanoví, že při živé hře sázející hrají proti krupiérovi, nebo jeden proti druhému u hracích stolů, aniž by byl předem určen počet sázejících a výše sázky do jedné hry. </w:t>
      </w:r>
    </w:p>
    <w:p w14:paraId="4E2FE308" w14:textId="426FBC22" w:rsidR="005958FC" w:rsidRPr="005958FC" w:rsidRDefault="005958FC" w:rsidP="005958FC">
      <w:r w:rsidRPr="005958FC">
        <w:t>Podle § 73 odst. 1 zákona o hazardních hrách lze živou hru dle § 3 odst. 2 písm. f)</w:t>
      </w:r>
      <w:r w:rsidR="00996F41">
        <w:t xml:space="preserve"> zákona o hazardních hrách</w:t>
      </w:r>
      <w:r w:rsidRPr="005958FC">
        <w:t xml:space="preserve"> provozovat také jako internetovou živou hru za podmínek stanovených zákonem pro jednotlivé druhy hazardních her, nevylučuje-li to povaha provozování těchto hazardních her dálkových přístupem prostřednictvím internetu. Podle § 73 odst. 3 </w:t>
      </w:r>
      <w:r w:rsidR="00996F41">
        <w:t xml:space="preserve">zákona o hazardních hrách </w:t>
      </w:r>
      <w:r w:rsidRPr="005958FC">
        <w:t xml:space="preserve">musí být softwarovým hracím systémem provozovatele podle odstavce 2 vytvářen náhodný proces výsledku hry; to neplatí pro číselnou loterii, kursovou sázku a totalizátorovou hru. </w:t>
      </w:r>
    </w:p>
    <w:p w14:paraId="1E2591FC" w14:textId="0514775A" w:rsidR="005958FC" w:rsidRPr="005958FC" w:rsidRDefault="005958FC" w:rsidP="005958FC">
      <w:r w:rsidRPr="005958FC">
        <w:t xml:space="preserve">V návaznosti na výše uvedené je tedy nutné, aby výsledek internetové živé hry byl vytvářen softwarovým hracím systémem provozovatele (generátorem náhodných čísel). V některých členských státech Evropské unie jsou nicméně provozovány internetové živé hry takovým způsobem, že výsledek hry je generován krupiérem, který je snímán živě ve studiu. U tohoto konceptu však nelze garantovat řádné provozování </w:t>
      </w:r>
      <w:r w:rsidRPr="005958FC">
        <w:lastRenderedPageBreak/>
        <w:t xml:space="preserve">podle § 87 odst. 1 písm. e) zákona o hazardních hrách a problematický je také </w:t>
      </w:r>
      <w:r w:rsidR="004842DF">
        <w:t xml:space="preserve">výkon </w:t>
      </w:r>
      <w:r w:rsidRPr="005958FC">
        <w:t>dozoru a kontroly.</w:t>
      </w:r>
      <w:r w:rsidR="00F713D9">
        <w:t xml:space="preserve"> Vzhledem k uvedenému se navrhuje ponechání stávajícího stavu.</w:t>
      </w:r>
    </w:p>
    <w:p w14:paraId="017BC81A" w14:textId="77777777" w:rsidR="005958FC" w:rsidRDefault="005958FC">
      <w:pPr>
        <w:spacing w:line="259" w:lineRule="auto"/>
        <w:jc w:val="left"/>
        <w:rPr>
          <w:rFonts w:eastAsiaTheme="majorEastAsia" w:cstheme="majorBidi"/>
          <w:b/>
          <w:sz w:val="36"/>
          <w:szCs w:val="26"/>
        </w:rPr>
      </w:pPr>
      <w:r>
        <w:br w:type="page"/>
      </w:r>
    </w:p>
    <w:p w14:paraId="48E65172" w14:textId="3E8EA5CF" w:rsidR="00D2341C" w:rsidRDefault="00D2341C" w:rsidP="00BE0B1D">
      <w:pPr>
        <w:pStyle w:val="Nadpis2"/>
      </w:pPr>
      <w:bookmarkStart w:id="75" w:name="_Toc73611633"/>
      <w:r>
        <w:lastRenderedPageBreak/>
        <w:t>Tombola a turnaj malého rozsahu</w:t>
      </w:r>
      <w:bookmarkEnd w:id="75"/>
    </w:p>
    <w:p w14:paraId="3FB3C18D" w14:textId="2A9C47D8" w:rsidR="00892BCF" w:rsidRPr="00806F14" w:rsidRDefault="009F4483" w:rsidP="00BE0B1D">
      <w:pPr>
        <w:pStyle w:val="Nadpis3"/>
      </w:pPr>
      <w:bookmarkStart w:id="76" w:name="_Toc73611634"/>
      <w:r w:rsidRPr="00806F14">
        <w:t>Konkrétní popis regulace obsažené v zákoně o</w:t>
      </w:r>
      <w:r w:rsidR="00302641" w:rsidRPr="00806F14">
        <w:t> </w:t>
      </w:r>
      <w:r w:rsidRPr="00806F14">
        <w:t>loteriích</w:t>
      </w:r>
      <w:bookmarkEnd w:id="76"/>
    </w:p>
    <w:p w14:paraId="101CA2C3" w14:textId="5F8511EE" w:rsidR="00312DBE" w:rsidRPr="004015DB" w:rsidRDefault="00A940FD" w:rsidP="00806F14">
      <w:r w:rsidRPr="005571B0">
        <w:t xml:space="preserve">Zákon o loteriích definoval </w:t>
      </w:r>
      <w:r w:rsidRPr="004015DB">
        <w:t>tombolu v § 2 písm. b) jako loterii, při níž se do slosování zahrnou pouze prodané losy s tím, že losy se prodávají a výhry vyplácejí v den a</w:t>
      </w:r>
      <w:r w:rsidR="006F5899">
        <w:t> </w:t>
      </w:r>
      <w:r w:rsidRPr="004015DB">
        <w:t>na</w:t>
      </w:r>
      <w:r w:rsidR="006F5899">
        <w:t> </w:t>
      </w:r>
      <w:r w:rsidRPr="004015DB">
        <w:t>místě slosování.</w:t>
      </w:r>
      <w:r w:rsidR="00753D0C" w:rsidRPr="004015DB">
        <w:t xml:space="preserve"> Tomboly s herní jistinou do 50 000 Kč povoloval </w:t>
      </w:r>
      <w:r w:rsidR="00312DBE" w:rsidRPr="004015DB">
        <w:rPr>
          <w:color w:val="000000"/>
        </w:rPr>
        <w:t>obecní úřad pro</w:t>
      </w:r>
      <w:r w:rsidR="00916924">
        <w:rPr>
          <w:color w:val="000000"/>
        </w:rPr>
        <w:t> </w:t>
      </w:r>
      <w:r w:rsidR="00312DBE" w:rsidRPr="004015DB">
        <w:rPr>
          <w:color w:val="000000"/>
        </w:rPr>
        <w:t>svůj správní obvod, v hlavním městě Praze úřad městské části a v územně členěných statutárních městech úřad městské části nebo městského</w:t>
      </w:r>
      <w:r w:rsidR="00753D0C" w:rsidRPr="004015DB">
        <w:rPr>
          <w:color w:val="000000"/>
        </w:rPr>
        <w:t xml:space="preserve"> obvodu v</w:t>
      </w:r>
      <w:r w:rsidR="00916924">
        <w:rPr>
          <w:color w:val="000000"/>
        </w:rPr>
        <w:t> </w:t>
      </w:r>
      <w:r w:rsidR="00753D0C" w:rsidRPr="004015DB">
        <w:rPr>
          <w:color w:val="000000"/>
        </w:rPr>
        <w:t xml:space="preserve">přenesené působnosti. Tomboly s herní jistinou nad 50 000 Kč pak povolovalo </w:t>
      </w:r>
      <w:r w:rsidR="00C91D4E">
        <w:rPr>
          <w:color w:val="000000"/>
        </w:rPr>
        <w:t>M</w:t>
      </w:r>
      <w:r w:rsidR="00753D0C" w:rsidRPr="004015DB">
        <w:rPr>
          <w:color w:val="000000"/>
        </w:rPr>
        <w:t>inisterstvo financí.</w:t>
      </w:r>
    </w:p>
    <w:p w14:paraId="7E1D28D0" w14:textId="3586AB18" w:rsidR="00892BCF" w:rsidRPr="003C40A6" w:rsidRDefault="005571B0" w:rsidP="00806F14">
      <w:r w:rsidRPr="004015DB">
        <w:t>Poj</w:t>
      </w:r>
      <w:r w:rsidR="006F5899" w:rsidRPr="006F5899">
        <w:t>my</w:t>
      </w:r>
      <w:r w:rsidR="00285491">
        <w:t xml:space="preserve"> „turnaj malého rozsahu“</w:t>
      </w:r>
      <w:r w:rsidRPr="004015DB">
        <w:t xml:space="preserve"> </w:t>
      </w:r>
      <w:r w:rsidR="00285491">
        <w:t xml:space="preserve">či </w:t>
      </w:r>
      <w:r w:rsidRPr="004015DB">
        <w:t>„ohlášení hazardní hry</w:t>
      </w:r>
      <w:r w:rsidR="00A940FD" w:rsidRPr="005571B0">
        <w:t>“ se v zákoně o loteriích nevyskytoval</w:t>
      </w:r>
      <w:r w:rsidR="006F5899">
        <w:t>y</w:t>
      </w:r>
      <w:r w:rsidR="00A940FD" w:rsidRPr="005571B0">
        <w:t>.</w:t>
      </w:r>
    </w:p>
    <w:p w14:paraId="3ABCA92A" w14:textId="592FB57C" w:rsidR="009F4483" w:rsidRDefault="009F4483" w:rsidP="00BE0B1D">
      <w:pPr>
        <w:pStyle w:val="Nadpis3"/>
      </w:pPr>
      <w:bookmarkStart w:id="77" w:name="_Toc73611635"/>
      <w:r>
        <w:t>Konkrétní pop</w:t>
      </w:r>
      <w:r w:rsidR="0027783C">
        <w:t xml:space="preserve">is regulace obsažené v </w:t>
      </w:r>
      <w:r w:rsidR="00BE0B1D">
        <w:t>zákoně o </w:t>
      </w:r>
      <w:r>
        <w:t>hazardních hrách</w:t>
      </w:r>
      <w:bookmarkEnd w:id="77"/>
    </w:p>
    <w:p w14:paraId="3ECCDC65" w14:textId="469C555C" w:rsidR="00B04105" w:rsidRDefault="00EC31FD" w:rsidP="00806F14">
      <w:r>
        <w:t xml:space="preserve">Tombola je upravena </w:t>
      </w:r>
      <w:r w:rsidR="00B04105">
        <w:t xml:space="preserve">v </w:t>
      </w:r>
      <w:r>
        <w:t xml:space="preserve">§ 61 </w:t>
      </w:r>
      <w:r w:rsidR="00B04105">
        <w:t>a násl., kdy</w:t>
      </w:r>
      <w:r>
        <w:t xml:space="preserve"> tombola </w:t>
      </w:r>
      <w:r w:rsidR="00B04105">
        <w:t xml:space="preserve">je </w:t>
      </w:r>
      <w:r>
        <w:t>hazardní hrou, u níž se výhry rozdělují na základě slosování, do kterého se</w:t>
      </w:r>
      <w:r w:rsidR="00124DC1">
        <w:t> </w:t>
      </w:r>
      <w:r>
        <w:t>zahrnou pouze prodané sázkové tikety. Sázkové tikety lze prodávat a výhry vydávat pouze v den a na místě slosování. Podle § 62 zákona o hazardních hrách je upravena úhrnná cena výher u tomboly (s herní jistinou vyšší než 100 000 Kč). Úhrnná cena výher nesmí být nižší než 40 % a vyšší než 80 % herní jistiny. Herní jistinou je součin po</w:t>
      </w:r>
      <w:r w:rsidR="00996F41">
        <w:t>čtu vydaných sázkových tiketů v </w:t>
      </w:r>
      <w:r>
        <w:t>jedné hře a prodejní ceny za jeden sázkový tiket. Pravděpodobnost výhry u tombo</w:t>
      </w:r>
      <w:r w:rsidR="00B04105">
        <w:t>ly nesmí být nižší než 1 : 200.</w:t>
      </w:r>
    </w:p>
    <w:p w14:paraId="51F5A1EB" w14:textId="73436A80" w:rsidR="00EC31FD" w:rsidRDefault="00EC31FD" w:rsidP="00806F14">
      <w:r>
        <w:t xml:space="preserve">Slosování tomboly </w:t>
      </w:r>
      <w:r w:rsidR="00221559">
        <w:t xml:space="preserve">s herní jistinou vyšší než 100 000 Kč </w:t>
      </w:r>
      <w:r>
        <w:t>se provádí veřejně a za účasti notáře, který</w:t>
      </w:r>
      <w:r w:rsidR="00124DC1">
        <w:t> </w:t>
      </w:r>
      <w:r>
        <w:t>osvědčí průběh slosování notářským zápisem. Provozovatel je povinen zajistit bezodkladně po skončení tomboly vyhotovení zápisu s uvedením jejího místa a data konání, seznamu přijatých vklad</w:t>
      </w:r>
      <w:r w:rsidR="00996F41">
        <w:t>ů a seznamu vyplacených výher a </w:t>
      </w:r>
      <w:r>
        <w:t>tento zápis uchovat nejméně po dobu 5 let. Opis zápisu je povinen provozovatel zaslat do 20 dnů ode dne skončení tomboly obecnímu úřadu obce, které byla tombola ohlášena.</w:t>
      </w:r>
    </w:p>
    <w:p w14:paraId="5751A510" w14:textId="205B971F" w:rsidR="00EC31FD" w:rsidRDefault="002E4E22" w:rsidP="00806F14">
      <w:r>
        <w:t>V</w:t>
      </w:r>
      <w:r w:rsidR="00EC31FD">
        <w:t xml:space="preserve"> § 61 odst. 3 zákona o hazardních hrách </w:t>
      </w:r>
      <w:r>
        <w:t xml:space="preserve">se </w:t>
      </w:r>
      <w:r w:rsidR="00EC31FD">
        <w:t>stanovuje odlišný režim pro</w:t>
      </w:r>
      <w:r w:rsidR="007550A3">
        <w:t> </w:t>
      </w:r>
      <w:r w:rsidR="00EC31FD">
        <w:t>tombolu s jistinou vyšší než 100 000 Kč a pro tombolu s</w:t>
      </w:r>
      <w:r w:rsidR="00221559">
        <w:t xml:space="preserve"> herní</w:t>
      </w:r>
      <w:r w:rsidR="00EC31FD">
        <w:t> jistinou, jejíž výše nepřekročí 100 000 Kč</w:t>
      </w:r>
      <w:r w:rsidR="00221559">
        <w:t>. T</w:t>
      </w:r>
      <w:r w:rsidR="00EC31FD">
        <w:t>ombola s</w:t>
      </w:r>
      <w:r w:rsidR="00221559">
        <w:t xml:space="preserve"> herní </w:t>
      </w:r>
      <w:r w:rsidR="00EC31FD">
        <w:t>jistinou, jejíž výše nepřekročí 100 000 Kč, nepodléhá ohlášení podle § 105 až 108 zákona o hazardních hrách. Nepoužije se výše zmíněný § 62 zákona o hazardních hrách o úhrnné ceně výher</w:t>
      </w:r>
      <w:r w:rsidR="00221559">
        <w:t>,</w:t>
      </w:r>
      <w:r w:rsidR="00EC31FD">
        <w:t xml:space="preserve"> ani § 63 zákona o hazardních hrách o slosování tomboly. Dále se u tomboly s jistinou, jejíž výše n</w:t>
      </w:r>
      <w:r w:rsidR="00221559">
        <w:t>epřekročí 100 000 Kč, nepoužije</w:t>
      </w:r>
      <w:r w:rsidR="00EC31FD">
        <w:t xml:space="preserve"> § 6 zákona o hazardních hrách defi</w:t>
      </w:r>
      <w:r w:rsidR="00270F9B">
        <w:t>nující provozovatele, § 7 odst. </w:t>
      </w:r>
      <w:r w:rsidR="00EC31FD">
        <w:t>1 zákona o hazardních hrách a § 7 odst. 2 písm. e) zákona o hazardních hrách zakazující účast na hazardní hře osobě mlad</w:t>
      </w:r>
      <w:r w:rsidR="00BB4D5B">
        <w:t>ší 18 let, § 7 odst. 3 zákona o </w:t>
      </w:r>
      <w:r w:rsidR="00EC31FD">
        <w:t xml:space="preserve">hazardních hrách zakazující poskytovat účastníkovi </w:t>
      </w:r>
      <w:r w:rsidR="00BB4D5B">
        <w:t>hazardní hry jakoukoli výhodu v </w:t>
      </w:r>
      <w:r w:rsidR="00EC31FD">
        <w:t>podobě potravin, nápojů, tabákových výrobků nebo povzbuzujících látek, § 8 zákona o hazardních hrách upravující herní plán, § 10 zákona o hazardních hrách definující výhru</w:t>
      </w:r>
      <w:r w:rsidR="00124DC1">
        <w:t>,</w:t>
      </w:r>
      <w:r w:rsidR="00EC31FD">
        <w:t xml:space="preserve"> § 13 zákona o hazardních hrách vymezující prostory, ve kterých</w:t>
      </w:r>
      <w:r w:rsidR="00221559">
        <w:t xml:space="preserve"> nelze provozovat hazardní hry.</w:t>
      </w:r>
    </w:p>
    <w:p w14:paraId="723637D8" w14:textId="046B349E" w:rsidR="00EC31FD" w:rsidRDefault="00EC31FD" w:rsidP="00806F14">
      <w:r>
        <w:t xml:space="preserve">Turnaj malého rozsahu je </w:t>
      </w:r>
      <w:r w:rsidR="00221559">
        <w:t xml:space="preserve">podle </w:t>
      </w:r>
      <w:r>
        <w:t>§</w:t>
      </w:r>
      <w:r w:rsidR="00221559">
        <w:t xml:space="preserve"> 64 zákona o hazardních hrách</w:t>
      </w:r>
      <w:r>
        <w:t xml:space="preserve"> turnajem v karetní hře vyřazovacího typu, při němž je počet účastníků hazardní hry předem určen. Úhrnný vklad jednotlivého účastníka hazardní hry do jednoho turnaje nesmí převýšit 500 Kč </w:t>
      </w:r>
      <w:r>
        <w:lastRenderedPageBreak/>
        <w:t>za 24 hodin. Turnaje malého rozsahu se účastní nejméně 3 a nejvýše 90 účastníků hazardní hry. U turnaje malého rozsahu nesmí provozovatel vyplatit na výhrách více než 95 % z úhrnné výše všech vkladů. Provozovatel turnaje malého rozsahu je povinen zajistit bezodkladně po skončen</w:t>
      </w:r>
      <w:r w:rsidR="00BB4D5B">
        <w:t>í turnaje vyhotovení zápisu s </w:t>
      </w:r>
      <w:r>
        <w:t>uvedením jeho názvu, doby jeho trvání, místa a data konání, jmenovitého seznamu účastníků hazardní hry včetně jejich identifikační</w:t>
      </w:r>
      <w:r w:rsidR="00996F41">
        <w:t>ch údajů a výše jejich vkladů a </w:t>
      </w:r>
      <w:r>
        <w:t>seznamu vyplacených výher za pořadí v turnaji malého rozsahu a tento zápis uchovat nejméně po dobu 5 let. Opis zápisu je po</w:t>
      </w:r>
      <w:r w:rsidR="00270F9B">
        <w:t>vinen provozovatel zaslat do 20 </w:t>
      </w:r>
      <w:r>
        <w:t>dnů ode dne skončení turnaje obecnímu úřadu obce, které byl turnaj ohlášen.</w:t>
      </w:r>
    </w:p>
    <w:p w14:paraId="1CAB3423" w14:textId="612F16F4" w:rsidR="00221559" w:rsidRDefault="00C11A45" w:rsidP="00806F14">
      <w:r>
        <w:t>K procesu ohlášení blíže v příloze č. 9 -</w:t>
      </w:r>
      <w:r w:rsidR="00221559">
        <w:t xml:space="preserve"> Povolovací řízení.</w:t>
      </w:r>
    </w:p>
    <w:p w14:paraId="632BCDFD" w14:textId="77777777" w:rsidR="0028190C" w:rsidRPr="0028190C" w:rsidRDefault="0028190C" w:rsidP="0028190C">
      <w:pPr>
        <w:pStyle w:val="Nadpis3"/>
      </w:pPr>
      <w:bookmarkStart w:id="78" w:name="_Toc73611636"/>
      <w:r w:rsidRPr="0028190C">
        <w:t>Konkrétní popis nástrojů, včetně oblastí, na které by bylo vhodné se v budoucnu zaměřit, a návrh doporučení či možných variant řešení</w:t>
      </w:r>
      <w:bookmarkEnd w:id="78"/>
    </w:p>
    <w:p w14:paraId="5B70EEDE" w14:textId="77777777" w:rsidR="005246C3" w:rsidRDefault="005246C3" w:rsidP="003D2CF6">
      <w:pPr>
        <w:pStyle w:val="Nadpis6"/>
        <w:numPr>
          <w:ilvl w:val="0"/>
          <w:numId w:val="34"/>
        </w:numPr>
      </w:pPr>
      <w:bookmarkStart w:id="79" w:name="_Toc73611637"/>
      <w:r w:rsidRPr="00BB3D82">
        <w:t xml:space="preserve">Sázkové tikety do tomboly lze prodávat a výhry vydávat pouze v den a na </w:t>
      </w:r>
      <w:r>
        <w:t>místě slosování</w:t>
      </w:r>
      <w:bookmarkEnd w:id="79"/>
    </w:p>
    <w:p w14:paraId="1688B1A3" w14:textId="77777777" w:rsidR="005246C3" w:rsidRDefault="005246C3" w:rsidP="005246C3">
      <w:r w:rsidRPr="00B712A9">
        <w:t>Podle § 61 odst. 2</w:t>
      </w:r>
      <w:r>
        <w:t xml:space="preserve"> zákona o hazardních hrách</w:t>
      </w:r>
      <w:r w:rsidRPr="00B712A9">
        <w:t xml:space="preserve"> lze sázkové tikety do tomboly prodávat a výhry vydávat pouze v den a na místě slosování. Nezřídka jsou však tomboly provozovány, například jako součást plesů, v době půlnoční.</w:t>
      </w:r>
      <w:r w:rsidRPr="00EE047C">
        <w:t xml:space="preserve"> </w:t>
      </w:r>
      <w:r>
        <w:t>Dalším problémem jsou slosovatelné vstupenky. Ty jsou pochopitelně prodávané ve dnech předcházejících dni slosování.</w:t>
      </w:r>
    </w:p>
    <w:p w14:paraId="15137EC7" w14:textId="77777777" w:rsidR="005246C3" w:rsidRDefault="005246C3" w:rsidP="005246C3">
      <w:pPr>
        <w:pStyle w:val="Nadpis7"/>
        <w:numPr>
          <w:ilvl w:val="6"/>
          <w:numId w:val="0"/>
        </w:numPr>
      </w:pPr>
      <w:r>
        <w:t>Varianta I. – Zachování současného stavu</w:t>
      </w:r>
    </w:p>
    <w:p w14:paraId="27F3537D" w14:textId="77777777" w:rsidR="005246C3" w:rsidRDefault="005246C3" w:rsidP="005246C3">
      <w:r>
        <w:t>Výhody:</w:t>
      </w:r>
    </w:p>
    <w:p w14:paraId="3CD6A8EB" w14:textId="6399B76B" w:rsidR="005246C3" w:rsidRDefault="005246C3" w:rsidP="005246C3">
      <w:pPr>
        <w:rPr>
          <w:rFonts w:cs="Arial"/>
        </w:rPr>
      </w:pPr>
      <w:r>
        <w:rPr>
          <w:rFonts w:cs="Arial"/>
        </w:rPr>
        <w:t>Zachování</w:t>
      </w:r>
      <w:r w:rsidR="004842DF">
        <w:rPr>
          <w:rFonts w:cs="Arial"/>
        </w:rPr>
        <w:t>m</w:t>
      </w:r>
      <w:r>
        <w:rPr>
          <w:rFonts w:cs="Arial"/>
        </w:rPr>
        <w:t xml:space="preserve"> současného stavu zůstane zachována jasná a srozumitelná právní úprava.</w:t>
      </w:r>
    </w:p>
    <w:p w14:paraId="121B164B" w14:textId="77777777" w:rsidR="005246C3" w:rsidRDefault="005246C3" w:rsidP="005246C3">
      <w:pPr>
        <w:rPr>
          <w:rFonts w:cs="Arial"/>
        </w:rPr>
      </w:pPr>
      <w:r>
        <w:rPr>
          <w:rFonts w:cs="Arial"/>
        </w:rPr>
        <w:t>Nevýhody:</w:t>
      </w:r>
    </w:p>
    <w:p w14:paraId="3432E355" w14:textId="77777777" w:rsidR="005246C3" w:rsidRDefault="005246C3" w:rsidP="005246C3">
      <w:r>
        <w:t>Právní úprava v daném případě neodráží poptávku pro provozování takové hry.</w:t>
      </w:r>
    </w:p>
    <w:p w14:paraId="1F48148A" w14:textId="77777777" w:rsidR="005246C3" w:rsidRDefault="005246C3" w:rsidP="005246C3">
      <w:pPr>
        <w:pStyle w:val="Nadpis7"/>
        <w:numPr>
          <w:ilvl w:val="6"/>
          <w:numId w:val="0"/>
        </w:numPr>
      </w:pPr>
      <w:r>
        <w:t>Varianta II. – Sázkové tikety do tomboly lze prodávat a výhry vydávat ve dnech konání akce, v rámci níž je slosování provozováno</w:t>
      </w:r>
    </w:p>
    <w:p w14:paraId="2B48B1C0" w14:textId="77777777" w:rsidR="005246C3" w:rsidRDefault="005246C3" w:rsidP="005246C3">
      <w:r>
        <w:t xml:space="preserve">V této variantě se navrhuje úprava zákona o hazardních hrách, která by umožnila prodej sázkových tiketů do tomboly a výdej výher pouze na místě slosování, ale ve dnech konání akce, v rámci které je slosování provozováno. </w:t>
      </w:r>
    </w:p>
    <w:p w14:paraId="1ED7CE65" w14:textId="77777777" w:rsidR="005246C3" w:rsidRDefault="005246C3" w:rsidP="005246C3">
      <w:r>
        <w:t>Výhody:</w:t>
      </w:r>
    </w:p>
    <w:p w14:paraId="5815C2A5" w14:textId="23DE4D3D" w:rsidR="005246C3" w:rsidRDefault="005246C3" w:rsidP="005246C3">
      <w:pPr>
        <w:rPr>
          <w:rFonts w:cs="Arial"/>
        </w:rPr>
      </w:pPr>
      <w:r>
        <w:rPr>
          <w:rFonts w:cs="Arial"/>
        </w:rPr>
        <w:t xml:space="preserve">Umožnilo by se konání tombol i v čase </w:t>
      </w:r>
      <w:r w:rsidR="008E4027">
        <w:rPr>
          <w:rFonts w:cs="Arial"/>
        </w:rPr>
        <w:t>„</w:t>
      </w:r>
      <w:r>
        <w:rPr>
          <w:rFonts w:cs="Arial"/>
        </w:rPr>
        <w:t>půlnočním</w:t>
      </w:r>
      <w:r w:rsidR="008E4027">
        <w:rPr>
          <w:rFonts w:cs="Arial"/>
        </w:rPr>
        <w:t>“</w:t>
      </w:r>
      <w:r>
        <w:rPr>
          <w:rFonts w:cs="Arial"/>
        </w:rPr>
        <w:t>.</w:t>
      </w:r>
    </w:p>
    <w:p w14:paraId="55D9187F" w14:textId="77777777" w:rsidR="005246C3" w:rsidRDefault="005246C3" w:rsidP="005246C3">
      <w:pPr>
        <w:rPr>
          <w:rFonts w:cs="Arial"/>
        </w:rPr>
      </w:pPr>
      <w:r>
        <w:rPr>
          <w:rFonts w:cs="Arial"/>
        </w:rPr>
        <w:t>Nevýhody:</w:t>
      </w:r>
    </w:p>
    <w:p w14:paraId="048D90D7" w14:textId="77777777" w:rsidR="005246C3" w:rsidRDefault="005246C3" w:rsidP="005246C3">
      <w:pPr>
        <w:rPr>
          <w:rFonts w:cs="Arial"/>
        </w:rPr>
      </w:pPr>
      <w:r>
        <w:rPr>
          <w:rFonts w:cs="Arial"/>
        </w:rPr>
        <w:t>Tato varianta i nadále znemožňuje slosovatelné vstupenky v rámci tomboly.</w:t>
      </w:r>
    </w:p>
    <w:p w14:paraId="45FA2D45" w14:textId="77777777" w:rsidR="005246C3" w:rsidRDefault="005246C3" w:rsidP="005246C3">
      <w:pPr>
        <w:pStyle w:val="Nadpis7"/>
        <w:numPr>
          <w:ilvl w:val="6"/>
          <w:numId w:val="0"/>
        </w:numPr>
      </w:pPr>
      <w:r>
        <w:t>Hodnocení variant</w:t>
      </w:r>
    </w:p>
    <w:p w14:paraId="29A78D81" w14:textId="15C882E7" w:rsidR="005246C3" w:rsidRDefault="005246C3" w:rsidP="005246C3">
      <w:r w:rsidRPr="00645941">
        <w:t>Za nejvhodnější</w:t>
      </w:r>
      <w:r>
        <w:t xml:space="preserve"> variantu řešení je považována v</w:t>
      </w:r>
      <w:r w:rsidRPr="00645941">
        <w:t xml:space="preserve">arianta </w:t>
      </w:r>
      <w:r>
        <w:t>II., tedy změna</w:t>
      </w:r>
      <w:r w:rsidRPr="0018193E">
        <w:t xml:space="preserve"> §</w:t>
      </w:r>
      <w:r>
        <w:t> </w:t>
      </w:r>
      <w:r w:rsidRPr="0018193E">
        <w:t>61</w:t>
      </w:r>
      <w:r>
        <w:t> </w:t>
      </w:r>
      <w:r w:rsidRPr="0018193E">
        <w:t>odst.</w:t>
      </w:r>
      <w:r>
        <w:t> </w:t>
      </w:r>
      <w:r w:rsidRPr="0018193E">
        <w:t xml:space="preserve">2 </w:t>
      </w:r>
      <w:r>
        <w:t>zákona o hazardních hrách</w:t>
      </w:r>
      <w:r w:rsidRPr="0018193E">
        <w:t xml:space="preserve"> tak</w:t>
      </w:r>
      <w:r>
        <w:t xml:space="preserve">, aby bylo upraveno, že prodej sázkových tiketů a výdej </w:t>
      </w:r>
      <w:r>
        <w:lastRenderedPageBreak/>
        <w:t>výher lze provádět ve dnech konání akce, v rámci níž je tombola provozována. Tím by se umožnilo konání tombol i v čase na rozmezí dvou dnů, které je běžné např. pro plesy.</w:t>
      </w:r>
    </w:p>
    <w:p w14:paraId="4852A65E" w14:textId="24453BAD" w:rsidR="005246C3" w:rsidRPr="00645941" w:rsidRDefault="005246C3" w:rsidP="005246C3">
      <w:r>
        <w:t xml:space="preserve">Další související oblasti obsahuje </w:t>
      </w:r>
      <w:r w:rsidR="00D55320">
        <w:t>Příloha č. 9</w:t>
      </w:r>
      <w:r w:rsidR="00AE1558">
        <w:t> </w:t>
      </w:r>
      <w:r>
        <w:t>Povolovací řízení.</w:t>
      </w:r>
    </w:p>
    <w:p w14:paraId="158AEC37" w14:textId="77777777" w:rsidR="005246C3" w:rsidRDefault="005246C3">
      <w:pPr>
        <w:spacing w:line="259" w:lineRule="auto"/>
        <w:jc w:val="left"/>
        <w:rPr>
          <w:rFonts w:eastAsiaTheme="majorEastAsia" w:cstheme="majorBidi"/>
          <w:b/>
          <w:sz w:val="36"/>
          <w:szCs w:val="26"/>
        </w:rPr>
      </w:pPr>
      <w:r>
        <w:br w:type="page"/>
      </w:r>
    </w:p>
    <w:p w14:paraId="1ECA9BFE" w14:textId="5FD8A6FC" w:rsidR="00D2341C" w:rsidRDefault="00D2341C" w:rsidP="00133A38">
      <w:pPr>
        <w:pStyle w:val="Nadpis2"/>
      </w:pPr>
      <w:bookmarkStart w:id="80" w:name="_Toc73611638"/>
      <w:r>
        <w:lastRenderedPageBreak/>
        <w:t>Nové koncepty hazardních her</w:t>
      </w:r>
      <w:bookmarkEnd w:id="80"/>
    </w:p>
    <w:p w14:paraId="2D81F0C4" w14:textId="13CB1CFA" w:rsidR="00114EAC" w:rsidRPr="0010145E" w:rsidRDefault="00114EAC" w:rsidP="00133A38">
      <w:pPr>
        <w:pStyle w:val="Nadpis3"/>
      </w:pPr>
      <w:bookmarkStart w:id="81" w:name="_Toc73611639"/>
      <w:r w:rsidRPr="0010145E">
        <w:t>Kon</w:t>
      </w:r>
      <w:r w:rsidR="00133A38">
        <w:t xml:space="preserve">krétní popis regulace </w:t>
      </w:r>
      <w:r w:rsidRPr="0010145E">
        <w:t>obsažené v zákoně o</w:t>
      </w:r>
      <w:r>
        <w:t> </w:t>
      </w:r>
      <w:r w:rsidRPr="0010145E">
        <w:t>loteriích</w:t>
      </w:r>
      <w:bookmarkEnd w:id="81"/>
    </w:p>
    <w:p w14:paraId="6CFE667E" w14:textId="5CC36306" w:rsidR="00114EAC" w:rsidRDefault="00114EAC" w:rsidP="00E01643">
      <w:r w:rsidRPr="00AB75B0">
        <w:t>Z</w:t>
      </w:r>
      <w:r>
        <w:t>ákon o loteriích</w:t>
      </w:r>
      <w:r w:rsidR="00042D2A">
        <w:t xml:space="preserve"> </w:t>
      </w:r>
      <w:r w:rsidR="0024632F">
        <w:t xml:space="preserve">demonstrativně </w:t>
      </w:r>
      <w:r w:rsidR="00042D2A">
        <w:t>upravoval v §</w:t>
      </w:r>
      <w:r w:rsidR="0024632F">
        <w:t xml:space="preserve"> 2 druhy loterií a jiných podobných her, přičemž </w:t>
      </w:r>
      <w:r w:rsidRPr="00AB75B0">
        <w:t xml:space="preserve">v § 50 odst. 3 </w:t>
      </w:r>
      <w:r w:rsidR="003951FF">
        <w:t>umožňoval povolení</w:t>
      </w:r>
      <w:r>
        <w:t xml:space="preserve"> </w:t>
      </w:r>
      <w:r w:rsidRPr="00AB75B0">
        <w:t>provozování</w:t>
      </w:r>
      <w:r w:rsidR="00E14C3D">
        <w:t xml:space="preserve"> takových</w:t>
      </w:r>
      <w:r w:rsidRPr="00AB75B0">
        <w:t xml:space="preserve"> konceptů hazardních her, které nebylo možné zařadit pod některou z  hazardních her uvedených v § </w:t>
      </w:r>
      <w:r>
        <w:t>2 zákona o</w:t>
      </w:r>
      <w:r w:rsidR="000C2A75">
        <w:t> </w:t>
      </w:r>
      <w:r>
        <w:t>loteriích.</w:t>
      </w:r>
      <w:r w:rsidR="00E14C3D">
        <w:t xml:space="preserve"> </w:t>
      </w:r>
    </w:p>
    <w:p w14:paraId="76AEE110" w14:textId="5395C541" w:rsidR="00114EAC" w:rsidRDefault="00114EAC" w:rsidP="00133A38">
      <w:pPr>
        <w:pStyle w:val="Nadpis3"/>
      </w:pPr>
      <w:bookmarkStart w:id="82" w:name="_Toc73611640"/>
      <w:r>
        <w:t>Konkrétní pop</w:t>
      </w:r>
      <w:r w:rsidR="0027783C">
        <w:t xml:space="preserve">is regulace obsažené v </w:t>
      </w:r>
      <w:r w:rsidR="00133A38">
        <w:t>zákoně o </w:t>
      </w:r>
      <w:r>
        <w:t>hazardních hrách</w:t>
      </w:r>
      <w:bookmarkEnd w:id="82"/>
    </w:p>
    <w:p w14:paraId="2DFD153B" w14:textId="6BAD30C1" w:rsidR="00114EAC" w:rsidRDefault="00114EAC" w:rsidP="00E01643">
      <w:r>
        <w:t>Zákon o hazardních hrách definoval jednotlivé druhy hazardních her, čímž však</w:t>
      </w:r>
      <w:r w:rsidR="00E14C3D">
        <w:t xml:space="preserve"> do určité míry zároveň</w:t>
      </w:r>
      <w:r>
        <w:t xml:space="preserve"> omezil možnost provozování některých konceptů hazardních her, které obsahují kombinace prvků několika druhů hazardních her, popř. nenaplňují znaky žádného druhu hazardní hry, ale pouze její obecnou definici.</w:t>
      </w:r>
      <w:r w:rsidR="00E14C3D">
        <w:t xml:space="preserve"> </w:t>
      </w:r>
    </w:p>
    <w:p w14:paraId="61FE396A" w14:textId="7ADF8F92" w:rsidR="00E14C3D" w:rsidRDefault="00E14C3D" w:rsidP="00E01643">
      <w:r>
        <w:t>Dále zákon o hazardních hrách zavedl koncept tzv. technické neutrality, v souvislosti se kterou byla vytvořena kategorie technické hry. Za technickou hru se považují všechny haz</w:t>
      </w:r>
      <w:r w:rsidR="0004711D">
        <w:t>ardní hry, které jsou provozovány</w:t>
      </w:r>
      <w:r w:rsidRPr="00E14C3D">
        <w:t xml:space="preserve"> prostřednictvím technického zařízení přímo obsluhovaného sázejícím</w:t>
      </w:r>
      <w:r w:rsidR="0004711D">
        <w:t>.</w:t>
      </w:r>
    </w:p>
    <w:p w14:paraId="426C8C92" w14:textId="77777777" w:rsidR="0028190C" w:rsidRPr="0028190C" w:rsidRDefault="0028190C" w:rsidP="0028190C">
      <w:pPr>
        <w:pStyle w:val="Nadpis3"/>
      </w:pPr>
      <w:bookmarkStart w:id="83" w:name="_Toc73611641"/>
      <w:r w:rsidRPr="0028190C">
        <w:t>Konkrétní popis nástrojů, včetně oblastí, na které by bylo vhodné se v budoucnu zaměřit, a návrh doporučení či možných variant řešení</w:t>
      </w:r>
      <w:bookmarkEnd w:id="83"/>
    </w:p>
    <w:p w14:paraId="71240F2D" w14:textId="0DA09196" w:rsidR="003D1854" w:rsidRPr="0002582D" w:rsidRDefault="003D1854" w:rsidP="003D2CF6">
      <w:pPr>
        <w:pStyle w:val="Nadpis6"/>
        <w:numPr>
          <w:ilvl w:val="0"/>
          <w:numId w:val="25"/>
        </w:numPr>
      </w:pPr>
      <w:bookmarkStart w:id="84" w:name="_Toc73611642"/>
      <w:r>
        <w:t>T</w:t>
      </w:r>
      <w:r w:rsidRPr="0002582D">
        <w:t>erminály</w:t>
      </w:r>
      <w:r>
        <w:t xml:space="preserve"> pro provozování kursové sázky a loterie</w:t>
      </w:r>
      <w:bookmarkEnd w:id="84"/>
    </w:p>
    <w:p w14:paraId="0F672245" w14:textId="1511B4C8" w:rsidR="003D1854" w:rsidRPr="009B50ED" w:rsidRDefault="003D1854" w:rsidP="003D1854">
      <w:r w:rsidRPr="009B50ED">
        <w:t>Vzhledem k</w:t>
      </w:r>
      <w:r>
        <w:t>e konceptu</w:t>
      </w:r>
      <w:r w:rsidRPr="009B50ED">
        <w:t> technické neutralit</w:t>
      </w:r>
      <w:r>
        <w:t>y</w:t>
      </w:r>
      <w:r w:rsidRPr="009B50ED">
        <w:t xml:space="preserve">, která </w:t>
      </w:r>
      <w:r>
        <w:t xml:space="preserve">je založena </w:t>
      </w:r>
      <w:r w:rsidR="00F576AE">
        <w:t>§ 42 zákona o </w:t>
      </w:r>
      <w:r w:rsidRPr="009B50ED">
        <w:t>hazardních hrách</w:t>
      </w:r>
      <w:r>
        <w:rPr>
          <w:rStyle w:val="Znakapoznpodarou"/>
          <w:rFonts w:eastAsia="Calibri" w:cs="Arial"/>
        </w:rPr>
        <w:footnoteReference w:id="40"/>
      </w:r>
      <w:r w:rsidRPr="009B50ED">
        <w:t xml:space="preserve">, není možné k účasti na hazardní hře </w:t>
      </w:r>
      <w:r>
        <w:t xml:space="preserve">jiného druhu, než je technická hra, </w:t>
      </w:r>
      <w:r w:rsidRPr="009B50ED">
        <w:t>využít technické zařízení ve smyslu tohoto ustanovení</w:t>
      </w:r>
      <w:r>
        <w:t>. Aktuálně jsou nicméně u některých druhů hazardních her (kurzové sázky)</w:t>
      </w:r>
      <w:r w:rsidRPr="009B50ED">
        <w:t xml:space="preserve"> využív</w:t>
      </w:r>
      <w:r>
        <w:t>ány</w:t>
      </w:r>
      <w:r w:rsidRPr="009B50ED">
        <w:t xml:space="preserve"> tzv. terminály, které do</w:t>
      </w:r>
      <w:r>
        <w:t> </w:t>
      </w:r>
      <w:r w:rsidRPr="009B50ED">
        <w:t>určité míry účast na hazardní hře zjednodušují</w:t>
      </w:r>
      <w:r>
        <w:t xml:space="preserve">, nicméně se jejich prostřednictvím nelze účastnit hazardní hry. Využití terminálu spočívá zejména v tom, </w:t>
      </w:r>
      <w:r w:rsidRPr="009B50ED">
        <w:t>že po přihlášení účastník hazardní hry může předpřipravit své sázky, nicméně ty musí být potvrzeny úkonem obsluhy sázkové kanceláře</w:t>
      </w:r>
      <w:r>
        <w:t xml:space="preserve">. Vyskytují se nicméně i další možnost součinnosti obsluhy provozovny. </w:t>
      </w:r>
    </w:p>
    <w:p w14:paraId="029A5A5B" w14:textId="77777777" w:rsidR="003D1854" w:rsidRPr="00466640" w:rsidRDefault="003D1854" w:rsidP="003D1854">
      <w:pPr>
        <w:pStyle w:val="Nadpis7"/>
      </w:pPr>
      <w:r>
        <w:t>Varianta I.</w:t>
      </w:r>
      <w:r w:rsidRPr="00466640">
        <w:t xml:space="preserve"> </w:t>
      </w:r>
      <w:r>
        <w:t xml:space="preserve">– </w:t>
      </w:r>
      <w:r w:rsidRPr="00466640">
        <w:t>Zachování současného stavu</w:t>
      </w:r>
    </w:p>
    <w:p w14:paraId="76890BC1" w14:textId="737D4BE5" w:rsidR="003D1854" w:rsidRDefault="003D1854" w:rsidP="003D1854">
      <w:r>
        <w:t xml:space="preserve">Možným řešením by mohlo být zachování současného stavu, kdy se prostřednictvím terminálů nelze </w:t>
      </w:r>
      <w:r w:rsidR="00D4237B">
        <w:t xml:space="preserve">přímo </w:t>
      </w:r>
      <w:r>
        <w:t xml:space="preserve">účastnit hazardní hry a je tedy zachován princip technické neutrality. </w:t>
      </w:r>
    </w:p>
    <w:p w14:paraId="0294DBE3" w14:textId="77777777" w:rsidR="003D1854" w:rsidRDefault="003D1854" w:rsidP="00D4237B">
      <w:pPr>
        <w:keepNext/>
      </w:pPr>
      <w:r>
        <w:t>Výhody:</w:t>
      </w:r>
    </w:p>
    <w:p w14:paraId="23C445BE" w14:textId="77777777" w:rsidR="003D1854" w:rsidRDefault="003D1854" w:rsidP="003D1854">
      <w:r>
        <w:t xml:space="preserve">Výhodou navrhovaného řešení je zachování poměrně jasného rozdělení na jednotlivé druhy hazardních her. Je tedy minimalizováno riziko, že by se hazardní hry, naplňující </w:t>
      </w:r>
      <w:r>
        <w:lastRenderedPageBreak/>
        <w:t>mimo jiné také definici technické hry, objevovaly na jiných místech, než v herních prostorech.</w:t>
      </w:r>
    </w:p>
    <w:p w14:paraId="3BB45F4B" w14:textId="77777777" w:rsidR="003D1854" w:rsidRDefault="003D1854" w:rsidP="003D1854">
      <w:r>
        <w:t>Nevýhody:</w:t>
      </w:r>
    </w:p>
    <w:p w14:paraId="11B8A5DA" w14:textId="32F96127" w:rsidR="003D1854" w:rsidRDefault="003D1854" w:rsidP="003D1854">
      <w:r>
        <w:t xml:space="preserve">V určitém smyslu se může jednat o neumožnění dostatečného technického pokroku při provozování ostatních druhů hazardních her (s výjimkou technické hry). Zároveň je však toto negativum vyvažováno skutečností, že terminály </w:t>
      </w:r>
      <w:r w:rsidR="00D4237B">
        <w:t xml:space="preserve">lze </w:t>
      </w:r>
      <w:r>
        <w:t>do určité míry využívat</w:t>
      </w:r>
      <w:r w:rsidR="00D4237B">
        <w:t xml:space="preserve"> i za stávajícího znění právní úpravy</w:t>
      </w:r>
      <w:r>
        <w:t>.</w:t>
      </w:r>
    </w:p>
    <w:p w14:paraId="73BF5B5B" w14:textId="77777777" w:rsidR="003D1854" w:rsidRPr="00466640" w:rsidRDefault="003D1854" w:rsidP="003D1854">
      <w:pPr>
        <w:pStyle w:val="Nadpis7"/>
      </w:pPr>
      <w:r>
        <w:t>Varianta II.</w:t>
      </w:r>
      <w:r w:rsidRPr="00466640">
        <w:t xml:space="preserve"> </w:t>
      </w:r>
      <w:r>
        <w:t>– Umožnění provozování hazardních her prostřednictvím terminálů</w:t>
      </w:r>
    </w:p>
    <w:p w14:paraId="0F20B6FC" w14:textId="39D4A7AE" w:rsidR="003D1854" w:rsidRDefault="003D1854" w:rsidP="003D1854">
      <w:r>
        <w:t>Možn</w:t>
      </w:r>
      <w:r w:rsidR="00D4237B">
        <w:t>ým</w:t>
      </w:r>
      <w:r>
        <w:t xml:space="preserve"> řešení</w:t>
      </w:r>
      <w:r w:rsidR="00D4237B">
        <w:t>m</w:t>
      </w:r>
      <w:r>
        <w:t xml:space="preserve"> by byla taková změna zákona o hazardních hrách, která by umožnila provozování terminálů u ostatních druhů hazardní her v plném rozsahu (bez součinnosti provozovatele). Současně by však zůstala zachována podmínka, že terminály nelze provozovat v herním prostoru, neboť v herním prostoru lze podle zákona o hazardních hrách provozovat pouze technickou hru, živou hru a bingo.</w:t>
      </w:r>
    </w:p>
    <w:p w14:paraId="75189E03" w14:textId="77777777" w:rsidR="003D1854" w:rsidRDefault="003D1854" w:rsidP="003D1854">
      <w:r>
        <w:t>Výhody:</w:t>
      </w:r>
    </w:p>
    <w:p w14:paraId="4C72C955" w14:textId="77777777" w:rsidR="003D1854" w:rsidRDefault="003D1854" w:rsidP="003D1854">
      <w:r>
        <w:t xml:space="preserve">Výhodou navrhované varianty by mohlo být umožnění využití technologického pokroku a zvýšení komfortu účastníka hazardní hry. </w:t>
      </w:r>
    </w:p>
    <w:p w14:paraId="6AA29F9D" w14:textId="77777777" w:rsidR="003D1854" w:rsidRDefault="003D1854" w:rsidP="003D1854">
      <w:r>
        <w:t>Nevýhody:</w:t>
      </w:r>
    </w:p>
    <w:p w14:paraId="7BD22CCA" w14:textId="32ED5381" w:rsidR="003D1854" w:rsidRPr="009801B5" w:rsidRDefault="003D1854" w:rsidP="003D1854">
      <w:r>
        <w:t>Navrhované řešení by mělo za následek prolomení konceptu technické neutrality. Vzhledem ke skutečnosti, že účast na hazardní hře prostřednictvím technických zařízení (bez další součinnosti provozovatele) je považováno za rizikovější, mohlo by dojít ke snížení ochrany účastníka hazardních hry</w:t>
      </w:r>
      <w:r w:rsidR="00D4237B">
        <w:t xml:space="preserve"> a ke zvýšení míry vzniku patologického hráčství</w:t>
      </w:r>
      <w:r>
        <w:t xml:space="preserve">. </w:t>
      </w:r>
    </w:p>
    <w:p w14:paraId="490D2AA8" w14:textId="77777777" w:rsidR="003D1854" w:rsidRDefault="003D1854" w:rsidP="003D1854">
      <w:pPr>
        <w:pStyle w:val="Nadpis7"/>
      </w:pPr>
      <w:r>
        <w:t>Hodnocení variant</w:t>
      </w:r>
    </w:p>
    <w:p w14:paraId="53E77E4C" w14:textId="55C8D4F2" w:rsidR="003D1854" w:rsidRPr="00910382" w:rsidRDefault="003D1854" w:rsidP="00D4237B">
      <w:r>
        <w:t xml:space="preserve">Po zhodnocení pozitivních a negativních dopadů se jeví jako vhodnější </w:t>
      </w:r>
      <w:r w:rsidRPr="00360939">
        <w:t xml:space="preserve">zachování technické neutrality </w:t>
      </w:r>
      <w:r>
        <w:t>a tedy</w:t>
      </w:r>
      <w:r w:rsidRPr="00360939">
        <w:t xml:space="preserve"> varianta I</w:t>
      </w:r>
      <w:r w:rsidR="00D4237B">
        <w:t xml:space="preserve">. </w:t>
      </w:r>
    </w:p>
    <w:p w14:paraId="3DDB1E60" w14:textId="1B5F3C11" w:rsidR="00CE7CB2" w:rsidRPr="003D2CF6" w:rsidRDefault="0004711D" w:rsidP="003D2CF6">
      <w:pPr>
        <w:pStyle w:val="Nadpis6"/>
        <w:numPr>
          <w:ilvl w:val="0"/>
          <w:numId w:val="25"/>
        </w:numPr>
        <w:rPr>
          <w:rFonts w:cs="Arial"/>
        </w:rPr>
      </w:pPr>
      <w:bookmarkStart w:id="85" w:name="_Toc73611643"/>
      <w:r>
        <w:t>V</w:t>
      </w:r>
      <w:r w:rsidR="00CE7CB2">
        <w:t>irtuální sporty</w:t>
      </w:r>
      <w:bookmarkEnd w:id="85"/>
      <w:r w:rsidR="00CE7CB2">
        <w:t xml:space="preserve"> </w:t>
      </w:r>
    </w:p>
    <w:p w14:paraId="1A2912C2" w14:textId="426755CC" w:rsidR="00CE7CB2" w:rsidRPr="00B81377" w:rsidRDefault="00CE7CB2" w:rsidP="00E01643">
      <w:r w:rsidRPr="00B81377">
        <w:t xml:space="preserve">Virtuální sporty lze charakterizovat jako počítačem vytvořené </w:t>
      </w:r>
      <w:r>
        <w:t>vizualizace</w:t>
      </w:r>
      <w:r w:rsidRPr="00B81377">
        <w:t xml:space="preserve"> </w:t>
      </w:r>
      <w:r w:rsidR="00F90A7E">
        <w:t xml:space="preserve">sportovních či jiných událostí a jejich </w:t>
      </w:r>
      <w:r w:rsidRPr="00B81377">
        <w:t>náhodný</w:t>
      </w:r>
      <w:r w:rsidR="009A6A2D">
        <w:t>ch</w:t>
      </w:r>
      <w:r w:rsidRPr="00B81377">
        <w:t xml:space="preserve"> výsledk</w:t>
      </w:r>
      <w:r w:rsidR="009A6A2D">
        <w:t>ů</w:t>
      </w:r>
      <w:r w:rsidRPr="00B81377">
        <w:t xml:space="preserve"> určený</w:t>
      </w:r>
      <w:r w:rsidR="009A6A2D">
        <w:t>ch</w:t>
      </w:r>
      <w:r w:rsidRPr="00B81377">
        <w:t xml:space="preserve"> generátorem náhodných čísel. V rámci virtuálních sportů </w:t>
      </w:r>
      <w:r w:rsidR="009A6A2D">
        <w:t>se vizualizace výsledků mohou zaměřovat na různé sporty, např.</w:t>
      </w:r>
      <w:r w:rsidRPr="00B81377">
        <w:t xml:space="preserve"> fotbal, tenis, basketbal, cyklistiku, motosport, závody chrtů, koní atd.</w:t>
      </w:r>
      <w:r>
        <w:t xml:space="preserve">, </w:t>
      </w:r>
      <w:r w:rsidRPr="00EE4EAD">
        <w:t>neboť samotné sportovní utkání je pouhou uměle vytvořenou vizualizací.</w:t>
      </w:r>
      <w:r w:rsidRPr="00B81377">
        <w:t xml:space="preserve"> Sázky na virtuální sporty mohou být nabízeny </w:t>
      </w:r>
      <w:r w:rsidR="00A71013">
        <w:t>neomezeně, obdobně jako technická hra, nikoli v omezeném časovém rozsahu jako např. kurzová sázka</w:t>
      </w:r>
      <w:r w:rsidRPr="00B81377">
        <w:t xml:space="preserve">, </w:t>
      </w:r>
      <w:r>
        <w:t xml:space="preserve">neboť sportovní utkání jsou fiktivní a </w:t>
      </w:r>
      <w:r w:rsidRPr="00B81377">
        <w:t xml:space="preserve">v tomto směru </w:t>
      </w:r>
      <w:r>
        <w:t xml:space="preserve">tak </w:t>
      </w:r>
      <w:r w:rsidR="00A71013">
        <w:t xml:space="preserve">dostupnost </w:t>
      </w:r>
      <w:r>
        <w:t>hazardní hr</w:t>
      </w:r>
      <w:r w:rsidR="00A71013">
        <w:t>y</w:t>
      </w:r>
      <w:r>
        <w:t xml:space="preserve"> </w:t>
      </w:r>
      <w:r w:rsidR="00A71013">
        <w:t>může být</w:t>
      </w:r>
      <w:r w:rsidR="002B5B57">
        <w:t xml:space="preserve"> časově </w:t>
      </w:r>
      <w:r w:rsidR="00A71013">
        <w:t>ne</w:t>
      </w:r>
      <w:r w:rsidR="002B5B57">
        <w:t>omezena</w:t>
      </w:r>
      <w:r w:rsidR="00A71013">
        <w:t>.</w:t>
      </w:r>
    </w:p>
    <w:p w14:paraId="267E2790" w14:textId="08518E92" w:rsidR="00A80E4C" w:rsidRDefault="00A80E4C" w:rsidP="00A80E4C">
      <w:pPr>
        <w:pStyle w:val="Titulek"/>
        <w:keepNext/>
      </w:pPr>
      <w:bookmarkStart w:id="86" w:name="_Toc73521668"/>
      <w:r>
        <w:lastRenderedPageBreak/>
        <w:t xml:space="preserve">Obrázek č. </w:t>
      </w:r>
      <w:r w:rsidR="00A70360">
        <w:fldChar w:fldCharType="begin"/>
      </w:r>
      <w:r w:rsidR="00A70360">
        <w:instrText xml:space="preserve"> SEQ Obrázek_č._ \* ARABIC </w:instrText>
      </w:r>
      <w:r w:rsidR="00A70360">
        <w:fldChar w:fldCharType="separate"/>
      </w:r>
      <w:r w:rsidR="00F576AE">
        <w:rPr>
          <w:noProof/>
        </w:rPr>
        <w:t>1</w:t>
      </w:r>
      <w:r w:rsidR="00A70360">
        <w:rPr>
          <w:noProof/>
        </w:rPr>
        <w:fldChar w:fldCharType="end"/>
      </w:r>
      <w:r>
        <w:t xml:space="preserve">: </w:t>
      </w:r>
      <w:r w:rsidRPr="00E90C5F">
        <w:t>Ukázka virtuálního sportu</w:t>
      </w:r>
      <w:bookmarkEnd w:id="86"/>
    </w:p>
    <w:p w14:paraId="77B4CED8" w14:textId="182E7FB6" w:rsidR="00CE7CB2" w:rsidRDefault="00230403" w:rsidP="00CE7CB2">
      <w:r>
        <w:rPr>
          <w:noProof/>
          <w:lang w:eastAsia="cs-CZ"/>
        </w:rPr>
        <w:drawing>
          <wp:inline distT="0" distB="0" distL="0" distR="0" wp14:anchorId="64044FA1" wp14:editId="146FC5FB">
            <wp:extent cx="2521743" cy="1426191"/>
            <wp:effectExtent l="0" t="0" r="0" b="3175"/>
            <wp:docPr id="12" name="Obrázek 12" descr="C:\Users\15760\Documents\virtuální sporty\vsdosti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5760\Documents\virtuální sporty\vsdostihy.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24322" cy="1427650"/>
                    </a:xfrm>
                    <a:prstGeom prst="rect">
                      <a:avLst/>
                    </a:prstGeom>
                    <a:noFill/>
                    <a:ln>
                      <a:noFill/>
                    </a:ln>
                  </pic:spPr>
                </pic:pic>
              </a:graphicData>
            </a:graphic>
          </wp:inline>
        </w:drawing>
      </w:r>
      <w:r w:rsidR="00CE7CB2">
        <w:rPr>
          <w:noProof/>
          <w:lang w:eastAsia="cs-CZ"/>
        </w:rPr>
        <w:t xml:space="preserve">                    </w:t>
      </w:r>
    </w:p>
    <w:p w14:paraId="6E7025FC" w14:textId="1A1B528D" w:rsidR="00CE7CB2" w:rsidRPr="00230403" w:rsidRDefault="00E01643" w:rsidP="00E65C88">
      <w:pPr>
        <w:rPr>
          <w:i/>
          <w:sz w:val="20"/>
          <w:szCs w:val="20"/>
        </w:rPr>
      </w:pPr>
      <w:r>
        <w:rPr>
          <w:i/>
          <w:sz w:val="20"/>
          <w:szCs w:val="20"/>
        </w:rPr>
        <w:t>Z</w:t>
      </w:r>
      <w:r w:rsidR="00CE7CB2" w:rsidRPr="00230403">
        <w:rPr>
          <w:i/>
          <w:sz w:val="20"/>
          <w:szCs w:val="20"/>
        </w:rPr>
        <w:t>droj: www.bet365.com</w:t>
      </w:r>
      <w:r>
        <w:rPr>
          <w:i/>
          <w:sz w:val="20"/>
          <w:szCs w:val="20"/>
        </w:rPr>
        <w:t>.</w:t>
      </w:r>
    </w:p>
    <w:p w14:paraId="56D16E80" w14:textId="77777777" w:rsidR="001810B7" w:rsidRDefault="001810B7" w:rsidP="006B1D5E">
      <w:pPr>
        <w:rPr>
          <w:i/>
          <w:highlight w:val="yellow"/>
        </w:rPr>
      </w:pPr>
    </w:p>
    <w:p w14:paraId="4C0E4480" w14:textId="65B68887" w:rsidR="00A80E4C" w:rsidRDefault="00A80E4C" w:rsidP="00A80E4C">
      <w:pPr>
        <w:pStyle w:val="Titulek"/>
        <w:keepNext/>
      </w:pPr>
      <w:bookmarkStart w:id="87" w:name="_Toc73521669"/>
      <w:r>
        <w:t xml:space="preserve">Obrázek č. </w:t>
      </w:r>
      <w:r w:rsidR="00A70360">
        <w:fldChar w:fldCharType="begin"/>
      </w:r>
      <w:r w:rsidR="00A70360">
        <w:instrText xml:space="preserve"> SEQ Obrázek_č._ \* ARABIC </w:instrText>
      </w:r>
      <w:r w:rsidR="00A70360">
        <w:fldChar w:fldCharType="separate"/>
      </w:r>
      <w:r w:rsidR="00F576AE">
        <w:rPr>
          <w:noProof/>
        </w:rPr>
        <w:t>2</w:t>
      </w:r>
      <w:r w:rsidR="00A70360">
        <w:rPr>
          <w:noProof/>
        </w:rPr>
        <w:fldChar w:fldCharType="end"/>
      </w:r>
      <w:r>
        <w:t xml:space="preserve">: </w:t>
      </w:r>
      <w:r w:rsidRPr="00A64FA4">
        <w:t>Ukázka virtuálního sportu</w:t>
      </w:r>
      <w:bookmarkEnd w:id="87"/>
    </w:p>
    <w:p w14:paraId="016489D8" w14:textId="59571B56" w:rsidR="001810B7" w:rsidRDefault="001810B7" w:rsidP="006B1D5E">
      <w:r>
        <w:rPr>
          <w:noProof/>
          <w:lang w:eastAsia="cs-CZ"/>
        </w:rPr>
        <w:drawing>
          <wp:inline distT="0" distB="0" distL="0" distR="0" wp14:anchorId="7DC0943F" wp14:editId="60042534">
            <wp:extent cx="2555282" cy="1424581"/>
            <wp:effectExtent l="0" t="0" r="0" b="4445"/>
            <wp:docPr id="3" name="Obrázek 3" descr="C:\Users\15760\Documents\virtuální sporty\vsten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5760\Documents\virtuální sporty\vstenis.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59456" cy="1426908"/>
                    </a:xfrm>
                    <a:prstGeom prst="rect">
                      <a:avLst/>
                    </a:prstGeom>
                    <a:noFill/>
                    <a:ln>
                      <a:noFill/>
                    </a:ln>
                  </pic:spPr>
                </pic:pic>
              </a:graphicData>
            </a:graphic>
          </wp:inline>
        </w:drawing>
      </w:r>
    </w:p>
    <w:p w14:paraId="0908C7E3" w14:textId="70331E45" w:rsidR="001810B7" w:rsidRDefault="00A80E4C" w:rsidP="006B1D5E">
      <w:pPr>
        <w:rPr>
          <w:i/>
          <w:sz w:val="20"/>
          <w:szCs w:val="20"/>
        </w:rPr>
      </w:pPr>
      <w:r>
        <w:rPr>
          <w:i/>
          <w:sz w:val="20"/>
          <w:szCs w:val="20"/>
        </w:rPr>
        <w:t>Z</w:t>
      </w:r>
      <w:r w:rsidR="001810B7" w:rsidRPr="00230403">
        <w:rPr>
          <w:i/>
          <w:sz w:val="20"/>
          <w:szCs w:val="20"/>
        </w:rPr>
        <w:t xml:space="preserve">droj: </w:t>
      </w:r>
      <w:hyperlink r:id="rId16" w:history="1">
        <w:r w:rsidR="00F576AE" w:rsidRPr="007467A1">
          <w:rPr>
            <w:rStyle w:val="Hypertextovodkaz"/>
            <w:rFonts w:cstheme="minorBidi"/>
            <w:i/>
            <w:sz w:val="20"/>
            <w:szCs w:val="20"/>
          </w:rPr>
          <w:t>www.bet365.com</w:t>
        </w:r>
      </w:hyperlink>
      <w:r>
        <w:rPr>
          <w:i/>
          <w:sz w:val="20"/>
          <w:szCs w:val="20"/>
        </w:rPr>
        <w:t>.</w:t>
      </w:r>
    </w:p>
    <w:p w14:paraId="54716306" w14:textId="77777777" w:rsidR="00F576AE" w:rsidRPr="00360939" w:rsidRDefault="00F576AE" w:rsidP="006B1D5E">
      <w:pPr>
        <w:rPr>
          <w:i/>
          <w:sz w:val="20"/>
          <w:szCs w:val="20"/>
        </w:rPr>
      </w:pPr>
    </w:p>
    <w:p w14:paraId="13BC6E74" w14:textId="67E4D1EE" w:rsidR="00A80E4C" w:rsidRDefault="00A80E4C" w:rsidP="00A80E4C">
      <w:pPr>
        <w:pStyle w:val="Titulek"/>
        <w:keepNext/>
        <w:jc w:val="left"/>
      </w:pPr>
      <w:bookmarkStart w:id="88" w:name="_Toc73521670"/>
      <w:r>
        <w:t xml:space="preserve">Obrázek č. </w:t>
      </w:r>
      <w:r w:rsidR="00A70360">
        <w:fldChar w:fldCharType="begin"/>
      </w:r>
      <w:r w:rsidR="00A70360">
        <w:instrText xml:space="preserve"> SEQ Obrázek_č._ \* ARABIC </w:instrText>
      </w:r>
      <w:r w:rsidR="00A70360">
        <w:fldChar w:fldCharType="separate"/>
      </w:r>
      <w:r w:rsidR="00F576AE">
        <w:rPr>
          <w:noProof/>
        </w:rPr>
        <w:t>3</w:t>
      </w:r>
      <w:r w:rsidR="00A70360">
        <w:rPr>
          <w:noProof/>
        </w:rPr>
        <w:fldChar w:fldCharType="end"/>
      </w:r>
      <w:r>
        <w:t xml:space="preserve">: </w:t>
      </w:r>
      <w:r w:rsidRPr="00F04E4F">
        <w:t>Ukázka virtuálního sportu</w:t>
      </w:r>
      <w:bookmarkEnd w:id="88"/>
    </w:p>
    <w:p w14:paraId="1D3EB14C" w14:textId="77777777" w:rsidR="00CE7CB2" w:rsidRPr="00E51DA1" w:rsidRDefault="00CE7CB2" w:rsidP="00E65C88">
      <w:pPr>
        <w:jc w:val="left"/>
      </w:pPr>
      <w:r>
        <w:rPr>
          <w:noProof/>
          <w:lang w:eastAsia="cs-CZ"/>
        </w:rPr>
        <w:drawing>
          <wp:inline distT="0" distB="0" distL="0" distR="0" wp14:anchorId="090F77B3" wp14:editId="316FC6E6">
            <wp:extent cx="4865298" cy="2569586"/>
            <wp:effectExtent l="0" t="0" r="0" b="2540"/>
            <wp:docPr id="14" name="Obrázek 14" descr="C:\Users\15760\Documents\virtuální sporty\bet3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5760\Documents\virtuální sporty\bet365.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866765" cy="2570361"/>
                    </a:xfrm>
                    <a:prstGeom prst="rect">
                      <a:avLst/>
                    </a:prstGeom>
                    <a:noFill/>
                    <a:ln>
                      <a:noFill/>
                    </a:ln>
                  </pic:spPr>
                </pic:pic>
              </a:graphicData>
            </a:graphic>
          </wp:inline>
        </w:drawing>
      </w:r>
    </w:p>
    <w:p w14:paraId="092484FB" w14:textId="2A548801" w:rsidR="00CE7CB2" w:rsidRPr="00E65C88" w:rsidRDefault="00A80E4C" w:rsidP="00E65C88">
      <w:pPr>
        <w:rPr>
          <w:i/>
          <w:sz w:val="20"/>
          <w:szCs w:val="20"/>
        </w:rPr>
      </w:pPr>
      <w:r>
        <w:rPr>
          <w:i/>
          <w:sz w:val="20"/>
          <w:szCs w:val="20"/>
        </w:rPr>
        <w:t>Z</w:t>
      </w:r>
      <w:r w:rsidR="00CE7CB2" w:rsidRPr="00E65C88">
        <w:rPr>
          <w:i/>
          <w:sz w:val="20"/>
          <w:szCs w:val="20"/>
        </w:rPr>
        <w:t>droj: www.bet365.com</w:t>
      </w:r>
      <w:r>
        <w:rPr>
          <w:i/>
          <w:sz w:val="20"/>
          <w:szCs w:val="20"/>
        </w:rPr>
        <w:t>.</w:t>
      </w:r>
    </w:p>
    <w:p w14:paraId="590E58E4" w14:textId="313B42B0" w:rsidR="00CE7CB2" w:rsidRDefault="00CE7CB2" w:rsidP="00A80E4C">
      <w:r w:rsidRPr="00B71E48">
        <w:t xml:space="preserve">Virtuální sporty jsou </w:t>
      </w:r>
      <w:r>
        <w:t>v zahraničních jurisdikcích nejčastěji</w:t>
      </w:r>
      <w:r w:rsidRPr="00B71E48">
        <w:t xml:space="preserve"> provozovány ve formátu kursové sázky, u každé události </w:t>
      </w:r>
      <w:r>
        <w:t xml:space="preserve">(fiktivního sportovního utkání) </w:t>
      </w:r>
      <w:r w:rsidRPr="00B71E48">
        <w:t xml:space="preserve">jsou vypsány příležitosti s kursy. Někteří provozovatelé virtuální sporty </w:t>
      </w:r>
      <w:r>
        <w:t xml:space="preserve">na internetových stránkách </w:t>
      </w:r>
      <w:r w:rsidRPr="00B71E48">
        <w:t>zařaz</w:t>
      </w:r>
      <w:r>
        <w:t>ují přímo</w:t>
      </w:r>
      <w:r w:rsidRPr="00B71E48">
        <w:t xml:space="preserve"> mezi </w:t>
      </w:r>
      <w:r>
        <w:t>kursové sázky</w:t>
      </w:r>
      <w:r w:rsidR="00F90A7E">
        <w:t>. Pod</w:t>
      </w:r>
      <w:r w:rsidRPr="00B71E48">
        <w:t>le zákona o</w:t>
      </w:r>
      <w:r w:rsidR="00E65C88">
        <w:t> </w:t>
      </w:r>
      <w:r w:rsidRPr="00B71E48">
        <w:t>hazardních hrách se však sázkovou příležitostí rozumí zejména sportovní výsledek nebo událost veřejné pozornost</w:t>
      </w:r>
      <w:r w:rsidR="00212C21">
        <w:t>i</w:t>
      </w:r>
      <w:r>
        <w:t xml:space="preserve">, </w:t>
      </w:r>
      <w:r>
        <w:lastRenderedPageBreak/>
        <w:t xml:space="preserve">přičemž výsledek generátoru náhodných čísel, jakkoli je vizuálně podobný sportovní události, nelze </w:t>
      </w:r>
      <w:r w:rsidR="00212C21">
        <w:t xml:space="preserve">za </w:t>
      </w:r>
      <w:r>
        <w:t>sportovní výsledek</w:t>
      </w:r>
      <w:r w:rsidR="007307EC">
        <w:t xml:space="preserve"> nebo událost veřejné pozornosti</w:t>
      </w:r>
      <w:r>
        <w:t xml:space="preserve"> považovat.</w:t>
      </w:r>
      <w:r w:rsidRPr="00B71E48">
        <w:t xml:space="preserve"> </w:t>
      </w:r>
    </w:p>
    <w:p w14:paraId="1674F627" w14:textId="2A1654FC" w:rsidR="00CE7CB2" w:rsidRPr="00207BEC" w:rsidRDefault="00CE7CB2" w:rsidP="00A80E4C">
      <w:r>
        <w:t xml:space="preserve">Vzhledem ke skutečnosti, </w:t>
      </w:r>
      <w:r w:rsidRPr="00207BEC">
        <w:t xml:space="preserve">že výsledky </w:t>
      </w:r>
      <w:r>
        <w:t xml:space="preserve">hazardní hry </w:t>
      </w:r>
      <w:r w:rsidRPr="00207BEC">
        <w:t>jsou tvořeny generátorem náhodných čísel, j</w:t>
      </w:r>
      <w:r>
        <w:t>e hazardní hra z pohledu zákona o hazardních hrách pravděpodobně nejblíže technické hře.</w:t>
      </w:r>
      <w:r w:rsidRPr="00207BEC">
        <w:t xml:space="preserve"> </w:t>
      </w:r>
      <w:r>
        <w:t xml:space="preserve">Nicméně z pohledu návratnosti sázky v případě virtuálních sportů není uváděn výherní podíl tak, jak je běžné u technické hry, ale jsou vypisovány kursy. Důležitou odlišností od technické hry je také skutečnost, </w:t>
      </w:r>
      <w:r w:rsidRPr="00207BEC">
        <w:t>že na jednu hru (</w:t>
      </w:r>
      <w:r>
        <w:t>fiktivní sportovní událost)</w:t>
      </w:r>
      <w:r w:rsidRPr="00207BEC">
        <w:t xml:space="preserve"> může sáze</w:t>
      </w:r>
      <w:r>
        <w:t xml:space="preserve">t neomezené množství </w:t>
      </w:r>
      <w:r w:rsidR="00B45123">
        <w:t>účastníků hazardní hry</w:t>
      </w:r>
      <w:r w:rsidR="00B45123">
        <w:rPr>
          <w:rStyle w:val="Znakapoznpodarou"/>
        </w:rPr>
        <w:t xml:space="preserve"> </w:t>
      </w:r>
      <w:r w:rsidR="00132988">
        <w:rPr>
          <w:rStyle w:val="Znakapoznpodarou"/>
        </w:rPr>
        <w:footnoteReference w:id="41"/>
      </w:r>
      <w:r w:rsidRPr="00207BEC">
        <w:t>.</w:t>
      </w:r>
    </w:p>
    <w:p w14:paraId="36E031A6" w14:textId="031B85D9" w:rsidR="00CE7CB2" w:rsidRDefault="00CE7CB2" w:rsidP="00A80E4C">
      <w:r>
        <w:t xml:space="preserve">Provozování virtuálních sportů je </w:t>
      </w:r>
      <w:r w:rsidR="00D73FEB">
        <w:t>možné v některých členských státech Evropské unie</w:t>
      </w:r>
      <w:r w:rsidR="009B46F6">
        <w:t>, nicméně v této souvislosti je nutné zdůraznit, že každý členský stát má zcela samostatnou a ve většině také odlišnou právní úpravu v oblasti regulace hazardních her</w:t>
      </w:r>
      <w:r w:rsidR="00D73FEB">
        <w:t xml:space="preserve">. </w:t>
      </w:r>
      <w:r>
        <w:t xml:space="preserve">Např. </w:t>
      </w:r>
      <w:r w:rsidR="009B46F6">
        <w:t xml:space="preserve">podle regulace </w:t>
      </w:r>
      <w:r w:rsidRPr="00EE482B">
        <w:t>Malt</w:t>
      </w:r>
      <w:r w:rsidR="009B46F6">
        <w:t>y</w:t>
      </w:r>
      <w:r w:rsidRPr="00EE482B">
        <w:t xml:space="preserve"> spadají virtuální sporty do hazardních her kategorie 1, které jsou provozovány na základě generátoru náhodných čísel a hrají se „proti provozovateli“ (proti kasinu). Do stejné skupiny patří např. ruleta, blackjack, baccarat, poker proti kasinu atd. V Belgii jsou virtuální sporty považovány za druh hracích automatů. V</w:t>
      </w:r>
      <w:r w:rsidR="00F90A7E">
        <w:t>e</w:t>
      </w:r>
      <w:r w:rsidRPr="00EE482B">
        <w:t> </w:t>
      </w:r>
      <w:r w:rsidR="00F90A7E">
        <w:t xml:space="preserve">Velké </w:t>
      </w:r>
      <w:r w:rsidRPr="00EE482B">
        <w:t>Británii je k provozování virtuálních sportů třeba kasinová licence a licence na kursové sázky</w:t>
      </w:r>
      <w:r w:rsidR="00E65C88">
        <w:t>.</w:t>
      </w:r>
    </w:p>
    <w:p w14:paraId="63A4A8BB" w14:textId="0801EB7F" w:rsidR="002D2A9E" w:rsidRPr="00207BEC" w:rsidRDefault="00CE7CB2" w:rsidP="00A80E4C">
      <w:r>
        <w:t xml:space="preserve">Zákon o hazardních hrách </w:t>
      </w:r>
      <w:r w:rsidR="00132988">
        <w:t>možnost provozovat hazardní hry, které naplňují pouze obecnou definici hazardních her, popř. naplňují definiční znaky více druhů hazardních her, neupravuje. Bylo by však vhodné se v budoucnu na tento koncept zaměřit a</w:t>
      </w:r>
      <w:r w:rsidR="00F90A7E">
        <w:t> </w:t>
      </w:r>
      <w:r w:rsidR="00132988">
        <w:t xml:space="preserve">zhodnotit, zda by jeho provozování </w:t>
      </w:r>
      <w:r w:rsidR="000F7108">
        <w:t xml:space="preserve">resp. umožnění </w:t>
      </w:r>
      <w:r w:rsidR="00132988">
        <w:t xml:space="preserve">mohlo být vzhledem např. k ochraně </w:t>
      </w:r>
      <w:r w:rsidR="007A63B9">
        <w:t xml:space="preserve">účastníků hazardních her </w:t>
      </w:r>
      <w:r w:rsidR="000F7108">
        <w:t xml:space="preserve">a dalším aspektům </w:t>
      </w:r>
      <w:r w:rsidR="007A63B9">
        <w:t>akceptováno. Mimo jiné i s přihlédnutím k možnému snížení popt</w:t>
      </w:r>
      <w:r w:rsidR="00996F41">
        <w:t>ávky účastníků hazardních her u </w:t>
      </w:r>
      <w:r w:rsidR="007A63B9">
        <w:t>nelegálních provozovatelů.</w:t>
      </w:r>
    </w:p>
    <w:p w14:paraId="0E33E2C0" w14:textId="77777777" w:rsidR="00CE7CB2" w:rsidRPr="005203BD" w:rsidRDefault="00CE7CB2" w:rsidP="003D2CF6">
      <w:pPr>
        <w:pStyle w:val="Nadpis6"/>
      </w:pPr>
      <w:bookmarkStart w:id="89" w:name="_Toc73611644"/>
      <w:r>
        <w:t>Social gaming</w:t>
      </w:r>
      <w:bookmarkEnd w:id="89"/>
    </w:p>
    <w:p w14:paraId="778EA01C" w14:textId="3F0545D5" w:rsidR="00CE7CB2" w:rsidRPr="00031936" w:rsidRDefault="00CE7CB2" w:rsidP="005E41B7">
      <w:r w:rsidRPr="002A00F3">
        <w:t xml:space="preserve">Za </w:t>
      </w:r>
      <w:r>
        <w:t>social gaming (</w:t>
      </w:r>
      <w:r w:rsidRPr="002A00F3">
        <w:t>sociální hraní</w:t>
      </w:r>
      <w:r>
        <w:t>) je</w:t>
      </w:r>
      <w:r w:rsidRPr="002A00F3">
        <w:t xml:space="preserve"> považováno hraní her na sociálních sítích</w:t>
      </w:r>
      <w:r>
        <w:t xml:space="preserve"> či</w:t>
      </w:r>
      <w:r w:rsidR="00F10F06">
        <w:t> </w:t>
      </w:r>
      <w:r>
        <w:t>v mobilních aplikacích</w:t>
      </w:r>
      <w:r w:rsidRPr="002A00F3">
        <w:t xml:space="preserve"> (např. Candy Crush Soda Saga</w:t>
      </w:r>
      <w:r>
        <w:t xml:space="preserve">). </w:t>
      </w:r>
      <w:r w:rsidR="00FE72A0">
        <w:t>Jedná se o hry, které mohou být</w:t>
      </w:r>
      <w:r>
        <w:t xml:space="preserve"> </w:t>
      </w:r>
      <w:r w:rsidRPr="00031936">
        <w:t>hran</w:t>
      </w:r>
      <w:r w:rsidR="00FE72A0">
        <w:t>é</w:t>
      </w:r>
      <w:r w:rsidRPr="00031936">
        <w:t xml:space="preserve"> zdarma, </w:t>
      </w:r>
      <w:r w:rsidR="00FE72A0">
        <w:t xml:space="preserve">nicméně </w:t>
      </w:r>
      <w:r w:rsidRPr="00031936">
        <w:t xml:space="preserve">volitelné herní předměty </w:t>
      </w:r>
      <w:r w:rsidR="00FE72A0">
        <w:t xml:space="preserve">mohou </w:t>
      </w:r>
      <w:r w:rsidRPr="00031936">
        <w:t>vyžad</w:t>
      </w:r>
      <w:r w:rsidR="00FE72A0">
        <w:t>ovat</w:t>
      </w:r>
      <w:r w:rsidRPr="00031936">
        <w:t xml:space="preserve"> platbu, existuje zde </w:t>
      </w:r>
      <w:r w:rsidR="00FE72A0">
        <w:t xml:space="preserve">tak </w:t>
      </w:r>
      <w:r w:rsidRPr="00031936">
        <w:t>možnost dokoupit výhody</w:t>
      </w:r>
      <w:r w:rsidR="006A4913">
        <w:t>.</w:t>
      </w:r>
      <w:r w:rsidR="00FE72A0">
        <w:rPr>
          <w:rStyle w:val="Znakapoznpodarou"/>
        </w:rPr>
        <w:footnoteReference w:id="42"/>
      </w:r>
      <w:r w:rsidRPr="00031936">
        <w:t xml:space="preserve"> </w:t>
      </w:r>
    </w:p>
    <w:p w14:paraId="35A15380" w14:textId="75C03077" w:rsidR="00CE7CB2" w:rsidRDefault="00E62822" w:rsidP="005E41B7">
      <w:r>
        <w:t>Pro posouzení, zda</w:t>
      </w:r>
      <w:r w:rsidR="00CE7CB2">
        <w:t xml:space="preserve"> hry v rámc</w:t>
      </w:r>
      <w:r w:rsidR="000E7750">
        <w:t xml:space="preserve">i social </w:t>
      </w:r>
      <w:r w:rsidR="00CE7CB2">
        <w:t xml:space="preserve">gaming </w:t>
      </w:r>
      <w:r w:rsidR="007A7A0C">
        <w:t>spadají do působnosti</w:t>
      </w:r>
      <w:r w:rsidR="00CE7CB2">
        <w:t xml:space="preserve"> zákona </w:t>
      </w:r>
      <w:r w:rsidR="00CE7CB2">
        <w:br/>
        <w:t>o hazardních hrách</w:t>
      </w:r>
      <w:r w:rsidR="007A7A0C">
        <w:t>, je relevantní a</w:t>
      </w:r>
      <w:r w:rsidR="00CE7CB2">
        <w:t xml:space="preserve"> zásadní, </w:t>
      </w:r>
      <w:r w:rsidR="00CE7CB2" w:rsidRPr="0050280C">
        <w:t xml:space="preserve">zda hra </w:t>
      </w:r>
      <w:r w:rsidR="00CE7CB2">
        <w:t>nap</w:t>
      </w:r>
      <w:r w:rsidR="00CE7CB2" w:rsidRPr="0050280C">
        <w:t>lňuje znaky hazardní hry</w:t>
      </w:r>
      <w:r w:rsidR="00CE7CB2">
        <w:t>, tedy zda je účast na této hře podmíněna sázkou, přičemž o případné výhře rozhoduje náhoda</w:t>
      </w:r>
      <w:r w:rsidR="00CE7CB2" w:rsidRPr="0050280C">
        <w:t xml:space="preserve">. </w:t>
      </w:r>
      <w:r w:rsidR="00CE7CB2" w:rsidRPr="00520613">
        <w:t>Pokud tyto znaky naplněny nejsou, nejedná se o hazardní hru.</w:t>
      </w:r>
    </w:p>
    <w:p w14:paraId="090D1CC3" w14:textId="603AE873" w:rsidR="00CE7CB2" w:rsidRDefault="00323509" w:rsidP="005E41B7">
      <w:pPr>
        <w:rPr>
          <w:i/>
          <w:iCs/>
        </w:rPr>
      </w:pPr>
      <w:r>
        <w:t>V případě</w:t>
      </w:r>
      <w:r w:rsidR="00CE7CB2">
        <w:t xml:space="preserve">, že koncept </w:t>
      </w:r>
      <w:r w:rsidR="00CE7CB2" w:rsidRPr="00520613">
        <w:t>social gaming</w:t>
      </w:r>
      <w:r w:rsidR="00CE7CB2">
        <w:t xml:space="preserve"> nesplňuje definiční znaky hazardní hry, nelze jejich provozování reg</w:t>
      </w:r>
      <w:r w:rsidR="00E62822">
        <w:t>ulovat prostřednictvím zákona o </w:t>
      </w:r>
      <w:r w:rsidR="00CE7CB2">
        <w:t xml:space="preserve">hazardních hrách. </w:t>
      </w:r>
      <w:r w:rsidR="00CE7CB2">
        <w:lastRenderedPageBreak/>
        <w:t>Potencionální škodlivost těchto her je nicméně častým tématem diskuzí odborníků, proto lze tuto oblast k</w:t>
      </w:r>
      <w:r>
        <w:t xml:space="preserve"> dalšímu posouzení </w:t>
      </w:r>
      <w:r w:rsidR="00CE7CB2">
        <w:t>doporučit jiným relevantním subjektům</w:t>
      </w:r>
      <w:r>
        <w:rPr>
          <w:rStyle w:val="Znakapoznpodarou"/>
        </w:rPr>
        <w:footnoteReference w:id="43"/>
      </w:r>
      <w:r>
        <w:t>.</w:t>
      </w:r>
    </w:p>
    <w:p w14:paraId="2F3E66A6" w14:textId="5CA78ADE" w:rsidR="00F576AE" w:rsidRDefault="00F576AE" w:rsidP="00F576AE">
      <w:pPr>
        <w:pStyle w:val="Titulek"/>
        <w:keepNext/>
      </w:pPr>
      <w:bookmarkStart w:id="90" w:name="_Toc73521671"/>
      <w:r>
        <w:t>Obrázek</w:t>
      </w:r>
      <w:r w:rsidR="0046620B">
        <w:t xml:space="preserve"> č. </w:t>
      </w:r>
      <w:r w:rsidR="00A70360">
        <w:fldChar w:fldCharType="begin"/>
      </w:r>
      <w:r w:rsidR="00A70360">
        <w:instrText xml:space="preserve"> SEQ Obrázek_č._ \* ARABIC </w:instrText>
      </w:r>
      <w:r w:rsidR="00A70360">
        <w:fldChar w:fldCharType="separate"/>
      </w:r>
      <w:r>
        <w:rPr>
          <w:noProof/>
        </w:rPr>
        <w:t>4</w:t>
      </w:r>
      <w:r w:rsidR="00A70360">
        <w:rPr>
          <w:noProof/>
        </w:rPr>
        <w:fldChar w:fldCharType="end"/>
      </w:r>
      <w:r>
        <w:t xml:space="preserve">: </w:t>
      </w:r>
      <w:r w:rsidRPr="00972B5A">
        <w:t>Ukázka sociálního hraní</w:t>
      </w:r>
      <w:bookmarkEnd w:id="90"/>
    </w:p>
    <w:p w14:paraId="57150E59" w14:textId="2012077C" w:rsidR="00CE7CB2" w:rsidRPr="005E41B7" w:rsidRDefault="00CE7CB2" w:rsidP="005E41B7">
      <w:pPr>
        <w:rPr>
          <w:i/>
          <w:iCs/>
        </w:rPr>
      </w:pPr>
      <w:r>
        <w:rPr>
          <w:noProof/>
          <w:lang w:eastAsia="cs-CZ"/>
        </w:rPr>
        <w:drawing>
          <wp:inline distT="0" distB="0" distL="0" distR="0" wp14:anchorId="6CB0EAE4" wp14:editId="5A302430">
            <wp:extent cx="1067389" cy="1235122"/>
            <wp:effectExtent l="0" t="0" r="0" b="3175"/>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1075104" cy="1244049"/>
                    </a:xfrm>
                    <a:prstGeom prst="rect">
                      <a:avLst/>
                    </a:prstGeom>
                  </pic:spPr>
                </pic:pic>
              </a:graphicData>
            </a:graphic>
          </wp:inline>
        </w:drawing>
      </w:r>
    </w:p>
    <w:p w14:paraId="5DD45E4C" w14:textId="777E6D6D" w:rsidR="00CE7CB2" w:rsidRPr="004C5BF5" w:rsidRDefault="005E41B7" w:rsidP="004C5BF5">
      <w:pPr>
        <w:ind w:left="3540" w:hanging="3824"/>
        <w:rPr>
          <w:i/>
          <w:sz w:val="20"/>
          <w:szCs w:val="20"/>
        </w:rPr>
      </w:pPr>
      <w:r>
        <w:rPr>
          <w:i/>
          <w:sz w:val="20"/>
          <w:szCs w:val="20"/>
        </w:rPr>
        <w:t>Z</w:t>
      </w:r>
      <w:r w:rsidR="00CE7CB2" w:rsidRPr="004C5BF5">
        <w:rPr>
          <w:i/>
          <w:sz w:val="20"/>
          <w:szCs w:val="20"/>
        </w:rPr>
        <w:t>droj: Google Play</w:t>
      </w:r>
      <w:r w:rsidR="000E7750">
        <w:rPr>
          <w:i/>
          <w:sz w:val="20"/>
          <w:szCs w:val="20"/>
        </w:rPr>
        <w:t>.</w:t>
      </w:r>
    </w:p>
    <w:p w14:paraId="37326E04" w14:textId="03D7A3CA" w:rsidR="00CE7CB2" w:rsidRPr="00225479" w:rsidRDefault="00CE7CB2" w:rsidP="003D2CF6">
      <w:pPr>
        <w:pStyle w:val="Nadpis6"/>
      </w:pPr>
      <w:bookmarkStart w:id="91" w:name="_Toc73611645"/>
      <w:r>
        <w:t>S</w:t>
      </w:r>
      <w:r w:rsidRPr="00225479">
        <w:t>imulované hazardní hry</w:t>
      </w:r>
      <w:bookmarkEnd w:id="91"/>
    </w:p>
    <w:p w14:paraId="24B35237" w14:textId="300AE325" w:rsidR="00CE7CB2" w:rsidRDefault="00CE7CB2" w:rsidP="000E7750">
      <w:pPr>
        <w:rPr>
          <w:sz w:val="20"/>
        </w:rPr>
      </w:pPr>
      <w:r w:rsidRPr="004D1D76">
        <w:t>Jedná se o provozování her s</w:t>
      </w:r>
      <w:r>
        <w:t xml:space="preserve"> vizuálními </w:t>
      </w:r>
      <w:r w:rsidRPr="004D1D76">
        <w:t>prvky</w:t>
      </w:r>
      <w:r w:rsidR="001201B2">
        <w:t xml:space="preserve"> obdobnými hazardním hrám, zejména pak</w:t>
      </w:r>
      <w:r w:rsidRPr="004D1D76">
        <w:t xml:space="preserve"> technické hry </w:t>
      </w:r>
      <w:r w:rsidRPr="002A00F3">
        <w:t>na</w:t>
      </w:r>
      <w:r>
        <w:t xml:space="preserve"> internetu,</w:t>
      </w:r>
      <w:r w:rsidRPr="002A00F3">
        <w:t xml:space="preserve"> sociálních sítích</w:t>
      </w:r>
      <w:r>
        <w:t xml:space="preserve"> či v mobilních aplikacích</w:t>
      </w:r>
      <w:r>
        <w:rPr>
          <w:sz w:val="20"/>
        </w:rPr>
        <w:t xml:space="preserve">. </w:t>
      </w:r>
      <w:r>
        <w:t xml:space="preserve">Samotné </w:t>
      </w:r>
      <w:r w:rsidRPr="00031936">
        <w:t>hraní takových her je zdarma, ale</w:t>
      </w:r>
      <w:r w:rsidR="00F10F06">
        <w:t> </w:t>
      </w:r>
      <w:r w:rsidRPr="00031936">
        <w:t>volitelné herní předměty vyžadují platbu</w:t>
      </w:r>
      <w:r>
        <w:t xml:space="preserve"> (např. více žetonů do hry)</w:t>
      </w:r>
      <w:r w:rsidR="00394FF9">
        <w:t>.</w:t>
      </w:r>
      <w:r>
        <w:t xml:space="preserve"> </w:t>
      </w:r>
      <w:r w:rsidR="001201B2">
        <w:t>Případné v</w:t>
      </w:r>
      <w:r>
        <w:t>ýhry z takových simulovaných hazardních her nelze</w:t>
      </w:r>
      <w:r w:rsidR="0045444F">
        <w:t xml:space="preserve"> </w:t>
      </w:r>
      <w:r>
        <w:t xml:space="preserve">vyplatit ve formě peněžních prostředků. </w:t>
      </w:r>
    </w:p>
    <w:p w14:paraId="0E65DBC1" w14:textId="40DD21B5" w:rsidR="00CE7CB2" w:rsidRDefault="001201B2" w:rsidP="000E7750">
      <w:r>
        <w:t xml:space="preserve">Ačkoli hry obsahují </w:t>
      </w:r>
      <w:r w:rsidR="00CE7CB2">
        <w:t>vizualizaci hazardních her</w:t>
      </w:r>
      <w:r>
        <w:t xml:space="preserve"> a je tak možné vyvolávat dojem účasti na hazardní hře</w:t>
      </w:r>
      <w:r w:rsidR="00CE7CB2">
        <w:t xml:space="preserve">, </w:t>
      </w:r>
      <w:r w:rsidR="00CE7CB2" w:rsidRPr="0050280C">
        <w:t>je</w:t>
      </w:r>
      <w:r w:rsidR="00CE7CB2">
        <w:t xml:space="preserve"> zde</w:t>
      </w:r>
      <w:r w:rsidR="00CE7CB2" w:rsidRPr="0050280C">
        <w:t xml:space="preserve"> zásadní, zda hra splňuje znaky hazardní hry</w:t>
      </w:r>
      <w:r w:rsidR="00CE7CB2">
        <w:t>, tedy zda je účast na této hře podmíněna sázkou, přičemž</w:t>
      </w:r>
      <w:r w:rsidR="0009517E">
        <w:t xml:space="preserve"> </w:t>
      </w:r>
      <w:r w:rsidR="00CE7CB2">
        <w:t>o případné výhře rozhoduje náhoda</w:t>
      </w:r>
      <w:r w:rsidR="00CE7CB2" w:rsidRPr="0050280C">
        <w:t xml:space="preserve">. </w:t>
      </w:r>
      <w:r w:rsidR="00CE7CB2" w:rsidRPr="00520613">
        <w:t>Pokud tyto znaky naplněny nejsou a koncept hry tedy odpovídá popisu výše, nejedná se o hazardní hru.</w:t>
      </w:r>
      <w:r w:rsidRPr="001201B2">
        <w:t xml:space="preserve"> </w:t>
      </w:r>
      <w:r w:rsidR="0045444F">
        <w:t xml:space="preserve">Nicméně i </w:t>
      </w:r>
      <w:r w:rsidR="0009517E">
        <w:t xml:space="preserve">u </w:t>
      </w:r>
      <w:r w:rsidR="0045444F">
        <w:t xml:space="preserve">těchto her je často přítomné </w:t>
      </w:r>
      <w:r>
        <w:t xml:space="preserve">upozornění, že tyto hry jsou pro uživatele starší 18 let, ověření věku však </w:t>
      </w:r>
      <w:r w:rsidR="0045444F">
        <w:t xml:space="preserve">dle dostupných informací </w:t>
      </w:r>
      <w:r>
        <w:t>neprobíhá.</w:t>
      </w:r>
    </w:p>
    <w:p w14:paraId="74AC316F" w14:textId="11F10A11" w:rsidR="00CE7CB2" w:rsidRDefault="0045444F" w:rsidP="000E7750">
      <w:pPr>
        <w:rPr>
          <w:i/>
          <w:iCs/>
        </w:rPr>
      </w:pPr>
      <w:r>
        <w:t>V případě, že koncept nesplňuje definiční znaky hazardní hry, nelze jeho provozování regulovat prostřednictvím zákona o hazardních hrách. Potencionální škodlivost je nicméně častým tématem diskuzí odborníků, proto lze tuto oblast k dalšímu posouzení doporučit jiným relevantním subjektům</w:t>
      </w:r>
      <w:r>
        <w:rPr>
          <w:rStyle w:val="Znakapoznpodarou"/>
        </w:rPr>
        <w:footnoteReference w:id="44"/>
      </w:r>
      <w:r>
        <w:t xml:space="preserve">. </w:t>
      </w:r>
    </w:p>
    <w:p w14:paraId="3C34FA25" w14:textId="6DE09367" w:rsidR="000E7750" w:rsidRDefault="000E7750" w:rsidP="000E7750">
      <w:pPr>
        <w:pStyle w:val="Titulek"/>
        <w:keepNext/>
        <w:jc w:val="left"/>
      </w:pPr>
      <w:bookmarkStart w:id="92" w:name="_Toc73521672"/>
      <w:r>
        <w:t xml:space="preserve">Obrázek č. </w:t>
      </w:r>
      <w:r w:rsidR="00A70360">
        <w:fldChar w:fldCharType="begin"/>
      </w:r>
      <w:r w:rsidR="00A70360">
        <w:instrText xml:space="preserve"> SEQ Obrázek_č._ \* ARABIC </w:instrText>
      </w:r>
      <w:r w:rsidR="00A70360">
        <w:fldChar w:fldCharType="separate"/>
      </w:r>
      <w:r w:rsidR="00F576AE">
        <w:rPr>
          <w:noProof/>
        </w:rPr>
        <w:t>5</w:t>
      </w:r>
      <w:r w:rsidR="00A70360">
        <w:rPr>
          <w:noProof/>
        </w:rPr>
        <w:fldChar w:fldCharType="end"/>
      </w:r>
      <w:r>
        <w:t xml:space="preserve">: </w:t>
      </w:r>
      <w:r w:rsidRPr="00AE6DC1">
        <w:t>Ukázka sociálního hraní</w:t>
      </w:r>
      <w:bookmarkEnd w:id="92"/>
    </w:p>
    <w:p w14:paraId="0CF1639E" w14:textId="77777777" w:rsidR="00CE7CB2" w:rsidRDefault="00CE7CB2" w:rsidP="004C5BF5">
      <w:pPr>
        <w:jc w:val="left"/>
        <w:rPr>
          <w:noProof/>
          <w:lang w:eastAsia="cs-CZ"/>
        </w:rPr>
      </w:pPr>
      <w:r>
        <w:rPr>
          <w:noProof/>
          <w:lang w:eastAsia="cs-CZ"/>
        </w:rPr>
        <w:drawing>
          <wp:inline distT="0" distB="0" distL="0" distR="0" wp14:anchorId="03E92CEB" wp14:editId="236CE0EE">
            <wp:extent cx="1275708" cy="1535237"/>
            <wp:effectExtent l="0" t="0" r="1270" b="8255"/>
            <wp:docPr id="23" name="Obráze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1273741" cy="1532870"/>
                    </a:xfrm>
                    <a:prstGeom prst="rect">
                      <a:avLst/>
                    </a:prstGeom>
                  </pic:spPr>
                </pic:pic>
              </a:graphicData>
            </a:graphic>
          </wp:inline>
        </w:drawing>
      </w:r>
    </w:p>
    <w:p w14:paraId="23875448" w14:textId="2123260E" w:rsidR="00CE7CB2" w:rsidRPr="000E7750" w:rsidRDefault="000E7750" w:rsidP="004C5BF5">
      <w:pPr>
        <w:ind w:left="2832" w:hanging="2832"/>
        <w:rPr>
          <w:rFonts w:cs="Arial"/>
          <w:sz w:val="28"/>
        </w:rPr>
      </w:pPr>
      <w:r w:rsidRPr="000E7750">
        <w:rPr>
          <w:i/>
          <w:sz w:val="20"/>
        </w:rPr>
        <w:t>Z</w:t>
      </w:r>
      <w:r w:rsidR="00CE7CB2" w:rsidRPr="000E7750">
        <w:rPr>
          <w:i/>
          <w:sz w:val="20"/>
        </w:rPr>
        <w:t>droj: Google Play</w:t>
      </w:r>
      <w:r w:rsidRPr="000E7750">
        <w:rPr>
          <w:i/>
          <w:sz w:val="20"/>
        </w:rPr>
        <w:t>.</w:t>
      </w:r>
    </w:p>
    <w:p w14:paraId="69E510FF" w14:textId="77777777" w:rsidR="00CE7CB2" w:rsidRPr="00000CBA" w:rsidRDefault="00CE7CB2" w:rsidP="003D2CF6">
      <w:pPr>
        <w:pStyle w:val="Nadpis6"/>
      </w:pPr>
      <w:bookmarkStart w:id="93" w:name="_Toc73611646"/>
      <w:r>
        <w:lastRenderedPageBreak/>
        <w:t>L</w:t>
      </w:r>
      <w:r w:rsidRPr="00000CBA">
        <w:t>oot boxy</w:t>
      </w:r>
      <w:bookmarkEnd w:id="93"/>
    </w:p>
    <w:p w14:paraId="13C9E93F" w14:textId="0FDCEF53" w:rsidR="00CE7CB2" w:rsidRPr="00F727AD" w:rsidRDefault="00CE7CB2" w:rsidP="000E7750">
      <w:r>
        <w:t>Na trhu s videohrami existují i takové</w:t>
      </w:r>
      <w:r w:rsidR="0045444F">
        <w:t xml:space="preserve"> hry</w:t>
      </w:r>
      <w:r>
        <w:t xml:space="preserve">, které obsahují prvky, které využívají princip náhody, tzv. loot boxy (např. </w:t>
      </w:r>
      <w:r w:rsidRPr="00135403">
        <w:t>FIFA 18, Dota 2</w:t>
      </w:r>
      <w:r>
        <w:t xml:space="preserve">). </w:t>
      </w:r>
      <w:r w:rsidRPr="00F727AD">
        <w:t>Loot box může mít v</w:t>
      </w:r>
      <w:r>
        <w:t>e</w:t>
      </w:r>
      <w:r w:rsidRPr="00F727AD">
        <w:t> </w:t>
      </w:r>
      <w:r>
        <w:t>video</w:t>
      </w:r>
      <w:r w:rsidRPr="00F727AD">
        <w:t>hrách různé podoby (bedna, balíček), ovšem jeho obsah je vždy náhodný</w:t>
      </w:r>
      <w:r w:rsidR="0045444F">
        <w:t>, res</w:t>
      </w:r>
      <w:r w:rsidR="00C23A60">
        <w:t>p</w:t>
      </w:r>
      <w:r w:rsidR="0045444F">
        <w:t xml:space="preserve">. pro </w:t>
      </w:r>
      <w:r w:rsidR="00B45123">
        <w:t xml:space="preserve">účastníky hazardní hry </w:t>
      </w:r>
      <w:r w:rsidR="0045444F">
        <w:t>neznám</w:t>
      </w:r>
      <w:r w:rsidR="00B45123">
        <w:t>ý</w:t>
      </w:r>
      <w:r>
        <w:t xml:space="preserve"> (</w:t>
      </w:r>
      <w:r w:rsidR="0045444F">
        <w:t>V</w:t>
      </w:r>
      <w:r>
        <w:t xml:space="preserve">ětšinou se jedná </w:t>
      </w:r>
      <w:r w:rsidR="0045444F">
        <w:t>vizuální</w:t>
      </w:r>
      <w:r>
        <w:t xml:space="preserve"> vylepšení</w:t>
      </w:r>
      <w:r w:rsidR="0045444F">
        <w:t xml:space="preserve">, tzv. </w:t>
      </w:r>
      <w:r>
        <w:t>„skins“</w:t>
      </w:r>
      <w:r w:rsidR="0045444F">
        <w:t>. Vybavení ve formě herní výhody nejsou příliš častá)</w:t>
      </w:r>
      <w:r w:rsidRPr="00F727AD">
        <w:t>.</w:t>
      </w:r>
      <w:r>
        <w:t xml:space="preserve"> V některých případech loot boxy uvádějí pravděpodobnost, se kterou </w:t>
      </w:r>
      <w:r w:rsidR="00B45123">
        <w:t>účastník hazardní hry</w:t>
      </w:r>
      <w:r>
        <w:t xml:space="preserve"> získá konkrétní předmět, nicméně </w:t>
      </w:r>
      <w:r w:rsidR="00201BCA">
        <w:t>obsah je i nadále náhodný</w:t>
      </w:r>
      <w:r>
        <w:t>.</w:t>
      </w:r>
      <w:r w:rsidRPr="00F727AD">
        <w:t xml:space="preserve"> </w:t>
      </w:r>
      <w:r w:rsidR="00201BCA">
        <w:t xml:space="preserve">V některých případech </w:t>
      </w:r>
      <w:r>
        <w:t xml:space="preserve">jsou loot boxy získávány </w:t>
      </w:r>
      <w:r w:rsidR="00201BCA">
        <w:t>v průběhu</w:t>
      </w:r>
      <w:r>
        <w:t xml:space="preserve"> h</w:t>
      </w:r>
      <w:r w:rsidR="00201BCA">
        <w:t>ry (např. dosažení konkrétní úrovně)</w:t>
      </w:r>
      <w:r>
        <w:t xml:space="preserve">, v jiných případech je možné si loot boxy zakoupit, ať již za herní měnu nebo reálné peníze. </w:t>
      </w:r>
    </w:p>
    <w:p w14:paraId="799C4B29" w14:textId="739905F9" w:rsidR="00AF7CB0" w:rsidRDefault="00201BCA">
      <w:r>
        <w:t>Vzhledem ke skutečnosti, že koncept loot-boxů může v některých případech naplnit definici hazardní hry, neboť v některých případech mohou být loot-boxy získány</w:t>
      </w:r>
      <w:r w:rsidR="00CE7CB2" w:rsidRPr="00F727AD">
        <w:t xml:space="preserve"> za skutečné peníze, </w:t>
      </w:r>
      <w:r>
        <w:t xml:space="preserve">přičemž </w:t>
      </w:r>
      <w:r w:rsidR="00CE7CB2" w:rsidRPr="00F727AD">
        <w:t>jejich obsah je náhodný</w:t>
      </w:r>
      <w:r>
        <w:t xml:space="preserve"> a existují možnost</w:t>
      </w:r>
      <w:r w:rsidR="00FC0539">
        <w:t>i, jak jej zpeněžit, je nutné posuzov</w:t>
      </w:r>
      <w:r w:rsidR="00AF7CB0">
        <w:t>at každý jednotlivý koncept hry</w:t>
      </w:r>
      <w:r w:rsidR="00C23A60">
        <w:t xml:space="preserve"> z pohledu, zda naplňuje jednotlivé prvky hazardní hry</w:t>
      </w:r>
      <w:r w:rsidR="00AF7CB0">
        <w:t>. Zároveň je vždy nutné mít na paměti, že definiční prvek výhry, tj. v tomto případě možnost získat za obsah loot-boxu skutečné peníze, je v případě těchto her problematické identifikovat, mimo jiné proto, že ke zpeněžení může docházet na platformách třetích subjektů.</w:t>
      </w:r>
    </w:p>
    <w:p w14:paraId="2D4443DF" w14:textId="4D0B7BDE" w:rsidR="00CE7CB2" w:rsidRPr="00CC4621" w:rsidRDefault="00AF7CB0">
      <w:r>
        <w:t>Z výše uvedeného je zřejm</w:t>
      </w:r>
      <w:r w:rsidR="00713A0E">
        <w:t>é, že koncept loot-boxů</w:t>
      </w:r>
      <w:r w:rsidR="008265C3">
        <w:t xml:space="preserve"> se vyskytuje ve více formách a </w:t>
      </w:r>
      <w:r w:rsidR="00713A0E">
        <w:t>jedná se o poměrně</w:t>
      </w:r>
      <w:r w:rsidR="00CE7CB2">
        <w:t xml:space="preserve"> problematickou oblast nejen z hlediska ochrany </w:t>
      </w:r>
      <w:r w:rsidR="00B45123">
        <w:t xml:space="preserve">účastníků hazardní hry </w:t>
      </w:r>
      <w:r w:rsidR="00CE7CB2">
        <w:t xml:space="preserve">videoher obecně, ale i </w:t>
      </w:r>
      <w:r w:rsidR="00394FF9">
        <w:t xml:space="preserve">z hlediska </w:t>
      </w:r>
      <w:r w:rsidR="00CE7CB2">
        <w:t>velké</w:t>
      </w:r>
      <w:r w:rsidR="00394FF9">
        <w:t>ho</w:t>
      </w:r>
      <w:r w:rsidR="00CE7CB2">
        <w:t xml:space="preserve"> zastoupení </w:t>
      </w:r>
      <w:r w:rsidR="008F6F68">
        <w:t>účastníků hazardní hry</w:t>
      </w:r>
      <w:r w:rsidR="00CE7CB2">
        <w:t xml:space="preserve"> videoher mladších 18 let.</w:t>
      </w:r>
      <w:r w:rsidR="00CE7CB2">
        <w:rPr>
          <w:rStyle w:val="Znakapoznpodarou"/>
          <w:rFonts w:cs="Arial"/>
        </w:rPr>
        <w:footnoteReference w:id="45"/>
      </w:r>
      <w:r w:rsidR="00CE7CB2">
        <w:t xml:space="preserve"> Problematika loot boxů je intenzivně řešena</w:t>
      </w:r>
      <w:r w:rsidR="00713A0E">
        <w:t xml:space="preserve"> i v rámci ostatních členských států Evropské unie</w:t>
      </w:r>
      <w:r w:rsidR="00713A0E">
        <w:rPr>
          <w:rStyle w:val="Znakapoznpodarou"/>
          <w:rFonts w:cs="Arial"/>
        </w:rPr>
        <w:footnoteReference w:id="46"/>
      </w:r>
      <w:r w:rsidR="00713A0E">
        <w:t>, n</w:t>
      </w:r>
      <w:r w:rsidR="00CE7CB2">
        <w:t xml:space="preserve">a úrovni </w:t>
      </w:r>
      <w:r w:rsidR="00713A0E">
        <w:t xml:space="preserve">platformy </w:t>
      </w:r>
      <w:r w:rsidR="00CE7CB2" w:rsidRPr="00D36F98">
        <w:t>Gaming Regulators European Forum</w:t>
      </w:r>
      <w:r w:rsidR="006B4A87">
        <w:rPr>
          <w:rStyle w:val="Znakapoznpodarou"/>
        </w:rPr>
        <w:footnoteReference w:id="47"/>
      </w:r>
      <w:r w:rsidR="008265C3">
        <w:t xml:space="preserve"> a i </w:t>
      </w:r>
      <w:r w:rsidR="006B4A87">
        <w:t>samotné Evropské Unie</w:t>
      </w:r>
      <w:r w:rsidR="006B4A87">
        <w:rPr>
          <w:rStyle w:val="Znakapoznpodarou"/>
        </w:rPr>
        <w:footnoteReference w:id="48"/>
      </w:r>
      <w:r w:rsidR="0072328B">
        <w:t xml:space="preserve">. Vzhledem ke skutečnosti, že problematika loot-boxů se neomezuje na oblast provozování hazardních her, naopak často definiční znaky hazardních her absentují, bylo by vhodné doporučit tuto oblast k další analýze </w:t>
      </w:r>
      <w:r w:rsidR="0009517E">
        <w:t xml:space="preserve">i </w:t>
      </w:r>
      <w:r w:rsidR="0072328B">
        <w:t>ostatním relevantním subjektům</w:t>
      </w:r>
      <w:r w:rsidR="0072328B">
        <w:rPr>
          <w:rStyle w:val="Znakapoznpodarou"/>
        </w:rPr>
        <w:footnoteReference w:id="49"/>
      </w:r>
      <w:r w:rsidR="0072328B">
        <w:t>.</w:t>
      </w:r>
    </w:p>
    <w:p w14:paraId="13C2F202" w14:textId="77777777" w:rsidR="00CE7CB2" w:rsidRPr="00030410" w:rsidRDefault="00CE7CB2" w:rsidP="003D2CF6">
      <w:pPr>
        <w:pStyle w:val="Nadpis6"/>
      </w:pPr>
      <w:bookmarkStart w:id="94" w:name="_Toc73611647"/>
      <w:r>
        <w:t>Mikrotranskace (mikroplatby)</w:t>
      </w:r>
      <w:bookmarkEnd w:id="94"/>
      <w:r>
        <w:t xml:space="preserve"> </w:t>
      </w:r>
      <w:r w:rsidRPr="00030410">
        <w:t xml:space="preserve">  </w:t>
      </w:r>
    </w:p>
    <w:p w14:paraId="7CB9338F" w14:textId="200183BA" w:rsidR="0072328B" w:rsidRDefault="00CE7CB2" w:rsidP="000E7750">
      <w:r w:rsidRPr="00A86A18">
        <w:t xml:space="preserve">Mikrotransakce je označení pro </w:t>
      </w:r>
      <w:hyperlink r:id="rId20" w:tooltip="Finanční transakce" w:history="1">
        <w:r w:rsidRPr="00A86A18">
          <w:t>finanční transakce</w:t>
        </w:r>
      </w:hyperlink>
      <w:r w:rsidRPr="00A86A18">
        <w:t xml:space="preserve"> s malými obnosy. Termín se</w:t>
      </w:r>
      <w:r w:rsidR="004C5BF5">
        <w:t> </w:t>
      </w:r>
      <w:r w:rsidRPr="00A86A18">
        <w:t xml:space="preserve">používá zejména pro platby na </w:t>
      </w:r>
      <w:hyperlink r:id="rId21" w:tooltip="Internet" w:history="1">
        <w:r>
          <w:t>i</w:t>
        </w:r>
        <w:r w:rsidRPr="00A86A18">
          <w:t>nternetu</w:t>
        </w:r>
      </w:hyperlink>
      <w:r w:rsidRPr="00A86A18">
        <w:t xml:space="preserve"> a </w:t>
      </w:r>
      <w:r w:rsidR="0072328B">
        <w:t xml:space="preserve">velikost platby </w:t>
      </w:r>
      <w:r w:rsidRPr="00A86A18">
        <w:t xml:space="preserve">je vnímána </w:t>
      </w:r>
      <w:r w:rsidR="0072328B">
        <w:t>odlišně napříč jednotlivými subjekty.</w:t>
      </w:r>
      <w:r w:rsidRPr="00A86A18">
        <w:t xml:space="preserve"> Například </w:t>
      </w:r>
      <w:hyperlink r:id="rId22" w:tooltip="PayPal" w:history="1">
        <w:r w:rsidRPr="00A86A18">
          <w:t>PayPal</w:t>
        </w:r>
      </w:hyperlink>
      <w:r w:rsidRPr="00A86A18">
        <w:t xml:space="preserve"> označuje jak</w:t>
      </w:r>
      <w:r w:rsidR="00F576AE">
        <w:t>o mikroplatby platby do výše 12 </w:t>
      </w:r>
      <w:hyperlink r:id="rId23" w:tooltip="Americký dolar" w:history="1">
        <w:r w:rsidRPr="00A86A18">
          <w:t>amerických dolarů</w:t>
        </w:r>
      </w:hyperlink>
      <w:r w:rsidRPr="00A86A18">
        <w:t xml:space="preserve">, zatímco </w:t>
      </w:r>
      <w:hyperlink r:id="rId24" w:tooltip="Visa" w:history="1">
        <w:r w:rsidRPr="00A86A18">
          <w:t>Visa</w:t>
        </w:r>
      </w:hyperlink>
      <w:r w:rsidRPr="00A86A18">
        <w:t xml:space="preserve"> rozumí mikroplatbami platby do výše 20 dolarů. </w:t>
      </w:r>
    </w:p>
    <w:p w14:paraId="5AEF456A" w14:textId="6E4F0522" w:rsidR="00CE7CB2" w:rsidRPr="00A86A18" w:rsidRDefault="0072328B" w:rsidP="000E7750">
      <w:r>
        <w:t xml:space="preserve">Problematika mikroplateb se často diskutuje v souvislosti s provozováním videoher nebo social gaming her, kdy je upozorňováno na </w:t>
      </w:r>
      <w:r w:rsidR="00306054">
        <w:t xml:space="preserve">negativní dopady zejména na osoby mladší 18 let, popř. další osoby. </w:t>
      </w:r>
      <w:r w:rsidR="00CE7CB2">
        <w:t xml:space="preserve">Z pohledu zákona o hazardních hrách </w:t>
      </w:r>
      <w:r w:rsidR="00306054">
        <w:t xml:space="preserve">však mikrotransakce, jakkoli mohou být rizikové zejména v souvislosti s videohrami nebo social gaming hrami, nenaplňují definici </w:t>
      </w:r>
      <w:r w:rsidR="00CE7CB2">
        <w:t>hazardní hr</w:t>
      </w:r>
      <w:r w:rsidR="00306054">
        <w:t xml:space="preserve">y, </w:t>
      </w:r>
      <w:r w:rsidR="008265C3">
        <w:t>nicméně</w:t>
      </w:r>
      <w:r w:rsidR="00306054" w:rsidRPr="00306054">
        <w:t xml:space="preserve"> </w:t>
      </w:r>
      <w:r w:rsidR="008265C3">
        <w:t xml:space="preserve">by </w:t>
      </w:r>
      <w:r w:rsidR="00306054">
        <w:t>bylo vhodné doporučit tuto oblast k další analýze ostatním relevantním subjektům</w:t>
      </w:r>
      <w:r w:rsidR="00306054">
        <w:rPr>
          <w:rStyle w:val="Znakapoznpodarou"/>
        </w:rPr>
        <w:footnoteReference w:id="50"/>
      </w:r>
      <w:r w:rsidR="00306054">
        <w:t>.</w:t>
      </w:r>
    </w:p>
    <w:p w14:paraId="036BD899" w14:textId="77777777" w:rsidR="00CE7CB2" w:rsidRPr="006F1350" w:rsidRDefault="00CE7CB2" w:rsidP="003D2CF6">
      <w:pPr>
        <w:pStyle w:val="Nadpis6"/>
      </w:pPr>
      <w:bookmarkStart w:id="95" w:name="_Toc73611648"/>
      <w:r>
        <w:lastRenderedPageBreak/>
        <w:t>S</w:t>
      </w:r>
      <w:r w:rsidRPr="006F1350">
        <w:t>kin gambling/skin betting</w:t>
      </w:r>
      <w:bookmarkEnd w:id="95"/>
    </w:p>
    <w:p w14:paraId="6B216FF6" w14:textId="625903F4" w:rsidR="006B4A87" w:rsidRDefault="00CE7CB2" w:rsidP="000E7750">
      <w:r w:rsidRPr="00183C41">
        <w:t xml:space="preserve">Skin gambling </w:t>
      </w:r>
      <w:r w:rsidR="00306054">
        <w:t>je označ</w:t>
      </w:r>
      <w:r w:rsidR="008265C3">
        <w:t>e</w:t>
      </w:r>
      <w:r w:rsidR="00306054">
        <w:t xml:space="preserve">ní pro </w:t>
      </w:r>
      <w:r w:rsidRPr="00183C41">
        <w:t xml:space="preserve">používání tzv. „skins“ </w:t>
      </w:r>
      <w:r w:rsidR="00306054">
        <w:t xml:space="preserve">(vizuálních vylepšení nejčastěji získaných ve videohrách) </w:t>
      </w:r>
      <w:r w:rsidRPr="00183C41">
        <w:t>jako virtuální měny k</w:t>
      </w:r>
      <w:r w:rsidR="00306054">
        <w:t> </w:t>
      </w:r>
      <w:r w:rsidRPr="00183C41">
        <w:t>sázení</w:t>
      </w:r>
      <w:r w:rsidR="00306054">
        <w:t xml:space="preserve"> </w:t>
      </w:r>
      <w:r w:rsidR="00841290">
        <w:t>(</w:t>
      </w:r>
      <w:r w:rsidR="00306054">
        <w:t>často v rámci těchto her</w:t>
      </w:r>
      <w:r w:rsidR="00841290">
        <w:t>)</w:t>
      </w:r>
      <w:r w:rsidR="00306054">
        <w:t xml:space="preserve">. </w:t>
      </w:r>
      <w:r w:rsidR="00841290">
        <w:t>E</w:t>
      </w:r>
      <w:r>
        <w:t>xistují</w:t>
      </w:r>
      <w:r w:rsidR="00841290">
        <w:t xml:space="preserve"> však</w:t>
      </w:r>
      <w:r w:rsidR="00306054">
        <w:t xml:space="preserve"> i</w:t>
      </w:r>
      <w:r>
        <w:t xml:space="preserve"> internetová kasina, kde je možné používat „skins“ jako virtuální měnu, kterou lze použít jako vklad do hazardní hry (např. </w:t>
      </w:r>
      <w:hyperlink r:id="rId25" w:history="1">
        <w:r w:rsidRPr="00290EAD">
          <w:t>https://gamdom.com/</w:t>
        </w:r>
      </w:hyperlink>
      <w:r w:rsidRPr="00290EAD">
        <w:t>)</w:t>
      </w:r>
      <w:r>
        <w:t>.</w:t>
      </w:r>
      <w:r w:rsidR="00306054">
        <w:t xml:space="preserve"> Obdobně jako v případě loot-boxů samotných</w:t>
      </w:r>
      <w:r w:rsidR="00841290">
        <w:t>,</w:t>
      </w:r>
      <w:r w:rsidR="00306054">
        <w:t xml:space="preserve"> je nutné zhodnotit, zda konkrétní hra naplňuje znaky hazardní hry,</w:t>
      </w:r>
      <w:r w:rsidR="00841290">
        <w:t xml:space="preserve"> např.</w:t>
      </w:r>
      <w:r w:rsidR="00306054">
        <w:t xml:space="preserve"> zda případnou výhru, které bylo na základě sázky ve formě „skin“ dosaženo</w:t>
      </w:r>
      <w:r w:rsidR="00EA551A">
        <w:t xml:space="preserve">, je možné vyplatit ve skutečných penězích. V opačném případě </w:t>
      </w:r>
      <w:r w:rsidR="007307EC">
        <w:t>by bylo</w:t>
      </w:r>
      <w:r w:rsidR="00EA551A">
        <w:t xml:space="preserve"> vhodné doporučit tuto oblast k další analýze ostatním relevantním subjektům</w:t>
      </w:r>
      <w:r w:rsidR="00EA551A">
        <w:rPr>
          <w:rStyle w:val="Znakapoznpodarou"/>
        </w:rPr>
        <w:footnoteReference w:id="51"/>
      </w:r>
      <w:r w:rsidR="00EA551A">
        <w:t>.</w:t>
      </w:r>
    </w:p>
    <w:p w14:paraId="59CDABE1" w14:textId="77777777" w:rsidR="007F7CF7" w:rsidRDefault="007F7CF7">
      <w:pPr>
        <w:spacing w:line="259" w:lineRule="auto"/>
        <w:jc w:val="left"/>
        <w:rPr>
          <w:rFonts w:eastAsiaTheme="majorEastAsia" w:cstheme="majorBidi"/>
          <w:b/>
          <w:sz w:val="36"/>
          <w:szCs w:val="26"/>
        </w:rPr>
      </w:pPr>
      <w:r>
        <w:br w:type="page"/>
      </w:r>
    </w:p>
    <w:p w14:paraId="28E31F13" w14:textId="48936670" w:rsidR="006B4A87" w:rsidRDefault="0046620B" w:rsidP="0046620B">
      <w:pPr>
        <w:pStyle w:val="Nadpis2"/>
      </w:pPr>
      <w:bookmarkStart w:id="96" w:name="_Toc73611649"/>
      <w:r>
        <w:lastRenderedPageBreak/>
        <w:t>Seznam tabulek, obrázků a grafů</w:t>
      </w:r>
      <w:bookmarkEnd w:id="96"/>
    </w:p>
    <w:p w14:paraId="7F8807EB" w14:textId="23562798" w:rsidR="0046620B" w:rsidRDefault="0046620B" w:rsidP="0046620B">
      <w:pPr>
        <w:pStyle w:val="Nadpis3"/>
      </w:pPr>
      <w:bookmarkStart w:id="97" w:name="_Toc73611650"/>
      <w:r>
        <w:t>Obrázky</w:t>
      </w:r>
      <w:bookmarkEnd w:id="97"/>
    </w:p>
    <w:p w14:paraId="74545C90" w14:textId="35C18CB9" w:rsidR="0046620B" w:rsidRPr="0046620B" w:rsidRDefault="0046620B">
      <w:pPr>
        <w:pStyle w:val="Seznamobrzk"/>
        <w:tabs>
          <w:tab w:val="right" w:leader="dot" w:pos="9062"/>
        </w:tabs>
        <w:rPr>
          <w:noProof/>
        </w:rPr>
      </w:pPr>
      <w:r w:rsidRPr="0046620B">
        <w:fldChar w:fldCharType="begin"/>
      </w:r>
      <w:r w:rsidRPr="0046620B">
        <w:instrText xml:space="preserve"> TOC \h \z \c "Obrázek č. " </w:instrText>
      </w:r>
      <w:r w:rsidRPr="0046620B">
        <w:fldChar w:fldCharType="separate"/>
      </w:r>
      <w:hyperlink w:anchor="_Toc73521668" w:history="1">
        <w:r w:rsidRPr="0046620B">
          <w:rPr>
            <w:rStyle w:val="Hypertextovodkaz"/>
            <w:noProof/>
          </w:rPr>
          <w:t>Obrázek č. 1: Ukázka virtuálního sportu</w:t>
        </w:r>
        <w:r w:rsidRPr="0046620B">
          <w:rPr>
            <w:noProof/>
            <w:webHidden/>
          </w:rPr>
          <w:tab/>
        </w:r>
        <w:r w:rsidRPr="0046620B">
          <w:rPr>
            <w:noProof/>
            <w:webHidden/>
          </w:rPr>
          <w:fldChar w:fldCharType="begin"/>
        </w:r>
        <w:r w:rsidRPr="0046620B">
          <w:rPr>
            <w:noProof/>
            <w:webHidden/>
          </w:rPr>
          <w:instrText xml:space="preserve"> PAGEREF _Toc73521668 \h </w:instrText>
        </w:r>
        <w:r w:rsidRPr="0046620B">
          <w:rPr>
            <w:noProof/>
            <w:webHidden/>
          </w:rPr>
        </w:r>
        <w:r w:rsidRPr="0046620B">
          <w:rPr>
            <w:noProof/>
            <w:webHidden/>
          </w:rPr>
          <w:fldChar w:fldCharType="separate"/>
        </w:r>
        <w:r w:rsidRPr="0046620B">
          <w:rPr>
            <w:noProof/>
            <w:webHidden/>
          </w:rPr>
          <w:t>59</w:t>
        </w:r>
        <w:r w:rsidRPr="0046620B">
          <w:rPr>
            <w:noProof/>
            <w:webHidden/>
          </w:rPr>
          <w:fldChar w:fldCharType="end"/>
        </w:r>
      </w:hyperlink>
    </w:p>
    <w:p w14:paraId="6370095B" w14:textId="34CA694A" w:rsidR="0046620B" w:rsidRPr="0046620B" w:rsidRDefault="00A70360">
      <w:pPr>
        <w:pStyle w:val="Seznamobrzk"/>
        <w:tabs>
          <w:tab w:val="right" w:leader="dot" w:pos="9062"/>
        </w:tabs>
        <w:rPr>
          <w:noProof/>
        </w:rPr>
      </w:pPr>
      <w:hyperlink w:anchor="_Toc73521669" w:history="1">
        <w:r w:rsidR="0046620B" w:rsidRPr="0046620B">
          <w:rPr>
            <w:rStyle w:val="Hypertextovodkaz"/>
            <w:noProof/>
          </w:rPr>
          <w:t>Obrázek č. 2: Ukázka virtuálního sportu</w:t>
        </w:r>
        <w:r w:rsidR="0046620B" w:rsidRPr="0046620B">
          <w:rPr>
            <w:noProof/>
            <w:webHidden/>
          </w:rPr>
          <w:tab/>
        </w:r>
        <w:r w:rsidR="0046620B" w:rsidRPr="0046620B">
          <w:rPr>
            <w:noProof/>
            <w:webHidden/>
          </w:rPr>
          <w:fldChar w:fldCharType="begin"/>
        </w:r>
        <w:r w:rsidR="0046620B" w:rsidRPr="0046620B">
          <w:rPr>
            <w:noProof/>
            <w:webHidden/>
          </w:rPr>
          <w:instrText xml:space="preserve"> PAGEREF _Toc73521669 \h </w:instrText>
        </w:r>
        <w:r w:rsidR="0046620B" w:rsidRPr="0046620B">
          <w:rPr>
            <w:noProof/>
            <w:webHidden/>
          </w:rPr>
        </w:r>
        <w:r w:rsidR="0046620B" w:rsidRPr="0046620B">
          <w:rPr>
            <w:noProof/>
            <w:webHidden/>
          </w:rPr>
          <w:fldChar w:fldCharType="separate"/>
        </w:r>
        <w:r w:rsidR="0046620B" w:rsidRPr="0046620B">
          <w:rPr>
            <w:noProof/>
            <w:webHidden/>
          </w:rPr>
          <w:t>59</w:t>
        </w:r>
        <w:r w:rsidR="0046620B" w:rsidRPr="0046620B">
          <w:rPr>
            <w:noProof/>
            <w:webHidden/>
          </w:rPr>
          <w:fldChar w:fldCharType="end"/>
        </w:r>
      </w:hyperlink>
    </w:p>
    <w:p w14:paraId="5C23CA70" w14:textId="53A2B2D0" w:rsidR="0046620B" w:rsidRPr="0046620B" w:rsidRDefault="00A70360">
      <w:pPr>
        <w:pStyle w:val="Seznamobrzk"/>
        <w:tabs>
          <w:tab w:val="right" w:leader="dot" w:pos="9062"/>
        </w:tabs>
        <w:rPr>
          <w:noProof/>
        </w:rPr>
      </w:pPr>
      <w:hyperlink w:anchor="_Toc73521670" w:history="1">
        <w:r w:rsidR="0046620B" w:rsidRPr="0046620B">
          <w:rPr>
            <w:rStyle w:val="Hypertextovodkaz"/>
            <w:noProof/>
          </w:rPr>
          <w:t>Obrázek č. 3: Ukázka virtuálního sportu</w:t>
        </w:r>
        <w:r w:rsidR="0046620B" w:rsidRPr="0046620B">
          <w:rPr>
            <w:noProof/>
            <w:webHidden/>
          </w:rPr>
          <w:tab/>
        </w:r>
        <w:r w:rsidR="0046620B" w:rsidRPr="0046620B">
          <w:rPr>
            <w:noProof/>
            <w:webHidden/>
          </w:rPr>
          <w:fldChar w:fldCharType="begin"/>
        </w:r>
        <w:r w:rsidR="0046620B" w:rsidRPr="0046620B">
          <w:rPr>
            <w:noProof/>
            <w:webHidden/>
          </w:rPr>
          <w:instrText xml:space="preserve"> PAGEREF _Toc73521670 \h </w:instrText>
        </w:r>
        <w:r w:rsidR="0046620B" w:rsidRPr="0046620B">
          <w:rPr>
            <w:noProof/>
            <w:webHidden/>
          </w:rPr>
        </w:r>
        <w:r w:rsidR="0046620B" w:rsidRPr="0046620B">
          <w:rPr>
            <w:noProof/>
            <w:webHidden/>
          </w:rPr>
          <w:fldChar w:fldCharType="separate"/>
        </w:r>
        <w:r w:rsidR="0046620B" w:rsidRPr="0046620B">
          <w:rPr>
            <w:noProof/>
            <w:webHidden/>
          </w:rPr>
          <w:t>59</w:t>
        </w:r>
        <w:r w:rsidR="0046620B" w:rsidRPr="0046620B">
          <w:rPr>
            <w:noProof/>
            <w:webHidden/>
          </w:rPr>
          <w:fldChar w:fldCharType="end"/>
        </w:r>
      </w:hyperlink>
    </w:p>
    <w:p w14:paraId="641A177B" w14:textId="6C320C32" w:rsidR="0046620B" w:rsidRPr="0046620B" w:rsidRDefault="00A70360">
      <w:pPr>
        <w:pStyle w:val="Seznamobrzk"/>
        <w:tabs>
          <w:tab w:val="right" w:leader="dot" w:pos="9062"/>
        </w:tabs>
        <w:rPr>
          <w:noProof/>
        </w:rPr>
      </w:pPr>
      <w:hyperlink w:anchor="_Toc73521671" w:history="1">
        <w:r w:rsidR="0046620B">
          <w:rPr>
            <w:rStyle w:val="Hypertextovodkaz"/>
            <w:noProof/>
          </w:rPr>
          <w:t xml:space="preserve">Obrázek č. </w:t>
        </w:r>
        <w:r w:rsidR="0046620B" w:rsidRPr="0046620B">
          <w:rPr>
            <w:rStyle w:val="Hypertextovodkaz"/>
            <w:noProof/>
          </w:rPr>
          <w:t>4: Ukázka sociálního hraní</w:t>
        </w:r>
        <w:r w:rsidR="0046620B" w:rsidRPr="0046620B">
          <w:rPr>
            <w:noProof/>
            <w:webHidden/>
          </w:rPr>
          <w:tab/>
        </w:r>
        <w:r w:rsidR="0046620B" w:rsidRPr="0046620B">
          <w:rPr>
            <w:noProof/>
            <w:webHidden/>
          </w:rPr>
          <w:fldChar w:fldCharType="begin"/>
        </w:r>
        <w:r w:rsidR="0046620B" w:rsidRPr="0046620B">
          <w:rPr>
            <w:noProof/>
            <w:webHidden/>
          </w:rPr>
          <w:instrText xml:space="preserve"> PAGEREF _Toc73521671 \h </w:instrText>
        </w:r>
        <w:r w:rsidR="0046620B" w:rsidRPr="0046620B">
          <w:rPr>
            <w:noProof/>
            <w:webHidden/>
          </w:rPr>
        </w:r>
        <w:r w:rsidR="0046620B" w:rsidRPr="0046620B">
          <w:rPr>
            <w:noProof/>
            <w:webHidden/>
          </w:rPr>
          <w:fldChar w:fldCharType="separate"/>
        </w:r>
        <w:r w:rsidR="0046620B" w:rsidRPr="0046620B">
          <w:rPr>
            <w:noProof/>
            <w:webHidden/>
          </w:rPr>
          <w:t>61</w:t>
        </w:r>
        <w:r w:rsidR="0046620B" w:rsidRPr="0046620B">
          <w:rPr>
            <w:noProof/>
            <w:webHidden/>
          </w:rPr>
          <w:fldChar w:fldCharType="end"/>
        </w:r>
      </w:hyperlink>
    </w:p>
    <w:p w14:paraId="5803BFFF" w14:textId="32FF1FF0" w:rsidR="0046620B" w:rsidRPr="0046620B" w:rsidRDefault="00A70360">
      <w:pPr>
        <w:pStyle w:val="Seznamobrzk"/>
        <w:tabs>
          <w:tab w:val="right" w:leader="dot" w:pos="9062"/>
        </w:tabs>
        <w:rPr>
          <w:noProof/>
        </w:rPr>
      </w:pPr>
      <w:hyperlink w:anchor="_Toc73521672" w:history="1">
        <w:r w:rsidR="0046620B" w:rsidRPr="0046620B">
          <w:rPr>
            <w:rStyle w:val="Hypertextovodkaz"/>
            <w:noProof/>
          </w:rPr>
          <w:t>Obrázek č. 5: Ukázka sociálního hraní</w:t>
        </w:r>
        <w:r w:rsidR="0046620B" w:rsidRPr="0046620B">
          <w:rPr>
            <w:noProof/>
            <w:webHidden/>
          </w:rPr>
          <w:tab/>
        </w:r>
        <w:r w:rsidR="0046620B" w:rsidRPr="0046620B">
          <w:rPr>
            <w:noProof/>
            <w:webHidden/>
          </w:rPr>
          <w:fldChar w:fldCharType="begin"/>
        </w:r>
        <w:r w:rsidR="0046620B" w:rsidRPr="0046620B">
          <w:rPr>
            <w:noProof/>
            <w:webHidden/>
          </w:rPr>
          <w:instrText xml:space="preserve"> PAGEREF _Toc73521672 \h </w:instrText>
        </w:r>
        <w:r w:rsidR="0046620B" w:rsidRPr="0046620B">
          <w:rPr>
            <w:noProof/>
            <w:webHidden/>
          </w:rPr>
        </w:r>
        <w:r w:rsidR="0046620B" w:rsidRPr="0046620B">
          <w:rPr>
            <w:noProof/>
            <w:webHidden/>
          </w:rPr>
          <w:fldChar w:fldCharType="separate"/>
        </w:r>
        <w:r w:rsidR="0046620B" w:rsidRPr="0046620B">
          <w:rPr>
            <w:noProof/>
            <w:webHidden/>
          </w:rPr>
          <w:t>61</w:t>
        </w:r>
        <w:r w:rsidR="0046620B" w:rsidRPr="0046620B">
          <w:rPr>
            <w:noProof/>
            <w:webHidden/>
          </w:rPr>
          <w:fldChar w:fldCharType="end"/>
        </w:r>
      </w:hyperlink>
    </w:p>
    <w:p w14:paraId="2ECCE16B" w14:textId="4CD15E5D" w:rsidR="0046620B" w:rsidRDefault="0046620B" w:rsidP="0046620B">
      <w:r w:rsidRPr="0046620B">
        <w:fldChar w:fldCharType="end"/>
      </w:r>
    </w:p>
    <w:p w14:paraId="171DF7B9" w14:textId="416862AF" w:rsidR="0046620B" w:rsidRDefault="0046620B" w:rsidP="0046620B">
      <w:pPr>
        <w:pStyle w:val="Nadpis3"/>
      </w:pPr>
      <w:bookmarkStart w:id="98" w:name="_Toc73611651"/>
      <w:r>
        <w:t>Grafy</w:t>
      </w:r>
      <w:bookmarkEnd w:id="98"/>
    </w:p>
    <w:p w14:paraId="57FA14FB" w14:textId="0F059EA3" w:rsidR="0046620B" w:rsidRPr="0046620B" w:rsidRDefault="0046620B">
      <w:pPr>
        <w:pStyle w:val="Seznamobrzk"/>
        <w:tabs>
          <w:tab w:val="right" w:leader="dot" w:pos="9062"/>
        </w:tabs>
        <w:rPr>
          <w:rFonts w:asciiTheme="minorHAnsi" w:eastAsiaTheme="minorEastAsia" w:hAnsiTheme="minorHAnsi"/>
          <w:noProof/>
          <w:sz w:val="22"/>
          <w:lang w:eastAsia="cs-CZ"/>
        </w:rPr>
      </w:pPr>
      <w:r>
        <w:fldChar w:fldCharType="begin"/>
      </w:r>
      <w:r>
        <w:instrText xml:space="preserve"> TOC \h \z \c "Graf č." </w:instrText>
      </w:r>
      <w:r>
        <w:fldChar w:fldCharType="separate"/>
      </w:r>
      <w:hyperlink w:anchor="_Toc73521726" w:history="1">
        <w:r w:rsidRPr="0046620B">
          <w:rPr>
            <w:rStyle w:val="Hypertextovodkaz"/>
            <w:noProof/>
          </w:rPr>
          <w:t>Graf č. 1: Uzavřené sázky na technickou hru v hernách v období 1. 10. – 31. 10. 2019</w:t>
        </w:r>
        <w:r w:rsidRPr="0046620B">
          <w:rPr>
            <w:noProof/>
            <w:webHidden/>
          </w:rPr>
          <w:tab/>
        </w:r>
        <w:r w:rsidRPr="0046620B">
          <w:rPr>
            <w:noProof/>
            <w:webHidden/>
          </w:rPr>
          <w:fldChar w:fldCharType="begin"/>
        </w:r>
        <w:r w:rsidRPr="0046620B">
          <w:rPr>
            <w:noProof/>
            <w:webHidden/>
          </w:rPr>
          <w:instrText xml:space="preserve"> PAGEREF _Toc73521726 \h </w:instrText>
        </w:r>
        <w:r w:rsidRPr="0046620B">
          <w:rPr>
            <w:noProof/>
            <w:webHidden/>
          </w:rPr>
        </w:r>
        <w:r w:rsidRPr="0046620B">
          <w:rPr>
            <w:noProof/>
            <w:webHidden/>
          </w:rPr>
          <w:fldChar w:fldCharType="separate"/>
        </w:r>
        <w:r w:rsidRPr="0046620B">
          <w:rPr>
            <w:noProof/>
            <w:webHidden/>
          </w:rPr>
          <w:t>33</w:t>
        </w:r>
        <w:r w:rsidRPr="0046620B">
          <w:rPr>
            <w:noProof/>
            <w:webHidden/>
          </w:rPr>
          <w:fldChar w:fldCharType="end"/>
        </w:r>
      </w:hyperlink>
    </w:p>
    <w:p w14:paraId="3003C1FE" w14:textId="0003C63B" w:rsidR="0046620B" w:rsidRPr="0046620B" w:rsidRDefault="00A70360">
      <w:pPr>
        <w:pStyle w:val="Seznamobrzk"/>
        <w:tabs>
          <w:tab w:val="right" w:leader="dot" w:pos="9062"/>
        </w:tabs>
        <w:rPr>
          <w:rFonts w:asciiTheme="minorHAnsi" w:eastAsiaTheme="minorEastAsia" w:hAnsiTheme="minorHAnsi"/>
          <w:noProof/>
          <w:sz w:val="22"/>
          <w:lang w:eastAsia="cs-CZ"/>
        </w:rPr>
      </w:pPr>
      <w:hyperlink w:anchor="_Toc73521727" w:history="1">
        <w:r w:rsidR="0046620B" w:rsidRPr="0046620B">
          <w:rPr>
            <w:rStyle w:val="Hypertextovodkaz"/>
            <w:noProof/>
          </w:rPr>
          <w:t>Graf č. 2: Uzavřené sázky na technickou hru v kasinech v období 1. 10. – 31. 10. 2019</w:t>
        </w:r>
        <w:r w:rsidR="0046620B" w:rsidRPr="0046620B">
          <w:rPr>
            <w:noProof/>
            <w:webHidden/>
          </w:rPr>
          <w:tab/>
        </w:r>
        <w:r w:rsidR="0046620B" w:rsidRPr="0046620B">
          <w:rPr>
            <w:noProof/>
            <w:webHidden/>
          </w:rPr>
          <w:fldChar w:fldCharType="begin"/>
        </w:r>
        <w:r w:rsidR="0046620B" w:rsidRPr="0046620B">
          <w:rPr>
            <w:noProof/>
            <w:webHidden/>
          </w:rPr>
          <w:instrText xml:space="preserve"> PAGEREF _Toc73521727 \h </w:instrText>
        </w:r>
        <w:r w:rsidR="0046620B" w:rsidRPr="0046620B">
          <w:rPr>
            <w:noProof/>
            <w:webHidden/>
          </w:rPr>
        </w:r>
        <w:r w:rsidR="0046620B" w:rsidRPr="0046620B">
          <w:rPr>
            <w:noProof/>
            <w:webHidden/>
          </w:rPr>
          <w:fldChar w:fldCharType="separate"/>
        </w:r>
        <w:r w:rsidR="0046620B" w:rsidRPr="0046620B">
          <w:rPr>
            <w:noProof/>
            <w:webHidden/>
          </w:rPr>
          <w:t>34</w:t>
        </w:r>
        <w:r w:rsidR="0046620B" w:rsidRPr="0046620B">
          <w:rPr>
            <w:noProof/>
            <w:webHidden/>
          </w:rPr>
          <w:fldChar w:fldCharType="end"/>
        </w:r>
      </w:hyperlink>
    </w:p>
    <w:p w14:paraId="1B36064A" w14:textId="1C3938F0" w:rsidR="0046620B" w:rsidRPr="0046620B" w:rsidRDefault="00A70360">
      <w:pPr>
        <w:pStyle w:val="Seznamobrzk"/>
        <w:tabs>
          <w:tab w:val="right" w:leader="dot" w:pos="9062"/>
        </w:tabs>
        <w:rPr>
          <w:rFonts w:asciiTheme="minorHAnsi" w:eastAsiaTheme="minorEastAsia" w:hAnsiTheme="minorHAnsi"/>
          <w:noProof/>
          <w:sz w:val="22"/>
          <w:lang w:eastAsia="cs-CZ"/>
        </w:rPr>
      </w:pPr>
      <w:hyperlink w:anchor="_Toc73521728" w:history="1">
        <w:r w:rsidR="0046620B" w:rsidRPr="0046620B">
          <w:rPr>
            <w:rStyle w:val="Hypertextovodkaz"/>
            <w:noProof/>
          </w:rPr>
          <w:t>Graf č. 3: Uzavřené sázky  u internetové technické hry v období 1. 10. – 31. 10. 2019</w:t>
        </w:r>
        <w:r w:rsidR="0046620B" w:rsidRPr="0046620B">
          <w:rPr>
            <w:noProof/>
            <w:webHidden/>
          </w:rPr>
          <w:tab/>
        </w:r>
        <w:r w:rsidR="0046620B" w:rsidRPr="0046620B">
          <w:rPr>
            <w:noProof/>
            <w:webHidden/>
          </w:rPr>
          <w:fldChar w:fldCharType="begin"/>
        </w:r>
        <w:r w:rsidR="0046620B" w:rsidRPr="0046620B">
          <w:rPr>
            <w:noProof/>
            <w:webHidden/>
          </w:rPr>
          <w:instrText xml:space="preserve"> PAGEREF _Toc73521728 \h </w:instrText>
        </w:r>
        <w:r w:rsidR="0046620B" w:rsidRPr="0046620B">
          <w:rPr>
            <w:noProof/>
            <w:webHidden/>
          </w:rPr>
        </w:r>
        <w:r w:rsidR="0046620B" w:rsidRPr="0046620B">
          <w:rPr>
            <w:noProof/>
            <w:webHidden/>
          </w:rPr>
          <w:fldChar w:fldCharType="separate"/>
        </w:r>
        <w:r w:rsidR="0046620B" w:rsidRPr="0046620B">
          <w:rPr>
            <w:noProof/>
            <w:webHidden/>
          </w:rPr>
          <w:t>35</w:t>
        </w:r>
        <w:r w:rsidR="0046620B" w:rsidRPr="0046620B">
          <w:rPr>
            <w:noProof/>
            <w:webHidden/>
          </w:rPr>
          <w:fldChar w:fldCharType="end"/>
        </w:r>
      </w:hyperlink>
    </w:p>
    <w:p w14:paraId="029C16A2" w14:textId="3127E31E" w:rsidR="0046620B" w:rsidRPr="0046620B" w:rsidRDefault="00A70360">
      <w:pPr>
        <w:pStyle w:val="Seznamobrzk"/>
        <w:tabs>
          <w:tab w:val="right" w:leader="dot" w:pos="9062"/>
        </w:tabs>
        <w:rPr>
          <w:rFonts w:asciiTheme="minorHAnsi" w:eastAsiaTheme="minorEastAsia" w:hAnsiTheme="minorHAnsi"/>
          <w:noProof/>
          <w:sz w:val="22"/>
          <w:lang w:eastAsia="cs-CZ"/>
        </w:rPr>
      </w:pPr>
      <w:hyperlink w:anchor="_Toc73521729" w:history="1">
        <w:r w:rsidR="0046620B" w:rsidRPr="0046620B">
          <w:rPr>
            <w:rStyle w:val="Hypertextovodkaz"/>
            <w:noProof/>
          </w:rPr>
          <w:t>Graf č. 4: Hodinová prohra v hernách (období od 1. 10. 2019 do 31. 10. 2019)</w:t>
        </w:r>
        <w:r w:rsidR="0046620B" w:rsidRPr="0046620B">
          <w:rPr>
            <w:noProof/>
            <w:webHidden/>
          </w:rPr>
          <w:tab/>
        </w:r>
        <w:r w:rsidR="0046620B" w:rsidRPr="0046620B">
          <w:rPr>
            <w:noProof/>
            <w:webHidden/>
          </w:rPr>
          <w:fldChar w:fldCharType="begin"/>
        </w:r>
        <w:r w:rsidR="0046620B" w:rsidRPr="0046620B">
          <w:rPr>
            <w:noProof/>
            <w:webHidden/>
          </w:rPr>
          <w:instrText xml:space="preserve"> PAGEREF _Toc73521729 \h </w:instrText>
        </w:r>
        <w:r w:rsidR="0046620B" w:rsidRPr="0046620B">
          <w:rPr>
            <w:noProof/>
            <w:webHidden/>
          </w:rPr>
        </w:r>
        <w:r w:rsidR="0046620B" w:rsidRPr="0046620B">
          <w:rPr>
            <w:noProof/>
            <w:webHidden/>
          </w:rPr>
          <w:fldChar w:fldCharType="separate"/>
        </w:r>
        <w:r w:rsidR="0046620B" w:rsidRPr="0046620B">
          <w:rPr>
            <w:noProof/>
            <w:webHidden/>
          </w:rPr>
          <w:t>43</w:t>
        </w:r>
        <w:r w:rsidR="0046620B" w:rsidRPr="0046620B">
          <w:rPr>
            <w:noProof/>
            <w:webHidden/>
          </w:rPr>
          <w:fldChar w:fldCharType="end"/>
        </w:r>
      </w:hyperlink>
    </w:p>
    <w:p w14:paraId="391CFED9" w14:textId="31381F20" w:rsidR="0046620B" w:rsidRPr="0046620B" w:rsidRDefault="00A70360">
      <w:pPr>
        <w:pStyle w:val="Seznamobrzk"/>
        <w:tabs>
          <w:tab w:val="right" w:leader="dot" w:pos="9062"/>
        </w:tabs>
        <w:rPr>
          <w:rFonts w:asciiTheme="minorHAnsi" w:eastAsiaTheme="minorEastAsia" w:hAnsiTheme="minorHAnsi"/>
          <w:noProof/>
          <w:sz w:val="22"/>
          <w:lang w:eastAsia="cs-CZ"/>
        </w:rPr>
      </w:pPr>
      <w:hyperlink w:anchor="_Toc73521730" w:history="1">
        <w:r w:rsidR="0046620B" w:rsidRPr="0046620B">
          <w:rPr>
            <w:rStyle w:val="Hypertextovodkaz"/>
            <w:noProof/>
          </w:rPr>
          <w:t>Graf č. 5: Hodinová prohra v kasinech (období od 1. 10. 2019 do 31. 10. 2019)</w:t>
        </w:r>
        <w:r w:rsidR="0046620B" w:rsidRPr="0046620B">
          <w:rPr>
            <w:noProof/>
            <w:webHidden/>
          </w:rPr>
          <w:tab/>
        </w:r>
        <w:r w:rsidR="0046620B" w:rsidRPr="0046620B">
          <w:rPr>
            <w:noProof/>
            <w:webHidden/>
          </w:rPr>
          <w:fldChar w:fldCharType="begin"/>
        </w:r>
        <w:r w:rsidR="0046620B" w:rsidRPr="0046620B">
          <w:rPr>
            <w:noProof/>
            <w:webHidden/>
          </w:rPr>
          <w:instrText xml:space="preserve"> PAGEREF _Toc73521730 \h </w:instrText>
        </w:r>
        <w:r w:rsidR="0046620B" w:rsidRPr="0046620B">
          <w:rPr>
            <w:noProof/>
            <w:webHidden/>
          </w:rPr>
        </w:r>
        <w:r w:rsidR="0046620B" w:rsidRPr="0046620B">
          <w:rPr>
            <w:noProof/>
            <w:webHidden/>
          </w:rPr>
          <w:fldChar w:fldCharType="separate"/>
        </w:r>
        <w:r w:rsidR="0046620B" w:rsidRPr="0046620B">
          <w:rPr>
            <w:noProof/>
            <w:webHidden/>
          </w:rPr>
          <w:t>44</w:t>
        </w:r>
        <w:r w:rsidR="0046620B" w:rsidRPr="0046620B">
          <w:rPr>
            <w:noProof/>
            <w:webHidden/>
          </w:rPr>
          <w:fldChar w:fldCharType="end"/>
        </w:r>
      </w:hyperlink>
    </w:p>
    <w:p w14:paraId="286994F1" w14:textId="7FA05E8C" w:rsidR="0046620B" w:rsidRPr="0046620B" w:rsidRDefault="00A70360">
      <w:pPr>
        <w:pStyle w:val="Seznamobrzk"/>
        <w:tabs>
          <w:tab w:val="right" w:leader="dot" w:pos="9062"/>
        </w:tabs>
        <w:rPr>
          <w:rFonts w:asciiTheme="minorHAnsi" w:eastAsiaTheme="minorEastAsia" w:hAnsiTheme="minorHAnsi"/>
          <w:noProof/>
          <w:sz w:val="22"/>
          <w:lang w:eastAsia="cs-CZ"/>
        </w:rPr>
      </w:pPr>
      <w:hyperlink w:anchor="_Toc73521731" w:history="1">
        <w:r w:rsidR="0046620B" w:rsidRPr="0046620B">
          <w:rPr>
            <w:rStyle w:val="Hypertextovodkaz"/>
            <w:noProof/>
          </w:rPr>
          <w:t>Graf č. 6: Hodinová prohra na internetu (období od 1. 10. 2019 do 31. 10. 2019)</w:t>
        </w:r>
        <w:r w:rsidR="0046620B" w:rsidRPr="0046620B">
          <w:rPr>
            <w:noProof/>
            <w:webHidden/>
          </w:rPr>
          <w:tab/>
        </w:r>
        <w:r w:rsidR="0046620B" w:rsidRPr="0046620B">
          <w:rPr>
            <w:noProof/>
            <w:webHidden/>
          </w:rPr>
          <w:fldChar w:fldCharType="begin"/>
        </w:r>
        <w:r w:rsidR="0046620B" w:rsidRPr="0046620B">
          <w:rPr>
            <w:noProof/>
            <w:webHidden/>
          </w:rPr>
          <w:instrText xml:space="preserve"> PAGEREF _Toc73521731 \h </w:instrText>
        </w:r>
        <w:r w:rsidR="0046620B" w:rsidRPr="0046620B">
          <w:rPr>
            <w:noProof/>
            <w:webHidden/>
          </w:rPr>
        </w:r>
        <w:r w:rsidR="0046620B" w:rsidRPr="0046620B">
          <w:rPr>
            <w:noProof/>
            <w:webHidden/>
          </w:rPr>
          <w:fldChar w:fldCharType="separate"/>
        </w:r>
        <w:r w:rsidR="0046620B" w:rsidRPr="0046620B">
          <w:rPr>
            <w:noProof/>
            <w:webHidden/>
          </w:rPr>
          <w:t>44</w:t>
        </w:r>
        <w:r w:rsidR="0046620B" w:rsidRPr="0046620B">
          <w:rPr>
            <w:noProof/>
            <w:webHidden/>
          </w:rPr>
          <w:fldChar w:fldCharType="end"/>
        </w:r>
      </w:hyperlink>
    </w:p>
    <w:p w14:paraId="319300BC" w14:textId="0C3E3E30" w:rsidR="0046620B" w:rsidRDefault="0046620B" w:rsidP="0046620B">
      <w:r>
        <w:fldChar w:fldCharType="end"/>
      </w:r>
    </w:p>
    <w:p w14:paraId="4AE4679E" w14:textId="23F69BC4" w:rsidR="00EE5275" w:rsidRDefault="00EE5275" w:rsidP="0046620B">
      <w:r>
        <w:t>Tabulky nejsou v této části zahrnuty.</w:t>
      </w:r>
    </w:p>
    <w:p w14:paraId="230BF6C9" w14:textId="511B30E9" w:rsidR="008F08FA" w:rsidRPr="008F08FA" w:rsidRDefault="00D54659" w:rsidP="008F08FA">
      <w:pPr>
        <w:pStyle w:val="Nadpis2"/>
      </w:pPr>
      <w:bookmarkStart w:id="99" w:name="_Toc73611652"/>
      <w:r>
        <w:t>Obsah</w:t>
      </w:r>
      <w:bookmarkEnd w:id="99"/>
      <w:r>
        <w:fldChar w:fldCharType="begin"/>
      </w:r>
      <w:r>
        <w:instrText xml:space="preserve"> TOC \o "1-6" \h \z \u </w:instrText>
      </w:r>
      <w:r>
        <w:fldChar w:fldCharType="separate"/>
      </w:r>
    </w:p>
    <w:p w14:paraId="1D0752F7" w14:textId="2A664292" w:rsidR="008F08FA" w:rsidRDefault="00A70360">
      <w:pPr>
        <w:pStyle w:val="Obsah2"/>
        <w:tabs>
          <w:tab w:val="left" w:pos="660"/>
          <w:tab w:val="right" w:leader="dot" w:pos="9062"/>
        </w:tabs>
        <w:rPr>
          <w:rFonts w:asciiTheme="minorHAnsi" w:eastAsiaTheme="minorEastAsia" w:hAnsiTheme="minorHAnsi"/>
          <w:noProof/>
          <w:sz w:val="22"/>
          <w:lang w:eastAsia="cs-CZ"/>
        </w:rPr>
      </w:pPr>
      <w:hyperlink w:anchor="_Toc73611566" w:history="1">
        <w:r w:rsidR="008F08FA" w:rsidRPr="009B71D6">
          <w:rPr>
            <w:rStyle w:val="Hypertextovodkaz"/>
            <w:noProof/>
          </w:rPr>
          <w:t>1</w:t>
        </w:r>
        <w:r w:rsidR="008F08FA">
          <w:rPr>
            <w:rFonts w:asciiTheme="minorHAnsi" w:eastAsiaTheme="minorEastAsia" w:hAnsiTheme="minorHAnsi"/>
            <w:noProof/>
            <w:sz w:val="22"/>
            <w:lang w:eastAsia="cs-CZ"/>
          </w:rPr>
          <w:tab/>
        </w:r>
        <w:r w:rsidR="008F08FA" w:rsidRPr="009B71D6">
          <w:rPr>
            <w:rStyle w:val="Hypertextovodkaz"/>
            <w:noProof/>
          </w:rPr>
          <w:t>Loterie</w:t>
        </w:r>
        <w:r w:rsidR="008F08FA">
          <w:rPr>
            <w:noProof/>
            <w:webHidden/>
          </w:rPr>
          <w:tab/>
        </w:r>
        <w:r w:rsidR="008F08FA">
          <w:rPr>
            <w:noProof/>
            <w:webHidden/>
          </w:rPr>
          <w:fldChar w:fldCharType="begin"/>
        </w:r>
        <w:r w:rsidR="008F08FA">
          <w:rPr>
            <w:noProof/>
            <w:webHidden/>
          </w:rPr>
          <w:instrText xml:space="preserve"> PAGEREF _Toc73611566 \h </w:instrText>
        </w:r>
        <w:r w:rsidR="008F08FA">
          <w:rPr>
            <w:noProof/>
            <w:webHidden/>
          </w:rPr>
        </w:r>
        <w:r w:rsidR="008F08FA">
          <w:rPr>
            <w:noProof/>
            <w:webHidden/>
          </w:rPr>
          <w:fldChar w:fldCharType="separate"/>
        </w:r>
        <w:r w:rsidR="008F08FA">
          <w:rPr>
            <w:noProof/>
            <w:webHidden/>
          </w:rPr>
          <w:t>1</w:t>
        </w:r>
        <w:r w:rsidR="008F08FA">
          <w:rPr>
            <w:noProof/>
            <w:webHidden/>
          </w:rPr>
          <w:fldChar w:fldCharType="end"/>
        </w:r>
      </w:hyperlink>
    </w:p>
    <w:p w14:paraId="3D068E52" w14:textId="7D65EED1"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567" w:history="1">
        <w:r w:rsidR="008F08FA" w:rsidRPr="009B71D6">
          <w:rPr>
            <w:rStyle w:val="Hypertextovodkaz"/>
            <w:noProof/>
          </w:rPr>
          <w:t>1.1</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loteriích</w:t>
        </w:r>
        <w:r w:rsidR="008F08FA">
          <w:rPr>
            <w:noProof/>
            <w:webHidden/>
          </w:rPr>
          <w:tab/>
        </w:r>
        <w:r w:rsidR="008F08FA">
          <w:rPr>
            <w:noProof/>
            <w:webHidden/>
          </w:rPr>
          <w:fldChar w:fldCharType="begin"/>
        </w:r>
        <w:r w:rsidR="008F08FA">
          <w:rPr>
            <w:noProof/>
            <w:webHidden/>
          </w:rPr>
          <w:instrText xml:space="preserve"> PAGEREF _Toc73611567 \h </w:instrText>
        </w:r>
        <w:r w:rsidR="008F08FA">
          <w:rPr>
            <w:noProof/>
            <w:webHidden/>
          </w:rPr>
        </w:r>
        <w:r w:rsidR="008F08FA">
          <w:rPr>
            <w:noProof/>
            <w:webHidden/>
          </w:rPr>
          <w:fldChar w:fldCharType="separate"/>
        </w:r>
        <w:r w:rsidR="008F08FA">
          <w:rPr>
            <w:noProof/>
            <w:webHidden/>
          </w:rPr>
          <w:t>1</w:t>
        </w:r>
        <w:r w:rsidR="008F08FA">
          <w:rPr>
            <w:noProof/>
            <w:webHidden/>
          </w:rPr>
          <w:fldChar w:fldCharType="end"/>
        </w:r>
      </w:hyperlink>
    </w:p>
    <w:p w14:paraId="3F8EA94B" w14:textId="6BD25CB6"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568" w:history="1">
        <w:r w:rsidR="008F08FA" w:rsidRPr="009B71D6">
          <w:rPr>
            <w:rStyle w:val="Hypertextovodkaz"/>
            <w:noProof/>
          </w:rPr>
          <w:t>1.2</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hazardních hrách</w:t>
        </w:r>
        <w:r w:rsidR="008F08FA">
          <w:rPr>
            <w:noProof/>
            <w:webHidden/>
          </w:rPr>
          <w:tab/>
        </w:r>
        <w:r w:rsidR="008F08FA">
          <w:rPr>
            <w:noProof/>
            <w:webHidden/>
          </w:rPr>
          <w:fldChar w:fldCharType="begin"/>
        </w:r>
        <w:r w:rsidR="008F08FA">
          <w:rPr>
            <w:noProof/>
            <w:webHidden/>
          </w:rPr>
          <w:instrText xml:space="preserve"> PAGEREF _Toc73611568 \h </w:instrText>
        </w:r>
        <w:r w:rsidR="008F08FA">
          <w:rPr>
            <w:noProof/>
            <w:webHidden/>
          </w:rPr>
        </w:r>
        <w:r w:rsidR="008F08FA">
          <w:rPr>
            <w:noProof/>
            <w:webHidden/>
          </w:rPr>
          <w:fldChar w:fldCharType="separate"/>
        </w:r>
        <w:r w:rsidR="008F08FA">
          <w:rPr>
            <w:noProof/>
            <w:webHidden/>
          </w:rPr>
          <w:t>1</w:t>
        </w:r>
        <w:r w:rsidR="008F08FA">
          <w:rPr>
            <w:noProof/>
            <w:webHidden/>
          </w:rPr>
          <w:fldChar w:fldCharType="end"/>
        </w:r>
      </w:hyperlink>
    </w:p>
    <w:p w14:paraId="5F01835A" w14:textId="381AEF66"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569" w:history="1">
        <w:r w:rsidR="008F08FA" w:rsidRPr="009B71D6">
          <w:rPr>
            <w:rStyle w:val="Hypertextovodkaz"/>
            <w:noProof/>
          </w:rPr>
          <w:t>1.3</w:t>
        </w:r>
        <w:r w:rsidR="008F08FA">
          <w:rPr>
            <w:rFonts w:asciiTheme="minorHAnsi" w:eastAsiaTheme="minorEastAsia" w:hAnsiTheme="minorHAnsi"/>
            <w:noProof/>
            <w:sz w:val="22"/>
            <w:lang w:eastAsia="cs-CZ"/>
          </w:rPr>
          <w:tab/>
        </w:r>
        <w:r w:rsidR="008F08FA" w:rsidRPr="009B71D6">
          <w:rPr>
            <w:rStyle w:val="Hypertextovodkaz"/>
            <w:noProof/>
          </w:rPr>
          <w:t>Konkrétní popis nástrojů, včetně oblastí, na které by bylo vhodné se v budoucnu zaměřit, a návrh doporučení či možných variant řešení</w:t>
        </w:r>
        <w:r w:rsidR="008F08FA">
          <w:rPr>
            <w:noProof/>
            <w:webHidden/>
          </w:rPr>
          <w:tab/>
        </w:r>
        <w:r w:rsidR="008F08FA">
          <w:rPr>
            <w:noProof/>
            <w:webHidden/>
          </w:rPr>
          <w:fldChar w:fldCharType="begin"/>
        </w:r>
        <w:r w:rsidR="008F08FA">
          <w:rPr>
            <w:noProof/>
            <w:webHidden/>
          </w:rPr>
          <w:instrText xml:space="preserve"> PAGEREF _Toc73611569 \h </w:instrText>
        </w:r>
        <w:r w:rsidR="008F08FA">
          <w:rPr>
            <w:noProof/>
            <w:webHidden/>
          </w:rPr>
        </w:r>
        <w:r w:rsidR="008F08FA">
          <w:rPr>
            <w:noProof/>
            <w:webHidden/>
          </w:rPr>
          <w:fldChar w:fldCharType="separate"/>
        </w:r>
        <w:r w:rsidR="008F08FA">
          <w:rPr>
            <w:noProof/>
            <w:webHidden/>
          </w:rPr>
          <w:t>4</w:t>
        </w:r>
        <w:r w:rsidR="008F08FA">
          <w:rPr>
            <w:noProof/>
            <w:webHidden/>
          </w:rPr>
          <w:fldChar w:fldCharType="end"/>
        </w:r>
      </w:hyperlink>
    </w:p>
    <w:p w14:paraId="5818FD1E" w14:textId="5BBD420F"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570" w:history="1">
        <w:r w:rsidR="008F08FA" w:rsidRPr="009B71D6">
          <w:rPr>
            <w:rStyle w:val="Hypertextovodkaz"/>
            <w:noProof/>
            <w14:scene3d>
              <w14:camera w14:prst="orthographicFront"/>
              <w14:lightRig w14:rig="threePt" w14:dir="t">
                <w14:rot w14:lat="0" w14:lon="0" w14:rev="0"/>
              </w14:lightRig>
            </w14:scene3d>
          </w:rPr>
          <w:t>A.</w:t>
        </w:r>
        <w:r w:rsidR="008F08FA">
          <w:rPr>
            <w:rFonts w:asciiTheme="minorHAnsi" w:eastAsiaTheme="minorEastAsia" w:hAnsiTheme="minorHAnsi"/>
            <w:noProof/>
            <w:sz w:val="22"/>
            <w:lang w:eastAsia="cs-CZ"/>
          </w:rPr>
          <w:tab/>
        </w:r>
        <w:r w:rsidR="008F08FA" w:rsidRPr="009B71D6">
          <w:rPr>
            <w:rStyle w:val="Hypertextovodkaz"/>
            <w:noProof/>
          </w:rPr>
          <w:t>Okamžité loterie</w:t>
        </w:r>
        <w:r w:rsidR="008F08FA">
          <w:rPr>
            <w:noProof/>
            <w:webHidden/>
          </w:rPr>
          <w:tab/>
        </w:r>
        <w:r w:rsidR="008F08FA">
          <w:rPr>
            <w:noProof/>
            <w:webHidden/>
          </w:rPr>
          <w:fldChar w:fldCharType="begin"/>
        </w:r>
        <w:r w:rsidR="008F08FA">
          <w:rPr>
            <w:noProof/>
            <w:webHidden/>
          </w:rPr>
          <w:instrText xml:space="preserve"> PAGEREF _Toc73611570 \h </w:instrText>
        </w:r>
        <w:r w:rsidR="008F08FA">
          <w:rPr>
            <w:noProof/>
            <w:webHidden/>
          </w:rPr>
        </w:r>
        <w:r w:rsidR="008F08FA">
          <w:rPr>
            <w:noProof/>
            <w:webHidden/>
          </w:rPr>
          <w:fldChar w:fldCharType="separate"/>
        </w:r>
        <w:r w:rsidR="008F08FA">
          <w:rPr>
            <w:noProof/>
            <w:webHidden/>
          </w:rPr>
          <w:t>4</w:t>
        </w:r>
        <w:r w:rsidR="008F08FA">
          <w:rPr>
            <w:noProof/>
            <w:webHidden/>
          </w:rPr>
          <w:fldChar w:fldCharType="end"/>
        </w:r>
      </w:hyperlink>
    </w:p>
    <w:p w14:paraId="51B3578A" w14:textId="5663AB7B"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71" w:history="1">
        <w:r w:rsidR="008F08FA" w:rsidRPr="009B71D6">
          <w:rPr>
            <w:rStyle w:val="Hypertextovodkaz"/>
            <w:rFonts w:cs="Arial"/>
            <w:noProof/>
          </w:rPr>
          <w:t>i.</w:t>
        </w:r>
        <w:r w:rsidR="008F08FA">
          <w:rPr>
            <w:rFonts w:asciiTheme="minorHAnsi" w:eastAsiaTheme="minorEastAsia" w:hAnsiTheme="minorHAnsi"/>
            <w:noProof/>
            <w:sz w:val="22"/>
            <w:lang w:eastAsia="cs-CZ"/>
          </w:rPr>
          <w:tab/>
        </w:r>
        <w:r w:rsidR="008F08FA" w:rsidRPr="009B71D6">
          <w:rPr>
            <w:rStyle w:val="Hypertextovodkaz"/>
            <w:noProof/>
          </w:rPr>
          <w:t>Problematika přesahu délky prodeje okamžité loterie přes platnost základního povolení</w:t>
        </w:r>
        <w:r w:rsidR="008F08FA">
          <w:rPr>
            <w:noProof/>
            <w:webHidden/>
          </w:rPr>
          <w:tab/>
        </w:r>
        <w:r w:rsidR="008F08FA">
          <w:rPr>
            <w:noProof/>
            <w:webHidden/>
          </w:rPr>
          <w:fldChar w:fldCharType="begin"/>
        </w:r>
        <w:r w:rsidR="008F08FA">
          <w:rPr>
            <w:noProof/>
            <w:webHidden/>
          </w:rPr>
          <w:instrText xml:space="preserve"> PAGEREF _Toc73611571 \h </w:instrText>
        </w:r>
        <w:r w:rsidR="008F08FA">
          <w:rPr>
            <w:noProof/>
            <w:webHidden/>
          </w:rPr>
        </w:r>
        <w:r w:rsidR="008F08FA">
          <w:rPr>
            <w:noProof/>
            <w:webHidden/>
          </w:rPr>
          <w:fldChar w:fldCharType="separate"/>
        </w:r>
        <w:r w:rsidR="008F08FA">
          <w:rPr>
            <w:noProof/>
            <w:webHidden/>
          </w:rPr>
          <w:t>4</w:t>
        </w:r>
        <w:r w:rsidR="008F08FA">
          <w:rPr>
            <w:noProof/>
            <w:webHidden/>
          </w:rPr>
          <w:fldChar w:fldCharType="end"/>
        </w:r>
      </w:hyperlink>
    </w:p>
    <w:p w14:paraId="68323BB2" w14:textId="7D517C48"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72" w:history="1">
        <w:r w:rsidR="008F08FA" w:rsidRPr="009B71D6">
          <w:rPr>
            <w:rStyle w:val="Hypertextovodkaz"/>
            <w:rFonts w:cs="Arial"/>
            <w:noProof/>
          </w:rPr>
          <w:t>ii.</w:t>
        </w:r>
        <w:r w:rsidR="008F08FA">
          <w:rPr>
            <w:rFonts w:asciiTheme="minorHAnsi" w:eastAsiaTheme="minorEastAsia" w:hAnsiTheme="minorHAnsi"/>
            <w:noProof/>
            <w:sz w:val="22"/>
            <w:lang w:eastAsia="cs-CZ"/>
          </w:rPr>
          <w:tab/>
        </w:r>
        <w:r w:rsidR="008F08FA" w:rsidRPr="009B71D6">
          <w:rPr>
            <w:rStyle w:val="Hypertextovodkaz"/>
            <w:noProof/>
          </w:rPr>
          <w:t>Problematika dětských motivů na losech okamžité loterie</w:t>
        </w:r>
        <w:r w:rsidR="008F08FA">
          <w:rPr>
            <w:noProof/>
            <w:webHidden/>
          </w:rPr>
          <w:tab/>
        </w:r>
        <w:r w:rsidR="008F08FA">
          <w:rPr>
            <w:noProof/>
            <w:webHidden/>
          </w:rPr>
          <w:fldChar w:fldCharType="begin"/>
        </w:r>
        <w:r w:rsidR="008F08FA">
          <w:rPr>
            <w:noProof/>
            <w:webHidden/>
          </w:rPr>
          <w:instrText xml:space="preserve"> PAGEREF _Toc73611572 \h </w:instrText>
        </w:r>
        <w:r w:rsidR="008F08FA">
          <w:rPr>
            <w:noProof/>
            <w:webHidden/>
          </w:rPr>
        </w:r>
        <w:r w:rsidR="008F08FA">
          <w:rPr>
            <w:noProof/>
            <w:webHidden/>
          </w:rPr>
          <w:fldChar w:fldCharType="separate"/>
        </w:r>
        <w:r w:rsidR="008F08FA">
          <w:rPr>
            <w:noProof/>
            <w:webHidden/>
          </w:rPr>
          <w:t>6</w:t>
        </w:r>
        <w:r w:rsidR="008F08FA">
          <w:rPr>
            <w:noProof/>
            <w:webHidden/>
          </w:rPr>
          <w:fldChar w:fldCharType="end"/>
        </w:r>
      </w:hyperlink>
    </w:p>
    <w:p w14:paraId="6A291173" w14:textId="39269A3C"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73" w:history="1">
        <w:r w:rsidR="008F08FA" w:rsidRPr="009B71D6">
          <w:rPr>
            <w:rStyle w:val="Hypertextovodkaz"/>
            <w:rFonts w:cs="Arial"/>
            <w:noProof/>
          </w:rPr>
          <w:t>iii.</w:t>
        </w:r>
        <w:r w:rsidR="008F08FA">
          <w:rPr>
            <w:rFonts w:asciiTheme="minorHAnsi" w:eastAsiaTheme="minorEastAsia" w:hAnsiTheme="minorHAnsi"/>
            <w:noProof/>
            <w:sz w:val="22"/>
            <w:lang w:eastAsia="cs-CZ"/>
          </w:rPr>
          <w:tab/>
        </w:r>
        <w:r w:rsidR="008F08FA" w:rsidRPr="009B71D6">
          <w:rPr>
            <w:rStyle w:val="Hypertextovodkaz"/>
            <w:noProof/>
          </w:rPr>
          <w:t>Zabezpečení losu (dokumentace o zabezpečení losu, sjednocení obsahu uvedeného ve výrobní specifikaci)</w:t>
        </w:r>
        <w:r w:rsidR="008F08FA">
          <w:rPr>
            <w:noProof/>
            <w:webHidden/>
          </w:rPr>
          <w:tab/>
        </w:r>
        <w:r w:rsidR="008F08FA">
          <w:rPr>
            <w:noProof/>
            <w:webHidden/>
          </w:rPr>
          <w:fldChar w:fldCharType="begin"/>
        </w:r>
        <w:r w:rsidR="008F08FA">
          <w:rPr>
            <w:noProof/>
            <w:webHidden/>
          </w:rPr>
          <w:instrText xml:space="preserve"> PAGEREF _Toc73611573 \h </w:instrText>
        </w:r>
        <w:r w:rsidR="008F08FA">
          <w:rPr>
            <w:noProof/>
            <w:webHidden/>
          </w:rPr>
        </w:r>
        <w:r w:rsidR="008F08FA">
          <w:rPr>
            <w:noProof/>
            <w:webHidden/>
          </w:rPr>
          <w:fldChar w:fldCharType="separate"/>
        </w:r>
        <w:r w:rsidR="008F08FA">
          <w:rPr>
            <w:noProof/>
            <w:webHidden/>
          </w:rPr>
          <w:t>7</w:t>
        </w:r>
        <w:r w:rsidR="008F08FA">
          <w:rPr>
            <w:noProof/>
            <w:webHidden/>
          </w:rPr>
          <w:fldChar w:fldCharType="end"/>
        </w:r>
      </w:hyperlink>
    </w:p>
    <w:p w14:paraId="448F574C" w14:textId="2CC5483B"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74" w:history="1">
        <w:r w:rsidR="008F08FA" w:rsidRPr="009B71D6">
          <w:rPr>
            <w:rStyle w:val="Hypertextovodkaz"/>
            <w:rFonts w:cs="Arial"/>
            <w:noProof/>
          </w:rPr>
          <w:t>iv.</w:t>
        </w:r>
        <w:r w:rsidR="008F08FA">
          <w:rPr>
            <w:rFonts w:asciiTheme="minorHAnsi" w:eastAsiaTheme="minorEastAsia" w:hAnsiTheme="minorHAnsi"/>
            <w:noProof/>
            <w:sz w:val="22"/>
            <w:lang w:eastAsia="cs-CZ"/>
          </w:rPr>
          <w:tab/>
        </w:r>
        <w:r w:rsidR="008F08FA" w:rsidRPr="009B71D6">
          <w:rPr>
            <w:rStyle w:val="Hypertextovodkaz"/>
            <w:noProof/>
          </w:rPr>
          <w:t>Tisk celé emise losů okamžité loterie</w:t>
        </w:r>
        <w:r w:rsidR="008F08FA">
          <w:rPr>
            <w:noProof/>
            <w:webHidden/>
          </w:rPr>
          <w:tab/>
        </w:r>
        <w:r w:rsidR="008F08FA">
          <w:rPr>
            <w:noProof/>
            <w:webHidden/>
          </w:rPr>
          <w:fldChar w:fldCharType="begin"/>
        </w:r>
        <w:r w:rsidR="008F08FA">
          <w:rPr>
            <w:noProof/>
            <w:webHidden/>
          </w:rPr>
          <w:instrText xml:space="preserve"> PAGEREF _Toc73611574 \h </w:instrText>
        </w:r>
        <w:r w:rsidR="008F08FA">
          <w:rPr>
            <w:noProof/>
            <w:webHidden/>
          </w:rPr>
        </w:r>
        <w:r w:rsidR="008F08FA">
          <w:rPr>
            <w:noProof/>
            <w:webHidden/>
          </w:rPr>
          <w:fldChar w:fldCharType="separate"/>
        </w:r>
        <w:r w:rsidR="008F08FA">
          <w:rPr>
            <w:noProof/>
            <w:webHidden/>
          </w:rPr>
          <w:t>9</w:t>
        </w:r>
        <w:r w:rsidR="008F08FA">
          <w:rPr>
            <w:noProof/>
            <w:webHidden/>
          </w:rPr>
          <w:fldChar w:fldCharType="end"/>
        </w:r>
      </w:hyperlink>
    </w:p>
    <w:p w14:paraId="4A14D560" w14:textId="2E7F73EA"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575" w:history="1">
        <w:r w:rsidR="008F08FA" w:rsidRPr="009B71D6">
          <w:rPr>
            <w:rStyle w:val="Hypertextovodkaz"/>
            <w:noProof/>
            <w14:scene3d>
              <w14:camera w14:prst="orthographicFront"/>
              <w14:lightRig w14:rig="threePt" w14:dir="t">
                <w14:rot w14:lat="0" w14:lon="0" w14:rev="0"/>
              </w14:lightRig>
            </w14:scene3d>
          </w:rPr>
          <w:t>B.</w:t>
        </w:r>
        <w:r w:rsidR="008F08FA">
          <w:rPr>
            <w:rFonts w:asciiTheme="minorHAnsi" w:eastAsiaTheme="minorEastAsia" w:hAnsiTheme="minorHAnsi"/>
            <w:noProof/>
            <w:sz w:val="22"/>
            <w:lang w:eastAsia="cs-CZ"/>
          </w:rPr>
          <w:tab/>
        </w:r>
        <w:r w:rsidR="008F08FA" w:rsidRPr="009B71D6">
          <w:rPr>
            <w:rStyle w:val="Hypertextovodkaz"/>
            <w:noProof/>
          </w:rPr>
          <w:t>Číselné loterie</w:t>
        </w:r>
        <w:r w:rsidR="008F08FA">
          <w:rPr>
            <w:noProof/>
            <w:webHidden/>
          </w:rPr>
          <w:tab/>
        </w:r>
        <w:r w:rsidR="008F08FA">
          <w:rPr>
            <w:noProof/>
            <w:webHidden/>
          </w:rPr>
          <w:fldChar w:fldCharType="begin"/>
        </w:r>
        <w:r w:rsidR="008F08FA">
          <w:rPr>
            <w:noProof/>
            <w:webHidden/>
          </w:rPr>
          <w:instrText xml:space="preserve"> PAGEREF _Toc73611575 \h </w:instrText>
        </w:r>
        <w:r w:rsidR="008F08FA">
          <w:rPr>
            <w:noProof/>
            <w:webHidden/>
          </w:rPr>
        </w:r>
        <w:r w:rsidR="008F08FA">
          <w:rPr>
            <w:noProof/>
            <w:webHidden/>
          </w:rPr>
          <w:fldChar w:fldCharType="separate"/>
        </w:r>
        <w:r w:rsidR="008F08FA">
          <w:rPr>
            <w:noProof/>
            <w:webHidden/>
          </w:rPr>
          <w:t>9</w:t>
        </w:r>
        <w:r w:rsidR="008F08FA">
          <w:rPr>
            <w:noProof/>
            <w:webHidden/>
          </w:rPr>
          <w:fldChar w:fldCharType="end"/>
        </w:r>
      </w:hyperlink>
    </w:p>
    <w:p w14:paraId="1C4AAAC1" w14:textId="22613851"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76" w:history="1">
        <w:r w:rsidR="008F08FA" w:rsidRPr="009B71D6">
          <w:rPr>
            <w:rStyle w:val="Hypertextovodkaz"/>
            <w:rFonts w:cs="Arial"/>
            <w:noProof/>
          </w:rPr>
          <w:t>i.</w:t>
        </w:r>
        <w:r w:rsidR="008F08FA">
          <w:rPr>
            <w:rFonts w:asciiTheme="minorHAnsi" w:eastAsiaTheme="minorEastAsia" w:hAnsiTheme="minorHAnsi"/>
            <w:noProof/>
            <w:sz w:val="22"/>
            <w:lang w:eastAsia="cs-CZ"/>
          </w:rPr>
          <w:tab/>
        </w:r>
        <w:r w:rsidR="008F08FA" w:rsidRPr="009B71D6">
          <w:rPr>
            <w:rStyle w:val="Hypertextovodkaz"/>
            <w:noProof/>
          </w:rPr>
          <w:t>Účast notáře a loterní komise u slosování číselné loterie</w:t>
        </w:r>
        <w:r w:rsidR="008F08FA">
          <w:rPr>
            <w:noProof/>
            <w:webHidden/>
          </w:rPr>
          <w:tab/>
        </w:r>
        <w:r w:rsidR="008F08FA">
          <w:rPr>
            <w:noProof/>
            <w:webHidden/>
          </w:rPr>
          <w:fldChar w:fldCharType="begin"/>
        </w:r>
        <w:r w:rsidR="008F08FA">
          <w:rPr>
            <w:noProof/>
            <w:webHidden/>
          </w:rPr>
          <w:instrText xml:space="preserve"> PAGEREF _Toc73611576 \h </w:instrText>
        </w:r>
        <w:r w:rsidR="008F08FA">
          <w:rPr>
            <w:noProof/>
            <w:webHidden/>
          </w:rPr>
        </w:r>
        <w:r w:rsidR="008F08FA">
          <w:rPr>
            <w:noProof/>
            <w:webHidden/>
          </w:rPr>
          <w:fldChar w:fldCharType="separate"/>
        </w:r>
        <w:r w:rsidR="008F08FA">
          <w:rPr>
            <w:noProof/>
            <w:webHidden/>
          </w:rPr>
          <w:t>9</w:t>
        </w:r>
        <w:r w:rsidR="008F08FA">
          <w:rPr>
            <w:noProof/>
            <w:webHidden/>
          </w:rPr>
          <w:fldChar w:fldCharType="end"/>
        </w:r>
      </w:hyperlink>
    </w:p>
    <w:p w14:paraId="778570A6" w14:textId="0E9866A3"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77" w:history="1">
        <w:r w:rsidR="008F08FA" w:rsidRPr="009B71D6">
          <w:rPr>
            <w:rStyle w:val="Hypertextovodkaz"/>
            <w:rFonts w:cs="Arial"/>
            <w:noProof/>
          </w:rPr>
          <w:t>ii.</w:t>
        </w:r>
        <w:r w:rsidR="008F08FA">
          <w:rPr>
            <w:rFonts w:asciiTheme="minorHAnsi" w:eastAsiaTheme="minorEastAsia" w:hAnsiTheme="minorHAnsi"/>
            <w:noProof/>
            <w:sz w:val="22"/>
            <w:lang w:eastAsia="cs-CZ"/>
          </w:rPr>
          <w:tab/>
        </w:r>
        <w:r w:rsidR="008F08FA" w:rsidRPr="009B71D6">
          <w:rPr>
            <w:rStyle w:val="Hypertextovodkaz"/>
            <w:noProof/>
          </w:rPr>
          <w:t>Závěrečné/mimořádné slosování u číselných loterií</w:t>
        </w:r>
        <w:r w:rsidR="008F08FA">
          <w:rPr>
            <w:noProof/>
            <w:webHidden/>
          </w:rPr>
          <w:tab/>
        </w:r>
        <w:r w:rsidR="008F08FA">
          <w:rPr>
            <w:noProof/>
            <w:webHidden/>
          </w:rPr>
          <w:fldChar w:fldCharType="begin"/>
        </w:r>
        <w:r w:rsidR="008F08FA">
          <w:rPr>
            <w:noProof/>
            <w:webHidden/>
          </w:rPr>
          <w:instrText xml:space="preserve"> PAGEREF _Toc73611577 \h </w:instrText>
        </w:r>
        <w:r w:rsidR="008F08FA">
          <w:rPr>
            <w:noProof/>
            <w:webHidden/>
          </w:rPr>
        </w:r>
        <w:r w:rsidR="008F08FA">
          <w:rPr>
            <w:noProof/>
            <w:webHidden/>
          </w:rPr>
          <w:fldChar w:fldCharType="separate"/>
        </w:r>
        <w:r w:rsidR="008F08FA">
          <w:rPr>
            <w:noProof/>
            <w:webHidden/>
          </w:rPr>
          <w:t>11</w:t>
        </w:r>
        <w:r w:rsidR="008F08FA">
          <w:rPr>
            <w:noProof/>
            <w:webHidden/>
          </w:rPr>
          <w:fldChar w:fldCharType="end"/>
        </w:r>
      </w:hyperlink>
    </w:p>
    <w:p w14:paraId="553F7588" w14:textId="70972215"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578" w:history="1">
        <w:r w:rsidR="008F08FA" w:rsidRPr="009B71D6">
          <w:rPr>
            <w:rStyle w:val="Hypertextovodkaz"/>
            <w:noProof/>
            <w14:scene3d>
              <w14:camera w14:prst="orthographicFront"/>
              <w14:lightRig w14:rig="threePt" w14:dir="t">
                <w14:rot w14:lat="0" w14:lon="0" w14:rev="0"/>
              </w14:lightRig>
            </w14:scene3d>
          </w:rPr>
          <w:t>C.</w:t>
        </w:r>
        <w:r w:rsidR="008F08FA">
          <w:rPr>
            <w:rFonts w:asciiTheme="minorHAnsi" w:eastAsiaTheme="minorEastAsia" w:hAnsiTheme="minorHAnsi"/>
            <w:noProof/>
            <w:sz w:val="22"/>
            <w:lang w:eastAsia="cs-CZ"/>
          </w:rPr>
          <w:tab/>
        </w:r>
        <w:r w:rsidR="008F08FA" w:rsidRPr="009B71D6">
          <w:rPr>
            <w:rStyle w:val="Hypertextovodkaz"/>
            <w:noProof/>
          </w:rPr>
          <w:t>Obecné</w:t>
        </w:r>
        <w:r w:rsidR="008F08FA">
          <w:rPr>
            <w:noProof/>
            <w:webHidden/>
          </w:rPr>
          <w:tab/>
        </w:r>
        <w:r w:rsidR="008F08FA">
          <w:rPr>
            <w:noProof/>
            <w:webHidden/>
          </w:rPr>
          <w:fldChar w:fldCharType="begin"/>
        </w:r>
        <w:r w:rsidR="008F08FA">
          <w:rPr>
            <w:noProof/>
            <w:webHidden/>
          </w:rPr>
          <w:instrText xml:space="preserve"> PAGEREF _Toc73611578 \h </w:instrText>
        </w:r>
        <w:r w:rsidR="008F08FA">
          <w:rPr>
            <w:noProof/>
            <w:webHidden/>
          </w:rPr>
        </w:r>
        <w:r w:rsidR="008F08FA">
          <w:rPr>
            <w:noProof/>
            <w:webHidden/>
          </w:rPr>
          <w:fldChar w:fldCharType="separate"/>
        </w:r>
        <w:r w:rsidR="008F08FA">
          <w:rPr>
            <w:noProof/>
            <w:webHidden/>
          </w:rPr>
          <w:t>11</w:t>
        </w:r>
        <w:r w:rsidR="008F08FA">
          <w:rPr>
            <w:noProof/>
            <w:webHidden/>
          </w:rPr>
          <w:fldChar w:fldCharType="end"/>
        </w:r>
      </w:hyperlink>
    </w:p>
    <w:p w14:paraId="7E8CCB87" w14:textId="5EBA1088"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79" w:history="1">
        <w:r w:rsidR="008F08FA" w:rsidRPr="009B71D6">
          <w:rPr>
            <w:rStyle w:val="Hypertextovodkaz"/>
            <w:rFonts w:cs="Arial"/>
            <w:noProof/>
          </w:rPr>
          <w:t>i.</w:t>
        </w:r>
        <w:r w:rsidR="008F08FA">
          <w:rPr>
            <w:rFonts w:asciiTheme="minorHAnsi" w:eastAsiaTheme="minorEastAsia" w:hAnsiTheme="minorHAnsi"/>
            <w:noProof/>
            <w:sz w:val="22"/>
            <w:lang w:eastAsia="cs-CZ"/>
          </w:rPr>
          <w:tab/>
        </w:r>
        <w:r w:rsidR="008F08FA" w:rsidRPr="009B71D6">
          <w:rPr>
            <w:rStyle w:val="Hypertextovodkaz"/>
            <w:noProof/>
          </w:rPr>
          <w:t>Úhrnná cena výher</w:t>
        </w:r>
        <w:r w:rsidR="008F08FA">
          <w:rPr>
            <w:noProof/>
            <w:webHidden/>
          </w:rPr>
          <w:tab/>
        </w:r>
        <w:r w:rsidR="008F08FA">
          <w:rPr>
            <w:noProof/>
            <w:webHidden/>
          </w:rPr>
          <w:fldChar w:fldCharType="begin"/>
        </w:r>
        <w:r w:rsidR="008F08FA">
          <w:rPr>
            <w:noProof/>
            <w:webHidden/>
          </w:rPr>
          <w:instrText xml:space="preserve"> PAGEREF _Toc73611579 \h </w:instrText>
        </w:r>
        <w:r w:rsidR="008F08FA">
          <w:rPr>
            <w:noProof/>
            <w:webHidden/>
          </w:rPr>
        </w:r>
        <w:r w:rsidR="008F08FA">
          <w:rPr>
            <w:noProof/>
            <w:webHidden/>
          </w:rPr>
          <w:fldChar w:fldCharType="separate"/>
        </w:r>
        <w:r w:rsidR="008F08FA">
          <w:rPr>
            <w:noProof/>
            <w:webHidden/>
          </w:rPr>
          <w:t>11</w:t>
        </w:r>
        <w:r w:rsidR="008F08FA">
          <w:rPr>
            <w:noProof/>
            <w:webHidden/>
          </w:rPr>
          <w:fldChar w:fldCharType="end"/>
        </w:r>
      </w:hyperlink>
    </w:p>
    <w:p w14:paraId="7A68F42C" w14:textId="29F00701"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80" w:history="1">
        <w:r w:rsidR="008F08FA" w:rsidRPr="009B71D6">
          <w:rPr>
            <w:rStyle w:val="Hypertextovodkaz"/>
            <w:rFonts w:cs="Arial"/>
            <w:noProof/>
          </w:rPr>
          <w:t>ii.</w:t>
        </w:r>
        <w:r w:rsidR="008F08FA">
          <w:rPr>
            <w:rFonts w:asciiTheme="minorHAnsi" w:eastAsiaTheme="minorEastAsia" w:hAnsiTheme="minorHAnsi"/>
            <w:noProof/>
            <w:sz w:val="22"/>
            <w:lang w:eastAsia="cs-CZ"/>
          </w:rPr>
          <w:tab/>
        </w:r>
        <w:r w:rsidR="008F08FA" w:rsidRPr="009B71D6">
          <w:rPr>
            <w:rStyle w:val="Hypertextovodkaz"/>
            <w:noProof/>
          </w:rPr>
          <w:t>Zasílání protokolů o slosování</w:t>
        </w:r>
        <w:r w:rsidR="008F08FA">
          <w:rPr>
            <w:noProof/>
            <w:webHidden/>
          </w:rPr>
          <w:tab/>
        </w:r>
        <w:r w:rsidR="008F08FA">
          <w:rPr>
            <w:noProof/>
            <w:webHidden/>
          </w:rPr>
          <w:fldChar w:fldCharType="begin"/>
        </w:r>
        <w:r w:rsidR="008F08FA">
          <w:rPr>
            <w:noProof/>
            <w:webHidden/>
          </w:rPr>
          <w:instrText xml:space="preserve"> PAGEREF _Toc73611580 \h </w:instrText>
        </w:r>
        <w:r w:rsidR="008F08FA">
          <w:rPr>
            <w:noProof/>
            <w:webHidden/>
          </w:rPr>
        </w:r>
        <w:r w:rsidR="008F08FA">
          <w:rPr>
            <w:noProof/>
            <w:webHidden/>
          </w:rPr>
          <w:fldChar w:fldCharType="separate"/>
        </w:r>
        <w:r w:rsidR="008F08FA">
          <w:rPr>
            <w:noProof/>
            <w:webHidden/>
          </w:rPr>
          <w:t>12</w:t>
        </w:r>
        <w:r w:rsidR="008F08FA">
          <w:rPr>
            <w:noProof/>
            <w:webHidden/>
          </w:rPr>
          <w:fldChar w:fldCharType="end"/>
        </w:r>
      </w:hyperlink>
    </w:p>
    <w:p w14:paraId="276C3F30" w14:textId="44069296" w:rsidR="008F08FA" w:rsidRDefault="00A70360">
      <w:pPr>
        <w:pStyle w:val="Obsah2"/>
        <w:tabs>
          <w:tab w:val="left" w:pos="660"/>
          <w:tab w:val="right" w:leader="dot" w:pos="9062"/>
        </w:tabs>
        <w:rPr>
          <w:rFonts w:asciiTheme="minorHAnsi" w:eastAsiaTheme="minorEastAsia" w:hAnsiTheme="minorHAnsi"/>
          <w:noProof/>
          <w:sz w:val="22"/>
          <w:lang w:eastAsia="cs-CZ"/>
        </w:rPr>
      </w:pPr>
      <w:hyperlink w:anchor="_Toc73611581" w:history="1">
        <w:r w:rsidR="008F08FA" w:rsidRPr="009B71D6">
          <w:rPr>
            <w:rStyle w:val="Hypertextovodkaz"/>
            <w:noProof/>
          </w:rPr>
          <w:t>2</w:t>
        </w:r>
        <w:r w:rsidR="008F08FA">
          <w:rPr>
            <w:rFonts w:asciiTheme="minorHAnsi" w:eastAsiaTheme="minorEastAsia" w:hAnsiTheme="minorHAnsi"/>
            <w:noProof/>
            <w:sz w:val="22"/>
            <w:lang w:eastAsia="cs-CZ"/>
          </w:rPr>
          <w:tab/>
        </w:r>
        <w:r w:rsidR="008F08FA" w:rsidRPr="009B71D6">
          <w:rPr>
            <w:rStyle w:val="Hypertextovodkaz"/>
            <w:noProof/>
          </w:rPr>
          <w:t>Kursová sázka a totalizátorová hra</w:t>
        </w:r>
        <w:r w:rsidR="008F08FA">
          <w:rPr>
            <w:noProof/>
            <w:webHidden/>
          </w:rPr>
          <w:tab/>
        </w:r>
        <w:r w:rsidR="008F08FA">
          <w:rPr>
            <w:noProof/>
            <w:webHidden/>
          </w:rPr>
          <w:fldChar w:fldCharType="begin"/>
        </w:r>
        <w:r w:rsidR="008F08FA">
          <w:rPr>
            <w:noProof/>
            <w:webHidden/>
          </w:rPr>
          <w:instrText xml:space="preserve"> PAGEREF _Toc73611581 \h </w:instrText>
        </w:r>
        <w:r w:rsidR="008F08FA">
          <w:rPr>
            <w:noProof/>
            <w:webHidden/>
          </w:rPr>
        </w:r>
        <w:r w:rsidR="008F08FA">
          <w:rPr>
            <w:noProof/>
            <w:webHidden/>
          </w:rPr>
          <w:fldChar w:fldCharType="separate"/>
        </w:r>
        <w:r w:rsidR="008F08FA">
          <w:rPr>
            <w:noProof/>
            <w:webHidden/>
          </w:rPr>
          <w:t>13</w:t>
        </w:r>
        <w:r w:rsidR="008F08FA">
          <w:rPr>
            <w:noProof/>
            <w:webHidden/>
          </w:rPr>
          <w:fldChar w:fldCharType="end"/>
        </w:r>
      </w:hyperlink>
    </w:p>
    <w:p w14:paraId="7EC0CA02" w14:textId="679CA540"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582" w:history="1">
        <w:r w:rsidR="008F08FA" w:rsidRPr="009B71D6">
          <w:rPr>
            <w:rStyle w:val="Hypertextovodkaz"/>
            <w:noProof/>
          </w:rPr>
          <w:t>2.1</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loteriích</w:t>
        </w:r>
        <w:r w:rsidR="008F08FA">
          <w:rPr>
            <w:noProof/>
            <w:webHidden/>
          </w:rPr>
          <w:tab/>
        </w:r>
        <w:r w:rsidR="008F08FA">
          <w:rPr>
            <w:noProof/>
            <w:webHidden/>
          </w:rPr>
          <w:fldChar w:fldCharType="begin"/>
        </w:r>
        <w:r w:rsidR="008F08FA">
          <w:rPr>
            <w:noProof/>
            <w:webHidden/>
          </w:rPr>
          <w:instrText xml:space="preserve"> PAGEREF _Toc73611582 \h </w:instrText>
        </w:r>
        <w:r w:rsidR="008F08FA">
          <w:rPr>
            <w:noProof/>
            <w:webHidden/>
          </w:rPr>
        </w:r>
        <w:r w:rsidR="008F08FA">
          <w:rPr>
            <w:noProof/>
            <w:webHidden/>
          </w:rPr>
          <w:fldChar w:fldCharType="separate"/>
        </w:r>
        <w:r w:rsidR="008F08FA">
          <w:rPr>
            <w:noProof/>
            <w:webHidden/>
          </w:rPr>
          <w:t>13</w:t>
        </w:r>
        <w:r w:rsidR="008F08FA">
          <w:rPr>
            <w:noProof/>
            <w:webHidden/>
          </w:rPr>
          <w:fldChar w:fldCharType="end"/>
        </w:r>
      </w:hyperlink>
    </w:p>
    <w:p w14:paraId="4512AA0F" w14:textId="10B5C5DF"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583" w:history="1">
        <w:r w:rsidR="008F08FA" w:rsidRPr="009B71D6">
          <w:rPr>
            <w:rStyle w:val="Hypertextovodkaz"/>
            <w:noProof/>
            <w14:scene3d>
              <w14:camera w14:prst="orthographicFront"/>
              <w14:lightRig w14:rig="threePt" w14:dir="t">
                <w14:rot w14:lat="0" w14:lon="0" w14:rev="0"/>
              </w14:lightRig>
            </w14:scene3d>
          </w:rPr>
          <w:t>A.</w:t>
        </w:r>
        <w:r w:rsidR="008F08FA">
          <w:rPr>
            <w:rFonts w:asciiTheme="minorHAnsi" w:eastAsiaTheme="minorEastAsia" w:hAnsiTheme="minorHAnsi"/>
            <w:noProof/>
            <w:sz w:val="22"/>
            <w:lang w:eastAsia="cs-CZ"/>
          </w:rPr>
          <w:tab/>
        </w:r>
        <w:r w:rsidR="008F08FA" w:rsidRPr="009B71D6">
          <w:rPr>
            <w:rStyle w:val="Hypertextovodkaz"/>
            <w:noProof/>
          </w:rPr>
          <w:t>Kursová sázka</w:t>
        </w:r>
        <w:r w:rsidR="008F08FA">
          <w:rPr>
            <w:noProof/>
            <w:webHidden/>
          </w:rPr>
          <w:tab/>
        </w:r>
        <w:r w:rsidR="008F08FA">
          <w:rPr>
            <w:noProof/>
            <w:webHidden/>
          </w:rPr>
          <w:fldChar w:fldCharType="begin"/>
        </w:r>
        <w:r w:rsidR="008F08FA">
          <w:rPr>
            <w:noProof/>
            <w:webHidden/>
          </w:rPr>
          <w:instrText xml:space="preserve"> PAGEREF _Toc73611583 \h </w:instrText>
        </w:r>
        <w:r w:rsidR="008F08FA">
          <w:rPr>
            <w:noProof/>
            <w:webHidden/>
          </w:rPr>
        </w:r>
        <w:r w:rsidR="008F08FA">
          <w:rPr>
            <w:noProof/>
            <w:webHidden/>
          </w:rPr>
          <w:fldChar w:fldCharType="separate"/>
        </w:r>
        <w:r w:rsidR="008F08FA">
          <w:rPr>
            <w:noProof/>
            <w:webHidden/>
          </w:rPr>
          <w:t>13</w:t>
        </w:r>
        <w:r w:rsidR="008F08FA">
          <w:rPr>
            <w:noProof/>
            <w:webHidden/>
          </w:rPr>
          <w:fldChar w:fldCharType="end"/>
        </w:r>
      </w:hyperlink>
    </w:p>
    <w:p w14:paraId="7812DAB0" w14:textId="575F6559"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584" w:history="1">
        <w:r w:rsidR="008F08FA" w:rsidRPr="009B71D6">
          <w:rPr>
            <w:rStyle w:val="Hypertextovodkaz"/>
            <w:noProof/>
            <w14:scene3d>
              <w14:camera w14:prst="orthographicFront"/>
              <w14:lightRig w14:rig="threePt" w14:dir="t">
                <w14:rot w14:lat="0" w14:lon="0" w14:rev="0"/>
              </w14:lightRig>
            </w14:scene3d>
          </w:rPr>
          <w:t>B.</w:t>
        </w:r>
        <w:r w:rsidR="008F08FA">
          <w:rPr>
            <w:rFonts w:asciiTheme="minorHAnsi" w:eastAsiaTheme="minorEastAsia" w:hAnsiTheme="minorHAnsi"/>
            <w:noProof/>
            <w:sz w:val="22"/>
            <w:lang w:eastAsia="cs-CZ"/>
          </w:rPr>
          <w:tab/>
        </w:r>
        <w:r w:rsidR="008F08FA" w:rsidRPr="009B71D6">
          <w:rPr>
            <w:rStyle w:val="Hypertextovodkaz"/>
            <w:noProof/>
          </w:rPr>
          <w:t>Totalizátorová hra</w:t>
        </w:r>
        <w:r w:rsidR="008F08FA">
          <w:rPr>
            <w:noProof/>
            <w:webHidden/>
          </w:rPr>
          <w:tab/>
        </w:r>
        <w:r w:rsidR="008F08FA">
          <w:rPr>
            <w:noProof/>
            <w:webHidden/>
          </w:rPr>
          <w:fldChar w:fldCharType="begin"/>
        </w:r>
        <w:r w:rsidR="008F08FA">
          <w:rPr>
            <w:noProof/>
            <w:webHidden/>
          </w:rPr>
          <w:instrText xml:space="preserve"> PAGEREF _Toc73611584 \h </w:instrText>
        </w:r>
        <w:r w:rsidR="008F08FA">
          <w:rPr>
            <w:noProof/>
            <w:webHidden/>
          </w:rPr>
        </w:r>
        <w:r w:rsidR="008F08FA">
          <w:rPr>
            <w:noProof/>
            <w:webHidden/>
          </w:rPr>
          <w:fldChar w:fldCharType="separate"/>
        </w:r>
        <w:r w:rsidR="008F08FA">
          <w:rPr>
            <w:noProof/>
            <w:webHidden/>
          </w:rPr>
          <w:t>13</w:t>
        </w:r>
        <w:r w:rsidR="008F08FA">
          <w:rPr>
            <w:noProof/>
            <w:webHidden/>
          </w:rPr>
          <w:fldChar w:fldCharType="end"/>
        </w:r>
      </w:hyperlink>
    </w:p>
    <w:p w14:paraId="065C7898" w14:textId="499DBE56"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585" w:history="1">
        <w:r w:rsidR="008F08FA" w:rsidRPr="009B71D6">
          <w:rPr>
            <w:rStyle w:val="Hypertextovodkaz"/>
            <w:noProof/>
          </w:rPr>
          <w:t>2.2</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hazardních hrách</w:t>
        </w:r>
        <w:r w:rsidR="008F08FA">
          <w:rPr>
            <w:noProof/>
            <w:webHidden/>
          </w:rPr>
          <w:tab/>
        </w:r>
        <w:r w:rsidR="008F08FA">
          <w:rPr>
            <w:noProof/>
            <w:webHidden/>
          </w:rPr>
          <w:fldChar w:fldCharType="begin"/>
        </w:r>
        <w:r w:rsidR="008F08FA">
          <w:rPr>
            <w:noProof/>
            <w:webHidden/>
          </w:rPr>
          <w:instrText xml:space="preserve"> PAGEREF _Toc73611585 \h </w:instrText>
        </w:r>
        <w:r w:rsidR="008F08FA">
          <w:rPr>
            <w:noProof/>
            <w:webHidden/>
          </w:rPr>
        </w:r>
        <w:r w:rsidR="008F08FA">
          <w:rPr>
            <w:noProof/>
            <w:webHidden/>
          </w:rPr>
          <w:fldChar w:fldCharType="separate"/>
        </w:r>
        <w:r w:rsidR="008F08FA">
          <w:rPr>
            <w:noProof/>
            <w:webHidden/>
          </w:rPr>
          <w:t>14</w:t>
        </w:r>
        <w:r w:rsidR="008F08FA">
          <w:rPr>
            <w:noProof/>
            <w:webHidden/>
          </w:rPr>
          <w:fldChar w:fldCharType="end"/>
        </w:r>
      </w:hyperlink>
    </w:p>
    <w:p w14:paraId="248B0D00" w14:textId="20D39C28"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586" w:history="1">
        <w:r w:rsidR="008F08FA" w:rsidRPr="009B71D6">
          <w:rPr>
            <w:rStyle w:val="Hypertextovodkaz"/>
            <w:noProof/>
            <w14:scene3d>
              <w14:camera w14:prst="orthographicFront"/>
              <w14:lightRig w14:rig="threePt" w14:dir="t">
                <w14:rot w14:lat="0" w14:lon="0" w14:rev="0"/>
              </w14:lightRig>
            </w14:scene3d>
          </w:rPr>
          <w:t>A.</w:t>
        </w:r>
        <w:r w:rsidR="008F08FA">
          <w:rPr>
            <w:rFonts w:asciiTheme="minorHAnsi" w:eastAsiaTheme="minorEastAsia" w:hAnsiTheme="minorHAnsi"/>
            <w:noProof/>
            <w:sz w:val="22"/>
            <w:lang w:eastAsia="cs-CZ"/>
          </w:rPr>
          <w:tab/>
        </w:r>
        <w:r w:rsidR="008F08FA" w:rsidRPr="009B71D6">
          <w:rPr>
            <w:rStyle w:val="Hypertextovodkaz"/>
            <w:noProof/>
          </w:rPr>
          <w:t>Kursová sázka</w:t>
        </w:r>
        <w:r w:rsidR="008F08FA">
          <w:rPr>
            <w:noProof/>
            <w:webHidden/>
          </w:rPr>
          <w:tab/>
        </w:r>
        <w:r w:rsidR="008F08FA">
          <w:rPr>
            <w:noProof/>
            <w:webHidden/>
          </w:rPr>
          <w:fldChar w:fldCharType="begin"/>
        </w:r>
        <w:r w:rsidR="008F08FA">
          <w:rPr>
            <w:noProof/>
            <w:webHidden/>
          </w:rPr>
          <w:instrText xml:space="preserve"> PAGEREF _Toc73611586 \h </w:instrText>
        </w:r>
        <w:r w:rsidR="008F08FA">
          <w:rPr>
            <w:noProof/>
            <w:webHidden/>
          </w:rPr>
        </w:r>
        <w:r w:rsidR="008F08FA">
          <w:rPr>
            <w:noProof/>
            <w:webHidden/>
          </w:rPr>
          <w:fldChar w:fldCharType="separate"/>
        </w:r>
        <w:r w:rsidR="008F08FA">
          <w:rPr>
            <w:noProof/>
            <w:webHidden/>
          </w:rPr>
          <w:t>14</w:t>
        </w:r>
        <w:r w:rsidR="008F08FA">
          <w:rPr>
            <w:noProof/>
            <w:webHidden/>
          </w:rPr>
          <w:fldChar w:fldCharType="end"/>
        </w:r>
      </w:hyperlink>
    </w:p>
    <w:p w14:paraId="057E922B" w14:textId="2BB2E88C"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587" w:history="1">
        <w:r w:rsidR="008F08FA" w:rsidRPr="009B71D6">
          <w:rPr>
            <w:rStyle w:val="Hypertextovodkaz"/>
            <w:noProof/>
            <w14:scene3d>
              <w14:camera w14:prst="orthographicFront"/>
              <w14:lightRig w14:rig="threePt" w14:dir="t">
                <w14:rot w14:lat="0" w14:lon="0" w14:rev="0"/>
              </w14:lightRig>
            </w14:scene3d>
          </w:rPr>
          <w:t>B.</w:t>
        </w:r>
        <w:r w:rsidR="008F08FA">
          <w:rPr>
            <w:rFonts w:asciiTheme="minorHAnsi" w:eastAsiaTheme="minorEastAsia" w:hAnsiTheme="minorHAnsi"/>
            <w:noProof/>
            <w:sz w:val="22"/>
            <w:lang w:eastAsia="cs-CZ"/>
          </w:rPr>
          <w:tab/>
        </w:r>
        <w:r w:rsidR="008F08FA" w:rsidRPr="009B71D6">
          <w:rPr>
            <w:rStyle w:val="Hypertextovodkaz"/>
            <w:noProof/>
          </w:rPr>
          <w:t>Totalizátorová hra</w:t>
        </w:r>
        <w:r w:rsidR="008F08FA">
          <w:rPr>
            <w:noProof/>
            <w:webHidden/>
          </w:rPr>
          <w:tab/>
        </w:r>
        <w:r w:rsidR="008F08FA">
          <w:rPr>
            <w:noProof/>
            <w:webHidden/>
          </w:rPr>
          <w:fldChar w:fldCharType="begin"/>
        </w:r>
        <w:r w:rsidR="008F08FA">
          <w:rPr>
            <w:noProof/>
            <w:webHidden/>
          </w:rPr>
          <w:instrText xml:space="preserve"> PAGEREF _Toc73611587 \h </w:instrText>
        </w:r>
        <w:r w:rsidR="008F08FA">
          <w:rPr>
            <w:noProof/>
            <w:webHidden/>
          </w:rPr>
        </w:r>
        <w:r w:rsidR="008F08FA">
          <w:rPr>
            <w:noProof/>
            <w:webHidden/>
          </w:rPr>
          <w:fldChar w:fldCharType="separate"/>
        </w:r>
        <w:r w:rsidR="008F08FA">
          <w:rPr>
            <w:noProof/>
            <w:webHidden/>
          </w:rPr>
          <w:t>16</w:t>
        </w:r>
        <w:r w:rsidR="008F08FA">
          <w:rPr>
            <w:noProof/>
            <w:webHidden/>
          </w:rPr>
          <w:fldChar w:fldCharType="end"/>
        </w:r>
      </w:hyperlink>
    </w:p>
    <w:p w14:paraId="63BA34F0" w14:textId="6491F63F"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588" w:history="1">
        <w:r w:rsidR="008F08FA" w:rsidRPr="009B71D6">
          <w:rPr>
            <w:rStyle w:val="Hypertextovodkaz"/>
            <w:noProof/>
          </w:rPr>
          <w:t>2.3</w:t>
        </w:r>
        <w:r w:rsidR="008F08FA">
          <w:rPr>
            <w:rFonts w:asciiTheme="minorHAnsi" w:eastAsiaTheme="minorEastAsia" w:hAnsiTheme="minorHAnsi"/>
            <w:noProof/>
            <w:sz w:val="22"/>
            <w:lang w:eastAsia="cs-CZ"/>
          </w:rPr>
          <w:tab/>
        </w:r>
        <w:r w:rsidR="008F08FA" w:rsidRPr="009B71D6">
          <w:rPr>
            <w:rStyle w:val="Hypertextovodkaz"/>
            <w:noProof/>
          </w:rPr>
          <w:t>Konkrétní popis nástrojů, včetně oblastí, na které by bylo vhodné se v budoucnu zaměřit, a návrh doporučení či možných variant řešení</w:t>
        </w:r>
        <w:r w:rsidR="008F08FA">
          <w:rPr>
            <w:noProof/>
            <w:webHidden/>
          </w:rPr>
          <w:tab/>
        </w:r>
        <w:r w:rsidR="008F08FA">
          <w:rPr>
            <w:noProof/>
            <w:webHidden/>
          </w:rPr>
          <w:fldChar w:fldCharType="begin"/>
        </w:r>
        <w:r w:rsidR="008F08FA">
          <w:rPr>
            <w:noProof/>
            <w:webHidden/>
          </w:rPr>
          <w:instrText xml:space="preserve"> PAGEREF _Toc73611588 \h </w:instrText>
        </w:r>
        <w:r w:rsidR="008F08FA">
          <w:rPr>
            <w:noProof/>
            <w:webHidden/>
          </w:rPr>
        </w:r>
        <w:r w:rsidR="008F08FA">
          <w:rPr>
            <w:noProof/>
            <w:webHidden/>
          </w:rPr>
          <w:fldChar w:fldCharType="separate"/>
        </w:r>
        <w:r w:rsidR="008F08FA">
          <w:rPr>
            <w:noProof/>
            <w:webHidden/>
          </w:rPr>
          <w:t>17</w:t>
        </w:r>
        <w:r w:rsidR="008F08FA">
          <w:rPr>
            <w:noProof/>
            <w:webHidden/>
          </w:rPr>
          <w:fldChar w:fldCharType="end"/>
        </w:r>
      </w:hyperlink>
    </w:p>
    <w:p w14:paraId="798DD9AA" w14:textId="1BE94E3F"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589" w:history="1">
        <w:r w:rsidR="008F08FA" w:rsidRPr="009B71D6">
          <w:rPr>
            <w:rStyle w:val="Hypertextovodkaz"/>
            <w:noProof/>
            <w14:scene3d>
              <w14:camera w14:prst="orthographicFront"/>
              <w14:lightRig w14:rig="threePt" w14:dir="t">
                <w14:rot w14:lat="0" w14:lon="0" w14:rev="0"/>
              </w14:lightRig>
            </w14:scene3d>
          </w:rPr>
          <w:t>A.</w:t>
        </w:r>
        <w:r w:rsidR="008F08FA">
          <w:rPr>
            <w:rFonts w:asciiTheme="minorHAnsi" w:eastAsiaTheme="minorEastAsia" w:hAnsiTheme="minorHAnsi"/>
            <w:noProof/>
            <w:sz w:val="22"/>
            <w:lang w:eastAsia="cs-CZ"/>
          </w:rPr>
          <w:tab/>
        </w:r>
        <w:r w:rsidR="008F08FA" w:rsidRPr="009B71D6">
          <w:rPr>
            <w:rStyle w:val="Hypertextovodkaz"/>
            <w:noProof/>
          </w:rPr>
          <w:t>Kursová sázka</w:t>
        </w:r>
        <w:r w:rsidR="008F08FA">
          <w:rPr>
            <w:noProof/>
            <w:webHidden/>
          </w:rPr>
          <w:tab/>
        </w:r>
        <w:r w:rsidR="008F08FA">
          <w:rPr>
            <w:noProof/>
            <w:webHidden/>
          </w:rPr>
          <w:fldChar w:fldCharType="begin"/>
        </w:r>
        <w:r w:rsidR="008F08FA">
          <w:rPr>
            <w:noProof/>
            <w:webHidden/>
          </w:rPr>
          <w:instrText xml:space="preserve"> PAGEREF _Toc73611589 \h </w:instrText>
        </w:r>
        <w:r w:rsidR="008F08FA">
          <w:rPr>
            <w:noProof/>
            <w:webHidden/>
          </w:rPr>
        </w:r>
        <w:r w:rsidR="008F08FA">
          <w:rPr>
            <w:noProof/>
            <w:webHidden/>
          </w:rPr>
          <w:fldChar w:fldCharType="separate"/>
        </w:r>
        <w:r w:rsidR="008F08FA">
          <w:rPr>
            <w:noProof/>
            <w:webHidden/>
          </w:rPr>
          <w:t>17</w:t>
        </w:r>
        <w:r w:rsidR="008F08FA">
          <w:rPr>
            <w:noProof/>
            <w:webHidden/>
          </w:rPr>
          <w:fldChar w:fldCharType="end"/>
        </w:r>
      </w:hyperlink>
    </w:p>
    <w:p w14:paraId="51E43FF9" w14:textId="05B56A89"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90" w:history="1">
        <w:r w:rsidR="008F08FA" w:rsidRPr="009B71D6">
          <w:rPr>
            <w:rStyle w:val="Hypertextovodkaz"/>
            <w:rFonts w:cs="Arial"/>
            <w:noProof/>
          </w:rPr>
          <w:t>i.</w:t>
        </w:r>
        <w:r w:rsidR="008F08FA">
          <w:rPr>
            <w:rFonts w:asciiTheme="minorHAnsi" w:eastAsiaTheme="minorEastAsia" w:hAnsiTheme="minorHAnsi"/>
            <w:noProof/>
            <w:sz w:val="22"/>
            <w:lang w:eastAsia="cs-CZ"/>
          </w:rPr>
          <w:tab/>
        </w:r>
        <w:r w:rsidR="008F08FA" w:rsidRPr="009B71D6">
          <w:rPr>
            <w:rStyle w:val="Hypertextovodkaz"/>
            <w:noProof/>
          </w:rPr>
          <w:t>Vypořádání dlouhodobých sázek vzhledem k platnosti základního povolení nebo k ukončení provozování</w:t>
        </w:r>
        <w:r w:rsidR="008F08FA">
          <w:rPr>
            <w:noProof/>
            <w:webHidden/>
          </w:rPr>
          <w:tab/>
        </w:r>
        <w:r w:rsidR="008F08FA">
          <w:rPr>
            <w:noProof/>
            <w:webHidden/>
          </w:rPr>
          <w:fldChar w:fldCharType="begin"/>
        </w:r>
        <w:r w:rsidR="008F08FA">
          <w:rPr>
            <w:noProof/>
            <w:webHidden/>
          </w:rPr>
          <w:instrText xml:space="preserve"> PAGEREF _Toc73611590 \h </w:instrText>
        </w:r>
        <w:r w:rsidR="008F08FA">
          <w:rPr>
            <w:noProof/>
            <w:webHidden/>
          </w:rPr>
        </w:r>
        <w:r w:rsidR="008F08FA">
          <w:rPr>
            <w:noProof/>
            <w:webHidden/>
          </w:rPr>
          <w:fldChar w:fldCharType="separate"/>
        </w:r>
        <w:r w:rsidR="008F08FA">
          <w:rPr>
            <w:noProof/>
            <w:webHidden/>
          </w:rPr>
          <w:t>17</w:t>
        </w:r>
        <w:r w:rsidR="008F08FA">
          <w:rPr>
            <w:noProof/>
            <w:webHidden/>
          </w:rPr>
          <w:fldChar w:fldCharType="end"/>
        </w:r>
      </w:hyperlink>
    </w:p>
    <w:p w14:paraId="3C771EFB" w14:textId="499CFBC2"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91" w:history="1">
        <w:r w:rsidR="008F08FA" w:rsidRPr="009B71D6">
          <w:rPr>
            <w:rStyle w:val="Hypertextovodkaz"/>
            <w:rFonts w:cs="Arial"/>
            <w:noProof/>
          </w:rPr>
          <w:t>ii.</w:t>
        </w:r>
        <w:r w:rsidR="008F08FA">
          <w:rPr>
            <w:rFonts w:asciiTheme="minorHAnsi" w:eastAsiaTheme="minorEastAsia" w:hAnsiTheme="minorHAnsi"/>
            <w:noProof/>
            <w:sz w:val="22"/>
            <w:lang w:eastAsia="cs-CZ"/>
          </w:rPr>
          <w:tab/>
        </w:r>
        <w:r w:rsidR="008F08FA" w:rsidRPr="009B71D6">
          <w:rPr>
            <w:rStyle w:val="Hypertextovodkaz"/>
            <w:noProof/>
          </w:rPr>
          <w:t>Sázková burza</w:t>
        </w:r>
        <w:r w:rsidR="008F08FA">
          <w:rPr>
            <w:noProof/>
            <w:webHidden/>
          </w:rPr>
          <w:tab/>
        </w:r>
        <w:r w:rsidR="008F08FA">
          <w:rPr>
            <w:noProof/>
            <w:webHidden/>
          </w:rPr>
          <w:fldChar w:fldCharType="begin"/>
        </w:r>
        <w:r w:rsidR="008F08FA">
          <w:rPr>
            <w:noProof/>
            <w:webHidden/>
          </w:rPr>
          <w:instrText xml:space="preserve"> PAGEREF _Toc73611591 \h </w:instrText>
        </w:r>
        <w:r w:rsidR="008F08FA">
          <w:rPr>
            <w:noProof/>
            <w:webHidden/>
          </w:rPr>
        </w:r>
        <w:r w:rsidR="008F08FA">
          <w:rPr>
            <w:noProof/>
            <w:webHidden/>
          </w:rPr>
          <w:fldChar w:fldCharType="separate"/>
        </w:r>
        <w:r w:rsidR="008F08FA">
          <w:rPr>
            <w:noProof/>
            <w:webHidden/>
          </w:rPr>
          <w:t>18</w:t>
        </w:r>
        <w:r w:rsidR="008F08FA">
          <w:rPr>
            <w:noProof/>
            <w:webHidden/>
          </w:rPr>
          <w:fldChar w:fldCharType="end"/>
        </w:r>
      </w:hyperlink>
    </w:p>
    <w:p w14:paraId="40EC4FC3" w14:textId="45C46FE6"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92" w:history="1">
        <w:r w:rsidR="008F08FA" w:rsidRPr="009B71D6">
          <w:rPr>
            <w:rStyle w:val="Hypertextovodkaz"/>
            <w:rFonts w:cs="Arial"/>
            <w:noProof/>
          </w:rPr>
          <w:t>iii.</w:t>
        </w:r>
        <w:r w:rsidR="008F08FA">
          <w:rPr>
            <w:rFonts w:asciiTheme="minorHAnsi" w:eastAsiaTheme="minorEastAsia" w:hAnsiTheme="minorHAnsi"/>
            <w:noProof/>
            <w:sz w:val="22"/>
            <w:lang w:eastAsia="cs-CZ"/>
          </w:rPr>
          <w:tab/>
        </w:r>
        <w:r w:rsidR="008F08FA" w:rsidRPr="009B71D6">
          <w:rPr>
            <w:rStyle w:val="Hypertextovodkaz"/>
            <w:noProof/>
          </w:rPr>
          <w:t>Terminologie sázková událost a sázková příležitost</w:t>
        </w:r>
        <w:r w:rsidR="008F08FA">
          <w:rPr>
            <w:noProof/>
            <w:webHidden/>
          </w:rPr>
          <w:tab/>
        </w:r>
        <w:r w:rsidR="008F08FA">
          <w:rPr>
            <w:noProof/>
            <w:webHidden/>
          </w:rPr>
          <w:fldChar w:fldCharType="begin"/>
        </w:r>
        <w:r w:rsidR="008F08FA">
          <w:rPr>
            <w:noProof/>
            <w:webHidden/>
          </w:rPr>
          <w:instrText xml:space="preserve"> PAGEREF _Toc73611592 \h </w:instrText>
        </w:r>
        <w:r w:rsidR="008F08FA">
          <w:rPr>
            <w:noProof/>
            <w:webHidden/>
          </w:rPr>
        </w:r>
        <w:r w:rsidR="008F08FA">
          <w:rPr>
            <w:noProof/>
            <w:webHidden/>
          </w:rPr>
          <w:fldChar w:fldCharType="separate"/>
        </w:r>
        <w:r w:rsidR="008F08FA">
          <w:rPr>
            <w:noProof/>
            <w:webHidden/>
          </w:rPr>
          <w:t>20</w:t>
        </w:r>
        <w:r w:rsidR="008F08FA">
          <w:rPr>
            <w:noProof/>
            <w:webHidden/>
          </w:rPr>
          <w:fldChar w:fldCharType="end"/>
        </w:r>
      </w:hyperlink>
    </w:p>
    <w:p w14:paraId="44BCB7BE" w14:textId="3287B991"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93" w:history="1">
        <w:r w:rsidR="008F08FA" w:rsidRPr="009B71D6">
          <w:rPr>
            <w:rStyle w:val="Hypertextovodkaz"/>
            <w:rFonts w:cs="Arial"/>
            <w:noProof/>
          </w:rPr>
          <w:t>iv.</w:t>
        </w:r>
        <w:r w:rsidR="008F08FA">
          <w:rPr>
            <w:rFonts w:asciiTheme="minorHAnsi" w:eastAsiaTheme="minorEastAsia" w:hAnsiTheme="minorHAnsi"/>
            <w:noProof/>
            <w:sz w:val="22"/>
            <w:lang w:eastAsia="cs-CZ"/>
          </w:rPr>
          <w:tab/>
        </w:r>
        <w:r w:rsidR="008F08FA" w:rsidRPr="009B71D6">
          <w:rPr>
            <w:rStyle w:val="Hypertextovodkaz"/>
            <w:noProof/>
          </w:rPr>
          <w:t>Postup provozovatele při prokázání či dokládání match-fixingu</w:t>
        </w:r>
        <w:r w:rsidR="008F08FA">
          <w:rPr>
            <w:noProof/>
            <w:webHidden/>
          </w:rPr>
          <w:tab/>
        </w:r>
        <w:r w:rsidR="008F08FA">
          <w:rPr>
            <w:noProof/>
            <w:webHidden/>
          </w:rPr>
          <w:fldChar w:fldCharType="begin"/>
        </w:r>
        <w:r w:rsidR="008F08FA">
          <w:rPr>
            <w:noProof/>
            <w:webHidden/>
          </w:rPr>
          <w:instrText xml:space="preserve"> PAGEREF _Toc73611593 \h </w:instrText>
        </w:r>
        <w:r w:rsidR="008F08FA">
          <w:rPr>
            <w:noProof/>
            <w:webHidden/>
          </w:rPr>
        </w:r>
        <w:r w:rsidR="008F08FA">
          <w:rPr>
            <w:noProof/>
            <w:webHidden/>
          </w:rPr>
          <w:fldChar w:fldCharType="separate"/>
        </w:r>
        <w:r w:rsidR="008F08FA">
          <w:rPr>
            <w:noProof/>
            <w:webHidden/>
          </w:rPr>
          <w:t>20</w:t>
        </w:r>
        <w:r w:rsidR="008F08FA">
          <w:rPr>
            <w:noProof/>
            <w:webHidden/>
          </w:rPr>
          <w:fldChar w:fldCharType="end"/>
        </w:r>
      </w:hyperlink>
    </w:p>
    <w:p w14:paraId="16E1CDF1" w14:textId="4E5B7D1D"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94" w:history="1">
        <w:r w:rsidR="008F08FA" w:rsidRPr="009B71D6">
          <w:rPr>
            <w:rStyle w:val="Hypertextovodkaz"/>
            <w:rFonts w:cs="Arial"/>
            <w:noProof/>
          </w:rPr>
          <w:t>v.</w:t>
        </w:r>
        <w:r w:rsidR="008F08FA">
          <w:rPr>
            <w:rFonts w:asciiTheme="minorHAnsi" w:eastAsiaTheme="minorEastAsia" w:hAnsiTheme="minorHAnsi"/>
            <w:noProof/>
            <w:sz w:val="22"/>
            <w:lang w:eastAsia="cs-CZ"/>
          </w:rPr>
          <w:tab/>
        </w:r>
        <w:r w:rsidR="008F08FA" w:rsidRPr="009B71D6">
          <w:rPr>
            <w:rStyle w:val="Hypertextovodkaz"/>
            <w:noProof/>
          </w:rPr>
          <w:t>Zablokování uživatelského konta provozovatelem z důvodu match-fixingu</w:t>
        </w:r>
        <w:r w:rsidR="008F08FA">
          <w:rPr>
            <w:noProof/>
            <w:webHidden/>
          </w:rPr>
          <w:tab/>
        </w:r>
        <w:r w:rsidR="008F08FA">
          <w:rPr>
            <w:noProof/>
            <w:webHidden/>
          </w:rPr>
          <w:fldChar w:fldCharType="begin"/>
        </w:r>
        <w:r w:rsidR="008F08FA">
          <w:rPr>
            <w:noProof/>
            <w:webHidden/>
          </w:rPr>
          <w:instrText xml:space="preserve"> PAGEREF _Toc73611594 \h </w:instrText>
        </w:r>
        <w:r w:rsidR="008F08FA">
          <w:rPr>
            <w:noProof/>
            <w:webHidden/>
          </w:rPr>
        </w:r>
        <w:r w:rsidR="008F08FA">
          <w:rPr>
            <w:noProof/>
            <w:webHidden/>
          </w:rPr>
          <w:fldChar w:fldCharType="separate"/>
        </w:r>
        <w:r w:rsidR="008F08FA">
          <w:rPr>
            <w:noProof/>
            <w:webHidden/>
          </w:rPr>
          <w:t>22</w:t>
        </w:r>
        <w:r w:rsidR="008F08FA">
          <w:rPr>
            <w:noProof/>
            <w:webHidden/>
          </w:rPr>
          <w:fldChar w:fldCharType="end"/>
        </w:r>
      </w:hyperlink>
    </w:p>
    <w:p w14:paraId="6FA648D3" w14:textId="7F3AD545"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95" w:history="1">
        <w:r w:rsidR="008F08FA" w:rsidRPr="009B71D6">
          <w:rPr>
            <w:rStyle w:val="Hypertextovodkaz"/>
            <w:rFonts w:cs="Arial"/>
            <w:noProof/>
          </w:rPr>
          <w:t>vi.</w:t>
        </w:r>
        <w:r w:rsidR="008F08FA">
          <w:rPr>
            <w:rFonts w:asciiTheme="minorHAnsi" w:eastAsiaTheme="minorEastAsia" w:hAnsiTheme="minorHAnsi"/>
            <w:noProof/>
            <w:sz w:val="22"/>
            <w:lang w:eastAsia="cs-CZ"/>
          </w:rPr>
          <w:tab/>
        </w:r>
        <w:r w:rsidR="008F08FA" w:rsidRPr="009B71D6">
          <w:rPr>
            <w:rStyle w:val="Hypertextovodkaz"/>
            <w:noProof/>
          </w:rPr>
          <w:t>CashOut</w:t>
        </w:r>
        <w:r w:rsidR="008F08FA">
          <w:rPr>
            <w:noProof/>
            <w:webHidden/>
          </w:rPr>
          <w:tab/>
        </w:r>
        <w:r w:rsidR="008F08FA">
          <w:rPr>
            <w:noProof/>
            <w:webHidden/>
          </w:rPr>
          <w:fldChar w:fldCharType="begin"/>
        </w:r>
        <w:r w:rsidR="008F08FA">
          <w:rPr>
            <w:noProof/>
            <w:webHidden/>
          </w:rPr>
          <w:instrText xml:space="preserve"> PAGEREF _Toc73611595 \h </w:instrText>
        </w:r>
        <w:r w:rsidR="008F08FA">
          <w:rPr>
            <w:noProof/>
            <w:webHidden/>
          </w:rPr>
        </w:r>
        <w:r w:rsidR="008F08FA">
          <w:rPr>
            <w:noProof/>
            <w:webHidden/>
          </w:rPr>
          <w:fldChar w:fldCharType="separate"/>
        </w:r>
        <w:r w:rsidR="008F08FA">
          <w:rPr>
            <w:noProof/>
            <w:webHidden/>
          </w:rPr>
          <w:t>23</w:t>
        </w:r>
        <w:r w:rsidR="008F08FA">
          <w:rPr>
            <w:noProof/>
            <w:webHidden/>
          </w:rPr>
          <w:fldChar w:fldCharType="end"/>
        </w:r>
      </w:hyperlink>
    </w:p>
    <w:p w14:paraId="5944C248" w14:textId="443E4535"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96" w:history="1">
        <w:r w:rsidR="008F08FA" w:rsidRPr="009B71D6">
          <w:rPr>
            <w:rStyle w:val="Hypertextovodkaz"/>
            <w:rFonts w:cs="Arial"/>
            <w:noProof/>
          </w:rPr>
          <w:t>vii.</w:t>
        </w:r>
        <w:r w:rsidR="008F08FA">
          <w:rPr>
            <w:rFonts w:asciiTheme="minorHAnsi" w:eastAsiaTheme="minorEastAsia" w:hAnsiTheme="minorHAnsi"/>
            <w:noProof/>
            <w:sz w:val="22"/>
            <w:lang w:eastAsia="cs-CZ"/>
          </w:rPr>
          <w:tab/>
        </w:r>
        <w:r w:rsidR="008F08FA" w:rsidRPr="009B71D6">
          <w:rPr>
            <w:rStyle w:val="Hypertextovodkaz"/>
            <w:noProof/>
          </w:rPr>
          <w:t>Poskytování sázek na zvířecí dostihy bez registrace i na pobočkách a ne pouze na závodišti</w:t>
        </w:r>
        <w:r w:rsidR="008F08FA">
          <w:rPr>
            <w:noProof/>
            <w:webHidden/>
          </w:rPr>
          <w:tab/>
        </w:r>
        <w:r w:rsidR="008F08FA">
          <w:rPr>
            <w:noProof/>
            <w:webHidden/>
          </w:rPr>
          <w:fldChar w:fldCharType="begin"/>
        </w:r>
        <w:r w:rsidR="008F08FA">
          <w:rPr>
            <w:noProof/>
            <w:webHidden/>
          </w:rPr>
          <w:instrText xml:space="preserve"> PAGEREF _Toc73611596 \h </w:instrText>
        </w:r>
        <w:r w:rsidR="008F08FA">
          <w:rPr>
            <w:noProof/>
            <w:webHidden/>
          </w:rPr>
        </w:r>
        <w:r w:rsidR="008F08FA">
          <w:rPr>
            <w:noProof/>
            <w:webHidden/>
          </w:rPr>
          <w:fldChar w:fldCharType="separate"/>
        </w:r>
        <w:r w:rsidR="008F08FA">
          <w:rPr>
            <w:noProof/>
            <w:webHidden/>
          </w:rPr>
          <w:t>24</w:t>
        </w:r>
        <w:r w:rsidR="008F08FA">
          <w:rPr>
            <w:noProof/>
            <w:webHidden/>
          </w:rPr>
          <w:fldChar w:fldCharType="end"/>
        </w:r>
      </w:hyperlink>
    </w:p>
    <w:p w14:paraId="3DDE3945" w14:textId="73B1A20E"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597" w:history="1">
        <w:r w:rsidR="008F08FA" w:rsidRPr="009B71D6">
          <w:rPr>
            <w:rStyle w:val="Hypertextovodkaz"/>
            <w:noProof/>
            <w14:scene3d>
              <w14:camera w14:prst="orthographicFront"/>
              <w14:lightRig w14:rig="threePt" w14:dir="t">
                <w14:rot w14:lat="0" w14:lon="0" w14:rev="0"/>
              </w14:lightRig>
            </w14:scene3d>
          </w:rPr>
          <w:t>B.</w:t>
        </w:r>
        <w:r w:rsidR="008F08FA">
          <w:rPr>
            <w:rFonts w:asciiTheme="minorHAnsi" w:eastAsiaTheme="minorEastAsia" w:hAnsiTheme="minorHAnsi"/>
            <w:noProof/>
            <w:sz w:val="22"/>
            <w:lang w:eastAsia="cs-CZ"/>
          </w:rPr>
          <w:tab/>
        </w:r>
        <w:r w:rsidR="008F08FA" w:rsidRPr="009B71D6">
          <w:rPr>
            <w:rStyle w:val="Hypertextovodkaz"/>
            <w:noProof/>
          </w:rPr>
          <w:t>Totalizátorová hra</w:t>
        </w:r>
        <w:r w:rsidR="008F08FA">
          <w:rPr>
            <w:noProof/>
            <w:webHidden/>
          </w:rPr>
          <w:tab/>
        </w:r>
        <w:r w:rsidR="008F08FA">
          <w:rPr>
            <w:noProof/>
            <w:webHidden/>
          </w:rPr>
          <w:fldChar w:fldCharType="begin"/>
        </w:r>
        <w:r w:rsidR="008F08FA">
          <w:rPr>
            <w:noProof/>
            <w:webHidden/>
          </w:rPr>
          <w:instrText xml:space="preserve"> PAGEREF _Toc73611597 \h </w:instrText>
        </w:r>
        <w:r w:rsidR="008F08FA">
          <w:rPr>
            <w:noProof/>
            <w:webHidden/>
          </w:rPr>
        </w:r>
        <w:r w:rsidR="008F08FA">
          <w:rPr>
            <w:noProof/>
            <w:webHidden/>
          </w:rPr>
          <w:fldChar w:fldCharType="separate"/>
        </w:r>
        <w:r w:rsidR="008F08FA">
          <w:rPr>
            <w:noProof/>
            <w:webHidden/>
          </w:rPr>
          <w:t>26</w:t>
        </w:r>
        <w:r w:rsidR="008F08FA">
          <w:rPr>
            <w:noProof/>
            <w:webHidden/>
          </w:rPr>
          <w:fldChar w:fldCharType="end"/>
        </w:r>
      </w:hyperlink>
    </w:p>
    <w:p w14:paraId="1147E23D" w14:textId="16CC343C"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98" w:history="1">
        <w:r w:rsidR="008F08FA" w:rsidRPr="009B71D6">
          <w:rPr>
            <w:rStyle w:val="Hypertextovodkaz"/>
            <w:rFonts w:cs="Arial"/>
            <w:noProof/>
          </w:rPr>
          <w:t>i.</w:t>
        </w:r>
        <w:r w:rsidR="008F08FA">
          <w:rPr>
            <w:rFonts w:asciiTheme="minorHAnsi" w:eastAsiaTheme="minorEastAsia" w:hAnsiTheme="minorHAnsi"/>
            <w:noProof/>
            <w:sz w:val="22"/>
            <w:lang w:eastAsia="cs-CZ"/>
          </w:rPr>
          <w:tab/>
        </w:r>
        <w:r w:rsidR="008F08FA" w:rsidRPr="009B71D6">
          <w:rPr>
            <w:rStyle w:val="Hypertextovodkaz"/>
            <w:noProof/>
          </w:rPr>
          <w:t>Nemožnost převádět nevyplacené výhry z jedné hry totalizátorové hry do další hry totalizátorové hry a stanovení úhrnné ceny výher</w:t>
        </w:r>
        <w:r w:rsidR="008F08FA">
          <w:rPr>
            <w:noProof/>
            <w:webHidden/>
          </w:rPr>
          <w:tab/>
        </w:r>
        <w:r w:rsidR="008F08FA">
          <w:rPr>
            <w:noProof/>
            <w:webHidden/>
          </w:rPr>
          <w:fldChar w:fldCharType="begin"/>
        </w:r>
        <w:r w:rsidR="008F08FA">
          <w:rPr>
            <w:noProof/>
            <w:webHidden/>
          </w:rPr>
          <w:instrText xml:space="preserve"> PAGEREF _Toc73611598 \h </w:instrText>
        </w:r>
        <w:r w:rsidR="008F08FA">
          <w:rPr>
            <w:noProof/>
            <w:webHidden/>
          </w:rPr>
        </w:r>
        <w:r w:rsidR="008F08FA">
          <w:rPr>
            <w:noProof/>
            <w:webHidden/>
          </w:rPr>
          <w:fldChar w:fldCharType="separate"/>
        </w:r>
        <w:r w:rsidR="008F08FA">
          <w:rPr>
            <w:noProof/>
            <w:webHidden/>
          </w:rPr>
          <w:t>26</w:t>
        </w:r>
        <w:r w:rsidR="008F08FA">
          <w:rPr>
            <w:noProof/>
            <w:webHidden/>
          </w:rPr>
          <w:fldChar w:fldCharType="end"/>
        </w:r>
      </w:hyperlink>
    </w:p>
    <w:p w14:paraId="0DBEED4B" w14:textId="3F4AF1A4"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599" w:history="1">
        <w:r w:rsidR="008F08FA" w:rsidRPr="009B71D6">
          <w:rPr>
            <w:rStyle w:val="Hypertextovodkaz"/>
            <w:rFonts w:cs="Arial"/>
            <w:noProof/>
          </w:rPr>
          <w:t>ii.</w:t>
        </w:r>
        <w:r w:rsidR="008F08FA">
          <w:rPr>
            <w:rFonts w:asciiTheme="minorHAnsi" w:eastAsiaTheme="minorEastAsia" w:hAnsiTheme="minorHAnsi"/>
            <w:noProof/>
            <w:sz w:val="22"/>
            <w:lang w:eastAsia="cs-CZ"/>
          </w:rPr>
          <w:tab/>
        </w:r>
        <w:r w:rsidR="008F08FA" w:rsidRPr="009B71D6">
          <w:rPr>
            <w:rStyle w:val="Hypertextovodkaz"/>
            <w:noProof/>
          </w:rPr>
          <w:t>Registrace a sebeomezující opatření u totalizátorové hry</w:t>
        </w:r>
        <w:r w:rsidR="008F08FA">
          <w:rPr>
            <w:noProof/>
            <w:webHidden/>
          </w:rPr>
          <w:tab/>
        </w:r>
        <w:r w:rsidR="008F08FA">
          <w:rPr>
            <w:noProof/>
            <w:webHidden/>
          </w:rPr>
          <w:fldChar w:fldCharType="begin"/>
        </w:r>
        <w:r w:rsidR="008F08FA">
          <w:rPr>
            <w:noProof/>
            <w:webHidden/>
          </w:rPr>
          <w:instrText xml:space="preserve"> PAGEREF _Toc73611599 \h </w:instrText>
        </w:r>
        <w:r w:rsidR="008F08FA">
          <w:rPr>
            <w:noProof/>
            <w:webHidden/>
          </w:rPr>
        </w:r>
        <w:r w:rsidR="008F08FA">
          <w:rPr>
            <w:noProof/>
            <w:webHidden/>
          </w:rPr>
          <w:fldChar w:fldCharType="separate"/>
        </w:r>
        <w:r w:rsidR="008F08FA">
          <w:rPr>
            <w:noProof/>
            <w:webHidden/>
          </w:rPr>
          <w:t>27</w:t>
        </w:r>
        <w:r w:rsidR="008F08FA">
          <w:rPr>
            <w:noProof/>
            <w:webHidden/>
          </w:rPr>
          <w:fldChar w:fldCharType="end"/>
        </w:r>
      </w:hyperlink>
    </w:p>
    <w:p w14:paraId="70A21363" w14:textId="16DF41F9"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00" w:history="1">
        <w:r w:rsidR="008F08FA" w:rsidRPr="009B71D6">
          <w:rPr>
            <w:rStyle w:val="Hypertextovodkaz"/>
            <w:rFonts w:cs="Arial"/>
            <w:noProof/>
          </w:rPr>
          <w:t>iii.</w:t>
        </w:r>
        <w:r w:rsidR="008F08FA">
          <w:rPr>
            <w:rFonts w:asciiTheme="minorHAnsi" w:eastAsiaTheme="minorEastAsia" w:hAnsiTheme="minorHAnsi"/>
            <w:noProof/>
            <w:sz w:val="22"/>
            <w:lang w:eastAsia="cs-CZ"/>
          </w:rPr>
          <w:tab/>
        </w:r>
        <w:r w:rsidR="008F08FA" w:rsidRPr="009B71D6">
          <w:rPr>
            <w:rStyle w:val="Hypertextovodkaz"/>
            <w:noProof/>
          </w:rPr>
          <w:t>Sdílená totalizátorová hra</w:t>
        </w:r>
        <w:r w:rsidR="008F08FA">
          <w:rPr>
            <w:noProof/>
            <w:webHidden/>
          </w:rPr>
          <w:tab/>
        </w:r>
        <w:r w:rsidR="008F08FA">
          <w:rPr>
            <w:noProof/>
            <w:webHidden/>
          </w:rPr>
          <w:fldChar w:fldCharType="begin"/>
        </w:r>
        <w:r w:rsidR="008F08FA">
          <w:rPr>
            <w:noProof/>
            <w:webHidden/>
          </w:rPr>
          <w:instrText xml:space="preserve"> PAGEREF _Toc73611600 \h </w:instrText>
        </w:r>
        <w:r w:rsidR="008F08FA">
          <w:rPr>
            <w:noProof/>
            <w:webHidden/>
          </w:rPr>
        </w:r>
        <w:r w:rsidR="008F08FA">
          <w:rPr>
            <w:noProof/>
            <w:webHidden/>
          </w:rPr>
          <w:fldChar w:fldCharType="separate"/>
        </w:r>
        <w:r w:rsidR="008F08FA">
          <w:rPr>
            <w:noProof/>
            <w:webHidden/>
          </w:rPr>
          <w:t>27</w:t>
        </w:r>
        <w:r w:rsidR="008F08FA">
          <w:rPr>
            <w:noProof/>
            <w:webHidden/>
          </w:rPr>
          <w:fldChar w:fldCharType="end"/>
        </w:r>
      </w:hyperlink>
    </w:p>
    <w:p w14:paraId="14CE9F33" w14:textId="6114A2B9" w:rsidR="008F08FA" w:rsidRDefault="00A70360">
      <w:pPr>
        <w:pStyle w:val="Obsah2"/>
        <w:tabs>
          <w:tab w:val="left" w:pos="660"/>
          <w:tab w:val="right" w:leader="dot" w:pos="9062"/>
        </w:tabs>
        <w:rPr>
          <w:rFonts w:asciiTheme="minorHAnsi" w:eastAsiaTheme="minorEastAsia" w:hAnsiTheme="minorHAnsi"/>
          <w:noProof/>
          <w:sz w:val="22"/>
          <w:lang w:eastAsia="cs-CZ"/>
        </w:rPr>
      </w:pPr>
      <w:hyperlink w:anchor="_Toc73611601" w:history="1">
        <w:r w:rsidR="008F08FA" w:rsidRPr="009B71D6">
          <w:rPr>
            <w:rStyle w:val="Hypertextovodkaz"/>
            <w:noProof/>
          </w:rPr>
          <w:t>3</w:t>
        </w:r>
        <w:r w:rsidR="008F08FA">
          <w:rPr>
            <w:rFonts w:asciiTheme="minorHAnsi" w:eastAsiaTheme="minorEastAsia" w:hAnsiTheme="minorHAnsi"/>
            <w:noProof/>
            <w:sz w:val="22"/>
            <w:lang w:eastAsia="cs-CZ"/>
          </w:rPr>
          <w:tab/>
        </w:r>
        <w:r w:rsidR="008F08FA" w:rsidRPr="009B71D6">
          <w:rPr>
            <w:rStyle w:val="Hypertextovodkaz"/>
            <w:noProof/>
          </w:rPr>
          <w:t>Bingo</w:t>
        </w:r>
        <w:r w:rsidR="008F08FA">
          <w:rPr>
            <w:noProof/>
            <w:webHidden/>
          </w:rPr>
          <w:tab/>
        </w:r>
        <w:r w:rsidR="008F08FA">
          <w:rPr>
            <w:noProof/>
            <w:webHidden/>
          </w:rPr>
          <w:fldChar w:fldCharType="begin"/>
        </w:r>
        <w:r w:rsidR="008F08FA">
          <w:rPr>
            <w:noProof/>
            <w:webHidden/>
          </w:rPr>
          <w:instrText xml:space="preserve"> PAGEREF _Toc73611601 \h </w:instrText>
        </w:r>
        <w:r w:rsidR="008F08FA">
          <w:rPr>
            <w:noProof/>
            <w:webHidden/>
          </w:rPr>
        </w:r>
        <w:r w:rsidR="008F08FA">
          <w:rPr>
            <w:noProof/>
            <w:webHidden/>
          </w:rPr>
          <w:fldChar w:fldCharType="separate"/>
        </w:r>
        <w:r w:rsidR="008F08FA">
          <w:rPr>
            <w:noProof/>
            <w:webHidden/>
          </w:rPr>
          <w:t>28</w:t>
        </w:r>
        <w:r w:rsidR="008F08FA">
          <w:rPr>
            <w:noProof/>
            <w:webHidden/>
          </w:rPr>
          <w:fldChar w:fldCharType="end"/>
        </w:r>
      </w:hyperlink>
    </w:p>
    <w:p w14:paraId="55BE2019" w14:textId="50F4F5E2"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02" w:history="1">
        <w:r w:rsidR="008F08FA" w:rsidRPr="009B71D6">
          <w:rPr>
            <w:rStyle w:val="Hypertextovodkaz"/>
            <w:noProof/>
          </w:rPr>
          <w:t>3.1</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loteriích</w:t>
        </w:r>
        <w:r w:rsidR="008F08FA">
          <w:rPr>
            <w:noProof/>
            <w:webHidden/>
          </w:rPr>
          <w:tab/>
        </w:r>
        <w:r w:rsidR="008F08FA">
          <w:rPr>
            <w:noProof/>
            <w:webHidden/>
          </w:rPr>
          <w:fldChar w:fldCharType="begin"/>
        </w:r>
        <w:r w:rsidR="008F08FA">
          <w:rPr>
            <w:noProof/>
            <w:webHidden/>
          </w:rPr>
          <w:instrText xml:space="preserve"> PAGEREF _Toc73611602 \h </w:instrText>
        </w:r>
        <w:r w:rsidR="008F08FA">
          <w:rPr>
            <w:noProof/>
            <w:webHidden/>
          </w:rPr>
        </w:r>
        <w:r w:rsidR="008F08FA">
          <w:rPr>
            <w:noProof/>
            <w:webHidden/>
          </w:rPr>
          <w:fldChar w:fldCharType="separate"/>
        </w:r>
        <w:r w:rsidR="008F08FA">
          <w:rPr>
            <w:noProof/>
            <w:webHidden/>
          </w:rPr>
          <w:t>28</w:t>
        </w:r>
        <w:r w:rsidR="008F08FA">
          <w:rPr>
            <w:noProof/>
            <w:webHidden/>
          </w:rPr>
          <w:fldChar w:fldCharType="end"/>
        </w:r>
      </w:hyperlink>
    </w:p>
    <w:p w14:paraId="79E23E3D" w14:textId="52274EE9"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03" w:history="1">
        <w:r w:rsidR="008F08FA" w:rsidRPr="009B71D6">
          <w:rPr>
            <w:rStyle w:val="Hypertextovodkaz"/>
            <w:rFonts w:cs="Arial"/>
            <w:noProof/>
          </w:rPr>
          <w:t>3.2</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hazardních hrách</w:t>
        </w:r>
        <w:r w:rsidR="008F08FA">
          <w:rPr>
            <w:noProof/>
            <w:webHidden/>
          </w:rPr>
          <w:tab/>
        </w:r>
        <w:r w:rsidR="008F08FA">
          <w:rPr>
            <w:noProof/>
            <w:webHidden/>
          </w:rPr>
          <w:fldChar w:fldCharType="begin"/>
        </w:r>
        <w:r w:rsidR="008F08FA">
          <w:rPr>
            <w:noProof/>
            <w:webHidden/>
          </w:rPr>
          <w:instrText xml:space="preserve"> PAGEREF _Toc73611603 \h </w:instrText>
        </w:r>
        <w:r w:rsidR="008F08FA">
          <w:rPr>
            <w:noProof/>
            <w:webHidden/>
          </w:rPr>
        </w:r>
        <w:r w:rsidR="008F08FA">
          <w:rPr>
            <w:noProof/>
            <w:webHidden/>
          </w:rPr>
          <w:fldChar w:fldCharType="separate"/>
        </w:r>
        <w:r w:rsidR="008F08FA">
          <w:rPr>
            <w:noProof/>
            <w:webHidden/>
          </w:rPr>
          <w:t>28</w:t>
        </w:r>
        <w:r w:rsidR="008F08FA">
          <w:rPr>
            <w:noProof/>
            <w:webHidden/>
          </w:rPr>
          <w:fldChar w:fldCharType="end"/>
        </w:r>
      </w:hyperlink>
    </w:p>
    <w:p w14:paraId="777A9E39" w14:textId="1185D728"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04" w:history="1">
        <w:r w:rsidR="008F08FA" w:rsidRPr="009B71D6">
          <w:rPr>
            <w:rStyle w:val="Hypertextovodkaz"/>
            <w:noProof/>
          </w:rPr>
          <w:t>3.3</w:t>
        </w:r>
        <w:r w:rsidR="008F08FA">
          <w:rPr>
            <w:rFonts w:asciiTheme="minorHAnsi" w:eastAsiaTheme="minorEastAsia" w:hAnsiTheme="minorHAnsi"/>
            <w:noProof/>
            <w:sz w:val="22"/>
            <w:lang w:eastAsia="cs-CZ"/>
          </w:rPr>
          <w:tab/>
        </w:r>
        <w:r w:rsidR="008F08FA" w:rsidRPr="009B71D6">
          <w:rPr>
            <w:rStyle w:val="Hypertextovodkaz"/>
            <w:noProof/>
          </w:rPr>
          <w:t>Konkrétní popis nástrojů, včetně oblastí, na které by bylo vhodné se v budoucnu zaměřit, a návrh doporučení či možných variant řešení</w:t>
        </w:r>
        <w:r w:rsidR="008F08FA">
          <w:rPr>
            <w:noProof/>
            <w:webHidden/>
          </w:rPr>
          <w:tab/>
        </w:r>
        <w:r w:rsidR="008F08FA">
          <w:rPr>
            <w:noProof/>
            <w:webHidden/>
          </w:rPr>
          <w:fldChar w:fldCharType="begin"/>
        </w:r>
        <w:r w:rsidR="008F08FA">
          <w:rPr>
            <w:noProof/>
            <w:webHidden/>
          </w:rPr>
          <w:instrText xml:space="preserve"> PAGEREF _Toc73611604 \h </w:instrText>
        </w:r>
        <w:r w:rsidR="008F08FA">
          <w:rPr>
            <w:noProof/>
            <w:webHidden/>
          </w:rPr>
        </w:r>
        <w:r w:rsidR="008F08FA">
          <w:rPr>
            <w:noProof/>
            <w:webHidden/>
          </w:rPr>
          <w:fldChar w:fldCharType="separate"/>
        </w:r>
        <w:r w:rsidR="008F08FA">
          <w:rPr>
            <w:noProof/>
            <w:webHidden/>
          </w:rPr>
          <w:t>29</w:t>
        </w:r>
        <w:r w:rsidR="008F08FA">
          <w:rPr>
            <w:noProof/>
            <w:webHidden/>
          </w:rPr>
          <w:fldChar w:fldCharType="end"/>
        </w:r>
      </w:hyperlink>
    </w:p>
    <w:p w14:paraId="3614D87C" w14:textId="02BC4FF3"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05" w:history="1">
        <w:r w:rsidR="008F08FA" w:rsidRPr="009B71D6">
          <w:rPr>
            <w:rStyle w:val="Hypertextovodkaz"/>
            <w:rFonts w:cs="Arial"/>
            <w:noProof/>
          </w:rPr>
          <w:t>i.</w:t>
        </w:r>
        <w:r w:rsidR="008F08FA">
          <w:rPr>
            <w:rFonts w:asciiTheme="minorHAnsi" w:eastAsiaTheme="minorEastAsia" w:hAnsiTheme="minorHAnsi"/>
            <w:noProof/>
            <w:sz w:val="22"/>
            <w:lang w:eastAsia="cs-CZ"/>
          </w:rPr>
          <w:tab/>
        </w:r>
        <w:r w:rsidR="008F08FA" w:rsidRPr="009B71D6">
          <w:rPr>
            <w:rStyle w:val="Hypertextovodkaz"/>
            <w:noProof/>
          </w:rPr>
          <w:t>Nemožnost převádět nevyplacené výhry z jedné hry binga do další hry binga</w:t>
        </w:r>
        <w:r w:rsidR="008F08FA">
          <w:rPr>
            <w:noProof/>
            <w:webHidden/>
          </w:rPr>
          <w:tab/>
        </w:r>
        <w:r w:rsidR="008F08FA">
          <w:rPr>
            <w:noProof/>
            <w:webHidden/>
          </w:rPr>
          <w:fldChar w:fldCharType="begin"/>
        </w:r>
        <w:r w:rsidR="008F08FA">
          <w:rPr>
            <w:noProof/>
            <w:webHidden/>
          </w:rPr>
          <w:instrText xml:space="preserve"> PAGEREF _Toc73611605 \h </w:instrText>
        </w:r>
        <w:r w:rsidR="008F08FA">
          <w:rPr>
            <w:noProof/>
            <w:webHidden/>
          </w:rPr>
        </w:r>
        <w:r w:rsidR="008F08FA">
          <w:rPr>
            <w:noProof/>
            <w:webHidden/>
          </w:rPr>
          <w:fldChar w:fldCharType="separate"/>
        </w:r>
        <w:r w:rsidR="008F08FA">
          <w:rPr>
            <w:noProof/>
            <w:webHidden/>
          </w:rPr>
          <w:t>30</w:t>
        </w:r>
        <w:r w:rsidR="008F08FA">
          <w:rPr>
            <w:noProof/>
            <w:webHidden/>
          </w:rPr>
          <w:fldChar w:fldCharType="end"/>
        </w:r>
      </w:hyperlink>
    </w:p>
    <w:p w14:paraId="58C1D68D" w14:textId="19C84D2A" w:rsidR="008F08FA" w:rsidRDefault="00A70360">
      <w:pPr>
        <w:pStyle w:val="Obsah2"/>
        <w:tabs>
          <w:tab w:val="left" w:pos="660"/>
          <w:tab w:val="right" w:leader="dot" w:pos="9062"/>
        </w:tabs>
        <w:rPr>
          <w:rFonts w:asciiTheme="minorHAnsi" w:eastAsiaTheme="minorEastAsia" w:hAnsiTheme="minorHAnsi"/>
          <w:noProof/>
          <w:sz w:val="22"/>
          <w:lang w:eastAsia="cs-CZ"/>
        </w:rPr>
      </w:pPr>
      <w:hyperlink w:anchor="_Toc73611606" w:history="1">
        <w:r w:rsidR="008F08FA" w:rsidRPr="009B71D6">
          <w:rPr>
            <w:rStyle w:val="Hypertextovodkaz"/>
            <w:noProof/>
          </w:rPr>
          <w:t>4</w:t>
        </w:r>
        <w:r w:rsidR="008F08FA">
          <w:rPr>
            <w:rFonts w:asciiTheme="minorHAnsi" w:eastAsiaTheme="minorEastAsia" w:hAnsiTheme="minorHAnsi"/>
            <w:noProof/>
            <w:sz w:val="22"/>
            <w:lang w:eastAsia="cs-CZ"/>
          </w:rPr>
          <w:tab/>
        </w:r>
        <w:r w:rsidR="008F08FA" w:rsidRPr="009B71D6">
          <w:rPr>
            <w:rStyle w:val="Hypertextovodkaz"/>
            <w:noProof/>
          </w:rPr>
          <w:t>Technická hra</w:t>
        </w:r>
        <w:r w:rsidR="008F08FA">
          <w:rPr>
            <w:noProof/>
            <w:webHidden/>
          </w:rPr>
          <w:tab/>
        </w:r>
        <w:r w:rsidR="008F08FA">
          <w:rPr>
            <w:noProof/>
            <w:webHidden/>
          </w:rPr>
          <w:fldChar w:fldCharType="begin"/>
        </w:r>
        <w:r w:rsidR="008F08FA">
          <w:rPr>
            <w:noProof/>
            <w:webHidden/>
          </w:rPr>
          <w:instrText xml:space="preserve"> PAGEREF _Toc73611606 \h </w:instrText>
        </w:r>
        <w:r w:rsidR="008F08FA">
          <w:rPr>
            <w:noProof/>
            <w:webHidden/>
          </w:rPr>
        </w:r>
        <w:r w:rsidR="008F08FA">
          <w:rPr>
            <w:noProof/>
            <w:webHidden/>
          </w:rPr>
          <w:fldChar w:fldCharType="separate"/>
        </w:r>
        <w:r w:rsidR="008F08FA">
          <w:rPr>
            <w:noProof/>
            <w:webHidden/>
          </w:rPr>
          <w:t>31</w:t>
        </w:r>
        <w:r w:rsidR="008F08FA">
          <w:rPr>
            <w:noProof/>
            <w:webHidden/>
          </w:rPr>
          <w:fldChar w:fldCharType="end"/>
        </w:r>
      </w:hyperlink>
    </w:p>
    <w:p w14:paraId="1F50C055" w14:textId="0F81AD53"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07" w:history="1">
        <w:r w:rsidR="008F08FA" w:rsidRPr="009B71D6">
          <w:rPr>
            <w:rStyle w:val="Hypertextovodkaz"/>
            <w:noProof/>
          </w:rPr>
          <w:t>4.1</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loteriích</w:t>
        </w:r>
        <w:r w:rsidR="008F08FA">
          <w:rPr>
            <w:noProof/>
            <w:webHidden/>
          </w:rPr>
          <w:tab/>
        </w:r>
        <w:r w:rsidR="008F08FA">
          <w:rPr>
            <w:noProof/>
            <w:webHidden/>
          </w:rPr>
          <w:fldChar w:fldCharType="begin"/>
        </w:r>
        <w:r w:rsidR="008F08FA">
          <w:rPr>
            <w:noProof/>
            <w:webHidden/>
          </w:rPr>
          <w:instrText xml:space="preserve"> PAGEREF _Toc73611607 \h </w:instrText>
        </w:r>
        <w:r w:rsidR="008F08FA">
          <w:rPr>
            <w:noProof/>
            <w:webHidden/>
          </w:rPr>
        </w:r>
        <w:r w:rsidR="008F08FA">
          <w:rPr>
            <w:noProof/>
            <w:webHidden/>
          </w:rPr>
          <w:fldChar w:fldCharType="separate"/>
        </w:r>
        <w:r w:rsidR="008F08FA">
          <w:rPr>
            <w:noProof/>
            <w:webHidden/>
          </w:rPr>
          <w:t>31</w:t>
        </w:r>
        <w:r w:rsidR="008F08FA">
          <w:rPr>
            <w:noProof/>
            <w:webHidden/>
          </w:rPr>
          <w:fldChar w:fldCharType="end"/>
        </w:r>
      </w:hyperlink>
    </w:p>
    <w:p w14:paraId="77EF3FF0" w14:textId="50FF063F"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08" w:history="1">
        <w:r w:rsidR="008F08FA" w:rsidRPr="009B71D6">
          <w:rPr>
            <w:rStyle w:val="Hypertextovodkaz"/>
            <w:noProof/>
          </w:rPr>
          <w:t>4.2</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hazardních hrách</w:t>
        </w:r>
        <w:r w:rsidR="008F08FA">
          <w:rPr>
            <w:noProof/>
            <w:webHidden/>
          </w:rPr>
          <w:tab/>
        </w:r>
        <w:r w:rsidR="008F08FA">
          <w:rPr>
            <w:noProof/>
            <w:webHidden/>
          </w:rPr>
          <w:fldChar w:fldCharType="begin"/>
        </w:r>
        <w:r w:rsidR="008F08FA">
          <w:rPr>
            <w:noProof/>
            <w:webHidden/>
          </w:rPr>
          <w:instrText xml:space="preserve"> PAGEREF _Toc73611608 \h </w:instrText>
        </w:r>
        <w:r w:rsidR="008F08FA">
          <w:rPr>
            <w:noProof/>
            <w:webHidden/>
          </w:rPr>
        </w:r>
        <w:r w:rsidR="008F08FA">
          <w:rPr>
            <w:noProof/>
            <w:webHidden/>
          </w:rPr>
          <w:fldChar w:fldCharType="separate"/>
        </w:r>
        <w:r w:rsidR="008F08FA">
          <w:rPr>
            <w:noProof/>
            <w:webHidden/>
          </w:rPr>
          <w:t>31</w:t>
        </w:r>
        <w:r w:rsidR="008F08FA">
          <w:rPr>
            <w:noProof/>
            <w:webHidden/>
          </w:rPr>
          <w:fldChar w:fldCharType="end"/>
        </w:r>
      </w:hyperlink>
    </w:p>
    <w:p w14:paraId="3074C9D5" w14:textId="57501AFD"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609" w:history="1">
        <w:r w:rsidR="008F08FA" w:rsidRPr="009B71D6">
          <w:rPr>
            <w:rStyle w:val="Hypertextovodkaz"/>
            <w:noProof/>
            <w14:scene3d>
              <w14:camera w14:prst="orthographicFront"/>
              <w14:lightRig w14:rig="threePt" w14:dir="t">
                <w14:rot w14:lat="0" w14:lon="0" w14:rev="0"/>
              </w14:lightRig>
            </w14:scene3d>
          </w:rPr>
          <w:t>A.</w:t>
        </w:r>
        <w:r w:rsidR="008F08FA">
          <w:rPr>
            <w:rFonts w:asciiTheme="minorHAnsi" w:eastAsiaTheme="minorEastAsia" w:hAnsiTheme="minorHAnsi"/>
            <w:noProof/>
            <w:sz w:val="22"/>
            <w:lang w:eastAsia="cs-CZ"/>
          </w:rPr>
          <w:tab/>
        </w:r>
        <w:r w:rsidR="008F08FA" w:rsidRPr="009B71D6">
          <w:rPr>
            <w:rStyle w:val="Hypertextovodkaz"/>
            <w:noProof/>
          </w:rPr>
          <w:t>Obecná charakteristika</w:t>
        </w:r>
        <w:r w:rsidR="008F08FA">
          <w:rPr>
            <w:noProof/>
            <w:webHidden/>
          </w:rPr>
          <w:tab/>
        </w:r>
        <w:r w:rsidR="008F08FA">
          <w:rPr>
            <w:noProof/>
            <w:webHidden/>
          </w:rPr>
          <w:fldChar w:fldCharType="begin"/>
        </w:r>
        <w:r w:rsidR="008F08FA">
          <w:rPr>
            <w:noProof/>
            <w:webHidden/>
          </w:rPr>
          <w:instrText xml:space="preserve"> PAGEREF _Toc73611609 \h </w:instrText>
        </w:r>
        <w:r w:rsidR="008F08FA">
          <w:rPr>
            <w:noProof/>
            <w:webHidden/>
          </w:rPr>
        </w:r>
        <w:r w:rsidR="008F08FA">
          <w:rPr>
            <w:noProof/>
            <w:webHidden/>
          </w:rPr>
          <w:fldChar w:fldCharType="separate"/>
        </w:r>
        <w:r w:rsidR="008F08FA">
          <w:rPr>
            <w:noProof/>
            <w:webHidden/>
          </w:rPr>
          <w:t>31</w:t>
        </w:r>
        <w:r w:rsidR="008F08FA">
          <w:rPr>
            <w:noProof/>
            <w:webHidden/>
          </w:rPr>
          <w:fldChar w:fldCharType="end"/>
        </w:r>
      </w:hyperlink>
    </w:p>
    <w:p w14:paraId="0B6FBCBC" w14:textId="3454D723"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610" w:history="1">
        <w:r w:rsidR="008F08FA" w:rsidRPr="009B71D6">
          <w:rPr>
            <w:rStyle w:val="Hypertextovodkaz"/>
            <w:noProof/>
            <w14:scene3d>
              <w14:camera w14:prst="orthographicFront"/>
              <w14:lightRig w14:rig="threePt" w14:dir="t">
                <w14:rot w14:lat="0" w14:lon="0" w14:rev="0"/>
              </w14:lightRig>
            </w14:scene3d>
          </w:rPr>
          <w:t>B.</w:t>
        </w:r>
        <w:r w:rsidR="008F08FA">
          <w:rPr>
            <w:rFonts w:asciiTheme="minorHAnsi" w:eastAsiaTheme="minorEastAsia" w:hAnsiTheme="minorHAnsi"/>
            <w:noProof/>
            <w:sz w:val="22"/>
            <w:lang w:eastAsia="cs-CZ"/>
          </w:rPr>
          <w:tab/>
        </w:r>
        <w:r w:rsidR="008F08FA" w:rsidRPr="009B71D6">
          <w:rPr>
            <w:rStyle w:val="Hypertextovodkaz"/>
            <w:noProof/>
          </w:rPr>
          <w:t>Hra technické hry</w:t>
        </w:r>
        <w:r w:rsidR="008F08FA">
          <w:rPr>
            <w:noProof/>
            <w:webHidden/>
          </w:rPr>
          <w:tab/>
        </w:r>
        <w:r w:rsidR="008F08FA">
          <w:rPr>
            <w:noProof/>
            <w:webHidden/>
          </w:rPr>
          <w:fldChar w:fldCharType="begin"/>
        </w:r>
        <w:r w:rsidR="008F08FA">
          <w:rPr>
            <w:noProof/>
            <w:webHidden/>
          </w:rPr>
          <w:instrText xml:space="preserve"> PAGEREF _Toc73611610 \h </w:instrText>
        </w:r>
        <w:r w:rsidR="008F08FA">
          <w:rPr>
            <w:noProof/>
            <w:webHidden/>
          </w:rPr>
        </w:r>
        <w:r w:rsidR="008F08FA">
          <w:rPr>
            <w:noProof/>
            <w:webHidden/>
          </w:rPr>
          <w:fldChar w:fldCharType="separate"/>
        </w:r>
        <w:r w:rsidR="008F08FA">
          <w:rPr>
            <w:noProof/>
            <w:webHidden/>
          </w:rPr>
          <w:t>32</w:t>
        </w:r>
        <w:r w:rsidR="008F08FA">
          <w:rPr>
            <w:noProof/>
            <w:webHidden/>
          </w:rPr>
          <w:fldChar w:fldCharType="end"/>
        </w:r>
      </w:hyperlink>
    </w:p>
    <w:p w14:paraId="58A82F4B" w14:textId="382E0504"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611" w:history="1">
        <w:r w:rsidR="008F08FA" w:rsidRPr="009B71D6">
          <w:rPr>
            <w:rStyle w:val="Hypertextovodkaz"/>
            <w:noProof/>
            <w14:scene3d>
              <w14:camera w14:prst="orthographicFront"/>
              <w14:lightRig w14:rig="threePt" w14:dir="t">
                <w14:rot w14:lat="0" w14:lon="0" w14:rev="0"/>
              </w14:lightRig>
            </w14:scene3d>
          </w:rPr>
          <w:t>C.</w:t>
        </w:r>
        <w:r w:rsidR="008F08FA">
          <w:rPr>
            <w:rFonts w:asciiTheme="minorHAnsi" w:eastAsiaTheme="minorEastAsia" w:hAnsiTheme="minorHAnsi"/>
            <w:noProof/>
            <w:sz w:val="22"/>
            <w:lang w:eastAsia="cs-CZ"/>
          </w:rPr>
          <w:tab/>
        </w:r>
        <w:r w:rsidR="008F08FA" w:rsidRPr="009B71D6">
          <w:rPr>
            <w:rStyle w:val="Hypertextovodkaz"/>
            <w:noProof/>
          </w:rPr>
          <w:t>Výherní podíl</w:t>
        </w:r>
        <w:r w:rsidR="008F08FA">
          <w:rPr>
            <w:noProof/>
            <w:webHidden/>
          </w:rPr>
          <w:tab/>
        </w:r>
        <w:r w:rsidR="008F08FA">
          <w:rPr>
            <w:noProof/>
            <w:webHidden/>
          </w:rPr>
          <w:fldChar w:fldCharType="begin"/>
        </w:r>
        <w:r w:rsidR="008F08FA">
          <w:rPr>
            <w:noProof/>
            <w:webHidden/>
          </w:rPr>
          <w:instrText xml:space="preserve"> PAGEREF _Toc73611611 \h </w:instrText>
        </w:r>
        <w:r w:rsidR="008F08FA">
          <w:rPr>
            <w:noProof/>
            <w:webHidden/>
          </w:rPr>
        </w:r>
        <w:r w:rsidR="008F08FA">
          <w:rPr>
            <w:noProof/>
            <w:webHidden/>
          </w:rPr>
          <w:fldChar w:fldCharType="separate"/>
        </w:r>
        <w:r w:rsidR="008F08FA">
          <w:rPr>
            <w:noProof/>
            <w:webHidden/>
          </w:rPr>
          <w:t>33</w:t>
        </w:r>
        <w:r w:rsidR="008F08FA">
          <w:rPr>
            <w:noProof/>
            <w:webHidden/>
          </w:rPr>
          <w:fldChar w:fldCharType="end"/>
        </w:r>
      </w:hyperlink>
    </w:p>
    <w:p w14:paraId="472B3686" w14:textId="26F19AA7"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612" w:history="1">
        <w:r w:rsidR="008F08FA" w:rsidRPr="009B71D6">
          <w:rPr>
            <w:rStyle w:val="Hypertextovodkaz"/>
            <w:noProof/>
            <w14:scene3d>
              <w14:camera w14:prst="orthographicFront"/>
              <w14:lightRig w14:rig="threePt" w14:dir="t">
                <w14:rot w14:lat="0" w14:lon="0" w14:rev="0"/>
              </w14:lightRig>
            </w14:scene3d>
          </w:rPr>
          <w:t>D.</w:t>
        </w:r>
        <w:r w:rsidR="008F08FA">
          <w:rPr>
            <w:rFonts w:asciiTheme="minorHAnsi" w:eastAsiaTheme="minorEastAsia" w:hAnsiTheme="minorHAnsi"/>
            <w:noProof/>
            <w:sz w:val="22"/>
            <w:lang w:eastAsia="cs-CZ"/>
          </w:rPr>
          <w:tab/>
        </w:r>
        <w:r w:rsidR="008F08FA" w:rsidRPr="009B71D6">
          <w:rPr>
            <w:rStyle w:val="Hypertextovodkaz"/>
            <w:noProof/>
          </w:rPr>
          <w:t>Povinná přestávka</w:t>
        </w:r>
        <w:r w:rsidR="008F08FA">
          <w:rPr>
            <w:noProof/>
            <w:webHidden/>
          </w:rPr>
          <w:tab/>
        </w:r>
        <w:r w:rsidR="008F08FA">
          <w:rPr>
            <w:noProof/>
            <w:webHidden/>
          </w:rPr>
          <w:fldChar w:fldCharType="begin"/>
        </w:r>
        <w:r w:rsidR="008F08FA">
          <w:rPr>
            <w:noProof/>
            <w:webHidden/>
          </w:rPr>
          <w:instrText xml:space="preserve"> PAGEREF _Toc73611612 \h </w:instrText>
        </w:r>
        <w:r w:rsidR="008F08FA">
          <w:rPr>
            <w:noProof/>
            <w:webHidden/>
          </w:rPr>
        </w:r>
        <w:r w:rsidR="008F08FA">
          <w:rPr>
            <w:noProof/>
            <w:webHidden/>
          </w:rPr>
          <w:fldChar w:fldCharType="separate"/>
        </w:r>
        <w:r w:rsidR="008F08FA">
          <w:rPr>
            <w:noProof/>
            <w:webHidden/>
          </w:rPr>
          <w:t>33</w:t>
        </w:r>
        <w:r w:rsidR="008F08FA">
          <w:rPr>
            <w:noProof/>
            <w:webHidden/>
          </w:rPr>
          <w:fldChar w:fldCharType="end"/>
        </w:r>
      </w:hyperlink>
    </w:p>
    <w:p w14:paraId="5FD78A32" w14:textId="13C59919"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613" w:history="1">
        <w:r w:rsidR="008F08FA" w:rsidRPr="009B71D6">
          <w:rPr>
            <w:rStyle w:val="Hypertextovodkaz"/>
            <w:noProof/>
            <w14:scene3d>
              <w14:camera w14:prst="orthographicFront"/>
              <w14:lightRig w14:rig="threePt" w14:dir="t">
                <w14:rot w14:lat="0" w14:lon="0" w14:rev="0"/>
              </w14:lightRig>
            </w14:scene3d>
          </w:rPr>
          <w:t>E.</w:t>
        </w:r>
        <w:r w:rsidR="008F08FA">
          <w:rPr>
            <w:rFonts w:asciiTheme="minorHAnsi" w:eastAsiaTheme="minorEastAsia" w:hAnsiTheme="minorHAnsi"/>
            <w:noProof/>
            <w:sz w:val="22"/>
            <w:lang w:eastAsia="cs-CZ"/>
          </w:rPr>
          <w:tab/>
        </w:r>
        <w:r w:rsidR="008F08FA" w:rsidRPr="009B71D6">
          <w:rPr>
            <w:rStyle w:val="Hypertextovodkaz"/>
            <w:noProof/>
          </w:rPr>
          <w:t>Nejvyšší sázka a nejvyšší výhra</w:t>
        </w:r>
        <w:r w:rsidR="008F08FA">
          <w:rPr>
            <w:noProof/>
            <w:webHidden/>
          </w:rPr>
          <w:tab/>
        </w:r>
        <w:r w:rsidR="008F08FA">
          <w:rPr>
            <w:noProof/>
            <w:webHidden/>
          </w:rPr>
          <w:fldChar w:fldCharType="begin"/>
        </w:r>
        <w:r w:rsidR="008F08FA">
          <w:rPr>
            <w:noProof/>
            <w:webHidden/>
          </w:rPr>
          <w:instrText xml:space="preserve"> PAGEREF _Toc73611613 \h </w:instrText>
        </w:r>
        <w:r w:rsidR="008F08FA">
          <w:rPr>
            <w:noProof/>
            <w:webHidden/>
          </w:rPr>
        </w:r>
        <w:r w:rsidR="008F08FA">
          <w:rPr>
            <w:noProof/>
            <w:webHidden/>
          </w:rPr>
          <w:fldChar w:fldCharType="separate"/>
        </w:r>
        <w:r w:rsidR="008F08FA">
          <w:rPr>
            <w:noProof/>
            <w:webHidden/>
          </w:rPr>
          <w:t>33</w:t>
        </w:r>
        <w:r w:rsidR="008F08FA">
          <w:rPr>
            <w:noProof/>
            <w:webHidden/>
          </w:rPr>
          <w:fldChar w:fldCharType="end"/>
        </w:r>
      </w:hyperlink>
    </w:p>
    <w:p w14:paraId="6ADD7FFF" w14:textId="78ED2496"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614" w:history="1">
        <w:r w:rsidR="008F08FA" w:rsidRPr="009B71D6">
          <w:rPr>
            <w:rStyle w:val="Hypertextovodkaz"/>
            <w:noProof/>
            <w14:scene3d>
              <w14:camera w14:prst="orthographicFront"/>
              <w14:lightRig w14:rig="threePt" w14:dir="t">
                <w14:rot w14:lat="0" w14:lon="0" w14:rev="0"/>
              </w14:lightRig>
            </w14:scene3d>
          </w:rPr>
          <w:t>F.</w:t>
        </w:r>
        <w:r w:rsidR="008F08FA">
          <w:rPr>
            <w:rFonts w:asciiTheme="minorHAnsi" w:eastAsiaTheme="minorEastAsia" w:hAnsiTheme="minorHAnsi"/>
            <w:noProof/>
            <w:sz w:val="22"/>
            <w:lang w:eastAsia="cs-CZ"/>
          </w:rPr>
          <w:tab/>
        </w:r>
        <w:r w:rsidR="008F08FA" w:rsidRPr="009B71D6">
          <w:rPr>
            <w:rStyle w:val="Hypertextovodkaz"/>
            <w:noProof/>
          </w:rPr>
          <w:t>Nejvyšší hodinová prohra</w:t>
        </w:r>
        <w:r w:rsidR="008F08FA">
          <w:rPr>
            <w:noProof/>
            <w:webHidden/>
          </w:rPr>
          <w:tab/>
        </w:r>
        <w:r w:rsidR="008F08FA">
          <w:rPr>
            <w:noProof/>
            <w:webHidden/>
          </w:rPr>
          <w:fldChar w:fldCharType="begin"/>
        </w:r>
        <w:r w:rsidR="008F08FA">
          <w:rPr>
            <w:noProof/>
            <w:webHidden/>
          </w:rPr>
          <w:instrText xml:space="preserve"> PAGEREF _Toc73611614 \h </w:instrText>
        </w:r>
        <w:r w:rsidR="008F08FA">
          <w:rPr>
            <w:noProof/>
            <w:webHidden/>
          </w:rPr>
        </w:r>
        <w:r w:rsidR="008F08FA">
          <w:rPr>
            <w:noProof/>
            <w:webHidden/>
          </w:rPr>
          <w:fldChar w:fldCharType="separate"/>
        </w:r>
        <w:r w:rsidR="008F08FA">
          <w:rPr>
            <w:noProof/>
            <w:webHidden/>
          </w:rPr>
          <w:t>36</w:t>
        </w:r>
        <w:r w:rsidR="008F08FA">
          <w:rPr>
            <w:noProof/>
            <w:webHidden/>
          </w:rPr>
          <w:fldChar w:fldCharType="end"/>
        </w:r>
      </w:hyperlink>
    </w:p>
    <w:p w14:paraId="4E843FB0" w14:textId="34166F45"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15" w:history="1">
        <w:r w:rsidR="008F08FA" w:rsidRPr="009B71D6">
          <w:rPr>
            <w:rStyle w:val="Hypertextovodkaz"/>
            <w:noProof/>
          </w:rPr>
          <w:t>4.3</w:t>
        </w:r>
        <w:r w:rsidR="008F08FA">
          <w:rPr>
            <w:rFonts w:asciiTheme="minorHAnsi" w:eastAsiaTheme="minorEastAsia" w:hAnsiTheme="minorHAnsi"/>
            <w:noProof/>
            <w:sz w:val="22"/>
            <w:lang w:eastAsia="cs-CZ"/>
          </w:rPr>
          <w:tab/>
        </w:r>
        <w:r w:rsidR="008F08FA" w:rsidRPr="009B71D6">
          <w:rPr>
            <w:rStyle w:val="Hypertextovodkaz"/>
            <w:noProof/>
          </w:rPr>
          <w:t>Konkrétní popis nástrojů, včetně oblastí, na které by bylo vhodné se v budoucnu zaměřit, a návrh doporučení či možných variant řešení</w:t>
        </w:r>
        <w:r w:rsidR="008F08FA">
          <w:rPr>
            <w:noProof/>
            <w:webHidden/>
          </w:rPr>
          <w:tab/>
        </w:r>
        <w:r w:rsidR="008F08FA">
          <w:rPr>
            <w:noProof/>
            <w:webHidden/>
          </w:rPr>
          <w:fldChar w:fldCharType="begin"/>
        </w:r>
        <w:r w:rsidR="008F08FA">
          <w:rPr>
            <w:noProof/>
            <w:webHidden/>
          </w:rPr>
          <w:instrText xml:space="preserve"> PAGEREF _Toc73611615 \h </w:instrText>
        </w:r>
        <w:r w:rsidR="008F08FA">
          <w:rPr>
            <w:noProof/>
            <w:webHidden/>
          </w:rPr>
        </w:r>
        <w:r w:rsidR="008F08FA">
          <w:rPr>
            <w:noProof/>
            <w:webHidden/>
          </w:rPr>
          <w:fldChar w:fldCharType="separate"/>
        </w:r>
        <w:r w:rsidR="008F08FA">
          <w:rPr>
            <w:noProof/>
            <w:webHidden/>
          </w:rPr>
          <w:t>37</w:t>
        </w:r>
        <w:r w:rsidR="008F08FA">
          <w:rPr>
            <w:noProof/>
            <w:webHidden/>
          </w:rPr>
          <w:fldChar w:fldCharType="end"/>
        </w:r>
      </w:hyperlink>
    </w:p>
    <w:p w14:paraId="428C2C10" w14:textId="5122982A"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616" w:history="1">
        <w:r w:rsidR="008F08FA" w:rsidRPr="009B71D6">
          <w:rPr>
            <w:rStyle w:val="Hypertextovodkaz"/>
            <w:noProof/>
            <w14:scene3d>
              <w14:camera w14:prst="orthographicFront"/>
              <w14:lightRig w14:rig="threePt" w14:dir="t">
                <w14:rot w14:lat="0" w14:lon="0" w14:rev="0"/>
              </w14:lightRig>
            </w14:scene3d>
          </w:rPr>
          <w:t>A.</w:t>
        </w:r>
        <w:r w:rsidR="008F08FA">
          <w:rPr>
            <w:rFonts w:asciiTheme="minorHAnsi" w:eastAsiaTheme="minorEastAsia" w:hAnsiTheme="minorHAnsi"/>
            <w:noProof/>
            <w:sz w:val="22"/>
            <w:lang w:eastAsia="cs-CZ"/>
          </w:rPr>
          <w:tab/>
        </w:r>
        <w:r w:rsidR="008F08FA" w:rsidRPr="009B71D6">
          <w:rPr>
            <w:rStyle w:val="Hypertextovodkaz"/>
            <w:noProof/>
          </w:rPr>
          <w:t>Hra technické hry</w:t>
        </w:r>
        <w:r w:rsidR="008F08FA">
          <w:rPr>
            <w:noProof/>
            <w:webHidden/>
          </w:rPr>
          <w:tab/>
        </w:r>
        <w:r w:rsidR="008F08FA">
          <w:rPr>
            <w:noProof/>
            <w:webHidden/>
          </w:rPr>
          <w:fldChar w:fldCharType="begin"/>
        </w:r>
        <w:r w:rsidR="008F08FA">
          <w:rPr>
            <w:noProof/>
            <w:webHidden/>
          </w:rPr>
          <w:instrText xml:space="preserve"> PAGEREF _Toc73611616 \h </w:instrText>
        </w:r>
        <w:r w:rsidR="008F08FA">
          <w:rPr>
            <w:noProof/>
            <w:webHidden/>
          </w:rPr>
        </w:r>
        <w:r w:rsidR="008F08FA">
          <w:rPr>
            <w:noProof/>
            <w:webHidden/>
          </w:rPr>
          <w:fldChar w:fldCharType="separate"/>
        </w:r>
        <w:r w:rsidR="008F08FA">
          <w:rPr>
            <w:noProof/>
            <w:webHidden/>
          </w:rPr>
          <w:t>37</w:t>
        </w:r>
        <w:r w:rsidR="008F08FA">
          <w:rPr>
            <w:noProof/>
            <w:webHidden/>
          </w:rPr>
          <w:fldChar w:fldCharType="end"/>
        </w:r>
      </w:hyperlink>
    </w:p>
    <w:p w14:paraId="16833596" w14:textId="3878260F"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17" w:history="1">
        <w:r w:rsidR="008F08FA" w:rsidRPr="009B71D6">
          <w:rPr>
            <w:rStyle w:val="Hypertextovodkaz"/>
            <w:rFonts w:cs="Arial"/>
            <w:noProof/>
          </w:rPr>
          <w:t>i.</w:t>
        </w:r>
        <w:r w:rsidR="008F08FA">
          <w:rPr>
            <w:rFonts w:asciiTheme="minorHAnsi" w:eastAsiaTheme="minorEastAsia" w:hAnsiTheme="minorHAnsi"/>
            <w:noProof/>
            <w:sz w:val="22"/>
            <w:lang w:eastAsia="cs-CZ"/>
          </w:rPr>
          <w:tab/>
        </w:r>
        <w:r w:rsidR="008F08FA" w:rsidRPr="009B71D6">
          <w:rPr>
            <w:rStyle w:val="Hypertextovodkaz"/>
            <w:noProof/>
          </w:rPr>
          <w:t>Herní koncept „Risk“</w:t>
        </w:r>
        <w:r w:rsidR="008F08FA">
          <w:rPr>
            <w:noProof/>
            <w:webHidden/>
          </w:rPr>
          <w:tab/>
        </w:r>
        <w:r w:rsidR="008F08FA">
          <w:rPr>
            <w:noProof/>
            <w:webHidden/>
          </w:rPr>
          <w:fldChar w:fldCharType="begin"/>
        </w:r>
        <w:r w:rsidR="008F08FA">
          <w:rPr>
            <w:noProof/>
            <w:webHidden/>
          </w:rPr>
          <w:instrText xml:space="preserve"> PAGEREF _Toc73611617 \h </w:instrText>
        </w:r>
        <w:r w:rsidR="008F08FA">
          <w:rPr>
            <w:noProof/>
            <w:webHidden/>
          </w:rPr>
        </w:r>
        <w:r w:rsidR="008F08FA">
          <w:rPr>
            <w:noProof/>
            <w:webHidden/>
          </w:rPr>
          <w:fldChar w:fldCharType="separate"/>
        </w:r>
        <w:r w:rsidR="008F08FA">
          <w:rPr>
            <w:noProof/>
            <w:webHidden/>
          </w:rPr>
          <w:t>37</w:t>
        </w:r>
        <w:r w:rsidR="008F08FA">
          <w:rPr>
            <w:noProof/>
            <w:webHidden/>
          </w:rPr>
          <w:fldChar w:fldCharType="end"/>
        </w:r>
      </w:hyperlink>
    </w:p>
    <w:p w14:paraId="42AB71D1" w14:textId="2E30AAF4"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18" w:history="1">
        <w:r w:rsidR="008F08FA" w:rsidRPr="009B71D6">
          <w:rPr>
            <w:rStyle w:val="Hypertextovodkaz"/>
            <w:rFonts w:cs="Arial"/>
            <w:noProof/>
          </w:rPr>
          <w:t>ii.</w:t>
        </w:r>
        <w:r w:rsidR="008F08FA">
          <w:rPr>
            <w:rFonts w:asciiTheme="minorHAnsi" w:eastAsiaTheme="minorEastAsia" w:hAnsiTheme="minorHAnsi"/>
            <w:noProof/>
            <w:sz w:val="22"/>
            <w:lang w:eastAsia="cs-CZ"/>
          </w:rPr>
          <w:tab/>
        </w:r>
        <w:r w:rsidR="008F08FA" w:rsidRPr="009B71D6">
          <w:rPr>
            <w:rStyle w:val="Hypertextovodkaz"/>
            <w:noProof/>
          </w:rPr>
          <w:t>Bonusové hry zdarma</w:t>
        </w:r>
        <w:r w:rsidR="008F08FA">
          <w:rPr>
            <w:noProof/>
            <w:webHidden/>
          </w:rPr>
          <w:tab/>
        </w:r>
        <w:r w:rsidR="008F08FA">
          <w:rPr>
            <w:noProof/>
            <w:webHidden/>
          </w:rPr>
          <w:fldChar w:fldCharType="begin"/>
        </w:r>
        <w:r w:rsidR="008F08FA">
          <w:rPr>
            <w:noProof/>
            <w:webHidden/>
          </w:rPr>
          <w:instrText xml:space="preserve"> PAGEREF _Toc73611618 \h </w:instrText>
        </w:r>
        <w:r w:rsidR="008F08FA">
          <w:rPr>
            <w:noProof/>
            <w:webHidden/>
          </w:rPr>
        </w:r>
        <w:r w:rsidR="008F08FA">
          <w:rPr>
            <w:noProof/>
            <w:webHidden/>
          </w:rPr>
          <w:fldChar w:fldCharType="separate"/>
        </w:r>
        <w:r w:rsidR="008F08FA">
          <w:rPr>
            <w:noProof/>
            <w:webHidden/>
          </w:rPr>
          <w:t>39</w:t>
        </w:r>
        <w:r w:rsidR="008F08FA">
          <w:rPr>
            <w:noProof/>
            <w:webHidden/>
          </w:rPr>
          <w:fldChar w:fldCharType="end"/>
        </w:r>
      </w:hyperlink>
    </w:p>
    <w:p w14:paraId="463A2CDA" w14:textId="178BF9FC"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19" w:history="1">
        <w:r w:rsidR="008F08FA" w:rsidRPr="009B71D6">
          <w:rPr>
            <w:rStyle w:val="Hypertextovodkaz"/>
            <w:rFonts w:cs="Arial"/>
            <w:noProof/>
          </w:rPr>
          <w:t>iii.</w:t>
        </w:r>
        <w:r w:rsidR="008F08FA">
          <w:rPr>
            <w:rFonts w:asciiTheme="minorHAnsi" w:eastAsiaTheme="minorEastAsia" w:hAnsiTheme="minorHAnsi"/>
            <w:noProof/>
            <w:sz w:val="22"/>
            <w:lang w:eastAsia="cs-CZ"/>
          </w:rPr>
          <w:tab/>
        </w:r>
        <w:r w:rsidR="008F08FA" w:rsidRPr="009B71D6">
          <w:rPr>
            <w:rStyle w:val="Hypertextovodkaz"/>
            <w:noProof/>
          </w:rPr>
          <w:t>Interakce účastníka hazardní hry a jeho vliv na výsledek hazardní hry</w:t>
        </w:r>
        <w:r w:rsidR="008F08FA">
          <w:rPr>
            <w:noProof/>
            <w:webHidden/>
          </w:rPr>
          <w:tab/>
        </w:r>
        <w:r w:rsidR="008F08FA">
          <w:rPr>
            <w:noProof/>
            <w:webHidden/>
          </w:rPr>
          <w:fldChar w:fldCharType="begin"/>
        </w:r>
        <w:r w:rsidR="008F08FA">
          <w:rPr>
            <w:noProof/>
            <w:webHidden/>
          </w:rPr>
          <w:instrText xml:space="preserve"> PAGEREF _Toc73611619 \h </w:instrText>
        </w:r>
        <w:r w:rsidR="008F08FA">
          <w:rPr>
            <w:noProof/>
            <w:webHidden/>
          </w:rPr>
        </w:r>
        <w:r w:rsidR="008F08FA">
          <w:rPr>
            <w:noProof/>
            <w:webHidden/>
          </w:rPr>
          <w:fldChar w:fldCharType="separate"/>
        </w:r>
        <w:r w:rsidR="008F08FA">
          <w:rPr>
            <w:noProof/>
            <w:webHidden/>
          </w:rPr>
          <w:t>40</w:t>
        </w:r>
        <w:r w:rsidR="008F08FA">
          <w:rPr>
            <w:noProof/>
            <w:webHidden/>
          </w:rPr>
          <w:fldChar w:fldCharType="end"/>
        </w:r>
      </w:hyperlink>
    </w:p>
    <w:p w14:paraId="40D77D70" w14:textId="6D916F38"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20" w:history="1">
        <w:r w:rsidR="008F08FA" w:rsidRPr="009B71D6">
          <w:rPr>
            <w:rStyle w:val="Hypertextovodkaz"/>
            <w:rFonts w:cs="Arial"/>
            <w:noProof/>
          </w:rPr>
          <w:t>iv.</w:t>
        </w:r>
        <w:r w:rsidR="008F08FA">
          <w:rPr>
            <w:rFonts w:asciiTheme="minorHAnsi" w:eastAsiaTheme="minorEastAsia" w:hAnsiTheme="minorHAnsi"/>
            <w:noProof/>
            <w:sz w:val="22"/>
            <w:lang w:eastAsia="cs-CZ"/>
          </w:rPr>
          <w:tab/>
        </w:r>
        <w:r w:rsidR="008F08FA" w:rsidRPr="009B71D6">
          <w:rPr>
            <w:rStyle w:val="Hypertextovodkaz"/>
            <w:noProof/>
          </w:rPr>
          <w:t>Jackpot</w:t>
        </w:r>
        <w:r w:rsidR="008F08FA">
          <w:rPr>
            <w:noProof/>
            <w:webHidden/>
          </w:rPr>
          <w:tab/>
        </w:r>
        <w:r w:rsidR="008F08FA">
          <w:rPr>
            <w:noProof/>
            <w:webHidden/>
          </w:rPr>
          <w:fldChar w:fldCharType="begin"/>
        </w:r>
        <w:r w:rsidR="008F08FA">
          <w:rPr>
            <w:noProof/>
            <w:webHidden/>
          </w:rPr>
          <w:instrText xml:space="preserve"> PAGEREF _Toc73611620 \h </w:instrText>
        </w:r>
        <w:r w:rsidR="008F08FA">
          <w:rPr>
            <w:noProof/>
            <w:webHidden/>
          </w:rPr>
        </w:r>
        <w:r w:rsidR="008F08FA">
          <w:rPr>
            <w:noProof/>
            <w:webHidden/>
          </w:rPr>
          <w:fldChar w:fldCharType="separate"/>
        </w:r>
        <w:r w:rsidR="008F08FA">
          <w:rPr>
            <w:noProof/>
            <w:webHidden/>
          </w:rPr>
          <w:t>41</w:t>
        </w:r>
        <w:r w:rsidR="008F08FA">
          <w:rPr>
            <w:noProof/>
            <w:webHidden/>
          </w:rPr>
          <w:fldChar w:fldCharType="end"/>
        </w:r>
      </w:hyperlink>
    </w:p>
    <w:p w14:paraId="25F40E27" w14:textId="2F525A8F" w:rsidR="008F08FA" w:rsidRDefault="00A70360">
      <w:pPr>
        <w:pStyle w:val="Obsah5"/>
        <w:tabs>
          <w:tab w:val="left" w:pos="1540"/>
          <w:tab w:val="right" w:leader="dot" w:pos="9062"/>
        </w:tabs>
        <w:rPr>
          <w:rFonts w:asciiTheme="minorHAnsi" w:eastAsiaTheme="minorEastAsia" w:hAnsiTheme="minorHAnsi"/>
          <w:noProof/>
          <w:sz w:val="22"/>
          <w:lang w:eastAsia="cs-CZ"/>
        </w:rPr>
      </w:pPr>
      <w:hyperlink w:anchor="_Toc73611621" w:history="1">
        <w:r w:rsidR="008F08FA" w:rsidRPr="009B71D6">
          <w:rPr>
            <w:rStyle w:val="Hypertextovodkaz"/>
            <w:noProof/>
            <w14:scene3d>
              <w14:camera w14:prst="orthographicFront"/>
              <w14:lightRig w14:rig="threePt" w14:dir="t">
                <w14:rot w14:lat="0" w14:lon="0" w14:rev="0"/>
              </w14:lightRig>
            </w14:scene3d>
          </w:rPr>
          <w:t>B.</w:t>
        </w:r>
        <w:r w:rsidR="008F08FA">
          <w:rPr>
            <w:rFonts w:asciiTheme="minorHAnsi" w:eastAsiaTheme="minorEastAsia" w:hAnsiTheme="minorHAnsi"/>
            <w:noProof/>
            <w:sz w:val="22"/>
            <w:lang w:eastAsia="cs-CZ"/>
          </w:rPr>
          <w:tab/>
        </w:r>
        <w:r w:rsidR="008F08FA" w:rsidRPr="009B71D6">
          <w:rPr>
            <w:rStyle w:val="Hypertextovodkaz"/>
            <w:noProof/>
          </w:rPr>
          <w:t>Nejvyšší hodinová prohra</w:t>
        </w:r>
        <w:r w:rsidR="008F08FA">
          <w:rPr>
            <w:noProof/>
            <w:webHidden/>
          </w:rPr>
          <w:tab/>
        </w:r>
        <w:r w:rsidR="008F08FA">
          <w:rPr>
            <w:noProof/>
            <w:webHidden/>
          </w:rPr>
          <w:fldChar w:fldCharType="begin"/>
        </w:r>
        <w:r w:rsidR="008F08FA">
          <w:rPr>
            <w:noProof/>
            <w:webHidden/>
          </w:rPr>
          <w:instrText xml:space="preserve"> PAGEREF _Toc73611621 \h </w:instrText>
        </w:r>
        <w:r w:rsidR="008F08FA">
          <w:rPr>
            <w:noProof/>
            <w:webHidden/>
          </w:rPr>
        </w:r>
        <w:r w:rsidR="008F08FA">
          <w:rPr>
            <w:noProof/>
            <w:webHidden/>
          </w:rPr>
          <w:fldChar w:fldCharType="separate"/>
        </w:r>
        <w:r w:rsidR="008F08FA">
          <w:rPr>
            <w:noProof/>
            <w:webHidden/>
          </w:rPr>
          <w:t>44</w:t>
        </w:r>
        <w:r w:rsidR="008F08FA">
          <w:rPr>
            <w:noProof/>
            <w:webHidden/>
          </w:rPr>
          <w:fldChar w:fldCharType="end"/>
        </w:r>
      </w:hyperlink>
    </w:p>
    <w:p w14:paraId="1ECFA731" w14:textId="0AE505F0"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22" w:history="1">
        <w:r w:rsidR="008F08FA" w:rsidRPr="009B71D6">
          <w:rPr>
            <w:rStyle w:val="Hypertextovodkaz"/>
            <w:rFonts w:cs="Arial"/>
            <w:noProof/>
          </w:rPr>
          <w:t>i.</w:t>
        </w:r>
        <w:r w:rsidR="008F08FA">
          <w:rPr>
            <w:rFonts w:asciiTheme="minorHAnsi" w:eastAsiaTheme="minorEastAsia" w:hAnsiTheme="minorHAnsi"/>
            <w:noProof/>
            <w:sz w:val="22"/>
            <w:lang w:eastAsia="cs-CZ"/>
          </w:rPr>
          <w:tab/>
        </w:r>
        <w:r w:rsidR="008F08FA" w:rsidRPr="009B71D6">
          <w:rPr>
            <w:rStyle w:val="Hypertextovodkaz"/>
            <w:noProof/>
          </w:rPr>
          <w:t>Hodnota je nastavena velmi vysoko, takže nereguluje účastníky hazardní hry, kteří nedisponují vysokými peněžními prostředky</w:t>
        </w:r>
        <w:r w:rsidR="008F08FA">
          <w:rPr>
            <w:noProof/>
            <w:webHidden/>
          </w:rPr>
          <w:tab/>
        </w:r>
        <w:r w:rsidR="008F08FA">
          <w:rPr>
            <w:noProof/>
            <w:webHidden/>
          </w:rPr>
          <w:fldChar w:fldCharType="begin"/>
        </w:r>
        <w:r w:rsidR="008F08FA">
          <w:rPr>
            <w:noProof/>
            <w:webHidden/>
          </w:rPr>
          <w:instrText xml:space="preserve"> PAGEREF _Toc73611622 \h </w:instrText>
        </w:r>
        <w:r w:rsidR="008F08FA">
          <w:rPr>
            <w:noProof/>
            <w:webHidden/>
          </w:rPr>
        </w:r>
        <w:r w:rsidR="008F08FA">
          <w:rPr>
            <w:noProof/>
            <w:webHidden/>
          </w:rPr>
          <w:fldChar w:fldCharType="separate"/>
        </w:r>
        <w:r w:rsidR="008F08FA">
          <w:rPr>
            <w:noProof/>
            <w:webHidden/>
          </w:rPr>
          <w:t>44</w:t>
        </w:r>
        <w:r w:rsidR="008F08FA">
          <w:rPr>
            <w:noProof/>
            <w:webHidden/>
          </w:rPr>
          <w:fldChar w:fldCharType="end"/>
        </w:r>
      </w:hyperlink>
    </w:p>
    <w:p w14:paraId="1F4DBF0C" w14:textId="1D9C5621" w:rsidR="008F08FA" w:rsidRDefault="00A70360">
      <w:pPr>
        <w:pStyle w:val="Obsah2"/>
        <w:tabs>
          <w:tab w:val="left" w:pos="660"/>
          <w:tab w:val="right" w:leader="dot" w:pos="9062"/>
        </w:tabs>
        <w:rPr>
          <w:rFonts w:asciiTheme="minorHAnsi" w:eastAsiaTheme="minorEastAsia" w:hAnsiTheme="minorHAnsi"/>
          <w:noProof/>
          <w:sz w:val="22"/>
          <w:lang w:eastAsia="cs-CZ"/>
        </w:rPr>
      </w:pPr>
      <w:hyperlink w:anchor="_Toc73611623" w:history="1">
        <w:r w:rsidR="008F08FA" w:rsidRPr="009B71D6">
          <w:rPr>
            <w:rStyle w:val="Hypertextovodkaz"/>
            <w:noProof/>
          </w:rPr>
          <w:t>5</w:t>
        </w:r>
        <w:r w:rsidR="008F08FA">
          <w:rPr>
            <w:rFonts w:asciiTheme="minorHAnsi" w:eastAsiaTheme="minorEastAsia" w:hAnsiTheme="minorHAnsi"/>
            <w:noProof/>
            <w:sz w:val="22"/>
            <w:lang w:eastAsia="cs-CZ"/>
          </w:rPr>
          <w:tab/>
        </w:r>
        <w:r w:rsidR="008F08FA" w:rsidRPr="009B71D6">
          <w:rPr>
            <w:rStyle w:val="Hypertextovodkaz"/>
            <w:noProof/>
          </w:rPr>
          <w:t>Živá hra</w:t>
        </w:r>
        <w:r w:rsidR="008F08FA">
          <w:rPr>
            <w:noProof/>
            <w:webHidden/>
          </w:rPr>
          <w:tab/>
        </w:r>
        <w:r w:rsidR="008F08FA">
          <w:rPr>
            <w:noProof/>
            <w:webHidden/>
          </w:rPr>
          <w:fldChar w:fldCharType="begin"/>
        </w:r>
        <w:r w:rsidR="008F08FA">
          <w:rPr>
            <w:noProof/>
            <w:webHidden/>
          </w:rPr>
          <w:instrText xml:space="preserve"> PAGEREF _Toc73611623 \h </w:instrText>
        </w:r>
        <w:r w:rsidR="008F08FA">
          <w:rPr>
            <w:noProof/>
            <w:webHidden/>
          </w:rPr>
        </w:r>
        <w:r w:rsidR="008F08FA">
          <w:rPr>
            <w:noProof/>
            <w:webHidden/>
          </w:rPr>
          <w:fldChar w:fldCharType="separate"/>
        </w:r>
        <w:r w:rsidR="008F08FA">
          <w:rPr>
            <w:noProof/>
            <w:webHidden/>
          </w:rPr>
          <w:t>49</w:t>
        </w:r>
        <w:r w:rsidR="008F08FA">
          <w:rPr>
            <w:noProof/>
            <w:webHidden/>
          </w:rPr>
          <w:fldChar w:fldCharType="end"/>
        </w:r>
      </w:hyperlink>
    </w:p>
    <w:p w14:paraId="04A6E456" w14:textId="57CCE855"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24" w:history="1">
        <w:r w:rsidR="008F08FA" w:rsidRPr="009B71D6">
          <w:rPr>
            <w:rStyle w:val="Hypertextovodkaz"/>
            <w:noProof/>
          </w:rPr>
          <w:t>5.1</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loteriích</w:t>
        </w:r>
        <w:r w:rsidR="008F08FA">
          <w:rPr>
            <w:noProof/>
            <w:webHidden/>
          </w:rPr>
          <w:tab/>
        </w:r>
        <w:r w:rsidR="008F08FA">
          <w:rPr>
            <w:noProof/>
            <w:webHidden/>
          </w:rPr>
          <w:fldChar w:fldCharType="begin"/>
        </w:r>
        <w:r w:rsidR="008F08FA">
          <w:rPr>
            <w:noProof/>
            <w:webHidden/>
          </w:rPr>
          <w:instrText xml:space="preserve"> PAGEREF _Toc73611624 \h </w:instrText>
        </w:r>
        <w:r w:rsidR="008F08FA">
          <w:rPr>
            <w:noProof/>
            <w:webHidden/>
          </w:rPr>
        </w:r>
        <w:r w:rsidR="008F08FA">
          <w:rPr>
            <w:noProof/>
            <w:webHidden/>
          </w:rPr>
          <w:fldChar w:fldCharType="separate"/>
        </w:r>
        <w:r w:rsidR="008F08FA">
          <w:rPr>
            <w:noProof/>
            <w:webHidden/>
          </w:rPr>
          <w:t>49</w:t>
        </w:r>
        <w:r w:rsidR="008F08FA">
          <w:rPr>
            <w:noProof/>
            <w:webHidden/>
          </w:rPr>
          <w:fldChar w:fldCharType="end"/>
        </w:r>
      </w:hyperlink>
    </w:p>
    <w:p w14:paraId="11927AD5" w14:textId="2BF784A7"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25" w:history="1">
        <w:r w:rsidR="008F08FA" w:rsidRPr="009B71D6">
          <w:rPr>
            <w:rStyle w:val="Hypertextovodkaz"/>
            <w:noProof/>
          </w:rPr>
          <w:t>5.2</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hazardních hrách</w:t>
        </w:r>
        <w:r w:rsidR="008F08FA">
          <w:rPr>
            <w:noProof/>
            <w:webHidden/>
          </w:rPr>
          <w:tab/>
        </w:r>
        <w:r w:rsidR="008F08FA">
          <w:rPr>
            <w:noProof/>
            <w:webHidden/>
          </w:rPr>
          <w:fldChar w:fldCharType="begin"/>
        </w:r>
        <w:r w:rsidR="008F08FA">
          <w:rPr>
            <w:noProof/>
            <w:webHidden/>
          </w:rPr>
          <w:instrText xml:space="preserve"> PAGEREF _Toc73611625 \h </w:instrText>
        </w:r>
        <w:r w:rsidR="008F08FA">
          <w:rPr>
            <w:noProof/>
            <w:webHidden/>
          </w:rPr>
        </w:r>
        <w:r w:rsidR="008F08FA">
          <w:rPr>
            <w:noProof/>
            <w:webHidden/>
          </w:rPr>
          <w:fldChar w:fldCharType="separate"/>
        </w:r>
        <w:r w:rsidR="008F08FA">
          <w:rPr>
            <w:noProof/>
            <w:webHidden/>
          </w:rPr>
          <w:t>49</w:t>
        </w:r>
        <w:r w:rsidR="008F08FA">
          <w:rPr>
            <w:noProof/>
            <w:webHidden/>
          </w:rPr>
          <w:fldChar w:fldCharType="end"/>
        </w:r>
      </w:hyperlink>
    </w:p>
    <w:p w14:paraId="3B7EEAB6" w14:textId="6CBCDCC5"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26" w:history="1">
        <w:r w:rsidR="008F08FA" w:rsidRPr="009B71D6">
          <w:rPr>
            <w:rStyle w:val="Hypertextovodkaz"/>
            <w:noProof/>
          </w:rPr>
          <w:t>5.3</w:t>
        </w:r>
        <w:r w:rsidR="008F08FA">
          <w:rPr>
            <w:rFonts w:asciiTheme="minorHAnsi" w:eastAsiaTheme="minorEastAsia" w:hAnsiTheme="minorHAnsi"/>
            <w:noProof/>
            <w:sz w:val="22"/>
            <w:lang w:eastAsia="cs-CZ"/>
          </w:rPr>
          <w:tab/>
        </w:r>
        <w:r w:rsidR="008F08FA" w:rsidRPr="009B71D6">
          <w:rPr>
            <w:rStyle w:val="Hypertextovodkaz"/>
            <w:noProof/>
          </w:rPr>
          <w:t>Konkrétní popis nástrojů, včetně oblastí, na které by bylo vhodné se v budoucnu zaměřit, a návrh doporučení či možných variant řešení</w:t>
        </w:r>
        <w:r w:rsidR="008F08FA">
          <w:rPr>
            <w:noProof/>
            <w:webHidden/>
          </w:rPr>
          <w:tab/>
        </w:r>
        <w:r w:rsidR="008F08FA">
          <w:rPr>
            <w:noProof/>
            <w:webHidden/>
          </w:rPr>
          <w:fldChar w:fldCharType="begin"/>
        </w:r>
        <w:r w:rsidR="008F08FA">
          <w:rPr>
            <w:noProof/>
            <w:webHidden/>
          </w:rPr>
          <w:instrText xml:space="preserve"> PAGEREF _Toc73611626 \h </w:instrText>
        </w:r>
        <w:r w:rsidR="008F08FA">
          <w:rPr>
            <w:noProof/>
            <w:webHidden/>
          </w:rPr>
        </w:r>
        <w:r w:rsidR="008F08FA">
          <w:rPr>
            <w:noProof/>
            <w:webHidden/>
          </w:rPr>
          <w:fldChar w:fldCharType="separate"/>
        </w:r>
        <w:r w:rsidR="008F08FA">
          <w:rPr>
            <w:noProof/>
            <w:webHidden/>
          </w:rPr>
          <w:t>50</w:t>
        </w:r>
        <w:r w:rsidR="008F08FA">
          <w:rPr>
            <w:noProof/>
            <w:webHidden/>
          </w:rPr>
          <w:fldChar w:fldCharType="end"/>
        </w:r>
      </w:hyperlink>
    </w:p>
    <w:p w14:paraId="0EFF1DD7" w14:textId="4A9F31BC"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27" w:history="1">
        <w:r w:rsidR="008F08FA" w:rsidRPr="009B71D6">
          <w:rPr>
            <w:rStyle w:val="Hypertextovodkaz"/>
            <w:rFonts w:cs="Arial"/>
            <w:noProof/>
          </w:rPr>
          <w:t>i.</w:t>
        </w:r>
        <w:r w:rsidR="008F08FA">
          <w:rPr>
            <w:rFonts w:asciiTheme="minorHAnsi" w:eastAsiaTheme="minorEastAsia" w:hAnsiTheme="minorHAnsi"/>
            <w:noProof/>
            <w:sz w:val="22"/>
            <w:lang w:eastAsia="cs-CZ"/>
          </w:rPr>
          <w:tab/>
        </w:r>
        <w:r w:rsidR="008F08FA" w:rsidRPr="009B71D6">
          <w:rPr>
            <w:rStyle w:val="Hypertextovodkaz"/>
            <w:noProof/>
          </w:rPr>
          <w:t>Kvalifikace krupiérů</w:t>
        </w:r>
        <w:r w:rsidR="008F08FA">
          <w:rPr>
            <w:noProof/>
            <w:webHidden/>
          </w:rPr>
          <w:tab/>
        </w:r>
        <w:r w:rsidR="008F08FA">
          <w:rPr>
            <w:noProof/>
            <w:webHidden/>
          </w:rPr>
          <w:fldChar w:fldCharType="begin"/>
        </w:r>
        <w:r w:rsidR="008F08FA">
          <w:rPr>
            <w:noProof/>
            <w:webHidden/>
          </w:rPr>
          <w:instrText xml:space="preserve"> PAGEREF _Toc73611627 \h </w:instrText>
        </w:r>
        <w:r w:rsidR="008F08FA">
          <w:rPr>
            <w:noProof/>
            <w:webHidden/>
          </w:rPr>
        </w:r>
        <w:r w:rsidR="008F08FA">
          <w:rPr>
            <w:noProof/>
            <w:webHidden/>
          </w:rPr>
          <w:fldChar w:fldCharType="separate"/>
        </w:r>
        <w:r w:rsidR="008F08FA">
          <w:rPr>
            <w:noProof/>
            <w:webHidden/>
          </w:rPr>
          <w:t>50</w:t>
        </w:r>
        <w:r w:rsidR="008F08FA">
          <w:rPr>
            <w:noProof/>
            <w:webHidden/>
          </w:rPr>
          <w:fldChar w:fldCharType="end"/>
        </w:r>
      </w:hyperlink>
    </w:p>
    <w:p w14:paraId="6C286CC9" w14:textId="1790FB9E"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28" w:history="1">
        <w:r w:rsidR="008F08FA" w:rsidRPr="009B71D6">
          <w:rPr>
            <w:rStyle w:val="Hypertextovodkaz"/>
            <w:rFonts w:cs="Arial"/>
            <w:noProof/>
          </w:rPr>
          <w:t>ii.</w:t>
        </w:r>
        <w:r w:rsidR="008F08FA">
          <w:rPr>
            <w:rFonts w:asciiTheme="minorHAnsi" w:eastAsiaTheme="minorEastAsia" w:hAnsiTheme="minorHAnsi"/>
            <w:noProof/>
            <w:sz w:val="22"/>
            <w:lang w:eastAsia="cs-CZ"/>
          </w:rPr>
          <w:tab/>
        </w:r>
        <w:r w:rsidR="008F08FA" w:rsidRPr="009B71D6">
          <w:rPr>
            <w:rStyle w:val="Hypertextovodkaz"/>
            <w:noProof/>
          </w:rPr>
          <w:t>Žetony - Vyznačená hodnota žetonu</w:t>
        </w:r>
        <w:r w:rsidR="008F08FA">
          <w:rPr>
            <w:noProof/>
            <w:webHidden/>
          </w:rPr>
          <w:tab/>
        </w:r>
        <w:r w:rsidR="008F08FA">
          <w:rPr>
            <w:noProof/>
            <w:webHidden/>
          </w:rPr>
          <w:fldChar w:fldCharType="begin"/>
        </w:r>
        <w:r w:rsidR="008F08FA">
          <w:rPr>
            <w:noProof/>
            <w:webHidden/>
          </w:rPr>
          <w:instrText xml:space="preserve"> PAGEREF _Toc73611628 \h </w:instrText>
        </w:r>
        <w:r w:rsidR="008F08FA">
          <w:rPr>
            <w:noProof/>
            <w:webHidden/>
          </w:rPr>
        </w:r>
        <w:r w:rsidR="008F08FA">
          <w:rPr>
            <w:noProof/>
            <w:webHidden/>
          </w:rPr>
          <w:fldChar w:fldCharType="separate"/>
        </w:r>
        <w:r w:rsidR="008F08FA">
          <w:rPr>
            <w:noProof/>
            <w:webHidden/>
          </w:rPr>
          <w:t>51</w:t>
        </w:r>
        <w:r w:rsidR="008F08FA">
          <w:rPr>
            <w:noProof/>
            <w:webHidden/>
          </w:rPr>
          <w:fldChar w:fldCharType="end"/>
        </w:r>
      </w:hyperlink>
    </w:p>
    <w:p w14:paraId="65E25740" w14:textId="28266236"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29" w:history="1">
        <w:r w:rsidR="008F08FA" w:rsidRPr="009B71D6">
          <w:rPr>
            <w:rStyle w:val="Hypertextovodkaz"/>
            <w:rFonts w:cs="Arial"/>
            <w:noProof/>
          </w:rPr>
          <w:t>iii.</w:t>
        </w:r>
        <w:r w:rsidR="008F08FA">
          <w:rPr>
            <w:rFonts w:asciiTheme="minorHAnsi" w:eastAsiaTheme="minorEastAsia" w:hAnsiTheme="minorHAnsi"/>
            <w:noProof/>
            <w:sz w:val="22"/>
            <w:lang w:eastAsia="cs-CZ"/>
          </w:rPr>
          <w:tab/>
        </w:r>
        <w:r w:rsidR="008F08FA" w:rsidRPr="009B71D6">
          <w:rPr>
            <w:rStyle w:val="Hypertextovodkaz"/>
            <w:noProof/>
          </w:rPr>
          <w:t>Žetony - Uvedení názvu provozovatele na žetonu</w:t>
        </w:r>
        <w:r w:rsidR="008F08FA">
          <w:rPr>
            <w:noProof/>
            <w:webHidden/>
          </w:rPr>
          <w:tab/>
        </w:r>
        <w:r w:rsidR="008F08FA">
          <w:rPr>
            <w:noProof/>
            <w:webHidden/>
          </w:rPr>
          <w:fldChar w:fldCharType="begin"/>
        </w:r>
        <w:r w:rsidR="008F08FA">
          <w:rPr>
            <w:noProof/>
            <w:webHidden/>
          </w:rPr>
          <w:instrText xml:space="preserve"> PAGEREF _Toc73611629 \h </w:instrText>
        </w:r>
        <w:r w:rsidR="008F08FA">
          <w:rPr>
            <w:noProof/>
            <w:webHidden/>
          </w:rPr>
        </w:r>
        <w:r w:rsidR="008F08FA">
          <w:rPr>
            <w:noProof/>
            <w:webHidden/>
          </w:rPr>
          <w:fldChar w:fldCharType="separate"/>
        </w:r>
        <w:r w:rsidR="008F08FA">
          <w:rPr>
            <w:noProof/>
            <w:webHidden/>
          </w:rPr>
          <w:t>52</w:t>
        </w:r>
        <w:r w:rsidR="008F08FA">
          <w:rPr>
            <w:noProof/>
            <w:webHidden/>
          </w:rPr>
          <w:fldChar w:fldCharType="end"/>
        </w:r>
      </w:hyperlink>
    </w:p>
    <w:p w14:paraId="373A1262" w14:textId="30055F61"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30" w:history="1">
        <w:r w:rsidR="008F08FA" w:rsidRPr="009B71D6">
          <w:rPr>
            <w:rStyle w:val="Hypertextovodkaz"/>
            <w:rFonts w:cs="Arial"/>
            <w:noProof/>
          </w:rPr>
          <w:t>iv.</w:t>
        </w:r>
        <w:r w:rsidR="008F08FA">
          <w:rPr>
            <w:rFonts w:asciiTheme="minorHAnsi" w:eastAsiaTheme="minorEastAsia" w:hAnsiTheme="minorHAnsi"/>
            <w:noProof/>
            <w:sz w:val="22"/>
            <w:lang w:eastAsia="cs-CZ"/>
          </w:rPr>
          <w:tab/>
        </w:r>
        <w:r w:rsidR="008F08FA" w:rsidRPr="009B71D6">
          <w:rPr>
            <w:rStyle w:val="Hypertextovodkaz"/>
            <w:noProof/>
          </w:rPr>
          <w:t>Sdílené turnaje živé hry</w:t>
        </w:r>
        <w:r w:rsidR="008F08FA">
          <w:rPr>
            <w:noProof/>
            <w:webHidden/>
          </w:rPr>
          <w:tab/>
        </w:r>
        <w:r w:rsidR="008F08FA">
          <w:rPr>
            <w:noProof/>
            <w:webHidden/>
          </w:rPr>
          <w:fldChar w:fldCharType="begin"/>
        </w:r>
        <w:r w:rsidR="008F08FA">
          <w:rPr>
            <w:noProof/>
            <w:webHidden/>
          </w:rPr>
          <w:instrText xml:space="preserve"> PAGEREF _Toc73611630 \h </w:instrText>
        </w:r>
        <w:r w:rsidR="008F08FA">
          <w:rPr>
            <w:noProof/>
            <w:webHidden/>
          </w:rPr>
        </w:r>
        <w:r w:rsidR="008F08FA">
          <w:rPr>
            <w:noProof/>
            <w:webHidden/>
          </w:rPr>
          <w:fldChar w:fldCharType="separate"/>
        </w:r>
        <w:r w:rsidR="008F08FA">
          <w:rPr>
            <w:noProof/>
            <w:webHidden/>
          </w:rPr>
          <w:t>52</w:t>
        </w:r>
        <w:r w:rsidR="008F08FA">
          <w:rPr>
            <w:noProof/>
            <w:webHidden/>
          </w:rPr>
          <w:fldChar w:fldCharType="end"/>
        </w:r>
      </w:hyperlink>
    </w:p>
    <w:p w14:paraId="49E0152A" w14:textId="052959A9"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31" w:history="1">
        <w:r w:rsidR="008F08FA" w:rsidRPr="009B71D6">
          <w:rPr>
            <w:rStyle w:val="Hypertextovodkaz"/>
            <w:rFonts w:cs="Arial"/>
            <w:noProof/>
          </w:rPr>
          <w:t>v.</w:t>
        </w:r>
        <w:r w:rsidR="008F08FA">
          <w:rPr>
            <w:rFonts w:asciiTheme="minorHAnsi" w:eastAsiaTheme="minorEastAsia" w:hAnsiTheme="minorHAnsi"/>
            <w:noProof/>
            <w:sz w:val="22"/>
            <w:lang w:eastAsia="cs-CZ"/>
          </w:rPr>
          <w:tab/>
        </w:r>
        <w:r w:rsidR="008F08FA" w:rsidRPr="009B71D6">
          <w:rPr>
            <w:rStyle w:val="Hypertextovodkaz"/>
            <w:noProof/>
          </w:rPr>
          <w:t>Virtuální žetony používané účastníky hazardní hry prostřednictvím tabletu, touchpadu apod.</w:t>
        </w:r>
        <w:r w:rsidR="008F08FA">
          <w:rPr>
            <w:noProof/>
            <w:webHidden/>
          </w:rPr>
          <w:tab/>
        </w:r>
        <w:r w:rsidR="008F08FA">
          <w:rPr>
            <w:noProof/>
            <w:webHidden/>
          </w:rPr>
          <w:fldChar w:fldCharType="begin"/>
        </w:r>
        <w:r w:rsidR="008F08FA">
          <w:rPr>
            <w:noProof/>
            <w:webHidden/>
          </w:rPr>
          <w:instrText xml:space="preserve"> PAGEREF _Toc73611631 \h </w:instrText>
        </w:r>
        <w:r w:rsidR="008F08FA">
          <w:rPr>
            <w:noProof/>
            <w:webHidden/>
          </w:rPr>
        </w:r>
        <w:r w:rsidR="008F08FA">
          <w:rPr>
            <w:noProof/>
            <w:webHidden/>
          </w:rPr>
          <w:fldChar w:fldCharType="separate"/>
        </w:r>
        <w:r w:rsidR="008F08FA">
          <w:rPr>
            <w:noProof/>
            <w:webHidden/>
          </w:rPr>
          <w:t>53</w:t>
        </w:r>
        <w:r w:rsidR="008F08FA">
          <w:rPr>
            <w:noProof/>
            <w:webHidden/>
          </w:rPr>
          <w:fldChar w:fldCharType="end"/>
        </w:r>
      </w:hyperlink>
    </w:p>
    <w:p w14:paraId="3498C4C0" w14:textId="41B2BFF7"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32" w:history="1">
        <w:r w:rsidR="008F08FA" w:rsidRPr="009B71D6">
          <w:rPr>
            <w:rStyle w:val="Hypertextovodkaz"/>
            <w:rFonts w:cs="Arial"/>
            <w:noProof/>
          </w:rPr>
          <w:t>vi.</w:t>
        </w:r>
        <w:r w:rsidR="008F08FA">
          <w:rPr>
            <w:rFonts w:asciiTheme="minorHAnsi" w:eastAsiaTheme="minorEastAsia" w:hAnsiTheme="minorHAnsi"/>
            <w:noProof/>
            <w:sz w:val="22"/>
            <w:lang w:eastAsia="cs-CZ"/>
          </w:rPr>
          <w:tab/>
        </w:r>
        <w:r w:rsidR="008F08FA" w:rsidRPr="009B71D6">
          <w:rPr>
            <w:rStyle w:val="Hypertextovodkaz"/>
            <w:noProof/>
          </w:rPr>
          <w:t>Live dealer games</w:t>
        </w:r>
        <w:r w:rsidR="008F08FA">
          <w:rPr>
            <w:noProof/>
            <w:webHidden/>
          </w:rPr>
          <w:tab/>
        </w:r>
        <w:r w:rsidR="008F08FA">
          <w:rPr>
            <w:noProof/>
            <w:webHidden/>
          </w:rPr>
          <w:fldChar w:fldCharType="begin"/>
        </w:r>
        <w:r w:rsidR="008F08FA">
          <w:rPr>
            <w:noProof/>
            <w:webHidden/>
          </w:rPr>
          <w:instrText xml:space="preserve"> PAGEREF _Toc73611632 \h </w:instrText>
        </w:r>
        <w:r w:rsidR="008F08FA">
          <w:rPr>
            <w:noProof/>
            <w:webHidden/>
          </w:rPr>
        </w:r>
        <w:r w:rsidR="008F08FA">
          <w:rPr>
            <w:noProof/>
            <w:webHidden/>
          </w:rPr>
          <w:fldChar w:fldCharType="separate"/>
        </w:r>
        <w:r w:rsidR="008F08FA">
          <w:rPr>
            <w:noProof/>
            <w:webHidden/>
          </w:rPr>
          <w:t>53</w:t>
        </w:r>
        <w:r w:rsidR="008F08FA">
          <w:rPr>
            <w:noProof/>
            <w:webHidden/>
          </w:rPr>
          <w:fldChar w:fldCharType="end"/>
        </w:r>
      </w:hyperlink>
    </w:p>
    <w:p w14:paraId="63C0C114" w14:textId="700A2781" w:rsidR="008F08FA" w:rsidRDefault="00A70360">
      <w:pPr>
        <w:pStyle w:val="Obsah2"/>
        <w:tabs>
          <w:tab w:val="left" w:pos="660"/>
          <w:tab w:val="right" w:leader="dot" w:pos="9062"/>
        </w:tabs>
        <w:rPr>
          <w:rFonts w:asciiTheme="minorHAnsi" w:eastAsiaTheme="minorEastAsia" w:hAnsiTheme="minorHAnsi"/>
          <w:noProof/>
          <w:sz w:val="22"/>
          <w:lang w:eastAsia="cs-CZ"/>
        </w:rPr>
      </w:pPr>
      <w:hyperlink w:anchor="_Toc73611633" w:history="1">
        <w:r w:rsidR="008F08FA" w:rsidRPr="009B71D6">
          <w:rPr>
            <w:rStyle w:val="Hypertextovodkaz"/>
            <w:noProof/>
          </w:rPr>
          <w:t>6</w:t>
        </w:r>
        <w:r w:rsidR="008F08FA">
          <w:rPr>
            <w:rFonts w:asciiTheme="minorHAnsi" w:eastAsiaTheme="minorEastAsia" w:hAnsiTheme="minorHAnsi"/>
            <w:noProof/>
            <w:sz w:val="22"/>
            <w:lang w:eastAsia="cs-CZ"/>
          </w:rPr>
          <w:tab/>
        </w:r>
        <w:r w:rsidR="008F08FA" w:rsidRPr="009B71D6">
          <w:rPr>
            <w:rStyle w:val="Hypertextovodkaz"/>
            <w:noProof/>
          </w:rPr>
          <w:t>Tombola a turnaj malého rozsahu</w:t>
        </w:r>
        <w:r w:rsidR="008F08FA">
          <w:rPr>
            <w:noProof/>
            <w:webHidden/>
          </w:rPr>
          <w:tab/>
        </w:r>
        <w:r w:rsidR="008F08FA">
          <w:rPr>
            <w:noProof/>
            <w:webHidden/>
          </w:rPr>
          <w:fldChar w:fldCharType="begin"/>
        </w:r>
        <w:r w:rsidR="008F08FA">
          <w:rPr>
            <w:noProof/>
            <w:webHidden/>
          </w:rPr>
          <w:instrText xml:space="preserve"> PAGEREF _Toc73611633 \h </w:instrText>
        </w:r>
        <w:r w:rsidR="008F08FA">
          <w:rPr>
            <w:noProof/>
            <w:webHidden/>
          </w:rPr>
        </w:r>
        <w:r w:rsidR="008F08FA">
          <w:rPr>
            <w:noProof/>
            <w:webHidden/>
          </w:rPr>
          <w:fldChar w:fldCharType="separate"/>
        </w:r>
        <w:r w:rsidR="008F08FA">
          <w:rPr>
            <w:noProof/>
            <w:webHidden/>
          </w:rPr>
          <w:t>55</w:t>
        </w:r>
        <w:r w:rsidR="008F08FA">
          <w:rPr>
            <w:noProof/>
            <w:webHidden/>
          </w:rPr>
          <w:fldChar w:fldCharType="end"/>
        </w:r>
      </w:hyperlink>
    </w:p>
    <w:p w14:paraId="74BC1978" w14:textId="13413BCE"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34" w:history="1">
        <w:r w:rsidR="008F08FA" w:rsidRPr="009B71D6">
          <w:rPr>
            <w:rStyle w:val="Hypertextovodkaz"/>
            <w:noProof/>
          </w:rPr>
          <w:t>6.1</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loteriích</w:t>
        </w:r>
        <w:r w:rsidR="008F08FA">
          <w:rPr>
            <w:noProof/>
            <w:webHidden/>
          </w:rPr>
          <w:tab/>
        </w:r>
        <w:r w:rsidR="008F08FA">
          <w:rPr>
            <w:noProof/>
            <w:webHidden/>
          </w:rPr>
          <w:fldChar w:fldCharType="begin"/>
        </w:r>
        <w:r w:rsidR="008F08FA">
          <w:rPr>
            <w:noProof/>
            <w:webHidden/>
          </w:rPr>
          <w:instrText xml:space="preserve"> PAGEREF _Toc73611634 \h </w:instrText>
        </w:r>
        <w:r w:rsidR="008F08FA">
          <w:rPr>
            <w:noProof/>
            <w:webHidden/>
          </w:rPr>
        </w:r>
        <w:r w:rsidR="008F08FA">
          <w:rPr>
            <w:noProof/>
            <w:webHidden/>
          </w:rPr>
          <w:fldChar w:fldCharType="separate"/>
        </w:r>
        <w:r w:rsidR="008F08FA">
          <w:rPr>
            <w:noProof/>
            <w:webHidden/>
          </w:rPr>
          <w:t>55</w:t>
        </w:r>
        <w:r w:rsidR="008F08FA">
          <w:rPr>
            <w:noProof/>
            <w:webHidden/>
          </w:rPr>
          <w:fldChar w:fldCharType="end"/>
        </w:r>
      </w:hyperlink>
    </w:p>
    <w:p w14:paraId="6F29FE70" w14:textId="71977CD1"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35" w:history="1">
        <w:r w:rsidR="008F08FA" w:rsidRPr="009B71D6">
          <w:rPr>
            <w:rStyle w:val="Hypertextovodkaz"/>
            <w:noProof/>
          </w:rPr>
          <w:t>6.2</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hazardních hrách</w:t>
        </w:r>
        <w:r w:rsidR="008F08FA">
          <w:rPr>
            <w:noProof/>
            <w:webHidden/>
          </w:rPr>
          <w:tab/>
        </w:r>
        <w:r w:rsidR="008F08FA">
          <w:rPr>
            <w:noProof/>
            <w:webHidden/>
          </w:rPr>
          <w:fldChar w:fldCharType="begin"/>
        </w:r>
        <w:r w:rsidR="008F08FA">
          <w:rPr>
            <w:noProof/>
            <w:webHidden/>
          </w:rPr>
          <w:instrText xml:space="preserve"> PAGEREF _Toc73611635 \h </w:instrText>
        </w:r>
        <w:r w:rsidR="008F08FA">
          <w:rPr>
            <w:noProof/>
            <w:webHidden/>
          </w:rPr>
        </w:r>
        <w:r w:rsidR="008F08FA">
          <w:rPr>
            <w:noProof/>
            <w:webHidden/>
          </w:rPr>
          <w:fldChar w:fldCharType="separate"/>
        </w:r>
        <w:r w:rsidR="008F08FA">
          <w:rPr>
            <w:noProof/>
            <w:webHidden/>
          </w:rPr>
          <w:t>55</w:t>
        </w:r>
        <w:r w:rsidR="008F08FA">
          <w:rPr>
            <w:noProof/>
            <w:webHidden/>
          </w:rPr>
          <w:fldChar w:fldCharType="end"/>
        </w:r>
      </w:hyperlink>
    </w:p>
    <w:p w14:paraId="3912F39E" w14:textId="76D8472D"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36" w:history="1">
        <w:r w:rsidR="008F08FA" w:rsidRPr="009B71D6">
          <w:rPr>
            <w:rStyle w:val="Hypertextovodkaz"/>
            <w:noProof/>
          </w:rPr>
          <w:t>6.3</w:t>
        </w:r>
        <w:r w:rsidR="008F08FA">
          <w:rPr>
            <w:rFonts w:asciiTheme="minorHAnsi" w:eastAsiaTheme="minorEastAsia" w:hAnsiTheme="minorHAnsi"/>
            <w:noProof/>
            <w:sz w:val="22"/>
            <w:lang w:eastAsia="cs-CZ"/>
          </w:rPr>
          <w:tab/>
        </w:r>
        <w:r w:rsidR="008F08FA" w:rsidRPr="009B71D6">
          <w:rPr>
            <w:rStyle w:val="Hypertextovodkaz"/>
            <w:noProof/>
          </w:rPr>
          <w:t>Konkrétní popis nástrojů, včetně oblastí, na které by bylo vhodné se v budoucnu zaměřit, a návrh doporučení či možných variant řešení</w:t>
        </w:r>
        <w:r w:rsidR="008F08FA">
          <w:rPr>
            <w:noProof/>
            <w:webHidden/>
          </w:rPr>
          <w:tab/>
        </w:r>
        <w:r w:rsidR="008F08FA">
          <w:rPr>
            <w:noProof/>
            <w:webHidden/>
          </w:rPr>
          <w:fldChar w:fldCharType="begin"/>
        </w:r>
        <w:r w:rsidR="008F08FA">
          <w:rPr>
            <w:noProof/>
            <w:webHidden/>
          </w:rPr>
          <w:instrText xml:space="preserve"> PAGEREF _Toc73611636 \h </w:instrText>
        </w:r>
        <w:r w:rsidR="008F08FA">
          <w:rPr>
            <w:noProof/>
            <w:webHidden/>
          </w:rPr>
        </w:r>
        <w:r w:rsidR="008F08FA">
          <w:rPr>
            <w:noProof/>
            <w:webHidden/>
          </w:rPr>
          <w:fldChar w:fldCharType="separate"/>
        </w:r>
        <w:r w:rsidR="008F08FA">
          <w:rPr>
            <w:noProof/>
            <w:webHidden/>
          </w:rPr>
          <w:t>56</w:t>
        </w:r>
        <w:r w:rsidR="008F08FA">
          <w:rPr>
            <w:noProof/>
            <w:webHidden/>
          </w:rPr>
          <w:fldChar w:fldCharType="end"/>
        </w:r>
      </w:hyperlink>
    </w:p>
    <w:p w14:paraId="2718C1A7" w14:textId="0D71FE45"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37" w:history="1">
        <w:r w:rsidR="008F08FA" w:rsidRPr="009B71D6">
          <w:rPr>
            <w:rStyle w:val="Hypertextovodkaz"/>
            <w:rFonts w:cs="Arial"/>
            <w:noProof/>
          </w:rPr>
          <w:t>i.</w:t>
        </w:r>
        <w:r w:rsidR="008F08FA">
          <w:rPr>
            <w:rFonts w:asciiTheme="minorHAnsi" w:eastAsiaTheme="minorEastAsia" w:hAnsiTheme="minorHAnsi"/>
            <w:noProof/>
            <w:sz w:val="22"/>
            <w:lang w:eastAsia="cs-CZ"/>
          </w:rPr>
          <w:tab/>
        </w:r>
        <w:r w:rsidR="008F08FA" w:rsidRPr="009B71D6">
          <w:rPr>
            <w:rStyle w:val="Hypertextovodkaz"/>
            <w:noProof/>
          </w:rPr>
          <w:t>Sázkové tikety do tomboly lze prodávat a výhry vydávat pouze v den a na místě slosování</w:t>
        </w:r>
        <w:r w:rsidR="008F08FA">
          <w:rPr>
            <w:noProof/>
            <w:webHidden/>
          </w:rPr>
          <w:tab/>
        </w:r>
        <w:r w:rsidR="008F08FA">
          <w:rPr>
            <w:noProof/>
            <w:webHidden/>
          </w:rPr>
          <w:fldChar w:fldCharType="begin"/>
        </w:r>
        <w:r w:rsidR="008F08FA">
          <w:rPr>
            <w:noProof/>
            <w:webHidden/>
          </w:rPr>
          <w:instrText xml:space="preserve"> PAGEREF _Toc73611637 \h </w:instrText>
        </w:r>
        <w:r w:rsidR="008F08FA">
          <w:rPr>
            <w:noProof/>
            <w:webHidden/>
          </w:rPr>
        </w:r>
        <w:r w:rsidR="008F08FA">
          <w:rPr>
            <w:noProof/>
            <w:webHidden/>
          </w:rPr>
          <w:fldChar w:fldCharType="separate"/>
        </w:r>
        <w:r w:rsidR="008F08FA">
          <w:rPr>
            <w:noProof/>
            <w:webHidden/>
          </w:rPr>
          <w:t>56</w:t>
        </w:r>
        <w:r w:rsidR="008F08FA">
          <w:rPr>
            <w:noProof/>
            <w:webHidden/>
          </w:rPr>
          <w:fldChar w:fldCharType="end"/>
        </w:r>
      </w:hyperlink>
    </w:p>
    <w:p w14:paraId="7BC9E18E" w14:textId="0276E181" w:rsidR="008F08FA" w:rsidRDefault="00A70360">
      <w:pPr>
        <w:pStyle w:val="Obsah2"/>
        <w:tabs>
          <w:tab w:val="left" w:pos="660"/>
          <w:tab w:val="right" w:leader="dot" w:pos="9062"/>
        </w:tabs>
        <w:rPr>
          <w:rFonts w:asciiTheme="minorHAnsi" w:eastAsiaTheme="minorEastAsia" w:hAnsiTheme="minorHAnsi"/>
          <w:noProof/>
          <w:sz w:val="22"/>
          <w:lang w:eastAsia="cs-CZ"/>
        </w:rPr>
      </w:pPr>
      <w:hyperlink w:anchor="_Toc73611638" w:history="1">
        <w:r w:rsidR="008F08FA" w:rsidRPr="009B71D6">
          <w:rPr>
            <w:rStyle w:val="Hypertextovodkaz"/>
            <w:noProof/>
          </w:rPr>
          <w:t>7</w:t>
        </w:r>
        <w:r w:rsidR="008F08FA">
          <w:rPr>
            <w:rFonts w:asciiTheme="minorHAnsi" w:eastAsiaTheme="minorEastAsia" w:hAnsiTheme="minorHAnsi"/>
            <w:noProof/>
            <w:sz w:val="22"/>
            <w:lang w:eastAsia="cs-CZ"/>
          </w:rPr>
          <w:tab/>
        </w:r>
        <w:r w:rsidR="008F08FA" w:rsidRPr="009B71D6">
          <w:rPr>
            <w:rStyle w:val="Hypertextovodkaz"/>
            <w:noProof/>
          </w:rPr>
          <w:t>Nové koncepty hazardních her</w:t>
        </w:r>
        <w:r w:rsidR="008F08FA">
          <w:rPr>
            <w:noProof/>
            <w:webHidden/>
          </w:rPr>
          <w:tab/>
        </w:r>
        <w:r w:rsidR="008F08FA">
          <w:rPr>
            <w:noProof/>
            <w:webHidden/>
          </w:rPr>
          <w:fldChar w:fldCharType="begin"/>
        </w:r>
        <w:r w:rsidR="008F08FA">
          <w:rPr>
            <w:noProof/>
            <w:webHidden/>
          </w:rPr>
          <w:instrText xml:space="preserve"> PAGEREF _Toc73611638 \h </w:instrText>
        </w:r>
        <w:r w:rsidR="008F08FA">
          <w:rPr>
            <w:noProof/>
            <w:webHidden/>
          </w:rPr>
        </w:r>
        <w:r w:rsidR="008F08FA">
          <w:rPr>
            <w:noProof/>
            <w:webHidden/>
          </w:rPr>
          <w:fldChar w:fldCharType="separate"/>
        </w:r>
        <w:r w:rsidR="008F08FA">
          <w:rPr>
            <w:noProof/>
            <w:webHidden/>
          </w:rPr>
          <w:t>58</w:t>
        </w:r>
        <w:r w:rsidR="008F08FA">
          <w:rPr>
            <w:noProof/>
            <w:webHidden/>
          </w:rPr>
          <w:fldChar w:fldCharType="end"/>
        </w:r>
      </w:hyperlink>
    </w:p>
    <w:p w14:paraId="0ADF0624" w14:textId="206EBA2A"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39" w:history="1">
        <w:r w:rsidR="008F08FA" w:rsidRPr="009B71D6">
          <w:rPr>
            <w:rStyle w:val="Hypertextovodkaz"/>
            <w:noProof/>
          </w:rPr>
          <w:t>7.1</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loteriích</w:t>
        </w:r>
        <w:r w:rsidR="008F08FA">
          <w:rPr>
            <w:noProof/>
            <w:webHidden/>
          </w:rPr>
          <w:tab/>
        </w:r>
        <w:r w:rsidR="008F08FA">
          <w:rPr>
            <w:noProof/>
            <w:webHidden/>
          </w:rPr>
          <w:fldChar w:fldCharType="begin"/>
        </w:r>
        <w:r w:rsidR="008F08FA">
          <w:rPr>
            <w:noProof/>
            <w:webHidden/>
          </w:rPr>
          <w:instrText xml:space="preserve"> PAGEREF _Toc73611639 \h </w:instrText>
        </w:r>
        <w:r w:rsidR="008F08FA">
          <w:rPr>
            <w:noProof/>
            <w:webHidden/>
          </w:rPr>
        </w:r>
        <w:r w:rsidR="008F08FA">
          <w:rPr>
            <w:noProof/>
            <w:webHidden/>
          </w:rPr>
          <w:fldChar w:fldCharType="separate"/>
        </w:r>
        <w:r w:rsidR="008F08FA">
          <w:rPr>
            <w:noProof/>
            <w:webHidden/>
          </w:rPr>
          <w:t>58</w:t>
        </w:r>
        <w:r w:rsidR="008F08FA">
          <w:rPr>
            <w:noProof/>
            <w:webHidden/>
          </w:rPr>
          <w:fldChar w:fldCharType="end"/>
        </w:r>
      </w:hyperlink>
    </w:p>
    <w:p w14:paraId="28FB48CE" w14:textId="15631474"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40" w:history="1">
        <w:r w:rsidR="008F08FA" w:rsidRPr="009B71D6">
          <w:rPr>
            <w:rStyle w:val="Hypertextovodkaz"/>
            <w:noProof/>
          </w:rPr>
          <w:t>7.2</w:t>
        </w:r>
        <w:r w:rsidR="008F08FA">
          <w:rPr>
            <w:rFonts w:asciiTheme="minorHAnsi" w:eastAsiaTheme="minorEastAsia" w:hAnsiTheme="minorHAnsi"/>
            <w:noProof/>
            <w:sz w:val="22"/>
            <w:lang w:eastAsia="cs-CZ"/>
          </w:rPr>
          <w:tab/>
        </w:r>
        <w:r w:rsidR="008F08FA" w:rsidRPr="009B71D6">
          <w:rPr>
            <w:rStyle w:val="Hypertextovodkaz"/>
            <w:noProof/>
          </w:rPr>
          <w:t>Konkrétní popis regulace obsažené v zákoně o hazardních hrách</w:t>
        </w:r>
        <w:r w:rsidR="008F08FA">
          <w:rPr>
            <w:noProof/>
            <w:webHidden/>
          </w:rPr>
          <w:tab/>
        </w:r>
        <w:r w:rsidR="008F08FA">
          <w:rPr>
            <w:noProof/>
            <w:webHidden/>
          </w:rPr>
          <w:fldChar w:fldCharType="begin"/>
        </w:r>
        <w:r w:rsidR="008F08FA">
          <w:rPr>
            <w:noProof/>
            <w:webHidden/>
          </w:rPr>
          <w:instrText xml:space="preserve"> PAGEREF _Toc73611640 \h </w:instrText>
        </w:r>
        <w:r w:rsidR="008F08FA">
          <w:rPr>
            <w:noProof/>
            <w:webHidden/>
          </w:rPr>
        </w:r>
        <w:r w:rsidR="008F08FA">
          <w:rPr>
            <w:noProof/>
            <w:webHidden/>
          </w:rPr>
          <w:fldChar w:fldCharType="separate"/>
        </w:r>
        <w:r w:rsidR="008F08FA">
          <w:rPr>
            <w:noProof/>
            <w:webHidden/>
          </w:rPr>
          <w:t>58</w:t>
        </w:r>
        <w:r w:rsidR="008F08FA">
          <w:rPr>
            <w:noProof/>
            <w:webHidden/>
          </w:rPr>
          <w:fldChar w:fldCharType="end"/>
        </w:r>
      </w:hyperlink>
    </w:p>
    <w:p w14:paraId="4B24C361" w14:textId="06684C7F"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41" w:history="1">
        <w:r w:rsidR="008F08FA" w:rsidRPr="009B71D6">
          <w:rPr>
            <w:rStyle w:val="Hypertextovodkaz"/>
            <w:noProof/>
          </w:rPr>
          <w:t>7.3</w:t>
        </w:r>
        <w:r w:rsidR="008F08FA">
          <w:rPr>
            <w:rFonts w:asciiTheme="minorHAnsi" w:eastAsiaTheme="minorEastAsia" w:hAnsiTheme="minorHAnsi"/>
            <w:noProof/>
            <w:sz w:val="22"/>
            <w:lang w:eastAsia="cs-CZ"/>
          </w:rPr>
          <w:tab/>
        </w:r>
        <w:r w:rsidR="008F08FA" w:rsidRPr="009B71D6">
          <w:rPr>
            <w:rStyle w:val="Hypertextovodkaz"/>
            <w:noProof/>
          </w:rPr>
          <w:t>Konkrétní popis nástrojů, včetně oblastí, na které by bylo vhodné se v budoucnu zaměřit, a návrh doporučení či možných variant řešení</w:t>
        </w:r>
        <w:r w:rsidR="008F08FA">
          <w:rPr>
            <w:noProof/>
            <w:webHidden/>
          </w:rPr>
          <w:tab/>
        </w:r>
        <w:r w:rsidR="008F08FA">
          <w:rPr>
            <w:noProof/>
            <w:webHidden/>
          </w:rPr>
          <w:fldChar w:fldCharType="begin"/>
        </w:r>
        <w:r w:rsidR="008F08FA">
          <w:rPr>
            <w:noProof/>
            <w:webHidden/>
          </w:rPr>
          <w:instrText xml:space="preserve"> PAGEREF _Toc73611641 \h </w:instrText>
        </w:r>
        <w:r w:rsidR="008F08FA">
          <w:rPr>
            <w:noProof/>
            <w:webHidden/>
          </w:rPr>
        </w:r>
        <w:r w:rsidR="008F08FA">
          <w:rPr>
            <w:noProof/>
            <w:webHidden/>
          </w:rPr>
          <w:fldChar w:fldCharType="separate"/>
        </w:r>
        <w:r w:rsidR="008F08FA">
          <w:rPr>
            <w:noProof/>
            <w:webHidden/>
          </w:rPr>
          <w:t>58</w:t>
        </w:r>
        <w:r w:rsidR="008F08FA">
          <w:rPr>
            <w:noProof/>
            <w:webHidden/>
          </w:rPr>
          <w:fldChar w:fldCharType="end"/>
        </w:r>
      </w:hyperlink>
    </w:p>
    <w:p w14:paraId="5C683116" w14:textId="4327EC30"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42" w:history="1">
        <w:r w:rsidR="008F08FA" w:rsidRPr="009B71D6">
          <w:rPr>
            <w:rStyle w:val="Hypertextovodkaz"/>
            <w:rFonts w:cs="Arial"/>
            <w:noProof/>
          </w:rPr>
          <w:t>i.</w:t>
        </w:r>
        <w:r w:rsidR="008F08FA">
          <w:rPr>
            <w:rFonts w:asciiTheme="minorHAnsi" w:eastAsiaTheme="minorEastAsia" w:hAnsiTheme="minorHAnsi"/>
            <w:noProof/>
            <w:sz w:val="22"/>
            <w:lang w:eastAsia="cs-CZ"/>
          </w:rPr>
          <w:tab/>
        </w:r>
        <w:r w:rsidR="008F08FA" w:rsidRPr="009B71D6">
          <w:rPr>
            <w:rStyle w:val="Hypertextovodkaz"/>
            <w:noProof/>
          </w:rPr>
          <w:t>Terminály pro provozování kursové sázky a loterie</w:t>
        </w:r>
        <w:r w:rsidR="008F08FA">
          <w:rPr>
            <w:noProof/>
            <w:webHidden/>
          </w:rPr>
          <w:tab/>
        </w:r>
        <w:r w:rsidR="008F08FA">
          <w:rPr>
            <w:noProof/>
            <w:webHidden/>
          </w:rPr>
          <w:fldChar w:fldCharType="begin"/>
        </w:r>
        <w:r w:rsidR="008F08FA">
          <w:rPr>
            <w:noProof/>
            <w:webHidden/>
          </w:rPr>
          <w:instrText xml:space="preserve"> PAGEREF _Toc73611642 \h </w:instrText>
        </w:r>
        <w:r w:rsidR="008F08FA">
          <w:rPr>
            <w:noProof/>
            <w:webHidden/>
          </w:rPr>
        </w:r>
        <w:r w:rsidR="008F08FA">
          <w:rPr>
            <w:noProof/>
            <w:webHidden/>
          </w:rPr>
          <w:fldChar w:fldCharType="separate"/>
        </w:r>
        <w:r w:rsidR="008F08FA">
          <w:rPr>
            <w:noProof/>
            <w:webHidden/>
          </w:rPr>
          <w:t>58</w:t>
        </w:r>
        <w:r w:rsidR="008F08FA">
          <w:rPr>
            <w:noProof/>
            <w:webHidden/>
          </w:rPr>
          <w:fldChar w:fldCharType="end"/>
        </w:r>
      </w:hyperlink>
    </w:p>
    <w:p w14:paraId="242FF275" w14:textId="02FDA98B"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43" w:history="1">
        <w:r w:rsidR="008F08FA" w:rsidRPr="009B71D6">
          <w:rPr>
            <w:rStyle w:val="Hypertextovodkaz"/>
            <w:rFonts w:cs="Arial"/>
            <w:noProof/>
          </w:rPr>
          <w:t>ii.</w:t>
        </w:r>
        <w:r w:rsidR="008F08FA">
          <w:rPr>
            <w:rFonts w:asciiTheme="minorHAnsi" w:eastAsiaTheme="minorEastAsia" w:hAnsiTheme="minorHAnsi"/>
            <w:noProof/>
            <w:sz w:val="22"/>
            <w:lang w:eastAsia="cs-CZ"/>
          </w:rPr>
          <w:tab/>
        </w:r>
        <w:r w:rsidR="008F08FA" w:rsidRPr="009B71D6">
          <w:rPr>
            <w:rStyle w:val="Hypertextovodkaz"/>
            <w:noProof/>
          </w:rPr>
          <w:t>Virtuální sporty</w:t>
        </w:r>
        <w:r w:rsidR="008F08FA">
          <w:rPr>
            <w:noProof/>
            <w:webHidden/>
          </w:rPr>
          <w:tab/>
        </w:r>
        <w:r w:rsidR="008F08FA">
          <w:rPr>
            <w:noProof/>
            <w:webHidden/>
          </w:rPr>
          <w:fldChar w:fldCharType="begin"/>
        </w:r>
        <w:r w:rsidR="008F08FA">
          <w:rPr>
            <w:noProof/>
            <w:webHidden/>
          </w:rPr>
          <w:instrText xml:space="preserve"> PAGEREF _Toc73611643 \h </w:instrText>
        </w:r>
        <w:r w:rsidR="008F08FA">
          <w:rPr>
            <w:noProof/>
            <w:webHidden/>
          </w:rPr>
        </w:r>
        <w:r w:rsidR="008F08FA">
          <w:rPr>
            <w:noProof/>
            <w:webHidden/>
          </w:rPr>
          <w:fldChar w:fldCharType="separate"/>
        </w:r>
        <w:r w:rsidR="008F08FA">
          <w:rPr>
            <w:noProof/>
            <w:webHidden/>
          </w:rPr>
          <w:t>59</w:t>
        </w:r>
        <w:r w:rsidR="008F08FA">
          <w:rPr>
            <w:noProof/>
            <w:webHidden/>
          </w:rPr>
          <w:fldChar w:fldCharType="end"/>
        </w:r>
      </w:hyperlink>
    </w:p>
    <w:p w14:paraId="5E7547B2" w14:textId="429A5E9A"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44" w:history="1">
        <w:r w:rsidR="008F08FA" w:rsidRPr="009B71D6">
          <w:rPr>
            <w:rStyle w:val="Hypertextovodkaz"/>
            <w:rFonts w:cs="Arial"/>
            <w:noProof/>
          </w:rPr>
          <w:t>iii.</w:t>
        </w:r>
        <w:r w:rsidR="008F08FA">
          <w:rPr>
            <w:rFonts w:asciiTheme="minorHAnsi" w:eastAsiaTheme="minorEastAsia" w:hAnsiTheme="minorHAnsi"/>
            <w:noProof/>
            <w:sz w:val="22"/>
            <w:lang w:eastAsia="cs-CZ"/>
          </w:rPr>
          <w:tab/>
        </w:r>
        <w:r w:rsidR="008F08FA" w:rsidRPr="009B71D6">
          <w:rPr>
            <w:rStyle w:val="Hypertextovodkaz"/>
            <w:noProof/>
          </w:rPr>
          <w:t>Social gaming</w:t>
        </w:r>
        <w:r w:rsidR="008F08FA">
          <w:rPr>
            <w:noProof/>
            <w:webHidden/>
          </w:rPr>
          <w:tab/>
        </w:r>
        <w:r w:rsidR="008F08FA">
          <w:rPr>
            <w:noProof/>
            <w:webHidden/>
          </w:rPr>
          <w:fldChar w:fldCharType="begin"/>
        </w:r>
        <w:r w:rsidR="008F08FA">
          <w:rPr>
            <w:noProof/>
            <w:webHidden/>
          </w:rPr>
          <w:instrText xml:space="preserve"> PAGEREF _Toc73611644 \h </w:instrText>
        </w:r>
        <w:r w:rsidR="008F08FA">
          <w:rPr>
            <w:noProof/>
            <w:webHidden/>
          </w:rPr>
        </w:r>
        <w:r w:rsidR="008F08FA">
          <w:rPr>
            <w:noProof/>
            <w:webHidden/>
          </w:rPr>
          <w:fldChar w:fldCharType="separate"/>
        </w:r>
        <w:r w:rsidR="008F08FA">
          <w:rPr>
            <w:noProof/>
            <w:webHidden/>
          </w:rPr>
          <w:t>61</w:t>
        </w:r>
        <w:r w:rsidR="008F08FA">
          <w:rPr>
            <w:noProof/>
            <w:webHidden/>
          </w:rPr>
          <w:fldChar w:fldCharType="end"/>
        </w:r>
      </w:hyperlink>
    </w:p>
    <w:p w14:paraId="544C65A8" w14:textId="0E056D79"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45" w:history="1">
        <w:r w:rsidR="008F08FA" w:rsidRPr="009B71D6">
          <w:rPr>
            <w:rStyle w:val="Hypertextovodkaz"/>
            <w:rFonts w:cs="Arial"/>
            <w:noProof/>
          </w:rPr>
          <w:t>iv.</w:t>
        </w:r>
        <w:r w:rsidR="008F08FA">
          <w:rPr>
            <w:rFonts w:asciiTheme="minorHAnsi" w:eastAsiaTheme="minorEastAsia" w:hAnsiTheme="minorHAnsi"/>
            <w:noProof/>
            <w:sz w:val="22"/>
            <w:lang w:eastAsia="cs-CZ"/>
          </w:rPr>
          <w:tab/>
        </w:r>
        <w:r w:rsidR="008F08FA" w:rsidRPr="009B71D6">
          <w:rPr>
            <w:rStyle w:val="Hypertextovodkaz"/>
            <w:noProof/>
          </w:rPr>
          <w:t>Simulované hazardní hry</w:t>
        </w:r>
        <w:r w:rsidR="008F08FA">
          <w:rPr>
            <w:noProof/>
            <w:webHidden/>
          </w:rPr>
          <w:tab/>
        </w:r>
        <w:r w:rsidR="008F08FA">
          <w:rPr>
            <w:noProof/>
            <w:webHidden/>
          </w:rPr>
          <w:fldChar w:fldCharType="begin"/>
        </w:r>
        <w:r w:rsidR="008F08FA">
          <w:rPr>
            <w:noProof/>
            <w:webHidden/>
          </w:rPr>
          <w:instrText xml:space="preserve"> PAGEREF _Toc73611645 \h </w:instrText>
        </w:r>
        <w:r w:rsidR="008F08FA">
          <w:rPr>
            <w:noProof/>
            <w:webHidden/>
          </w:rPr>
        </w:r>
        <w:r w:rsidR="008F08FA">
          <w:rPr>
            <w:noProof/>
            <w:webHidden/>
          </w:rPr>
          <w:fldChar w:fldCharType="separate"/>
        </w:r>
        <w:r w:rsidR="008F08FA">
          <w:rPr>
            <w:noProof/>
            <w:webHidden/>
          </w:rPr>
          <w:t>62</w:t>
        </w:r>
        <w:r w:rsidR="008F08FA">
          <w:rPr>
            <w:noProof/>
            <w:webHidden/>
          </w:rPr>
          <w:fldChar w:fldCharType="end"/>
        </w:r>
      </w:hyperlink>
    </w:p>
    <w:p w14:paraId="11E4D0C0" w14:textId="3EE309B1"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46" w:history="1">
        <w:r w:rsidR="008F08FA" w:rsidRPr="009B71D6">
          <w:rPr>
            <w:rStyle w:val="Hypertextovodkaz"/>
            <w:rFonts w:cs="Arial"/>
            <w:noProof/>
          </w:rPr>
          <w:t>v.</w:t>
        </w:r>
        <w:r w:rsidR="008F08FA">
          <w:rPr>
            <w:rFonts w:asciiTheme="minorHAnsi" w:eastAsiaTheme="minorEastAsia" w:hAnsiTheme="minorHAnsi"/>
            <w:noProof/>
            <w:sz w:val="22"/>
            <w:lang w:eastAsia="cs-CZ"/>
          </w:rPr>
          <w:tab/>
        </w:r>
        <w:r w:rsidR="008F08FA" w:rsidRPr="009B71D6">
          <w:rPr>
            <w:rStyle w:val="Hypertextovodkaz"/>
            <w:noProof/>
          </w:rPr>
          <w:t>Loot boxy</w:t>
        </w:r>
        <w:r w:rsidR="008F08FA">
          <w:rPr>
            <w:noProof/>
            <w:webHidden/>
          </w:rPr>
          <w:tab/>
        </w:r>
        <w:r w:rsidR="008F08FA">
          <w:rPr>
            <w:noProof/>
            <w:webHidden/>
          </w:rPr>
          <w:fldChar w:fldCharType="begin"/>
        </w:r>
        <w:r w:rsidR="008F08FA">
          <w:rPr>
            <w:noProof/>
            <w:webHidden/>
          </w:rPr>
          <w:instrText xml:space="preserve"> PAGEREF _Toc73611646 \h </w:instrText>
        </w:r>
        <w:r w:rsidR="008F08FA">
          <w:rPr>
            <w:noProof/>
            <w:webHidden/>
          </w:rPr>
        </w:r>
        <w:r w:rsidR="008F08FA">
          <w:rPr>
            <w:noProof/>
            <w:webHidden/>
          </w:rPr>
          <w:fldChar w:fldCharType="separate"/>
        </w:r>
        <w:r w:rsidR="008F08FA">
          <w:rPr>
            <w:noProof/>
            <w:webHidden/>
          </w:rPr>
          <w:t>63</w:t>
        </w:r>
        <w:r w:rsidR="008F08FA">
          <w:rPr>
            <w:noProof/>
            <w:webHidden/>
          </w:rPr>
          <w:fldChar w:fldCharType="end"/>
        </w:r>
      </w:hyperlink>
    </w:p>
    <w:p w14:paraId="12290CC0" w14:textId="5D467608"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47" w:history="1">
        <w:r w:rsidR="008F08FA" w:rsidRPr="009B71D6">
          <w:rPr>
            <w:rStyle w:val="Hypertextovodkaz"/>
            <w:rFonts w:cs="Arial"/>
            <w:noProof/>
          </w:rPr>
          <w:t>vi.</w:t>
        </w:r>
        <w:r w:rsidR="008F08FA">
          <w:rPr>
            <w:rFonts w:asciiTheme="minorHAnsi" w:eastAsiaTheme="minorEastAsia" w:hAnsiTheme="minorHAnsi"/>
            <w:noProof/>
            <w:sz w:val="22"/>
            <w:lang w:eastAsia="cs-CZ"/>
          </w:rPr>
          <w:tab/>
        </w:r>
        <w:r w:rsidR="008F08FA" w:rsidRPr="009B71D6">
          <w:rPr>
            <w:rStyle w:val="Hypertextovodkaz"/>
            <w:noProof/>
          </w:rPr>
          <w:t>Mikrotranskace (mikroplatby)</w:t>
        </w:r>
        <w:r w:rsidR="008F08FA">
          <w:rPr>
            <w:noProof/>
            <w:webHidden/>
          </w:rPr>
          <w:tab/>
        </w:r>
        <w:r w:rsidR="008F08FA">
          <w:rPr>
            <w:noProof/>
            <w:webHidden/>
          </w:rPr>
          <w:fldChar w:fldCharType="begin"/>
        </w:r>
        <w:r w:rsidR="008F08FA">
          <w:rPr>
            <w:noProof/>
            <w:webHidden/>
          </w:rPr>
          <w:instrText xml:space="preserve"> PAGEREF _Toc73611647 \h </w:instrText>
        </w:r>
        <w:r w:rsidR="008F08FA">
          <w:rPr>
            <w:noProof/>
            <w:webHidden/>
          </w:rPr>
        </w:r>
        <w:r w:rsidR="008F08FA">
          <w:rPr>
            <w:noProof/>
            <w:webHidden/>
          </w:rPr>
          <w:fldChar w:fldCharType="separate"/>
        </w:r>
        <w:r w:rsidR="008F08FA">
          <w:rPr>
            <w:noProof/>
            <w:webHidden/>
          </w:rPr>
          <w:t>63</w:t>
        </w:r>
        <w:r w:rsidR="008F08FA">
          <w:rPr>
            <w:noProof/>
            <w:webHidden/>
          </w:rPr>
          <w:fldChar w:fldCharType="end"/>
        </w:r>
      </w:hyperlink>
    </w:p>
    <w:p w14:paraId="4BDAE1AA" w14:textId="65B3293F" w:rsidR="008F08FA" w:rsidRDefault="00A70360">
      <w:pPr>
        <w:pStyle w:val="Obsah6"/>
        <w:tabs>
          <w:tab w:val="left" w:pos="1760"/>
          <w:tab w:val="right" w:leader="dot" w:pos="9062"/>
        </w:tabs>
        <w:rPr>
          <w:rFonts w:asciiTheme="minorHAnsi" w:eastAsiaTheme="minorEastAsia" w:hAnsiTheme="minorHAnsi"/>
          <w:noProof/>
          <w:sz w:val="22"/>
          <w:lang w:eastAsia="cs-CZ"/>
        </w:rPr>
      </w:pPr>
      <w:hyperlink w:anchor="_Toc73611648" w:history="1">
        <w:r w:rsidR="008F08FA" w:rsidRPr="009B71D6">
          <w:rPr>
            <w:rStyle w:val="Hypertextovodkaz"/>
            <w:rFonts w:cs="Arial"/>
            <w:noProof/>
          </w:rPr>
          <w:t>vii.</w:t>
        </w:r>
        <w:r w:rsidR="008F08FA">
          <w:rPr>
            <w:rFonts w:asciiTheme="minorHAnsi" w:eastAsiaTheme="minorEastAsia" w:hAnsiTheme="minorHAnsi"/>
            <w:noProof/>
            <w:sz w:val="22"/>
            <w:lang w:eastAsia="cs-CZ"/>
          </w:rPr>
          <w:tab/>
        </w:r>
        <w:r w:rsidR="008F08FA" w:rsidRPr="009B71D6">
          <w:rPr>
            <w:rStyle w:val="Hypertextovodkaz"/>
            <w:noProof/>
          </w:rPr>
          <w:t>Skin gambling/skin betting</w:t>
        </w:r>
        <w:r w:rsidR="008F08FA">
          <w:rPr>
            <w:noProof/>
            <w:webHidden/>
          </w:rPr>
          <w:tab/>
        </w:r>
        <w:r w:rsidR="008F08FA">
          <w:rPr>
            <w:noProof/>
            <w:webHidden/>
          </w:rPr>
          <w:fldChar w:fldCharType="begin"/>
        </w:r>
        <w:r w:rsidR="008F08FA">
          <w:rPr>
            <w:noProof/>
            <w:webHidden/>
          </w:rPr>
          <w:instrText xml:space="preserve"> PAGEREF _Toc73611648 \h </w:instrText>
        </w:r>
        <w:r w:rsidR="008F08FA">
          <w:rPr>
            <w:noProof/>
            <w:webHidden/>
          </w:rPr>
        </w:r>
        <w:r w:rsidR="008F08FA">
          <w:rPr>
            <w:noProof/>
            <w:webHidden/>
          </w:rPr>
          <w:fldChar w:fldCharType="separate"/>
        </w:r>
        <w:r w:rsidR="008F08FA">
          <w:rPr>
            <w:noProof/>
            <w:webHidden/>
          </w:rPr>
          <w:t>64</w:t>
        </w:r>
        <w:r w:rsidR="008F08FA">
          <w:rPr>
            <w:noProof/>
            <w:webHidden/>
          </w:rPr>
          <w:fldChar w:fldCharType="end"/>
        </w:r>
      </w:hyperlink>
    </w:p>
    <w:p w14:paraId="27100E47" w14:textId="5945189B" w:rsidR="008F08FA" w:rsidRDefault="00A70360">
      <w:pPr>
        <w:pStyle w:val="Obsah2"/>
        <w:tabs>
          <w:tab w:val="left" w:pos="660"/>
          <w:tab w:val="right" w:leader="dot" w:pos="9062"/>
        </w:tabs>
        <w:rPr>
          <w:rFonts w:asciiTheme="minorHAnsi" w:eastAsiaTheme="minorEastAsia" w:hAnsiTheme="minorHAnsi"/>
          <w:noProof/>
          <w:sz w:val="22"/>
          <w:lang w:eastAsia="cs-CZ"/>
        </w:rPr>
      </w:pPr>
      <w:hyperlink w:anchor="_Toc73611649" w:history="1">
        <w:r w:rsidR="008F08FA" w:rsidRPr="009B71D6">
          <w:rPr>
            <w:rStyle w:val="Hypertextovodkaz"/>
            <w:noProof/>
          </w:rPr>
          <w:t>8</w:t>
        </w:r>
        <w:r w:rsidR="008F08FA">
          <w:rPr>
            <w:rFonts w:asciiTheme="minorHAnsi" w:eastAsiaTheme="minorEastAsia" w:hAnsiTheme="minorHAnsi"/>
            <w:noProof/>
            <w:sz w:val="22"/>
            <w:lang w:eastAsia="cs-CZ"/>
          </w:rPr>
          <w:tab/>
        </w:r>
        <w:r w:rsidR="008F08FA" w:rsidRPr="009B71D6">
          <w:rPr>
            <w:rStyle w:val="Hypertextovodkaz"/>
            <w:noProof/>
          </w:rPr>
          <w:t>Seznam tabulek, obrázků a grafů</w:t>
        </w:r>
        <w:r w:rsidR="008F08FA">
          <w:rPr>
            <w:noProof/>
            <w:webHidden/>
          </w:rPr>
          <w:tab/>
        </w:r>
        <w:r w:rsidR="008F08FA">
          <w:rPr>
            <w:noProof/>
            <w:webHidden/>
          </w:rPr>
          <w:fldChar w:fldCharType="begin"/>
        </w:r>
        <w:r w:rsidR="008F08FA">
          <w:rPr>
            <w:noProof/>
            <w:webHidden/>
          </w:rPr>
          <w:instrText xml:space="preserve"> PAGEREF _Toc73611649 \h </w:instrText>
        </w:r>
        <w:r w:rsidR="008F08FA">
          <w:rPr>
            <w:noProof/>
            <w:webHidden/>
          </w:rPr>
        </w:r>
        <w:r w:rsidR="008F08FA">
          <w:rPr>
            <w:noProof/>
            <w:webHidden/>
          </w:rPr>
          <w:fldChar w:fldCharType="separate"/>
        </w:r>
        <w:r w:rsidR="008F08FA">
          <w:rPr>
            <w:noProof/>
            <w:webHidden/>
          </w:rPr>
          <w:t>65</w:t>
        </w:r>
        <w:r w:rsidR="008F08FA">
          <w:rPr>
            <w:noProof/>
            <w:webHidden/>
          </w:rPr>
          <w:fldChar w:fldCharType="end"/>
        </w:r>
      </w:hyperlink>
    </w:p>
    <w:p w14:paraId="2E007344" w14:textId="6B46DB04"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50" w:history="1">
        <w:r w:rsidR="008F08FA" w:rsidRPr="009B71D6">
          <w:rPr>
            <w:rStyle w:val="Hypertextovodkaz"/>
            <w:noProof/>
          </w:rPr>
          <w:t>8.1</w:t>
        </w:r>
        <w:r w:rsidR="008F08FA">
          <w:rPr>
            <w:rFonts w:asciiTheme="minorHAnsi" w:eastAsiaTheme="minorEastAsia" w:hAnsiTheme="minorHAnsi"/>
            <w:noProof/>
            <w:sz w:val="22"/>
            <w:lang w:eastAsia="cs-CZ"/>
          </w:rPr>
          <w:tab/>
        </w:r>
        <w:r w:rsidR="008F08FA" w:rsidRPr="009B71D6">
          <w:rPr>
            <w:rStyle w:val="Hypertextovodkaz"/>
            <w:noProof/>
          </w:rPr>
          <w:t>Obrázky</w:t>
        </w:r>
        <w:r w:rsidR="008F08FA">
          <w:rPr>
            <w:noProof/>
            <w:webHidden/>
          </w:rPr>
          <w:tab/>
        </w:r>
        <w:r w:rsidR="008F08FA">
          <w:rPr>
            <w:noProof/>
            <w:webHidden/>
          </w:rPr>
          <w:fldChar w:fldCharType="begin"/>
        </w:r>
        <w:r w:rsidR="008F08FA">
          <w:rPr>
            <w:noProof/>
            <w:webHidden/>
          </w:rPr>
          <w:instrText xml:space="preserve"> PAGEREF _Toc73611650 \h </w:instrText>
        </w:r>
        <w:r w:rsidR="008F08FA">
          <w:rPr>
            <w:noProof/>
            <w:webHidden/>
          </w:rPr>
        </w:r>
        <w:r w:rsidR="008F08FA">
          <w:rPr>
            <w:noProof/>
            <w:webHidden/>
          </w:rPr>
          <w:fldChar w:fldCharType="separate"/>
        </w:r>
        <w:r w:rsidR="008F08FA">
          <w:rPr>
            <w:noProof/>
            <w:webHidden/>
          </w:rPr>
          <w:t>65</w:t>
        </w:r>
        <w:r w:rsidR="008F08FA">
          <w:rPr>
            <w:noProof/>
            <w:webHidden/>
          </w:rPr>
          <w:fldChar w:fldCharType="end"/>
        </w:r>
      </w:hyperlink>
    </w:p>
    <w:p w14:paraId="6252B764" w14:textId="23BADE48" w:rsidR="008F08FA" w:rsidRDefault="00A70360">
      <w:pPr>
        <w:pStyle w:val="Obsah3"/>
        <w:tabs>
          <w:tab w:val="left" w:pos="1200"/>
          <w:tab w:val="right" w:leader="dot" w:pos="9062"/>
        </w:tabs>
        <w:rPr>
          <w:rFonts w:asciiTheme="minorHAnsi" w:eastAsiaTheme="minorEastAsia" w:hAnsiTheme="minorHAnsi"/>
          <w:noProof/>
          <w:sz w:val="22"/>
          <w:lang w:eastAsia="cs-CZ"/>
        </w:rPr>
      </w:pPr>
      <w:hyperlink w:anchor="_Toc73611651" w:history="1">
        <w:r w:rsidR="008F08FA" w:rsidRPr="009B71D6">
          <w:rPr>
            <w:rStyle w:val="Hypertextovodkaz"/>
            <w:noProof/>
          </w:rPr>
          <w:t>8.2</w:t>
        </w:r>
        <w:r w:rsidR="008F08FA">
          <w:rPr>
            <w:rFonts w:asciiTheme="minorHAnsi" w:eastAsiaTheme="minorEastAsia" w:hAnsiTheme="minorHAnsi"/>
            <w:noProof/>
            <w:sz w:val="22"/>
            <w:lang w:eastAsia="cs-CZ"/>
          </w:rPr>
          <w:tab/>
        </w:r>
        <w:r w:rsidR="008F08FA" w:rsidRPr="009B71D6">
          <w:rPr>
            <w:rStyle w:val="Hypertextovodkaz"/>
            <w:noProof/>
          </w:rPr>
          <w:t>Grafy</w:t>
        </w:r>
        <w:r w:rsidR="008F08FA">
          <w:rPr>
            <w:noProof/>
            <w:webHidden/>
          </w:rPr>
          <w:tab/>
        </w:r>
        <w:r w:rsidR="008F08FA">
          <w:rPr>
            <w:noProof/>
            <w:webHidden/>
          </w:rPr>
          <w:fldChar w:fldCharType="begin"/>
        </w:r>
        <w:r w:rsidR="008F08FA">
          <w:rPr>
            <w:noProof/>
            <w:webHidden/>
          </w:rPr>
          <w:instrText xml:space="preserve"> PAGEREF _Toc73611651 \h </w:instrText>
        </w:r>
        <w:r w:rsidR="008F08FA">
          <w:rPr>
            <w:noProof/>
            <w:webHidden/>
          </w:rPr>
        </w:r>
        <w:r w:rsidR="008F08FA">
          <w:rPr>
            <w:noProof/>
            <w:webHidden/>
          </w:rPr>
          <w:fldChar w:fldCharType="separate"/>
        </w:r>
        <w:r w:rsidR="008F08FA">
          <w:rPr>
            <w:noProof/>
            <w:webHidden/>
          </w:rPr>
          <w:t>65</w:t>
        </w:r>
        <w:r w:rsidR="008F08FA">
          <w:rPr>
            <w:noProof/>
            <w:webHidden/>
          </w:rPr>
          <w:fldChar w:fldCharType="end"/>
        </w:r>
      </w:hyperlink>
    </w:p>
    <w:p w14:paraId="1A52604E" w14:textId="7DE62782" w:rsidR="008F08FA" w:rsidRDefault="00A70360">
      <w:pPr>
        <w:pStyle w:val="Obsah2"/>
        <w:tabs>
          <w:tab w:val="left" w:pos="660"/>
          <w:tab w:val="right" w:leader="dot" w:pos="9062"/>
        </w:tabs>
        <w:rPr>
          <w:rFonts w:asciiTheme="minorHAnsi" w:eastAsiaTheme="minorEastAsia" w:hAnsiTheme="minorHAnsi"/>
          <w:noProof/>
          <w:sz w:val="22"/>
          <w:lang w:eastAsia="cs-CZ"/>
        </w:rPr>
      </w:pPr>
      <w:hyperlink w:anchor="_Toc73611652" w:history="1">
        <w:r w:rsidR="008F08FA" w:rsidRPr="009B71D6">
          <w:rPr>
            <w:rStyle w:val="Hypertextovodkaz"/>
            <w:noProof/>
          </w:rPr>
          <w:t>9</w:t>
        </w:r>
        <w:r w:rsidR="008F08FA">
          <w:rPr>
            <w:rFonts w:asciiTheme="minorHAnsi" w:eastAsiaTheme="minorEastAsia" w:hAnsiTheme="minorHAnsi"/>
            <w:noProof/>
            <w:sz w:val="22"/>
            <w:lang w:eastAsia="cs-CZ"/>
          </w:rPr>
          <w:tab/>
        </w:r>
        <w:r w:rsidR="008F08FA" w:rsidRPr="009B71D6">
          <w:rPr>
            <w:rStyle w:val="Hypertextovodkaz"/>
            <w:noProof/>
          </w:rPr>
          <w:t>Obsah</w:t>
        </w:r>
        <w:r w:rsidR="008F08FA">
          <w:rPr>
            <w:noProof/>
            <w:webHidden/>
          </w:rPr>
          <w:tab/>
        </w:r>
        <w:r w:rsidR="008F08FA">
          <w:rPr>
            <w:noProof/>
            <w:webHidden/>
          </w:rPr>
          <w:fldChar w:fldCharType="begin"/>
        </w:r>
        <w:r w:rsidR="008F08FA">
          <w:rPr>
            <w:noProof/>
            <w:webHidden/>
          </w:rPr>
          <w:instrText xml:space="preserve"> PAGEREF _Toc73611652 \h </w:instrText>
        </w:r>
        <w:r w:rsidR="008F08FA">
          <w:rPr>
            <w:noProof/>
            <w:webHidden/>
          </w:rPr>
        </w:r>
        <w:r w:rsidR="008F08FA">
          <w:rPr>
            <w:noProof/>
            <w:webHidden/>
          </w:rPr>
          <w:fldChar w:fldCharType="separate"/>
        </w:r>
        <w:r w:rsidR="008F08FA">
          <w:rPr>
            <w:noProof/>
            <w:webHidden/>
          </w:rPr>
          <w:t>65</w:t>
        </w:r>
        <w:r w:rsidR="008F08FA">
          <w:rPr>
            <w:noProof/>
            <w:webHidden/>
          </w:rPr>
          <w:fldChar w:fldCharType="end"/>
        </w:r>
      </w:hyperlink>
    </w:p>
    <w:p w14:paraId="2737859D" w14:textId="7B0251E0" w:rsidR="00D54659" w:rsidRPr="00D54659" w:rsidRDefault="00D54659" w:rsidP="00D54659">
      <w:r>
        <w:fldChar w:fldCharType="end"/>
      </w:r>
    </w:p>
    <w:sectPr w:rsidR="00D54659" w:rsidRPr="00D54659">
      <w:headerReference w:type="default" r:id="rId26"/>
      <w:footerReference w:type="default" r:id="rId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B7CA02" w14:textId="77777777" w:rsidR="00D55320" w:rsidRDefault="00D55320" w:rsidP="002D4E39">
      <w:pPr>
        <w:spacing w:after="0"/>
      </w:pPr>
      <w:r>
        <w:separator/>
      </w:r>
    </w:p>
  </w:endnote>
  <w:endnote w:type="continuationSeparator" w:id="0">
    <w:p w14:paraId="4A2A6FE6" w14:textId="77777777" w:rsidR="00D55320" w:rsidRDefault="00D55320" w:rsidP="002D4E3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w:hAnsi="Arial" w:cs="Arial"/>
      </w:rPr>
      <w:id w:val="385615395"/>
      <w:docPartObj>
        <w:docPartGallery w:val="Page Numbers (Bottom of Page)"/>
        <w:docPartUnique/>
      </w:docPartObj>
    </w:sdtPr>
    <w:sdtEndPr/>
    <w:sdtContent>
      <w:p w14:paraId="0E477DC5" w14:textId="595D1A13" w:rsidR="00D55320" w:rsidRPr="004842DF" w:rsidRDefault="00D55320">
        <w:pPr>
          <w:pStyle w:val="Zpat"/>
          <w:jc w:val="right"/>
          <w:rPr>
            <w:rFonts w:ascii="Arial" w:hAnsi="Arial" w:cs="Arial"/>
          </w:rPr>
        </w:pPr>
        <w:r w:rsidRPr="004842DF">
          <w:rPr>
            <w:rFonts w:ascii="Arial" w:hAnsi="Arial" w:cs="Arial"/>
          </w:rPr>
          <w:fldChar w:fldCharType="begin"/>
        </w:r>
        <w:r w:rsidRPr="004842DF">
          <w:rPr>
            <w:rFonts w:ascii="Arial" w:hAnsi="Arial" w:cs="Arial"/>
          </w:rPr>
          <w:instrText>PAGE   \* MERGEFORMAT</w:instrText>
        </w:r>
        <w:r w:rsidRPr="004842DF">
          <w:rPr>
            <w:rFonts w:ascii="Arial" w:hAnsi="Arial" w:cs="Arial"/>
          </w:rPr>
          <w:fldChar w:fldCharType="separate"/>
        </w:r>
        <w:r w:rsidR="00A70360">
          <w:rPr>
            <w:rFonts w:ascii="Arial" w:hAnsi="Arial" w:cs="Arial"/>
            <w:noProof/>
          </w:rPr>
          <w:t>65</w:t>
        </w:r>
        <w:r w:rsidRPr="004842DF">
          <w:rPr>
            <w:rFonts w:ascii="Arial" w:hAnsi="Arial" w:cs="Arial"/>
          </w:rPr>
          <w:fldChar w:fldCharType="end"/>
        </w:r>
      </w:p>
    </w:sdtContent>
  </w:sdt>
  <w:p w14:paraId="5EB25990" w14:textId="77777777" w:rsidR="00D55320" w:rsidRDefault="00D55320" w:rsidP="00077012">
    <w:pPr>
      <w:pStyle w:val="Zpat"/>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E8A156" w14:textId="77777777" w:rsidR="00D55320" w:rsidRDefault="00D55320" w:rsidP="002D4E39">
      <w:pPr>
        <w:spacing w:after="0"/>
      </w:pPr>
      <w:r>
        <w:separator/>
      </w:r>
    </w:p>
  </w:footnote>
  <w:footnote w:type="continuationSeparator" w:id="0">
    <w:p w14:paraId="2D8B455E" w14:textId="77777777" w:rsidR="00D55320" w:rsidRDefault="00D55320" w:rsidP="002D4E39">
      <w:pPr>
        <w:spacing w:after="0"/>
      </w:pPr>
      <w:r>
        <w:continuationSeparator/>
      </w:r>
    </w:p>
  </w:footnote>
  <w:footnote w:id="1">
    <w:p w14:paraId="47948EA6" w14:textId="054E00F6" w:rsidR="00D55320" w:rsidRPr="004105FD" w:rsidRDefault="00D55320" w:rsidP="004105FD">
      <w:pPr>
        <w:pStyle w:val="Textpoznpodarou"/>
        <w:jc w:val="both"/>
        <w:rPr>
          <w:rFonts w:ascii="Arial" w:hAnsi="Arial" w:cs="Arial"/>
        </w:rPr>
      </w:pPr>
      <w:r w:rsidRPr="004105FD">
        <w:rPr>
          <w:rStyle w:val="Znakapoznpodarou"/>
          <w:rFonts w:ascii="Arial" w:hAnsi="Arial" w:cs="Arial"/>
        </w:rPr>
        <w:footnoteRef/>
      </w:r>
      <w:r w:rsidRPr="004105FD">
        <w:rPr>
          <w:rFonts w:ascii="Arial" w:hAnsi="Arial" w:cs="Arial"/>
        </w:rPr>
        <w:t xml:space="preserve"> Zákon o hazardních hrách v § 27 odst. 2 odkazuje na událost veřejné pozornosti, jedná se o legislativně-technickou chybu, kdy by se správně mělo odkazovat na výsledek události veřejné pozornosti.</w:t>
      </w:r>
    </w:p>
  </w:footnote>
  <w:footnote w:id="2">
    <w:p w14:paraId="7988EA79" w14:textId="194806C2" w:rsidR="00D55320" w:rsidRDefault="00D55320" w:rsidP="004105FD">
      <w:pPr>
        <w:pStyle w:val="Textpoznpodarou"/>
        <w:jc w:val="both"/>
      </w:pPr>
      <w:r w:rsidRPr="004105FD">
        <w:rPr>
          <w:rStyle w:val="Znakapoznpodarou"/>
          <w:rFonts w:ascii="Arial" w:hAnsi="Arial" w:cs="Arial"/>
        </w:rPr>
        <w:footnoteRef/>
      </w:r>
      <w:r w:rsidRPr="004105FD">
        <w:rPr>
          <w:rFonts w:ascii="Arial" w:hAnsi="Arial" w:cs="Arial"/>
        </w:rPr>
        <w:t xml:space="preserve"> Zákon o hazardních hrách v § 28 odst. 1 hovoří o sázkové přílež</w:t>
      </w:r>
      <w:r>
        <w:rPr>
          <w:rFonts w:ascii="Arial" w:hAnsi="Arial" w:cs="Arial"/>
        </w:rPr>
        <w:t>itosti, jedná se o legislativně</w:t>
      </w:r>
      <w:r>
        <w:rPr>
          <w:rFonts w:ascii="Arial" w:hAnsi="Arial" w:cs="Arial"/>
        </w:rPr>
        <w:noBreakHyphen/>
      </w:r>
      <w:r w:rsidRPr="004105FD">
        <w:rPr>
          <w:rFonts w:ascii="Arial" w:hAnsi="Arial" w:cs="Arial"/>
        </w:rPr>
        <w:t>technickou chybu, kdy by se správně mělo odkazovat na sázkovou událost.</w:t>
      </w:r>
    </w:p>
  </w:footnote>
  <w:footnote w:id="3">
    <w:p w14:paraId="02E21E8E" w14:textId="628F34AD" w:rsidR="00D55320" w:rsidRDefault="00D55320" w:rsidP="000C1588">
      <w:pPr>
        <w:pStyle w:val="Textpoznpodarou"/>
        <w:jc w:val="both"/>
      </w:pPr>
      <w:r w:rsidRPr="002B4F42">
        <w:rPr>
          <w:rStyle w:val="Znakapoznpodarou"/>
          <w:rFonts w:ascii="Arial" w:hAnsi="Arial" w:cs="Arial"/>
        </w:rPr>
        <w:footnoteRef/>
      </w:r>
      <w:r w:rsidRPr="002B4F42">
        <w:rPr>
          <w:rFonts w:ascii="Arial" w:hAnsi="Arial" w:cs="Arial"/>
        </w:rPr>
        <w:t xml:space="preserve"> Match-fixing je </w:t>
      </w:r>
      <w:r w:rsidRPr="002B4F42">
        <w:rPr>
          <w:rFonts w:ascii="Arial" w:hAnsi="Arial" w:cs="Arial"/>
          <w:color w:val="202124"/>
          <w:shd w:val="clear" w:color="auto" w:fill="FFFFFF"/>
        </w:rPr>
        <w:t>nezákonné ovlivňování průběhu nebo výsledku sportovních událostí, jehož účelem je získání prospěchu pro sebe nebo jiného a úplné či částečné odstranění prvku náhody.</w:t>
      </w:r>
    </w:p>
  </w:footnote>
  <w:footnote w:id="4">
    <w:p w14:paraId="4323BEE1" w14:textId="77777777" w:rsidR="00D55320" w:rsidRPr="00FB7F10" w:rsidRDefault="00D55320" w:rsidP="007D5B08">
      <w:pPr>
        <w:pStyle w:val="Textpoznpodarou"/>
        <w:jc w:val="both"/>
        <w:rPr>
          <w:rFonts w:ascii="Arial" w:hAnsi="Arial" w:cs="Arial"/>
        </w:rPr>
      </w:pPr>
      <w:r w:rsidRPr="00FB7F10">
        <w:rPr>
          <w:rStyle w:val="Znakapoznpodarou"/>
          <w:rFonts w:ascii="Arial" w:hAnsi="Arial" w:cs="Arial"/>
        </w:rPr>
        <w:footnoteRef/>
      </w:r>
      <w:r w:rsidRPr="00FB7F10">
        <w:rPr>
          <w:rFonts w:ascii="Arial" w:hAnsi="Arial" w:cs="Arial"/>
        </w:rPr>
        <w:t xml:space="preserve"> Kursové sázky jsou totiž často spojovány s match-fixingem, kdy podvodným jednáním dochází ke</w:t>
      </w:r>
      <w:r>
        <w:rPr>
          <w:rFonts w:ascii="Arial" w:hAnsi="Arial" w:cs="Arial"/>
        </w:rPr>
        <w:t> </w:t>
      </w:r>
      <w:r w:rsidRPr="00FB7F10">
        <w:rPr>
          <w:rFonts w:ascii="Arial" w:hAnsi="Arial" w:cs="Arial"/>
        </w:rPr>
        <w:t>značným finančním výhodám.</w:t>
      </w:r>
    </w:p>
  </w:footnote>
  <w:footnote w:id="5">
    <w:p w14:paraId="6D34765A" w14:textId="77777777" w:rsidR="00D55320" w:rsidRPr="00B87C67" w:rsidRDefault="00D55320" w:rsidP="007D5B08">
      <w:pPr>
        <w:pStyle w:val="Textpoznpodarou"/>
        <w:jc w:val="both"/>
        <w:rPr>
          <w:rFonts w:ascii="Arial" w:hAnsi="Arial" w:cs="Arial"/>
        </w:rPr>
      </w:pPr>
      <w:r w:rsidRPr="00C90E56">
        <w:rPr>
          <w:rStyle w:val="Znakapoznpodarou"/>
          <w:rFonts w:ascii="Arial" w:hAnsi="Arial" w:cs="Arial"/>
        </w:rPr>
        <w:footnoteRef/>
      </w:r>
      <w:r w:rsidRPr="00C90E56">
        <w:rPr>
          <w:rFonts w:ascii="Arial" w:hAnsi="Arial" w:cs="Arial"/>
        </w:rPr>
        <w:t xml:space="preserve"> Stanovisko odboru 34 - Státní dozor nad hazardními hrami a odboru 32 – Daňová legislativa k právní povaze jednotlivých plnění poskytovaných v rámci provozování hazardních her a v souvislosti s</w:t>
      </w:r>
      <w:r>
        <w:rPr>
          <w:rFonts w:ascii="Arial" w:hAnsi="Arial" w:cs="Arial"/>
        </w:rPr>
        <w:t> </w:t>
      </w:r>
      <w:r w:rsidRPr="00C90E56">
        <w:rPr>
          <w:rFonts w:ascii="Arial" w:hAnsi="Arial" w:cs="Arial"/>
        </w:rPr>
        <w:t>ním</w:t>
      </w:r>
      <w:r>
        <w:rPr>
          <w:rFonts w:ascii="Arial" w:hAnsi="Arial" w:cs="Arial"/>
        </w:rPr>
        <w:t>.</w:t>
      </w:r>
    </w:p>
  </w:footnote>
  <w:footnote w:id="6">
    <w:p w14:paraId="10AD4F83" w14:textId="77777777" w:rsidR="00D55320" w:rsidRPr="00B87C67" w:rsidRDefault="00D55320" w:rsidP="007D5B08">
      <w:pPr>
        <w:pStyle w:val="Textkomente"/>
        <w:spacing w:after="0"/>
        <w:rPr>
          <w:rFonts w:cs="Arial"/>
        </w:rPr>
      </w:pPr>
      <w:r w:rsidRPr="00B87C67">
        <w:rPr>
          <w:rStyle w:val="Znakapoznpodarou"/>
          <w:rFonts w:cs="Arial"/>
        </w:rPr>
        <w:footnoteRef/>
      </w:r>
      <w:r w:rsidRPr="00B87C67">
        <w:rPr>
          <w:rFonts w:cs="Arial"/>
        </w:rPr>
        <w:t xml:space="preserve"> Dalšími podmínkami, kdy nelze nabídnout CashOut, které se drobně mohou lišit dle provozovatele (např. ohledně možnosti storna), jsou např.: uzavřenou sázku lze stornovat, uzavřená sázka je již vyhodnocena jako prohrávající, v uzavřené sázce je obsažena příležitost, která není aktuálně v nabídce z důvodu, že provozovatel není schopen stanovit její kurz.</w:t>
      </w:r>
    </w:p>
    <w:p w14:paraId="63D00EF5" w14:textId="77777777" w:rsidR="00D55320" w:rsidRDefault="00D55320" w:rsidP="007D5B08">
      <w:pPr>
        <w:pStyle w:val="Textpoznpodarou"/>
      </w:pPr>
    </w:p>
  </w:footnote>
  <w:footnote w:id="7">
    <w:p w14:paraId="063E1EF6" w14:textId="4B0A6A82" w:rsidR="00D55320" w:rsidRPr="004105FD" w:rsidRDefault="00D55320" w:rsidP="00F92380">
      <w:pPr>
        <w:pStyle w:val="Textpoznpodarou"/>
        <w:jc w:val="both"/>
        <w:rPr>
          <w:rFonts w:ascii="Arial" w:hAnsi="Arial" w:cs="Arial"/>
        </w:rPr>
      </w:pPr>
      <w:r w:rsidRPr="004105FD">
        <w:rPr>
          <w:rStyle w:val="Znakapoznpodarou"/>
          <w:rFonts w:ascii="Arial" w:hAnsi="Arial" w:cs="Arial"/>
        </w:rPr>
        <w:footnoteRef/>
      </w:r>
      <w:r w:rsidRPr="004105FD">
        <w:rPr>
          <w:rFonts w:ascii="Arial" w:hAnsi="Arial" w:cs="Arial"/>
        </w:rPr>
        <w:t xml:space="preserve"> Je však třeba zdůraznit, že v klasickém pojetí je CashOut prováděn formou nabídky provozovatelem a akceptací </w:t>
      </w:r>
      <w:r>
        <w:rPr>
          <w:rFonts w:ascii="Arial" w:hAnsi="Arial" w:cs="Arial"/>
        </w:rPr>
        <w:t>účastníka</w:t>
      </w:r>
      <w:r w:rsidRPr="008F6F68">
        <w:rPr>
          <w:rFonts w:ascii="Arial" w:hAnsi="Arial" w:cs="Arial"/>
        </w:rPr>
        <w:t xml:space="preserve"> hazardní hry</w:t>
      </w:r>
      <w:r w:rsidRPr="004105FD">
        <w:rPr>
          <w:rFonts w:ascii="Arial" w:hAnsi="Arial" w:cs="Arial"/>
        </w:rPr>
        <w:t xml:space="preserve">, který tedy CashOut může odmítnout a sázka tak bude tradičně vyhodnocena. </w:t>
      </w:r>
    </w:p>
  </w:footnote>
  <w:footnote w:id="8">
    <w:p w14:paraId="3C74E4A5" w14:textId="56E86CE2" w:rsidR="00D55320" w:rsidRPr="004105FD" w:rsidRDefault="00D55320" w:rsidP="004606F0">
      <w:pPr>
        <w:pStyle w:val="Textpoznpodarou"/>
        <w:jc w:val="both"/>
      </w:pPr>
      <w:r w:rsidRPr="004105FD">
        <w:rPr>
          <w:rStyle w:val="Znakapoznpodarou"/>
          <w:rFonts w:ascii="Arial" w:hAnsi="Arial" w:cs="Arial"/>
        </w:rPr>
        <w:footnoteRef/>
      </w:r>
      <w:r w:rsidRPr="004105FD">
        <w:rPr>
          <w:rFonts w:ascii="Arial" w:hAnsi="Arial" w:cs="Arial"/>
        </w:rPr>
        <w:t xml:space="preserve"> V současné době je umožněn CashOut pouze v případě, pokud byla alespoň jedna sázková příležitost vyhodnocena jako výherní.</w:t>
      </w:r>
      <w:r w:rsidRPr="004105FD">
        <w:t xml:space="preserve"> </w:t>
      </w:r>
    </w:p>
  </w:footnote>
  <w:footnote w:id="9">
    <w:p w14:paraId="6BFD727B" w14:textId="7BA40D39" w:rsidR="00D55320" w:rsidRPr="004105FD" w:rsidRDefault="00D55320" w:rsidP="004606F0">
      <w:pPr>
        <w:spacing w:after="0"/>
        <w:rPr>
          <w:rFonts w:cs="Arial"/>
          <w:sz w:val="20"/>
          <w:szCs w:val="20"/>
        </w:rPr>
      </w:pPr>
      <w:r w:rsidRPr="004105FD">
        <w:rPr>
          <w:rStyle w:val="Znakapoznpodarou"/>
          <w:rFonts w:cs="Arial"/>
          <w:sz w:val="20"/>
          <w:szCs w:val="20"/>
        </w:rPr>
        <w:footnoteRef/>
      </w:r>
      <w:r w:rsidRPr="004105FD">
        <w:rPr>
          <w:rFonts w:cs="Arial"/>
          <w:sz w:val="20"/>
          <w:szCs w:val="20"/>
        </w:rPr>
        <w:t xml:space="preserve"> </w:t>
      </w:r>
      <w:hyperlink r:id="rId1" w:history="1">
        <w:r w:rsidRPr="004105FD">
          <w:rPr>
            <w:rFonts w:cs="Arial"/>
            <w:sz w:val="20"/>
            <w:szCs w:val="20"/>
          </w:rPr>
          <w:t>https://www.telegraph.co.uk/betting/sports-guides/betting-exchanges/</w:t>
        </w:r>
      </w:hyperlink>
      <w:r w:rsidRPr="004105FD">
        <w:rPr>
          <w:rFonts w:cs="Arial"/>
          <w:sz w:val="20"/>
          <w:szCs w:val="20"/>
        </w:rPr>
        <w:t xml:space="preserve"> .</w:t>
      </w:r>
    </w:p>
  </w:footnote>
  <w:footnote w:id="10">
    <w:p w14:paraId="578CBB75" w14:textId="77777777" w:rsidR="00D55320" w:rsidRDefault="00D55320" w:rsidP="00DD1EA8">
      <w:pPr>
        <w:pStyle w:val="Textpoznpodarou"/>
        <w:jc w:val="both"/>
      </w:pPr>
      <w:r w:rsidRPr="004105FD">
        <w:rPr>
          <w:rStyle w:val="Znakapoznpodarou"/>
          <w:rFonts w:ascii="Arial" w:hAnsi="Arial" w:cs="Arial"/>
        </w:rPr>
        <w:footnoteRef/>
      </w:r>
      <w:r w:rsidRPr="004105FD">
        <w:rPr>
          <w:rFonts w:ascii="Arial" w:hAnsi="Arial" w:cs="Arial"/>
        </w:rPr>
        <w:t xml:space="preserve"> Např. Betfair nabízí klasické kursové sázení i sázkovou burzu, sázková kancelář Ladbrokes provozuje sázkovou burzu  BETDAQ+.</w:t>
      </w:r>
      <w:r w:rsidRPr="00B01BFF">
        <w:t xml:space="preserve"> </w:t>
      </w:r>
    </w:p>
  </w:footnote>
  <w:footnote w:id="11">
    <w:p w14:paraId="1F19D3F8" w14:textId="1BC4C330" w:rsidR="00D55320" w:rsidRPr="000C1588" w:rsidRDefault="00D55320" w:rsidP="000C1588">
      <w:pPr>
        <w:pStyle w:val="Textpoznpodarou"/>
        <w:jc w:val="both"/>
        <w:rPr>
          <w:rFonts w:ascii="Arial" w:hAnsi="Arial" w:cs="Arial"/>
        </w:rPr>
      </w:pPr>
      <w:r w:rsidRPr="000C1588">
        <w:rPr>
          <w:rStyle w:val="Znakapoznpodarou"/>
          <w:rFonts w:ascii="Arial" w:hAnsi="Arial" w:cs="Arial"/>
        </w:rPr>
        <w:footnoteRef/>
      </w:r>
      <w:r w:rsidRPr="000C1588">
        <w:rPr>
          <w:rFonts w:ascii="Arial" w:hAnsi="Arial" w:cs="Arial"/>
        </w:rPr>
        <w:t xml:space="preserve"> </w:t>
      </w:r>
      <w:r>
        <w:rPr>
          <w:rFonts w:ascii="Arial" w:hAnsi="Arial" w:cs="Arial"/>
          <w:bCs/>
          <w:shd w:val="clear" w:color="auto" w:fill="FFFFFF"/>
        </w:rPr>
        <w:t>S</w:t>
      </w:r>
      <w:r w:rsidRPr="000C1588">
        <w:rPr>
          <w:rFonts w:ascii="Arial" w:hAnsi="Arial" w:cs="Arial"/>
          <w:bCs/>
          <w:shd w:val="clear" w:color="auto" w:fill="FFFFFF"/>
        </w:rPr>
        <w:t>ázky</w:t>
      </w:r>
      <w:r w:rsidRPr="000C1588">
        <w:rPr>
          <w:rFonts w:ascii="Arial" w:hAnsi="Arial" w:cs="Arial"/>
          <w:shd w:val="clear" w:color="auto" w:fill="FFFFFF"/>
        </w:rPr>
        <w:t>, které probíhají na již rozehraný zápas nebo utkání</w:t>
      </w:r>
      <w:r>
        <w:rPr>
          <w:rFonts w:ascii="Arial" w:hAnsi="Arial" w:cs="Arial"/>
          <w:shd w:val="clear" w:color="auto" w:fill="FFFFFF"/>
        </w:rPr>
        <w:t>.</w:t>
      </w:r>
    </w:p>
  </w:footnote>
  <w:footnote w:id="12">
    <w:p w14:paraId="751DCA7F" w14:textId="6680D251" w:rsidR="00D55320" w:rsidRPr="00B01BFF" w:rsidRDefault="00D55320" w:rsidP="000C1588">
      <w:pPr>
        <w:pStyle w:val="Textpoznpodarou"/>
        <w:jc w:val="both"/>
        <w:rPr>
          <w:rFonts w:ascii="Arial" w:hAnsi="Arial" w:cs="Arial"/>
        </w:rPr>
      </w:pPr>
      <w:r w:rsidRPr="00B01BFF">
        <w:rPr>
          <w:rStyle w:val="Znakapoznpodarou"/>
          <w:rFonts w:ascii="Arial" w:hAnsi="Arial" w:cs="Arial"/>
        </w:rPr>
        <w:footnoteRef/>
      </w:r>
      <w:r w:rsidRPr="00B01BFF">
        <w:rPr>
          <w:rFonts w:ascii="Arial" w:hAnsi="Arial" w:cs="Arial"/>
        </w:rPr>
        <w:t xml:space="preserve"> https://www.matchbook.com/page/rules_and_regulations/market-rules</w:t>
      </w:r>
      <w:r>
        <w:rPr>
          <w:rFonts w:ascii="Arial" w:hAnsi="Arial" w:cs="Arial"/>
        </w:rPr>
        <w:t>.</w:t>
      </w:r>
    </w:p>
  </w:footnote>
  <w:footnote w:id="13">
    <w:p w14:paraId="5EF3E30A" w14:textId="77777777" w:rsidR="00D55320" w:rsidRPr="00FB7F10" w:rsidRDefault="00D55320" w:rsidP="002D4E39">
      <w:pPr>
        <w:pStyle w:val="Textpoznpodarou"/>
        <w:jc w:val="both"/>
        <w:rPr>
          <w:rFonts w:ascii="Arial" w:hAnsi="Arial" w:cs="Arial"/>
        </w:rPr>
      </w:pPr>
      <w:r w:rsidRPr="00FB7F10">
        <w:rPr>
          <w:rStyle w:val="Znakapoznpodarou"/>
          <w:rFonts w:ascii="Arial" w:hAnsi="Arial" w:cs="Arial"/>
        </w:rPr>
        <w:footnoteRef/>
      </w:r>
      <w:r w:rsidRPr="00FB7F10">
        <w:rPr>
          <w:rFonts w:ascii="Arial" w:hAnsi="Arial" w:cs="Arial"/>
        </w:rPr>
        <w:t xml:space="preserve"> Na sázkovou událost, kterou je fotbalové utkání „Anglie – Francie – počet branek“ jsou vypsány dvě sázkové příležitosti – „padne méně než 2,5 branky“ a „padne více než 2,5 branky“.    </w:t>
      </w:r>
    </w:p>
  </w:footnote>
  <w:footnote w:id="14">
    <w:p w14:paraId="280F6015" w14:textId="77777777" w:rsidR="00D55320" w:rsidRPr="004105FD" w:rsidRDefault="00D55320" w:rsidP="00282352">
      <w:pPr>
        <w:pStyle w:val="Textpoznpodarou"/>
        <w:jc w:val="both"/>
        <w:rPr>
          <w:rFonts w:ascii="Arial" w:hAnsi="Arial" w:cs="Arial"/>
        </w:rPr>
      </w:pPr>
      <w:r w:rsidRPr="004105FD">
        <w:rPr>
          <w:rStyle w:val="Znakapoznpodarou"/>
          <w:rFonts w:ascii="Arial" w:hAnsi="Arial" w:cs="Arial"/>
        </w:rPr>
        <w:footnoteRef/>
      </w:r>
      <w:r w:rsidRPr="004105FD">
        <w:rPr>
          <w:rFonts w:ascii="Arial" w:hAnsi="Arial" w:cs="Arial"/>
        </w:rPr>
        <w:t xml:space="preserve"> Např. CashOut nelze nabídnout, pokud uzavřenou sázku lze stornovat, uzavřená sázka je již vyhodnocena jako prohrávající, v uzavřené sázce je obsažena příležitost, která není aktuálně v nabídce z důvodu, že provozovatel není schopen stanovit její kurz).</w:t>
      </w:r>
    </w:p>
  </w:footnote>
  <w:footnote w:id="15">
    <w:p w14:paraId="6A0D5FFB" w14:textId="77777777" w:rsidR="00D55320" w:rsidRPr="00FB7F10" w:rsidRDefault="00D55320" w:rsidP="00282352">
      <w:pPr>
        <w:pStyle w:val="Textpoznpodarou"/>
        <w:jc w:val="both"/>
        <w:rPr>
          <w:rFonts w:ascii="Arial" w:hAnsi="Arial" w:cs="Arial"/>
        </w:rPr>
      </w:pPr>
      <w:r w:rsidRPr="004105FD">
        <w:rPr>
          <w:rStyle w:val="Znakapoznpodarou"/>
          <w:rFonts w:ascii="Arial" w:hAnsi="Arial" w:cs="Arial"/>
        </w:rPr>
        <w:footnoteRef/>
      </w:r>
      <w:r w:rsidRPr="004105FD">
        <w:rPr>
          <w:rFonts w:ascii="Arial" w:hAnsi="Arial" w:cs="Arial"/>
        </w:rPr>
        <w:t xml:space="preserve"> V zahraničí (včetně Slovenska) je CashOut nabízen bez této podmínky.</w:t>
      </w:r>
      <w:r w:rsidRPr="00FB7F10">
        <w:rPr>
          <w:rFonts w:ascii="Arial" w:hAnsi="Arial" w:cs="Arial"/>
        </w:rPr>
        <w:t xml:space="preserve"> </w:t>
      </w:r>
    </w:p>
  </w:footnote>
  <w:footnote w:id="16">
    <w:p w14:paraId="69B15935" w14:textId="286DB045" w:rsidR="00D55320" w:rsidRDefault="00D55320" w:rsidP="004105FD">
      <w:pPr>
        <w:pStyle w:val="Textpoznpodarou"/>
        <w:jc w:val="both"/>
      </w:pPr>
      <w:r w:rsidRPr="00FB7F10">
        <w:rPr>
          <w:rStyle w:val="Znakapoznpodarou"/>
          <w:rFonts w:ascii="Arial" w:hAnsi="Arial" w:cs="Arial"/>
        </w:rPr>
        <w:footnoteRef/>
      </w:r>
      <w:r w:rsidRPr="00C00D3A">
        <w:rPr>
          <w:rFonts w:ascii="Arial" w:hAnsi="Arial" w:cs="Arial"/>
        </w:rPr>
        <w:t>Safer gambling - Consumer guides. Gambling commission [online</w:t>
      </w:r>
      <w:r>
        <w:rPr>
          <w:rFonts w:ascii="Arial" w:hAnsi="Arial" w:cs="Arial"/>
        </w:rPr>
        <w:t>]. [cit. 2021-6-3]. Dostupné z: </w:t>
      </w:r>
      <w:r w:rsidRPr="00C00D3A">
        <w:rPr>
          <w:rFonts w:ascii="Arial" w:hAnsi="Arial" w:cs="Arial"/>
        </w:rPr>
        <w:t>https://www.gamblingcommission.gov.uk/for-the-public/Safer-gambling/Consumer guides/Betting/Understanding-the-cash-out-option.aspx.</w:t>
      </w:r>
    </w:p>
  </w:footnote>
  <w:footnote w:id="17">
    <w:p w14:paraId="7BADFB1D" w14:textId="7BCCAECC" w:rsidR="00D55320" w:rsidRPr="004105FD" w:rsidRDefault="00D55320" w:rsidP="004105FD">
      <w:pPr>
        <w:pStyle w:val="Textpoznpodarou"/>
        <w:jc w:val="both"/>
        <w:rPr>
          <w:rFonts w:ascii="Arial" w:hAnsi="Arial" w:cs="Arial"/>
        </w:rPr>
      </w:pPr>
      <w:r w:rsidRPr="004105FD">
        <w:rPr>
          <w:rStyle w:val="Znakapoznpodarou"/>
          <w:rFonts w:ascii="Arial" w:hAnsi="Arial" w:cs="Arial"/>
        </w:rPr>
        <w:footnoteRef/>
      </w:r>
      <w:r w:rsidRPr="004105FD">
        <w:rPr>
          <w:rFonts w:ascii="Arial" w:hAnsi="Arial" w:cs="Arial"/>
        </w:rPr>
        <w:t xml:space="preserve"> Jeden provozovatel disponuje povolením k provozování totalizátorové hry podle zákona o loteriích (stav k 31. 5. 2021).</w:t>
      </w:r>
    </w:p>
  </w:footnote>
  <w:footnote w:id="18">
    <w:p w14:paraId="368352E1" w14:textId="138E6CAA" w:rsidR="00D55320" w:rsidRPr="003C3A12" w:rsidRDefault="00D55320" w:rsidP="00733181">
      <w:pPr>
        <w:pStyle w:val="Textpoznpodarou"/>
        <w:jc w:val="both"/>
        <w:rPr>
          <w:rFonts w:ascii="Arial" w:hAnsi="Arial" w:cs="Arial"/>
        </w:rPr>
      </w:pPr>
      <w:r w:rsidRPr="00FB7F10">
        <w:rPr>
          <w:rStyle w:val="Znakapoznpodarou"/>
          <w:rFonts w:ascii="Arial" w:hAnsi="Arial" w:cs="Arial"/>
        </w:rPr>
        <w:footnoteRef/>
      </w:r>
      <w:r>
        <w:rPr>
          <w:rFonts w:ascii="Arial" w:hAnsi="Arial" w:cs="Arial"/>
        </w:rPr>
        <w:t xml:space="preserve"> </w:t>
      </w:r>
      <w:r w:rsidRPr="00FB7F10">
        <w:rPr>
          <w:rFonts w:ascii="Arial" w:hAnsi="Arial" w:cs="Arial"/>
        </w:rPr>
        <w:t>§ 2 písm. g) sázkové hry provozované pomocí zvláštního druhu žetonů s kombinací patnácti čísel v číselné řadě od jedné do devadesáti, při kterých není předem určen počet účastníků a</w:t>
      </w:r>
      <w:r>
        <w:rPr>
          <w:rFonts w:ascii="Arial" w:hAnsi="Arial" w:cs="Arial"/>
        </w:rPr>
        <w:t> </w:t>
      </w:r>
      <w:r w:rsidRPr="00FB7F10">
        <w:rPr>
          <w:rFonts w:ascii="Arial" w:hAnsi="Arial" w:cs="Arial"/>
        </w:rPr>
        <w:t xml:space="preserve">ani výše herní jistiny. Losování se provádí veřejně za pomoci mechanického zařízení a spočívá v postupném losování čísel od jedné do </w:t>
      </w:r>
      <w:r w:rsidRPr="003C3A12">
        <w:rPr>
          <w:rFonts w:ascii="Arial" w:hAnsi="Arial" w:cs="Arial"/>
        </w:rPr>
        <w:t xml:space="preserve">devadesáti. Výhra se vypočítává podle úhrnné </w:t>
      </w:r>
      <w:r>
        <w:rPr>
          <w:rFonts w:ascii="Arial" w:hAnsi="Arial" w:cs="Arial"/>
        </w:rPr>
        <w:t>výše vkladů podle druhu výhry a </w:t>
      </w:r>
      <w:r w:rsidRPr="003C3A12">
        <w:rPr>
          <w:rFonts w:ascii="Arial" w:hAnsi="Arial" w:cs="Arial"/>
        </w:rPr>
        <w:t xml:space="preserve">v každé hře podle výsledku losování. Podmínky hry stanoví podrobně herní plán. </w:t>
      </w:r>
    </w:p>
  </w:footnote>
  <w:footnote w:id="19">
    <w:p w14:paraId="4F04FE55" w14:textId="2A388F8A" w:rsidR="00D55320" w:rsidRPr="009A5A9F" w:rsidRDefault="00D55320" w:rsidP="00733181">
      <w:pPr>
        <w:pStyle w:val="Textpoznpodarou"/>
        <w:jc w:val="both"/>
        <w:rPr>
          <w:rFonts w:ascii="Arial" w:hAnsi="Arial" w:cs="Arial"/>
        </w:rPr>
      </w:pPr>
      <w:r w:rsidRPr="003C3A12">
        <w:rPr>
          <w:rStyle w:val="Znakapoznpodarou"/>
          <w:rFonts w:ascii="Arial" w:hAnsi="Arial" w:cs="Arial"/>
        </w:rPr>
        <w:footnoteRef/>
      </w:r>
      <w:r w:rsidRPr="003C3A12">
        <w:rPr>
          <w:rFonts w:ascii="Arial" w:hAnsi="Arial" w:cs="Arial"/>
        </w:rPr>
        <w:t xml:space="preserve"> § 39 odst. 5 </w:t>
      </w:r>
      <w:r>
        <w:rPr>
          <w:rFonts w:ascii="Arial" w:hAnsi="Arial" w:cs="Arial"/>
        </w:rPr>
        <w:t>zákona o hazardních hrách -</w:t>
      </w:r>
      <w:r w:rsidRPr="003C3A12">
        <w:rPr>
          <w:rFonts w:ascii="Arial" w:hAnsi="Arial" w:cs="Arial"/>
        </w:rPr>
        <w:t xml:space="preserve"> Sázkové tikety lze prodávat pouze v pokladně kasina.</w:t>
      </w:r>
    </w:p>
  </w:footnote>
  <w:footnote w:id="20">
    <w:p w14:paraId="0D9DD1A2" w14:textId="77777777" w:rsidR="00D55320" w:rsidRPr="00FB7F10" w:rsidRDefault="00D55320" w:rsidP="00733181">
      <w:pPr>
        <w:pStyle w:val="Textpoznpodarou"/>
        <w:jc w:val="both"/>
        <w:rPr>
          <w:rFonts w:ascii="Arial" w:hAnsi="Arial" w:cs="Arial"/>
        </w:rPr>
      </w:pPr>
      <w:r w:rsidRPr="00F60B97">
        <w:rPr>
          <w:rStyle w:val="Znakapoznpodarou"/>
          <w:rFonts w:ascii="Arial" w:hAnsi="Arial" w:cs="Arial"/>
        </w:rPr>
        <w:footnoteRef/>
      </w:r>
      <w:r w:rsidRPr="00F60B97">
        <w:rPr>
          <w:rFonts w:ascii="Arial" w:hAnsi="Arial" w:cs="Arial"/>
        </w:rPr>
        <w:t xml:space="preserve"> Variant hry Bingo vznikla postupem času celá řada (je důležité seznámit se s pravidly provozovatele Binga), a tak vedle klasických výherních formací (přímá linie: řádek, sloupec, diagonála) vznikly i nové formace či vzorce, jako například L, které vyžaduje odškrtnutí vše</w:t>
      </w:r>
      <w:r w:rsidRPr="003C3A12">
        <w:rPr>
          <w:rFonts w:ascii="Arial" w:hAnsi="Arial" w:cs="Arial"/>
        </w:rPr>
        <w:t>ch čísel ve sloupci B či O a v horním nebo dolním řádku nebo formace, která se označuje jako poštovní známka (</w:t>
      </w:r>
      <w:r w:rsidRPr="00F60B97">
        <w:rPr>
          <w:rFonts w:ascii="Arial" w:hAnsi="Arial" w:cs="Arial"/>
          <w:i/>
          <w:iCs/>
        </w:rPr>
        <w:t>postage stamp</w:t>
      </w:r>
      <w:r w:rsidRPr="00F60B97">
        <w:rPr>
          <w:rFonts w:ascii="Arial" w:hAnsi="Arial" w:cs="Arial"/>
        </w:rPr>
        <w:t>), což jsou 2 × 2 pole nahoře vpravo pod písmeny G a O, případně je potřeba obsadit všechny čtyři rohy 2 × 2 atd. Jiným běžným výherním vzorcem je zatemnění (</w:t>
      </w:r>
      <w:r w:rsidRPr="00F60B97">
        <w:rPr>
          <w:rFonts w:ascii="Arial" w:hAnsi="Arial" w:cs="Arial"/>
          <w:i/>
          <w:iCs/>
        </w:rPr>
        <w:t>blackout</w:t>
      </w:r>
      <w:r w:rsidRPr="00F60B97">
        <w:rPr>
          <w:rFonts w:ascii="Arial" w:hAnsi="Arial" w:cs="Arial"/>
        </w:rPr>
        <w:t>), kdy je potřeba obsadit všech 25 čísel na hrací kartě, resp. 24 čísel (a volné středové pole, které je považované za splněné).</w:t>
      </w:r>
    </w:p>
  </w:footnote>
  <w:footnote w:id="21">
    <w:p w14:paraId="7A7FE3A7" w14:textId="56E7702E" w:rsidR="00D55320" w:rsidRPr="00FB7F10" w:rsidRDefault="00D55320" w:rsidP="00733181">
      <w:pPr>
        <w:pStyle w:val="Textpoznpodarou"/>
        <w:jc w:val="both"/>
        <w:rPr>
          <w:rFonts w:ascii="Arial" w:hAnsi="Arial" w:cs="Arial"/>
        </w:rPr>
      </w:pPr>
      <w:r w:rsidRPr="00FB7F10">
        <w:rPr>
          <w:rStyle w:val="Znakapoznpodarou"/>
          <w:rFonts w:ascii="Arial" w:hAnsi="Arial" w:cs="Arial"/>
        </w:rPr>
        <w:footnoteRef/>
      </w:r>
      <w:r w:rsidRPr="00FB7F10">
        <w:rPr>
          <w:rFonts w:ascii="Arial" w:hAnsi="Arial" w:cs="Arial"/>
        </w:rPr>
        <w:t xml:space="preserve"> § 39 odst. 3 </w:t>
      </w:r>
      <w:r>
        <w:rPr>
          <w:rFonts w:ascii="Arial" w:hAnsi="Arial" w:cs="Arial"/>
        </w:rPr>
        <w:t xml:space="preserve">zákona o hazardních hrách - </w:t>
      </w:r>
      <w:r w:rsidRPr="00FB7F10">
        <w:rPr>
          <w:rFonts w:ascii="Arial" w:hAnsi="Arial" w:cs="Arial"/>
          <w:color w:val="000000"/>
        </w:rPr>
        <w:t>Provozovatel je povinen určit v herním plánu vzorec, který</w:t>
      </w:r>
      <w:r>
        <w:rPr>
          <w:rFonts w:ascii="Arial" w:hAnsi="Arial" w:cs="Arial"/>
          <w:color w:val="000000"/>
        </w:rPr>
        <w:t> </w:t>
      </w:r>
      <w:r w:rsidRPr="00FB7F10">
        <w:rPr>
          <w:rFonts w:ascii="Arial" w:hAnsi="Arial" w:cs="Arial"/>
          <w:color w:val="000000"/>
        </w:rPr>
        <w:t>má být na sázkovém tiketu vytvořen k dosažení výhry.</w:t>
      </w:r>
    </w:p>
  </w:footnote>
  <w:footnote w:id="22">
    <w:p w14:paraId="174D7987" w14:textId="06EB6CEC" w:rsidR="00D55320" w:rsidRDefault="00D55320" w:rsidP="00733181">
      <w:pPr>
        <w:pStyle w:val="Textpoznpodarou"/>
        <w:jc w:val="both"/>
      </w:pPr>
      <w:r w:rsidRPr="00FB7F10">
        <w:rPr>
          <w:rStyle w:val="Znakapoznpodarou"/>
          <w:rFonts w:ascii="Arial" w:hAnsi="Arial" w:cs="Arial"/>
        </w:rPr>
        <w:footnoteRef/>
      </w:r>
      <w:r w:rsidRPr="00FB7F10">
        <w:rPr>
          <w:rFonts w:ascii="Arial" w:hAnsi="Arial" w:cs="Arial"/>
        </w:rPr>
        <w:t xml:space="preserve"> Herní jistinu definuje § 21 zákona o hazardních hrách</w:t>
      </w:r>
      <w:r>
        <w:rPr>
          <w:rFonts w:ascii="Arial" w:hAnsi="Arial" w:cs="Arial"/>
        </w:rPr>
        <w:t>.</w:t>
      </w:r>
    </w:p>
  </w:footnote>
  <w:footnote w:id="23">
    <w:p w14:paraId="504C6295" w14:textId="04733CC3" w:rsidR="00D55320" w:rsidRPr="004105FD" w:rsidRDefault="00D55320" w:rsidP="009F65A8">
      <w:pPr>
        <w:pStyle w:val="Textpoznpodarou"/>
        <w:jc w:val="both"/>
        <w:rPr>
          <w:rFonts w:ascii="Arial" w:hAnsi="Arial" w:cs="Arial"/>
        </w:rPr>
      </w:pPr>
      <w:r w:rsidRPr="004105FD">
        <w:rPr>
          <w:rStyle w:val="Znakapoznpodarou"/>
          <w:rFonts w:ascii="Arial" w:hAnsi="Arial" w:cs="Arial"/>
        </w:rPr>
        <w:footnoteRef/>
      </w:r>
      <w:r w:rsidRPr="004105FD">
        <w:rPr>
          <w:rFonts w:ascii="Arial" w:hAnsi="Arial" w:cs="Arial"/>
        </w:rPr>
        <w:t xml:space="preserve"> V případě účasti na technické hře je nutná identifikace návštěvníka při jeho vstupu do herny nebo kasina, ověření jeho věk</w:t>
      </w:r>
      <w:r>
        <w:rPr>
          <w:rFonts w:ascii="Arial" w:hAnsi="Arial" w:cs="Arial"/>
        </w:rPr>
        <w:t>u a ověření, zda není zapsán v R</w:t>
      </w:r>
      <w:r w:rsidRPr="004105FD">
        <w:rPr>
          <w:rFonts w:ascii="Arial" w:hAnsi="Arial" w:cs="Arial"/>
        </w:rPr>
        <w:t>ejstříku</w:t>
      </w:r>
      <w:r>
        <w:rPr>
          <w:rFonts w:ascii="Arial" w:hAnsi="Arial" w:cs="Arial"/>
        </w:rPr>
        <w:t xml:space="preserve"> vyloučených osob</w:t>
      </w:r>
      <w:r w:rsidRPr="004105FD">
        <w:rPr>
          <w:rFonts w:ascii="Arial" w:hAnsi="Arial" w:cs="Arial"/>
        </w:rPr>
        <w:t xml:space="preserve"> podle § 16 zákona o hazardních hrách.</w:t>
      </w:r>
    </w:p>
  </w:footnote>
  <w:footnote w:id="24">
    <w:p w14:paraId="1D6ED59B" w14:textId="77777777" w:rsidR="00D55320" w:rsidRPr="004105FD" w:rsidRDefault="00D55320" w:rsidP="009F65A8">
      <w:pPr>
        <w:pStyle w:val="Textpoznpodarou"/>
        <w:jc w:val="both"/>
        <w:rPr>
          <w:rFonts w:ascii="Arial" w:hAnsi="Arial" w:cs="Arial"/>
        </w:rPr>
      </w:pPr>
      <w:r w:rsidRPr="004105FD">
        <w:rPr>
          <w:rStyle w:val="Znakapoznpodarou"/>
          <w:rFonts w:ascii="Arial" w:hAnsi="Arial" w:cs="Arial"/>
        </w:rPr>
        <w:footnoteRef/>
      </w:r>
      <w:r w:rsidRPr="004105FD">
        <w:rPr>
          <w:rFonts w:ascii="Arial" w:hAnsi="Arial" w:cs="Arial"/>
        </w:rPr>
        <w:t xml:space="preserve"> Institut výherního podílu byl částečně zastoupen i v zákoně o loteriích. Zákon o hazardních hrách podle zásady technické neutrality povinnost stanovení výherního podílu rozšiřuje na všechny technické hry.</w:t>
      </w:r>
    </w:p>
  </w:footnote>
  <w:footnote w:id="25">
    <w:p w14:paraId="2B88EEB2" w14:textId="77777777" w:rsidR="00D55320" w:rsidRPr="004105FD" w:rsidRDefault="00D55320" w:rsidP="009F65A8">
      <w:pPr>
        <w:pStyle w:val="Textpoznpodarou"/>
        <w:jc w:val="both"/>
        <w:rPr>
          <w:rFonts w:ascii="Arial" w:hAnsi="Arial" w:cs="Arial"/>
        </w:rPr>
      </w:pPr>
      <w:r w:rsidRPr="004105FD">
        <w:rPr>
          <w:rStyle w:val="Znakapoznpodarou"/>
          <w:rFonts w:ascii="Arial" w:hAnsi="Arial" w:cs="Arial"/>
        </w:rPr>
        <w:footnoteRef/>
      </w:r>
      <w:r w:rsidRPr="004105FD">
        <w:rPr>
          <w:rFonts w:ascii="Arial" w:hAnsi="Arial" w:cs="Arial"/>
        </w:rPr>
        <w:t xml:space="preserve"> Zákon o hazardních hrách výslovně neukládá povinnost odhlásit účastníka hazardní hry v rámci povinné přestávky z uživatelského konta, nicméně zároveň tuto možnost provozovatelům umožňuje.</w:t>
      </w:r>
    </w:p>
  </w:footnote>
  <w:footnote w:id="26">
    <w:p w14:paraId="3F39E859" w14:textId="121FE664" w:rsidR="00D55320" w:rsidRDefault="00D55320" w:rsidP="009F65A8">
      <w:pPr>
        <w:pStyle w:val="Textpoznpodarou"/>
        <w:jc w:val="both"/>
      </w:pPr>
      <w:r w:rsidRPr="004105FD">
        <w:rPr>
          <w:rStyle w:val="Znakapoznpodarou"/>
          <w:rFonts w:ascii="Arial" w:hAnsi="Arial" w:cs="Arial"/>
        </w:rPr>
        <w:footnoteRef/>
      </w:r>
      <w:r w:rsidRPr="004105FD">
        <w:rPr>
          <w:rFonts w:ascii="Arial" w:hAnsi="Arial" w:cs="Arial"/>
        </w:rPr>
        <w:t xml:space="preserve"> Zákon o loteriích upravoval v § 17 odst. 4 pro výherní hrací přístroje l</w:t>
      </w:r>
      <w:r>
        <w:rPr>
          <w:rFonts w:ascii="Arial" w:hAnsi="Arial" w:cs="Arial"/>
        </w:rPr>
        <w:t>imity maximální sázky do hry (2 </w:t>
      </w:r>
      <w:r w:rsidRPr="004105FD">
        <w:rPr>
          <w:rFonts w:ascii="Arial" w:hAnsi="Arial" w:cs="Arial"/>
        </w:rPr>
        <w:t>Kč ve zvláštních herních prostorech, 5 Kč v hernách, 50 Kč v kasinech) a limity maximální možné výhry z jedné hry (300 Kč ve zvláštních herních prostorech, 750 Kč v hernách, 50 000 Kč v kasinech), avšak tyto limity se vztahovaly pouze k výherním hracím přístrojům. V případě ostatních her, dnes označovaných za technické hry, byly případné limity stanovené správ</w:t>
      </w:r>
      <w:r>
        <w:rPr>
          <w:rFonts w:ascii="Arial" w:hAnsi="Arial" w:cs="Arial"/>
        </w:rPr>
        <w:t>ní praxí. Uvedené limity dále v </w:t>
      </w:r>
      <w:r w:rsidRPr="004105FD">
        <w:rPr>
          <w:rFonts w:ascii="Arial" w:hAnsi="Arial" w:cs="Arial"/>
        </w:rPr>
        <w:t>souladu s § 17 odst. 7 téhož zákona neplatily pro kumulovanou výhru jackpot, která mohla v hernách činit 10 000 Kč a v kasinech 100 000 Kč.</w:t>
      </w:r>
    </w:p>
  </w:footnote>
  <w:footnote w:id="27">
    <w:p w14:paraId="2B937553" w14:textId="77777777" w:rsidR="00D55320" w:rsidRPr="004105FD" w:rsidRDefault="00D55320" w:rsidP="009F65A8">
      <w:pPr>
        <w:pStyle w:val="Textpoznpodarou"/>
        <w:jc w:val="both"/>
        <w:rPr>
          <w:rFonts w:ascii="Arial" w:hAnsi="Arial" w:cs="Arial"/>
        </w:rPr>
      </w:pPr>
      <w:r w:rsidRPr="004105FD">
        <w:rPr>
          <w:rStyle w:val="Znakapoznpodarou"/>
          <w:rFonts w:ascii="Arial" w:hAnsi="Arial" w:cs="Arial"/>
        </w:rPr>
        <w:footnoteRef/>
      </w:r>
      <w:r w:rsidRPr="004105FD">
        <w:rPr>
          <w:rFonts w:ascii="Arial" w:hAnsi="Arial" w:cs="Arial"/>
        </w:rPr>
        <w:t xml:space="preserve"> Sledované období se nevyznačovalo netypickými událostmi (např. významnými svátky nebo obdobím letních dovolených) a bylo stanoveno v relevantní délce.</w:t>
      </w:r>
    </w:p>
  </w:footnote>
  <w:footnote w:id="28">
    <w:p w14:paraId="5308C692" w14:textId="7B1F8809" w:rsidR="00D55320" w:rsidRPr="0027783C" w:rsidRDefault="00D55320" w:rsidP="009F65A8">
      <w:pPr>
        <w:pStyle w:val="Textpoznpodarou"/>
        <w:jc w:val="both"/>
        <w:rPr>
          <w:rFonts w:ascii="Arial" w:hAnsi="Arial" w:cs="Arial"/>
        </w:rPr>
      </w:pPr>
      <w:r w:rsidRPr="0027783C">
        <w:rPr>
          <w:rStyle w:val="Znakapoznpodarou"/>
          <w:rFonts w:ascii="Arial" w:hAnsi="Arial" w:cs="Arial"/>
        </w:rPr>
        <w:footnoteRef/>
      </w:r>
      <w:r w:rsidRPr="0027783C">
        <w:rPr>
          <w:rFonts w:ascii="Arial" w:hAnsi="Arial" w:cs="Arial"/>
        </w:rPr>
        <w:t xml:space="preserve"> Určitým fenoménem po</w:t>
      </w:r>
      <w:r>
        <w:rPr>
          <w:rFonts w:ascii="Arial" w:hAnsi="Arial" w:cs="Arial"/>
        </w:rPr>
        <w:t>sledních let jsou tzv. kvazikasi</w:t>
      </w:r>
      <w:r w:rsidRPr="0027783C">
        <w:rPr>
          <w:rFonts w:ascii="Arial" w:hAnsi="Arial" w:cs="Arial"/>
        </w:rPr>
        <w:t>na, tj. provozovny, které formálně naplňují požadavky stano</w:t>
      </w:r>
      <w:r>
        <w:rPr>
          <w:rFonts w:ascii="Arial" w:hAnsi="Arial" w:cs="Arial"/>
        </w:rPr>
        <w:t>vené pro herní prostor typu kasi</w:t>
      </w:r>
      <w:r w:rsidRPr="0027783C">
        <w:rPr>
          <w:rFonts w:ascii="Arial" w:hAnsi="Arial" w:cs="Arial"/>
        </w:rPr>
        <w:t xml:space="preserve">no (zejména splňují požadavky na provoz živé hry), nicméně fakticky se jedná o hernu. Není zcela jednoznačné, jaké </w:t>
      </w:r>
      <w:r>
        <w:rPr>
          <w:rFonts w:ascii="Arial" w:hAnsi="Arial" w:cs="Arial"/>
        </w:rPr>
        <w:t xml:space="preserve">všechny </w:t>
      </w:r>
      <w:r w:rsidRPr="0027783C">
        <w:rPr>
          <w:rFonts w:ascii="Arial" w:hAnsi="Arial" w:cs="Arial"/>
        </w:rPr>
        <w:t>konkrétní důvody moho</w:t>
      </w:r>
      <w:r>
        <w:rPr>
          <w:rFonts w:ascii="Arial" w:hAnsi="Arial" w:cs="Arial"/>
        </w:rPr>
        <w:t>u provozovatele těchto kvazikasi</w:t>
      </w:r>
      <w:r w:rsidRPr="0027783C">
        <w:rPr>
          <w:rFonts w:ascii="Arial" w:hAnsi="Arial" w:cs="Arial"/>
        </w:rPr>
        <w:t>n k jejich provozování vést, nicméně z dat týkajících se výše sázek v jednotlivých herních prostorech se lze domnívat, že odlišné výš</w:t>
      </w:r>
      <w:r>
        <w:rPr>
          <w:rFonts w:ascii="Arial" w:hAnsi="Arial" w:cs="Arial"/>
        </w:rPr>
        <w:t>e maximálních sázek pro hernu a kasi</w:t>
      </w:r>
      <w:r w:rsidRPr="0027783C">
        <w:rPr>
          <w:rFonts w:ascii="Arial" w:hAnsi="Arial" w:cs="Arial"/>
        </w:rPr>
        <w:t xml:space="preserve">no nejsou rozhodujícím faktorem (dále se odkazuje na </w:t>
      </w:r>
      <w:r>
        <w:rPr>
          <w:rFonts w:ascii="Arial" w:hAnsi="Arial" w:cs="Arial"/>
        </w:rPr>
        <w:t>Přílohu č. 6 </w:t>
      </w:r>
      <w:r w:rsidRPr="0027783C">
        <w:rPr>
          <w:rFonts w:ascii="Arial" w:hAnsi="Arial" w:cs="Arial"/>
        </w:rPr>
        <w:t>Herní prostor).</w:t>
      </w:r>
    </w:p>
  </w:footnote>
  <w:footnote w:id="29">
    <w:p w14:paraId="12B6AB94" w14:textId="793F6C6B" w:rsidR="00D55320" w:rsidRPr="0027783C" w:rsidRDefault="00D55320" w:rsidP="009F65A8">
      <w:pPr>
        <w:pStyle w:val="Textpoznpodarou"/>
        <w:jc w:val="both"/>
        <w:rPr>
          <w:rFonts w:ascii="Arial" w:hAnsi="Arial" w:cs="Arial"/>
        </w:rPr>
      </w:pPr>
      <w:r w:rsidRPr="0027783C">
        <w:rPr>
          <w:rStyle w:val="Znakapoznpodarou"/>
          <w:rFonts w:ascii="Arial" w:hAnsi="Arial" w:cs="Arial"/>
        </w:rPr>
        <w:footnoteRef/>
      </w:r>
      <w:r w:rsidRPr="0027783C">
        <w:rPr>
          <w:rFonts w:ascii="Arial" w:hAnsi="Arial" w:cs="Arial"/>
        </w:rPr>
        <w:t xml:space="preserve"> K problematice nejvyšší hodinové prohry dále stanovisko https://www.mfcr.cz/cs/soukromy-sektor/hazardni-hry/zadatele-a-provozovatele/stanoviska/2017/stanovisko-odboru-34-k-nejvyssi-hodinove-29209 .</w:t>
      </w:r>
    </w:p>
  </w:footnote>
  <w:footnote w:id="30">
    <w:p w14:paraId="04E10CC2" w14:textId="77777777" w:rsidR="00D55320" w:rsidRPr="0027783C" w:rsidRDefault="00D55320" w:rsidP="009F65A8">
      <w:pPr>
        <w:pStyle w:val="Textpoznpodarou"/>
        <w:jc w:val="both"/>
        <w:rPr>
          <w:rFonts w:ascii="Arial" w:hAnsi="Arial" w:cs="Arial"/>
        </w:rPr>
      </w:pPr>
      <w:r w:rsidRPr="0027783C">
        <w:rPr>
          <w:rStyle w:val="Znakapoznpodarou"/>
          <w:rFonts w:ascii="Arial" w:hAnsi="Arial" w:cs="Arial"/>
        </w:rPr>
        <w:footnoteRef/>
      </w:r>
      <w:r w:rsidRPr="0027783C">
        <w:rPr>
          <w:rFonts w:ascii="Arial" w:hAnsi="Arial" w:cs="Arial"/>
        </w:rPr>
        <w:t xml:space="preserve"> Rozhodné období není ovlivněno tím, zda účastník vystřídá více herních pozic, nebo se ukončí účast na technické hře provozované formou land-based a zahájí účast na technické hře provozované formou on-line.</w:t>
      </w:r>
    </w:p>
  </w:footnote>
  <w:footnote w:id="31">
    <w:p w14:paraId="7B3132BC" w14:textId="77777777" w:rsidR="00D55320" w:rsidRPr="0027783C" w:rsidRDefault="00D55320" w:rsidP="0028190C">
      <w:pPr>
        <w:pStyle w:val="Textpoznpodarou"/>
        <w:jc w:val="both"/>
        <w:rPr>
          <w:rFonts w:ascii="Arial" w:hAnsi="Arial" w:cs="Arial"/>
        </w:rPr>
      </w:pPr>
      <w:r w:rsidRPr="0027783C">
        <w:rPr>
          <w:rStyle w:val="Znakapoznpodarou"/>
          <w:rFonts w:ascii="Arial" w:hAnsi="Arial" w:cs="Arial"/>
        </w:rPr>
        <w:footnoteRef/>
      </w:r>
      <w:r w:rsidRPr="0027783C">
        <w:rPr>
          <w:rFonts w:ascii="Arial" w:hAnsi="Arial" w:cs="Arial"/>
        </w:rPr>
        <w:t xml:space="preserve"> Jedná se o rozhodnutí činěná účastníkem hazardní hry v průběhu samotné hry (např. výběr ze tří truhel obsahujících skryté výhry, výběr počtu volných otočení a hodnoty násobitele výher před zahájením bonusové hry apod.).</w:t>
      </w:r>
    </w:p>
  </w:footnote>
  <w:footnote w:id="32">
    <w:p w14:paraId="297447E4" w14:textId="77777777" w:rsidR="00D55320" w:rsidRPr="0027783C" w:rsidRDefault="00D55320" w:rsidP="0028190C">
      <w:pPr>
        <w:pStyle w:val="Textpoznpodarou"/>
        <w:jc w:val="both"/>
        <w:rPr>
          <w:rFonts w:ascii="Arial" w:hAnsi="Arial" w:cs="Arial"/>
        </w:rPr>
      </w:pPr>
      <w:r w:rsidRPr="0027783C">
        <w:rPr>
          <w:rStyle w:val="Znakapoznpodarou"/>
          <w:rFonts w:ascii="Arial" w:hAnsi="Arial" w:cs="Arial"/>
        </w:rPr>
        <w:footnoteRef/>
      </w:r>
      <w:r w:rsidRPr="0027783C">
        <w:rPr>
          <w:rFonts w:ascii="Arial" w:hAnsi="Arial" w:cs="Arial"/>
        </w:rPr>
        <w:t xml:space="preserve"> Jackpoty jsou jedním z deseti parametrů, podle kterých je hodnocena úroveň rizikovosti vybraných hazardních her při využití testu Asterig (dále se odkazuje na kapitolu Vyhodnocení rizikovosti provozovaných hazardních her).</w:t>
      </w:r>
    </w:p>
  </w:footnote>
  <w:footnote w:id="33">
    <w:p w14:paraId="6CF6B763" w14:textId="77777777" w:rsidR="00D55320" w:rsidRPr="0027783C" w:rsidRDefault="00D55320" w:rsidP="0028190C">
      <w:pPr>
        <w:pStyle w:val="Textpoznpodarou"/>
        <w:jc w:val="both"/>
        <w:rPr>
          <w:rFonts w:ascii="Arial" w:hAnsi="Arial" w:cs="Arial"/>
        </w:rPr>
      </w:pPr>
      <w:r w:rsidRPr="0027783C">
        <w:rPr>
          <w:rStyle w:val="Znakapoznpodarou"/>
          <w:rFonts w:ascii="Arial" w:hAnsi="Arial" w:cs="Arial"/>
        </w:rPr>
        <w:footnoteRef/>
      </w:r>
      <w:r w:rsidRPr="0027783C">
        <w:rPr>
          <w:rFonts w:ascii="Arial" w:hAnsi="Arial" w:cs="Arial"/>
        </w:rPr>
        <w:t xml:space="preserve"> Sledované období se nevyznačovalo netypickými událostmi (např. významnými svátky nebo obdobím letních dovolených) a bylo stanoveno v relevantní délce. Vzhledem k náročnosti zpracování dat byla analyzována data pouze části účastníků hazardních her, nicméně jejich výběr nebyl ovlivněn jejich hráčským chováním.</w:t>
      </w:r>
    </w:p>
  </w:footnote>
  <w:footnote w:id="34">
    <w:p w14:paraId="4FE64EB2" w14:textId="77777777" w:rsidR="00D55320" w:rsidRPr="0027783C" w:rsidRDefault="00D55320" w:rsidP="0028190C">
      <w:pPr>
        <w:pStyle w:val="Textpoznpodarou"/>
        <w:jc w:val="both"/>
        <w:rPr>
          <w:rFonts w:ascii="Arial" w:hAnsi="Arial" w:cs="Arial"/>
        </w:rPr>
      </w:pPr>
      <w:r w:rsidRPr="0027783C">
        <w:rPr>
          <w:rStyle w:val="Znakapoznpodarou"/>
          <w:rFonts w:ascii="Arial" w:hAnsi="Arial" w:cs="Arial"/>
        </w:rPr>
        <w:footnoteRef/>
      </w:r>
      <w:r w:rsidRPr="0027783C">
        <w:rPr>
          <w:rFonts w:ascii="Arial" w:hAnsi="Arial" w:cs="Arial"/>
        </w:rPr>
        <w:t xml:space="preserve"> Údaje v grafu obsahují záznamy o všech účastech všech účastníků hazardní hry v rámci uvedeného sledovaného období. Někteří účastníci hazardní hry dosahovali daných hodnot hodinové prohry (nad 30 tis. Kč) v rámci sledovaného období opakovaně. Modrý sloupec představuje celkový počet účastí daného rozmezí a červený sloupec představuje počet účastníků hazardní hry, kteří v rámci uvedeného počtu účastí daných hodinových proher dosahovali.    </w:t>
      </w:r>
    </w:p>
  </w:footnote>
  <w:footnote w:id="35">
    <w:p w14:paraId="5165D4B6" w14:textId="062AE190" w:rsidR="00D55320" w:rsidRPr="00B43E6B" w:rsidRDefault="00D55320" w:rsidP="0028190C">
      <w:pPr>
        <w:pStyle w:val="Textpoznpodarou"/>
        <w:jc w:val="both"/>
        <w:rPr>
          <w:rFonts w:ascii="Arial" w:hAnsi="Arial" w:cs="Arial"/>
        </w:rPr>
      </w:pPr>
      <w:r w:rsidRPr="0027783C">
        <w:rPr>
          <w:rStyle w:val="Znakapoznpodarou"/>
          <w:rFonts w:ascii="Arial" w:hAnsi="Arial" w:cs="Arial"/>
        </w:rPr>
        <w:footnoteRef/>
      </w:r>
      <w:r w:rsidRPr="0027783C">
        <w:rPr>
          <w:rFonts w:ascii="Arial" w:hAnsi="Arial" w:cs="Arial"/>
        </w:rPr>
        <w:t xml:space="preserve"> </w:t>
      </w:r>
      <w:r w:rsidRPr="00287CEC">
        <w:rPr>
          <w:rFonts w:ascii="Arial" w:hAnsi="Arial" w:cs="Arial"/>
        </w:rPr>
        <w:t>Ve statistice jsou zahrnuty rovněž případy, kdy došlo k překročení nejvyšší hodinové prohry. K překročení nejvyšší hodinové prohry stanovené zákonem o hazardních hrách docházet nesmí, avšak podle dat zaslaných samotnými provozovateli k překročení v některých případech docházelo. Tato překročení mohou být způsobena z různých důvodů a jsou předmětem dozorové činnosti. Pro účely zhodnocení efektivity hodinové prohry se Ministerstvo financí rozhodlo případy překročení nejvyšší hodinové prohry zohlednit.</w:t>
      </w:r>
    </w:p>
  </w:footnote>
  <w:footnote w:id="36">
    <w:p w14:paraId="48BB1778" w14:textId="1CA63C08" w:rsidR="00D55320" w:rsidRDefault="00D55320" w:rsidP="00B43E6B">
      <w:pPr>
        <w:pStyle w:val="Textpoznpodarou"/>
        <w:jc w:val="both"/>
      </w:pPr>
      <w:r w:rsidRPr="00287CEC">
        <w:rPr>
          <w:rStyle w:val="Znakapoznpodarou"/>
        </w:rPr>
        <w:footnoteRef/>
      </w:r>
      <w:r w:rsidRPr="00287CEC">
        <w:rPr>
          <w:rFonts w:ascii="Arial" w:hAnsi="Arial" w:cs="Arial"/>
        </w:rPr>
        <w:t xml:space="preserve"> Ve statistice jsou zahrnuty rovněž případy, kdy došlo k překroč</w:t>
      </w:r>
      <w:r>
        <w:rPr>
          <w:rFonts w:ascii="Arial" w:hAnsi="Arial" w:cs="Arial"/>
        </w:rPr>
        <w:t>ení nejvyšší hodinové prohry. K </w:t>
      </w:r>
      <w:r w:rsidRPr="00287CEC">
        <w:rPr>
          <w:rFonts w:ascii="Arial" w:hAnsi="Arial" w:cs="Arial"/>
        </w:rPr>
        <w:t>překročení nejvyšší hodinové prohry stanovené zákonem o hazardních hrách docházet nesmí, avšak podle dat zaslaných samotnými provozovateli k překročení v některých případech docházelo. Tato překročení mohou být způsobena z různých důvodů a jsou předmětem dozorové činnosti. Pro účely zhodnocení efektivity hodinové prohry se Ministerstvo financí rozhodlo případy překročení nejvyšší hodinové prohry zohlednit.</w:t>
      </w:r>
    </w:p>
  </w:footnote>
  <w:footnote w:id="37">
    <w:p w14:paraId="743A6EFB" w14:textId="410F923D" w:rsidR="00D55320" w:rsidRPr="0027783C" w:rsidRDefault="00D55320" w:rsidP="0027783C">
      <w:pPr>
        <w:pStyle w:val="Textpoznpodarou"/>
        <w:jc w:val="both"/>
        <w:rPr>
          <w:rFonts w:ascii="Arial" w:hAnsi="Arial" w:cs="Arial"/>
        </w:rPr>
      </w:pPr>
      <w:r w:rsidRPr="0027783C">
        <w:rPr>
          <w:rStyle w:val="Znakapoznpodarou"/>
          <w:rFonts w:ascii="Arial" w:hAnsi="Arial" w:cs="Arial"/>
        </w:rPr>
        <w:footnoteRef/>
      </w:r>
      <w:r w:rsidRPr="0027783C">
        <w:rPr>
          <w:rFonts w:ascii="Arial" w:hAnsi="Arial" w:cs="Arial"/>
        </w:rPr>
        <w:t xml:space="preserve"> Zákon o hazardních hrách rozlišuje mezi živou hrou a turnajem malého rozsahu podl</w:t>
      </w:r>
      <w:r>
        <w:rPr>
          <w:rFonts w:ascii="Arial" w:hAnsi="Arial" w:cs="Arial"/>
        </w:rPr>
        <w:t>e § 64 zákona o </w:t>
      </w:r>
      <w:r w:rsidRPr="0027783C">
        <w:rPr>
          <w:rFonts w:ascii="Arial" w:hAnsi="Arial" w:cs="Arial"/>
        </w:rPr>
        <w:t>hazardních hrách.</w:t>
      </w:r>
    </w:p>
  </w:footnote>
  <w:footnote w:id="38">
    <w:p w14:paraId="00C08EE6" w14:textId="0C02DCEF" w:rsidR="00D55320" w:rsidRPr="000F0CBA" w:rsidRDefault="00D55320" w:rsidP="005958FC">
      <w:pPr>
        <w:pStyle w:val="Textpoznpodarou"/>
        <w:jc w:val="both"/>
        <w:rPr>
          <w:rFonts w:ascii="Arial" w:hAnsi="Arial" w:cs="Arial"/>
        </w:rPr>
      </w:pPr>
      <w:r w:rsidRPr="000C1588">
        <w:rPr>
          <w:rStyle w:val="Znakapoznpodarou"/>
          <w:rFonts w:ascii="Arial" w:hAnsi="Arial" w:cs="Arial"/>
        </w:rPr>
        <w:footnoteRef/>
      </w:r>
      <w:r w:rsidRPr="000C1588">
        <w:rPr>
          <w:rFonts w:ascii="Arial" w:hAnsi="Arial" w:cs="Arial"/>
        </w:rPr>
        <w:t xml:space="preserve"> </w:t>
      </w:r>
      <w:r>
        <w:rPr>
          <w:rFonts w:ascii="Arial" w:hAnsi="Arial" w:cs="Arial"/>
        </w:rPr>
        <w:t xml:space="preserve">Podle </w:t>
      </w:r>
      <w:r w:rsidRPr="000C1588">
        <w:rPr>
          <w:rFonts w:ascii="Arial" w:hAnsi="Arial" w:cs="Arial"/>
        </w:rPr>
        <w:t xml:space="preserve">§ 68 odst. 5 a 6 zákona o hazardních hrách </w:t>
      </w:r>
      <w:r>
        <w:rPr>
          <w:rFonts w:ascii="Arial" w:hAnsi="Arial" w:cs="Arial"/>
        </w:rPr>
        <w:t>v</w:t>
      </w:r>
      <w:r w:rsidRPr="000C1588">
        <w:rPr>
          <w:rFonts w:ascii="Arial" w:hAnsi="Arial" w:cs="Arial"/>
        </w:rPr>
        <w:t xml:space="preserve"> kasinu, ve kterém je provozována technická hra, může být provozováno nejméně 30 povolených herních pozic technické hry. V kasinu, ve kterém je</w:t>
      </w:r>
      <w:r w:rsidRPr="000F0CBA">
        <w:rPr>
          <w:rFonts w:ascii="Arial" w:hAnsi="Arial" w:cs="Arial"/>
        </w:rPr>
        <w:t xml:space="preserve"> provozována technická hra, může být s každým dalším hracím stolem živé hry, provozovaným nad minimální počet stanovený v</w:t>
      </w:r>
      <w:r>
        <w:rPr>
          <w:rFonts w:ascii="Arial" w:hAnsi="Arial" w:cs="Arial"/>
        </w:rPr>
        <w:t> </w:t>
      </w:r>
      <w:r w:rsidRPr="000F0CBA">
        <w:rPr>
          <w:rFonts w:ascii="Arial" w:hAnsi="Arial" w:cs="Arial"/>
        </w:rPr>
        <w:t>odstavci 4, provozováno nejvýše 10 povolených herních pozic technické hry. To neplatí pro kasino, ve kterém je po celou provozní dobu kasina umožněna hra nejméně</w:t>
      </w:r>
      <w:r>
        <w:rPr>
          <w:rFonts w:ascii="Arial" w:hAnsi="Arial" w:cs="Arial"/>
        </w:rPr>
        <w:t xml:space="preserve"> u 10 </w:t>
      </w:r>
      <w:r w:rsidRPr="000F0CBA">
        <w:rPr>
          <w:rFonts w:ascii="Arial" w:hAnsi="Arial" w:cs="Arial"/>
        </w:rPr>
        <w:t>hracích stolů živé hry.</w:t>
      </w:r>
    </w:p>
  </w:footnote>
  <w:footnote w:id="39">
    <w:p w14:paraId="7FB68EBD" w14:textId="431D5229" w:rsidR="00D55320" w:rsidRPr="0027783C" w:rsidRDefault="00D55320" w:rsidP="0027783C">
      <w:pPr>
        <w:pStyle w:val="Textpoznpodarou"/>
        <w:jc w:val="both"/>
        <w:rPr>
          <w:rFonts w:ascii="Arial" w:hAnsi="Arial" w:cs="Arial"/>
        </w:rPr>
      </w:pPr>
      <w:r w:rsidRPr="0027783C">
        <w:rPr>
          <w:rStyle w:val="Znakapoznpodarou"/>
          <w:rFonts w:ascii="Arial" w:hAnsi="Arial" w:cs="Arial"/>
        </w:rPr>
        <w:footnoteRef/>
      </w:r>
      <w:r w:rsidRPr="0027783C">
        <w:rPr>
          <w:rFonts w:ascii="Arial" w:hAnsi="Arial" w:cs="Arial"/>
        </w:rPr>
        <w:t xml:space="preserve"> Samotný elektronický prvek je naopak žádoucí v případně samotných hracích stolů či hracích žetonů (žetony s čipy), neboť mj. pomůže poskytovat výkaznictví v rozšířeném formátu. Elektronický prvek by pak mohl být využitelný i při zavedení povinnosti uživatelských kont při provozování živé hry </w:t>
      </w:r>
      <w:r>
        <w:rPr>
          <w:rFonts w:ascii="Arial" w:hAnsi="Arial" w:cs="Arial"/>
        </w:rPr>
        <w:t>formou</w:t>
      </w:r>
      <w:r w:rsidRPr="0027783C">
        <w:rPr>
          <w:rFonts w:ascii="Arial" w:hAnsi="Arial" w:cs="Arial"/>
        </w:rPr>
        <w:t xml:space="preserve"> land-based.</w:t>
      </w:r>
    </w:p>
  </w:footnote>
  <w:footnote w:id="40">
    <w:p w14:paraId="3E551573" w14:textId="77777777" w:rsidR="00D55320" w:rsidRPr="000C2A75" w:rsidRDefault="00D55320" w:rsidP="003D1854">
      <w:pPr>
        <w:pStyle w:val="Textpoznpodarou"/>
        <w:jc w:val="both"/>
        <w:rPr>
          <w:rFonts w:ascii="Arial" w:hAnsi="Arial" w:cs="Arial"/>
        </w:rPr>
      </w:pPr>
      <w:r w:rsidRPr="000C2A75">
        <w:rPr>
          <w:rStyle w:val="Znakapoznpodarou"/>
          <w:rFonts w:ascii="Arial" w:hAnsi="Arial" w:cs="Arial"/>
        </w:rPr>
        <w:footnoteRef/>
      </w:r>
      <w:r>
        <w:rPr>
          <w:rFonts w:ascii="Arial" w:hAnsi="Arial" w:cs="Arial"/>
        </w:rPr>
        <w:t xml:space="preserve"> </w:t>
      </w:r>
      <w:r w:rsidRPr="000C2A75">
        <w:rPr>
          <w:rFonts w:ascii="Arial" w:hAnsi="Arial" w:cs="Arial"/>
        </w:rPr>
        <w:t xml:space="preserve">Technická hra je hazardní hra provozovaná prostřednictvím technického zařízení přímo obsluhovaného sázejícím. </w:t>
      </w:r>
    </w:p>
  </w:footnote>
  <w:footnote w:id="41">
    <w:p w14:paraId="0C405E14" w14:textId="4172DC97" w:rsidR="00D55320" w:rsidRPr="00F576AE" w:rsidRDefault="00D55320" w:rsidP="00F576AE">
      <w:pPr>
        <w:spacing w:after="0"/>
        <w:rPr>
          <w:rFonts w:cs="Arial"/>
          <w:sz w:val="20"/>
          <w:szCs w:val="20"/>
        </w:rPr>
      </w:pPr>
      <w:r w:rsidRPr="00F576AE">
        <w:rPr>
          <w:rStyle w:val="Znakapoznpodarou"/>
          <w:rFonts w:cs="Arial"/>
          <w:sz w:val="20"/>
          <w:szCs w:val="20"/>
        </w:rPr>
        <w:footnoteRef/>
      </w:r>
      <w:r w:rsidRPr="00F576AE">
        <w:rPr>
          <w:rFonts w:cs="Arial"/>
          <w:sz w:val="20"/>
          <w:szCs w:val="20"/>
        </w:rPr>
        <w:t xml:space="preserve"> U tématu virtuálních sportů je třeba zmínit také Esports, neboť zde může docházet k záměně termínů. V případě Esports se jedná o organizované soutěžní hraní </w:t>
      </w:r>
      <w:r w:rsidRPr="008F6F68">
        <w:rPr>
          <w:rFonts w:cs="Arial"/>
          <w:sz w:val="20"/>
          <w:szCs w:val="20"/>
        </w:rPr>
        <w:t>účastníků hazardní hry</w:t>
      </w:r>
      <w:r w:rsidRPr="00F576AE">
        <w:rPr>
          <w:rFonts w:cs="Arial"/>
          <w:sz w:val="20"/>
          <w:szCs w:val="20"/>
        </w:rPr>
        <w:t xml:space="preserve"> nebo týmů, v jakékoliv počítačové hře. Esports jsou provozovány jako sportovní události, na kterých hrají týmy profesionálních </w:t>
      </w:r>
      <w:r w:rsidRPr="008F6F68">
        <w:rPr>
          <w:rFonts w:cs="Arial"/>
          <w:sz w:val="20"/>
          <w:szCs w:val="20"/>
        </w:rPr>
        <w:t>účastníků hazardní hry</w:t>
      </w:r>
      <w:r w:rsidRPr="00F576AE">
        <w:rPr>
          <w:rFonts w:cs="Arial"/>
          <w:sz w:val="20"/>
          <w:szCs w:val="20"/>
        </w:rPr>
        <w:t xml:space="preserve"> počítačové hry (např. Counter Strike) proti sobě. Esports lze považovat sport v tradičním slova smyslu, aktuálně byl podán i návrh na zařazení do programu Olympijských her, který byl však prozatím zamítnut. Vzhledem k výše uvedenému je možné výsledky v jednotlivých utkáních považovat za sportovní výsledek nebo událost veřejné pozornosti a je tedy možné přijímat sázky, neboť je naplněna definice kurzové sázky.</w:t>
      </w:r>
    </w:p>
  </w:footnote>
  <w:footnote w:id="42">
    <w:p w14:paraId="2FF53641" w14:textId="72FDE615" w:rsidR="00D55320" w:rsidRPr="00F576AE" w:rsidRDefault="00D55320" w:rsidP="00F576AE">
      <w:pPr>
        <w:pStyle w:val="Textpoznpodarou"/>
        <w:jc w:val="both"/>
        <w:rPr>
          <w:rFonts w:ascii="Arial" w:hAnsi="Arial" w:cs="Arial"/>
        </w:rPr>
      </w:pPr>
      <w:r w:rsidRPr="00F576AE">
        <w:rPr>
          <w:rStyle w:val="Znakapoznpodarou"/>
          <w:rFonts w:ascii="Arial" w:hAnsi="Arial" w:cs="Arial"/>
        </w:rPr>
        <w:footnoteRef/>
      </w:r>
      <w:r w:rsidRPr="00F576AE">
        <w:rPr>
          <w:rFonts w:ascii="Arial" w:hAnsi="Arial" w:cs="Arial"/>
        </w:rPr>
        <w:t xml:space="preserve"> Tyto výhody nemají dle dostupných informací vliv na úspěšnost ve hře.</w:t>
      </w:r>
    </w:p>
  </w:footnote>
  <w:footnote w:id="43">
    <w:p w14:paraId="27F12FC7" w14:textId="203953BE" w:rsidR="00D55320" w:rsidRDefault="00D55320" w:rsidP="00F576AE">
      <w:pPr>
        <w:pStyle w:val="Textpoznpodarou"/>
        <w:jc w:val="both"/>
      </w:pPr>
      <w:r w:rsidRPr="00F576AE">
        <w:rPr>
          <w:rStyle w:val="Znakapoznpodarou"/>
          <w:rFonts w:ascii="Arial" w:hAnsi="Arial" w:cs="Arial"/>
        </w:rPr>
        <w:footnoteRef/>
      </w:r>
      <w:r w:rsidRPr="00F576AE">
        <w:rPr>
          <w:rFonts w:ascii="Arial" w:hAnsi="Arial" w:cs="Arial"/>
        </w:rPr>
        <w:t xml:space="preserve"> Například Ministerstvu školství, mládeže a tělovýchovy, či Ministerstvu průmyslu a obchodu.</w:t>
      </w:r>
    </w:p>
  </w:footnote>
  <w:footnote w:id="44">
    <w:p w14:paraId="4B48BD5B" w14:textId="77777777" w:rsidR="00D55320" w:rsidRPr="00F576AE" w:rsidRDefault="00D55320" w:rsidP="00F576AE">
      <w:pPr>
        <w:pStyle w:val="Textpoznpodarou"/>
        <w:jc w:val="both"/>
        <w:rPr>
          <w:rFonts w:ascii="Arial" w:hAnsi="Arial" w:cs="Arial"/>
        </w:rPr>
      </w:pPr>
      <w:r w:rsidRPr="00F576AE">
        <w:rPr>
          <w:rStyle w:val="Znakapoznpodarou"/>
          <w:rFonts w:ascii="Arial" w:hAnsi="Arial" w:cs="Arial"/>
        </w:rPr>
        <w:footnoteRef/>
      </w:r>
      <w:r w:rsidRPr="00F576AE">
        <w:rPr>
          <w:rFonts w:ascii="Arial" w:hAnsi="Arial" w:cs="Arial"/>
        </w:rPr>
        <w:t xml:space="preserve"> Například Ministerstvu školství, mládeže a tělovýchovy, či Ministerstvu průmyslu a obchodu.</w:t>
      </w:r>
    </w:p>
  </w:footnote>
  <w:footnote w:id="45">
    <w:p w14:paraId="7DF054E3" w14:textId="55EC2AFF" w:rsidR="00D55320" w:rsidRPr="00F576AE" w:rsidRDefault="00D55320" w:rsidP="00F576AE">
      <w:pPr>
        <w:pStyle w:val="Textpoznpodarou"/>
        <w:jc w:val="both"/>
        <w:rPr>
          <w:rFonts w:ascii="Arial" w:hAnsi="Arial" w:cs="Arial"/>
        </w:rPr>
      </w:pPr>
      <w:r w:rsidRPr="00F576AE">
        <w:rPr>
          <w:rStyle w:val="Znakapoznpodarou"/>
          <w:rFonts w:ascii="Arial" w:hAnsi="Arial" w:cs="Arial"/>
        </w:rPr>
        <w:footnoteRef/>
      </w:r>
      <w:r w:rsidRPr="00F576AE">
        <w:rPr>
          <w:rFonts w:ascii="Arial" w:hAnsi="Arial" w:cs="Arial"/>
        </w:rPr>
        <w:t xml:space="preserve"> Podíl hráčů videoher do 18 let je 21 %. Zdroj: GREF Lecture 9. 3. 2021.</w:t>
      </w:r>
    </w:p>
  </w:footnote>
  <w:footnote w:id="46">
    <w:p w14:paraId="48394CA0" w14:textId="77777777" w:rsidR="00D55320" w:rsidRPr="00F576AE" w:rsidRDefault="00D55320" w:rsidP="00F576AE">
      <w:pPr>
        <w:pStyle w:val="Textpoznpodarou"/>
        <w:jc w:val="both"/>
        <w:rPr>
          <w:rFonts w:ascii="Arial" w:hAnsi="Arial" w:cs="Arial"/>
        </w:rPr>
      </w:pPr>
      <w:r w:rsidRPr="00F576AE">
        <w:rPr>
          <w:rStyle w:val="Znakapoznpodarou"/>
          <w:rFonts w:ascii="Arial" w:hAnsi="Arial" w:cs="Arial"/>
        </w:rPr>
        <w:footnoteRef/>
      </w:r>
      <w:r w:rsidRPr="00F576AE">
        <w:rPr>
          <w:rFonts w:ascii="Arial" w:hAnsi="Arial" w:cs="Arial"/>
        </w:rPr>
        <w:t xml:space="preserve"> </w:t>
      </w:r>
      <w:hyperlink r:id="rId2" w:history="1">
        <w:r w:rsidRPr="00F576AE">
          <w:rPr>
            <w:rFonts w:ascii="Arial" w:hAnsi="Arial" w:cs="Arial"/>
          </w:rPr>
          <w:t>https://www.idnes.cz/hry/novinky/lootboxy-zakaz-hry.A180425_171215_bw-novinky_srp</w:t>
        </w:r>
      </w:hyperlink>
      <w:r w:rsidRPr="00F576AE">
        <w:rPr>
          <w:rFonts w:ascii="Arial" w:hAnsi="Arial" w:cs="Arial"/>
        </w:rPr>
        <w:t>.</w:t>
      </w:r>
    </w:p>
  </w:footnote>
  <w:footnote w:id="47">
    <w:p w14:paraId="649D9A50" w14:textId="02682F57" w:rsidR="00D55320" w:rsidRPr="00F576AE" w:rsidRDefault="00D55320" w:rsidP="00F576AE">
      <w:pPr>
        <w:pStyle w:val="Textpoznpodarou"/>
        <w:jc w:val="both"/>
        <w:rPr>
          <w:rFonts w:ascii="Arial" w:hAnsi="Arial" w:cs="Arial"/>
        </w:rPr>
      </w:pPr>
      <w:r w:rsidRPr="00F576AE">
        <w:rPr>
          <w:rStyle w:val="Znakapoznpodarou"/>
          <w:rFonts w:ascii="Arial" w:hAnsi="Arial" w:cs="Arial"/>
        </w:rPr>
        <w:footnoteRef/>
      </w:r>
      <w:r w:rsidRPr="00F576AE">
        <w:rPr>
          <w:rFonts w:ascii="Arial" w:hAnsi="Arial" w:cs="Arial"/>
        </w:rPr>
        <w:t xml:space="preserve"> http://www.gref.net/update-blurring-of-lines-between-gambling-and-gaming/</w:t>
      </w:r>
    </w:p>
  </w:footnote>
  <w:footnote w:id="48">
    <w:p w14:paraId="19659E92" w14:textId="5738396F" w:rsidR="00D55320" w:rsidRPr="00F576AE" w:rsidRDefault="00D55320" w:rsidP="00F576AE">
      <w:pPr>
        <w:pStyle w:val="Textpoznpodarou"/>
        <w:jc w:val="both"/>
        <w:rPr>
          <w:rFonts w:ascii="Arial" w:hAnsi="Arial" w:cs="Arial"/>
        </w:rPr>
      </w:pPr>
      <w:r w:rsidRPr="00F576AE">
        <w:rPr>
          <w:rStyle w:val="Znakapoznpodarou"/>
          <w:rFonts w:ascii="Arial" w:hAnsi="Arial" w:cs="Arial"/>
        </w:rPr>
        <w:footnoteRef/>
      </w:r>
      <w:r w:rsidRPr="00F576AE">
        <w:rPr>
          <w:rFonts w:ascii="Arial" w:hAnsi="Arial" w:cs="Arial"/>
        </w:rPr>
        <w:t xml:space="preserve"> https://www.europarl.europa.eu/thinktank/en/document.html?reference=IPOL_STU(2020)652727</w:t>
      </w:r>
    </w:p>
  </w:footnote>
  <w:footnote w:id="49">
    <w:p w14:paraId="1ADA735D" w14:textId="77777777" w:rsidR="00D55320" w:rsidRPr="00F576AE" w:rsidRDefault="00D55320" w:rsidP="00F576AE">
      <w:pPr>
        <w:pStyle w:val="Textpoznpodarou"/>
        <w:jc w:val="both"/>
        <w:rPr>
          <w:rFonts w:ascii="Arial" w:hAnsi="Arial" w:cs="Arial"/>
        </w:rPr>
      </w:pPr>
      <w:r w:rsidRPr="00F576AE">
        <w:rPr>
          <w:rStyle w:val="Znakapoznpodarou"/>
          <w:rFonts w:ascii="Arial" w:hAnsi="Arial" w:cs="Arial"/>
        </w:rPr>
        <w:footnoteRef/>
      </w:r>
      <w:r w:rsidRPr="00F576AE">
        <w:rPr>
          <w:rFonts w:ascii="Arial" w:hAnsi="Arial" w:cs="Arial"/>
        </w:rPr>
        <w:t xml:space="preserve"> Například Ministerstvu školství, mládeže a tělovýchovy, či Ministerstvu průmyslu a obchodu.</w:t>
      </w:r>
    </w:p>
  </w:footnote>
  <w:footnote w:id="50">
    <w:p w14:paraId="2AF39FA9" w14:textId="77777777" w:rsidR="00D55320" w:rsidRDefault="00D55320" w:rsidP="00F576AE">
      <w:pPr>
        <w:pStyle w:val="Textpoznpodarou"/>
        <w:jc w:val="both"/>
      </w:pPr>
      <w:r w:rsidRPr="00F576AE">
        <w:rPr>
          <w:rStyle w:val="Znakapoznpodarou"/>
          <w:rFonts w:ascii="Arial" w:hAnsi="Arial" w:cs="Arial"/>
        </w:rPr>
        <w:footnoteRef/>
      </w:r>
      <w:r w:rsidRPr="00F576AE">
        <w:rPr>
          <w:rFonts w:ascii="Arial" w:hAnsi="Arial" w:cs="Arial"/>
        </w:rPr>
        <w:t xml:space="preserve"> Například Ministerstvu školství, mládeže a tělovýchovy, či Ministerstvu průmyslu a obchodu.</w:t>
      </w:r>
    </w:p>
  </w:footnote>
  <w:footnote w:id="51">
    <w:p w14:paraId="5F82947C" w14:textId="77777777" w:rsidR="00D55320" w:rsidRPr="00F576AE" w:rsidRDefault="00D55320" w:rsidP="00F576AE">
      <w:pPr>
        <w:pStyle w:val="Textpoznpodarou"/>
        <w:jc w:val="both"/>
        <w:rPr>
          <w:rFonts w:ascii="Arial" w:hAnsi="Arial" w:cs="Arial"/>
        </w:rPr>
      </w:pPr>
      <w:r w:rsidRPr="00F576AE">
        <w:rPr>
          <w:rStyle w:val="Znakapoznpodarou"/>
          <w:rFonts w:ascii="Arial" w:hAnsi="Arial" w:cs="Arial"/>
        </w:rPr>
        <w:footnoteRef/>
      </w:r>
      <w:r w:rsidRPr="00F576AE">
        <w:rPr>
          <w:rFonts w:ascii="Arial" w:hAnsi="Arial" w:cs="Arial"/>
        </w:rPr>
        <w:t xml:space="preserve"> Například Ministerstvu školství, mládeže a tělovýchovy, či Ministerstvu průmyslu a obchodu.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9F6A6" w14:textId="56E43BB9" w:rsidR="002F2BFF" w:rsidRPr="00676FAD" w:rsidRDefault="002F2BFF" w:rsidP="002F2BFF">
    <w:pPr>
      <w:pStyle w:val="Zhlav"/>
      <w:rPr>
        <w:sz w:val="20"/>
      </w:rPr>
    </w:pPr>
    <w:r>
      <w:rPr>
        <w:sz w:val="20"/>
      </w:rPr>
      <w:t>Příloha č. 5</w:t>
    </w:r>
    <w:r w:rsidRPr="00676FAD">
      <w:rPr>
        <w:sz w:val="20"/>
      </w:rPr>
      <w:t xml:space="preserve"> Hodnocení dopadů regulace zákona o hazardních hrách a souvisejících právních předpisů</w:t>
    </w:r>
  </w:p>
  <w:p w14:paraId="1C6F8C03" w14:textId="77777777" w:rsidR="00D55320" w:rsidRPr="002F2BFF" w:rsidRDefault="00D55320" w:rsidP="002F2BFF">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3B5FB1"/>
    <w:multiLevelType w:val="hybridMultilevel"/>
    <w:tmpl w:val="CFA80A72"/>
    <w:lvl w:ilvl="0" w:tplc="1200CD6E">
      <w:start w:val="1"/>
      <w:numFmt w:val="lowerRoman"/>
      <w:pStyle w:val="Nadpis6"/>
      <w:lvlText w:val="%1."/>
      <w:lvlJc w:val="right"/>
      <w:pPr>
        <w:ind w:left="360" w:hanging="360"/>
      </w:pPr>
      <w:rPr>
        <w:rFonts w:ascii="Arial" w:hAnsi="Arial" w:cs="Arial" w:hint="default"/>
        <w:b w:val="0"/>
        <w:color w:val="auto"/>
        <w:sz w:val="24"/>
        <w:szCs w:val="24"/>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45C25BD2"/>
    <w:multiLevelType w:val="hybridMultilevel"/>
    <w:tmpl w:val="9AB22FFA"/>
    <w:lvl w:ilvl="0" w:tplc="B9C08566">
      <w:numFmt w:val="bullet"/>
      <w:lvlText w:val="-"/>
      <w:lvlJc w:val="left"/>
      <w:pPr>
        <w:ind w:left="720" w:hanging="360"/>
      </w:pPr>
      <w:rPr>
        <w:rFonts w:ascii="Arial" w:eastAsia="Calibri" w:hAnsi="Arial" w:cs="Arial" w:hint="default"/>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4EDF0398"/>
    <w:multiLevelType w:val="hybridMultilevel"/>
    <w:tmpl w:val="000AD730"/>
    <w:lvl w:ilvl="0" w:tplc="04050017">
      <w:start w:val="1"/>
      <w:numFmt w:val="lowerLetter"/>
      <w:lvlText w:val="%1)"/>
      <w:lvlJc w:val="left"/>
      <w:pPr>
        <w:ind w:left="928"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5F3A0050"/>
    <w:multiLevelType w:val="multilevel"/>
    <w:tmpl w:val="93500FF4"/>
    <w:lvl w:ilvl="0">
      <w:start w:val="1"/>
      <w:numFmt w:val="none"/>
      <w:pStyle w:val="Nadpis1"/>
      <w:lvlText w:val="%1"/>
      <w:lvlJc w:val="left"/>
      <w:pPr>
        <w:ind w:left="432" w:hanging="432"/>
      </w:pPr>
      <w:rPr>
        <w:rFonts w:hint="default"/>
      </w:rPr>
    </w:lvl>
    <w:lvl w:ilvl="1">
      <w:start w:val="1"/>
      <w:numFmt w:val="decimal"/>
      <w:pStyle w:val="Nadpis2"/>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
      <w:lvlJc w:val="left"/>
      <w:pPr>
        <w:ind w:left="1296" w:hanging="1296"/>
      </w:pPr>
      <w:rPr>
        <w:rFonts w:hint="default"/>
      </w:rPr>
    </w:lvl>
    <w:lvl w:ilvl="7">
      <w:start w:val="1"/>
      <w:numFmt w:val="decimal"/>
      <w:pStyle w:val="Nadpis8"/>
      <w:lvlText w:val="%1"/>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4" w15:restartNumberingAfterBreak="0">
    <w:nsid w:val="639A627B"/>
    <w:multiLevelType w:val="hybridMultilevel"/>
    <w:tmpl w:val="239CA0E6"/>
    <w:lvl w:ilvl="0" w:tplc="FFAE3A26">
      <w:start w:val="1"/>
      <w:numFmt w:val="bullet"/>
      <w:lvlText w:val="-"/>
      <w:lvlJc w:val="left"/>
      <w:pPr>
        <w:ind w:left="720" w:hanging="360"/>
      </w:pPr>
      <w:rPr>
        <w:rFonts w:ascii="Arial" w:eastAsia="Calibri" w:hAnsi="Arial" w:cs="Aria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6BF26585"/>
    <w:multiLevelType w:val="hybridMultilevel"/>
    <w:tmpl w:val="94D64482"/>
    <w:lvl w:ilvl="0" w:tplc="BB40F8A4">
      <w:start w:val="1"/>
      <w:numFmt w:val="upperLetter"/>
      <w:pStyle w:val="Nadpis5"/>
      <w:lvlText w:val="%1."/>
      <w:lvlJc w:val="left"/>
      <w:pPr>
        <w:ind w:left="720" w:hanging="360"/>
      </w:pPr>
      <w:rPr>
        <w:rFonts w:hint="default"/>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3"/>
  </w:num>
  <w:num w:numId="2">
    <w:abstractNumId w:val="5"/>
  </w:num>
  <w:num w:numId="3">
    <w:abstractNumId w:val="0"/>
  </w:num>
  <w:num w:numId="4">
    <w:abstractNumId w:val="4"/>
  </w:num>
  <w:num w:numId="5">
    <w:abstractNumId w:val="4"/>
  </w:num>
  <w:num w:numId="6">
    <w:abstractNumId w:val="5"/>
    <w:lvlOverride w:ilvl="0">
      <w:startOverride w:val="1"/>
    </w:lvlOverride>
  </w:num>
  <w:num w:numId="7">
    <w:abstractNumId w:val="5"/>
  </w:num>
  <w:num w:numId="8">
    <w:abstractNumId w:val="1"/>
  </w:num>
  <w:num w:numId="9">
    <w:abstractNumId w:val="0"/>
    <w:lvlOverride w:ilvl="0">
      <w:startOverride w:val="1"/>
    </w:lvlOverride>
  </w:num>
  <w:num w:numId="10">
    <w:abstractNumId w:val="0"/>
    <w:lvlOverride w:ilvl="0">
      <w:startOverride w:val="1"/>
    </w:lvlOverride>
  </w:num>
  <w:num w:numId="11">
    <w:abstractNumId w:val="0"/>
    <w:lvlOverride w:ilvl="0">
      <w:startOverride w:val="1"/>
    </w:lvlOverride>
  </w:num>
  <w:num w:numId="12">
    <w:abstractNumId w:val="5"/>
    <w:lvlOverride w:ilvl="0">
      <w:startOverride w:val="1"/>
    </w:lvlOverride>
  </w:num>
  <w:num w:numId="13">
    <w:abstractNumId w:val="5"/>
    <w:lvlOverride w:ilvl="0">
      <w:startOverride w:val="1"/>
    </w:lvlOverride>
  </w:num>
  <w:num w:numId="14">
    <w:abstractNumId w:val="5"/>
    <w:lvlOverride w:ilvl="0">
      <w:startOverride w:val="1"/>
    </w:lvlOverride>
  </w:num>
  <w:num w:numId="15">
    <w:abstractNumId w:val="0"/>
    <w:lvlOverride w:ilvl="0">
      <w:startOverride w:val="1"/>
    </w:lvlOverride>
  </w:num>
  <w:num w:numId="16">
    <w:abstractNumId w:val="0"/>
    <w:lvlOverride w:ilvl="0">
      <w:startOverride w:val="1"/>
    </w:lvlOverride>
  </w:num>
  <w:num w:numId="17">
    <w:abstractNumId w:val="5"/>
    <w:lvlOverride w:ilvl="0">
      <w:startOverride w:val="1"/>
    </w:lvlOverride>
  </w:num>
  <w:num w:numId="18">
    <w:abstractNumId w:val="0"/>
    <w:lvlOverride w:ilvl="0">
      <w:startOverride w:val="1"/>
    </w:lvlOverride>
  </w:num>
  <w:num w:numId="19">
    <w:abstractNumId w:val="5"/>
    <w:lvlOverride w:ilvl="0">
      <w:startOverride w:val="3"/>
    </w:lvlOverride>
  </w:num>
  <w:num w:numId="20">
    <w:abstractNumId w:val="0"/>
    <w:lvlOverride w:ilvl="0">
      <w:startOverride w:val="1"/>
    </w:lvlOverride>
  </w:num>
  <w:num w:numId="21">
    <w:abstractNumId w:val="0"/>
    <w:lvlOverride w:ilvl="0">
      <w:startOverride w:val="1"/>
    </w:lvlOverride>
  </w:num>
  <w:num w:numId="22">
    <w:abstractNumId w:val="0"/>
    <w:lvlOverride w:ilvl="0">
      <w:startOverride w:val="1"/>
    </w:lvlOverride>
  </w:num>
  <w:num w:numId="23">
    <w:abstractNumId w:val="0"/>
    <w:lvlOverride w:ilvl="0">
      <w:startOverride w:val="1"/>
    </w:lvlOverride>
  </w:num>
  <w:num w:numId="24">
    <w:abstractNumId w:val="0"/>
    <w:lvlOverride w:ilvl="0">
      <w:startOverride w:val="1"/>
    </w:lvlOverride>
  </w:num>
  <w:num w:numId="25">
    <w:abstractNumId w:val="0"/>
    <w:lvlOverride w:ilvl="0">
      <w:startOverride w:val="1"/>
    </w:lvlOverride>
  </w:num>
  <w:num w:numId="26">
    <w:abstractNumId w:val="0"/>
    <w:lvlOverride w:ilvl="0">
      <w:startOverride w:val="1"/>
    </w:lvlOverride>
  </w:num>
  <w:num w:numId="27">
    <w:abstractNumId w:val="0"/>
    <w:lvlOverride w:ilvl="0">
      <w:startOverride w:val="1"/>
    </w:lvlOverride>
  </w:num>
  <w:num w:numId="28">
    <w:abstractNumId w:val="5"/>
    <w:lvlOverride w:ilvl="0">
      <w:startOverride w:val="1"/>
    </w:lvlOverride>
  </w:num>
  <w:num w:numId="29">
    <w:abstractNumId w:val="5"/>
    <w:lvlOverride w:ilvl="0">
      <w:startOverride w:val="1"/>
    </w:lvlOverride>
  </w:num>
  <w:num w:numId="30">
    <w:abstractNumId w:val="0"/>
    <w:lvlOverride w:ilvl="0">
      <w:startOverride w:val="1"/>
    </w:lvlOverride>
  </w:num>
  <w:num w:numId="31">
    <w:abstractNumId w:val="2"/>
  </w:num>
  <w:num w:numId="32">
    <w:abstractNumId w:val="0"/>
    <w:lvlOverride w:ilvl="0">
      <w:startOverride w:val="1"/>
    </w:lvlOverride>
  </w:num>
  <w:num w:numId="33">
    <w:abstractNumId w:val="0"/>
    <w:lvlOverride w:ilvl="0">
      <w:startOverride w:val="1"/>
    </w:lvlOverride>
  </w:num>
  <w:num w:numId="34">
    <w:abstractNumId w:val="0"/>
    <w:lvlOverride w:ilvl="0">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EC3"/>
    <w:rsid w:val="00000D2F"/>
    <w:rsid w:val="00000DB8"/>
    <w:rsid w:val="00000F4E"/>
    <w:rsid w:val="0000360B"/>
    <w:rsid w:val="00004CAA"/>
    <w:rsid w:val="00005D84"/>
    <w:rsid w:val="00007900"/>
    <w:rsid w:val="000105A8"/>
    <w:rsid w:val="000105E5"/>
    <w:rsid w:val="00012DAA"/>
    <w:rsid w:val="0001412F"/>
    <w:rsid w:val="000201E6"/>
    <w:rsid w:val="000235F5"/>
    <w:rsid w:val="00024664"/>
    <w:rsid w:val="00030077"/>
    <w:rsid w:val="000327C9"/>
    <w:rsid w:val="00034FB1"/>
    <w:rsid w:val="00040F2A"/>
    <w:rsid w:val="00041AB4"/>
    <w:rsid w:val="00042D2A"/>
    <w:rsid w:val="000443BD"/>
    <w:rsid w:val="00044D49"/>
    <w:rsid w:val="000468E7"/>
    <w:rsid w:val="0004711D"/>
    <w:rsid w:val="00050D1D"/>
    <w:rsid w:val="00051B25"/>
    <w:rsid w:val="00063288"/>
    <w:rsid w:val="00063CC2"/>
    <w:rsid w:val="00064D66"/>
    <w:rsid w:val="0006572A"/>
    <w:rsid w:val="00066A21"/>
    <w:rsid w:val="00075438"/>
    <w:rsid w:val="00076951"/>
    <w:rsid w:val="00077012"/>
    <w:rsid w:val="00082130"/>
    <w:rsid w:val="00084739"/>
    <w:rsid w:val="0008525D"/>
    <w:rsid w:val="00086B0B"/>
    <w:rsid w:val="000901C4"/>
    <w:rsid w:val="000914D9"/>
    <w:rsid w:val="000917DE"/>
    <w:rsid w:val="0009517E"/>
    <w:rsid w:val="0009687E"/>
    <w:rsid w:val="000A0564"/>
    <w:rsid w:val="000A07C7"/>
    <w:rsid w:val="000A2034"/>
    <w:rsid w:val="000A265C"/>
    <w:rsid w:val="000A4109"/>
    <w:rsid w:val="000B1F1F"/>
    <w:rsid w:val="000B4854"/>
    <w:rsid w:val="000B4D59"/>
    <w:rsid w:val="000B55C2"/>
    <w:rsid w:val="000B661E"/>
    <w:rsid w:val="000B7588"/>
    <w:rsid w:val="000C1588"/>
    <w:rsid w:val="000C2585"/>
    <w:rsid w:val="000C2A75"/>
    <w:rsid w:val="000C68E2"/>
    <w:rsid w:val="000D3E26"/>
    <w:rsid w:val="000D560D"/>
    <w:rsid w:val="000D6A80"/>
    <w:rsid w:val="000E2F2F"/>
    <w:rsid w:val="000E7750"/>
    <w:rsid w:val="000F0CBA"/>
    <w:rsid w:val="000F357B"/>
    <w:rsid w:val="000F7108"/>
    <w:rsid w:val="00100185"/>
    <w:rsid w:val="0010145E"/>
    <w:rsid w:val="00106454"/>
    <w:rsid w:val="00107096"/>
    <w:rsid w:val="00111B6C"/>
    <w:rsid w:val="001122F1"/>
    <w:rsid w:val="001134E1"/>
    <w:rsid w:val="00114355"/>
    <w:rsid w:val="00114EAC"/>
    <w:rsid w:val="00115019"/>
    <w:rsid w:val="0011754B"/>
    <w:rsid w:val="001201B2"/>
    <w:rsid w:val="00122D32"/>
    <w:rsid w:val="001235DA"/>
    <w:rsid w:val="00124BE9"/>
    <w:rsid w:val="00124C99"/>
    <w:rsid w:val="00124DC1"/>
    <w:rsid w:val="00126267"/>
    <w:rsid w:val="001268AA"/>
    <w:rsid w:val="00130DA1"/>
    <w:rsid w:val="00132988"/>
    <w:rsid w:val="00133A38"/>
    <w:rsid w:val="0013628E"/>
    <w:rsid w:val="001416C3"/>
    <w:rsid w:val="00142A23"/>
    <w:rsid w:val="001437D0"/>
    <w:rsid w:val="00143AF5"/>
    <w:rsid w:val="00157169"/>
    <w:rsid w:val="00160A6E"/>
    <w:rsid w:val="00160A80"/>
    <w:rsid w:val="00162277"/>
    <w:rsid w:val="00164D71"/>
    <w:rsid w:val="00164F9B"/>
    <w:rsid w:val="00167CE3"/>
    <w:rsid w:val="0017290C"/>
    <w:rsid w:val="0017463F"/>
    <w:rsid w:val="00174D85"/>
    <w:rsid w:val="00176507"/>
    <w:rsid w:val="00177645"/>
    <w:rsid w:val="00177DD1"/>
    <w:rsid w:val="001810B7"/>
    <w:rsid w:val="00184456"/>
    <w:rsid w:val="00184CB3"/>
    <w:rsid w:val="00185FE5"/>
    <w:rsid w:val="001865C6"/>
    <w:rsid w:val="00186CF5"/>
    <w:rsid w:val="001A3079"/>
    <w:rsid w:val="001A309F"/>
    <w:rsid w:val="001A39A3"/>
    <w:rsid w:val="001B007F"/>
    <w:rsid w:val="001B2D29"/>
    <w:rsid w:val="001B2FD8"/>
    <w:rsid w:val="001B51FA"/>
    <w:rsid w:val="001B5AA0"/>
    <w:rsid w:val="001C0488"/>
    <w:rsid w:val="001C10CB"/>
    <w:rsid w:val="001C1ED4"/>
    <w:rsid w:val="001D23FF"/>
    <w:rsid w:val="001D297F"/>
    <w:rsid w:val="001D700F"/>
    <w:rsid w:val="001E305F"/>
    <w:rsid w:val="001E3BD5"/>
    <w:rsid w:val="001E3CF4"/>
    <w:rsid w:val="001E3F9F"/>
    <w:rsid w:val="001E61B9"/>
    <w:rsid w:val="001E6C84"/>
    <w:rsid w:val="001E78A9"/>
    <w:rsid w:val="001E7E79"/>
    <w:rsid w:val="001F0B7F"/>
    <w:rsid w:val="001F16B2"/>
    <w:rsid w:val="001F1C49"/>
    <w:rsid w:val="001F4357"/>
    <w:rsid w:val="001F5A5D"/>
    <w:rsid w:val="001F5E77"/>
    <w:rsid w:val="00201BCA"/>
    <w:rsid w:val="00202DC7"/>
    <w:rsid w:val="00203A68"/>
    <w:rsid w:val="00203D37"/>
    <w:rsid w:val="002055C2"/>
    <w:rsid w:val="00205D97"/>
    <w:rsid w:val="0021114B"/>
    <w:rsid w:val="00212C21"/>
    <w:rsid w:val="00213C93"/>
    <w:rsid w:val="00217D7F"/>
    <w:rsid w:val="00217E77"/>
    <w:rsid w:val="002213FB"/>
    <w:rsid w:val="00221559"/>
    <w:rsid w:val="00225885"/>
    <w:rsid w:val="002274AC"/>
    <w:rsid w:val="00230403"/>
    <w:rsid w:val="00235311"/>
    <w:rsid w:val="00236CA0"/>
    <w:rsid w:val="00242D25"/>
    <w:rsid w:val="002448AC"/>
    <w:rsid w:val="0024632F"/>
    <w:rsid w:val="00251074"/>
    <w:rsid w:val="00251161"/>
    <w:rsid w:val="00251E52"/>
    <w:rsid w:val="00257B83"/>
    <w:rsid w:val="00260481"/>
    <w:rsid w:val="002624F0"/>
    <w:rsid w:val="00263294"/>
    <w:rsid w:val="002632E9"/>
    <w:rsid w:val="002638B3"/>
    <w:rsid w:val="002655FC"/>
    <w:rsid w:val="00270F9B"/>
    <w:rsid w:val="00271958"/>
    <w:rsid w:val="002727AB"/>
    <w:rsid w:val="0027446A"/>
    <w:rsid w:val="002766B3"/>
    <w:rsid w:val="0027783C"/>
    <w:rsid w:val="00277DD7"/>
    <w:rsid w:val="0028190C"/>
    <w:rsid w:val="00282352"/>
    <w:rsid w:val="00284B8B"/>
    <w:rsid w:val="00285491"/>
    <w:rsid w:val="002868BA"/>
    <w:rsid w:val="00287028"/>
    <w:rsid w:val="00287CEC"/>
    <w:rsid w:val="00292ED7"/>
    <w:rsid w:val="00293C3C"/>
    <w:rsid w:val="00296337"/>
    <w:rsid w:val="002973A7"/>
    <w:rsid w:val="002A14F3"/>
    <w:rsid w:val="002A2C4D"/>
    <w:rsid w:val="002A7F04"/>
    <w:rsid w:val="002B19DA"/>
    <w:rsid w:val="002B1AE9"/>
    <w:rsid w:val="002B4F42"/>
    <w:rsid w:val="002B5B57"/>
    <w:rsid w:val="002C6151"/>
    <w:rsid w:val="002C6D3C"/>
    <w:rsid w:val="002D10A4"/>
    <w:rsid w:val="002D1542"/>
    <w:rsid w:val="002D1ED1"/>
    <w:rsid w:val="002D2A9E"/>
    <w:rsid w:val="002D4E39"/>
    <w:rsid w:val="002D6D05"/>
    <w:rsid w:val="002E0B98"/>
    <w:rsid w:val="002E4B20"/>
    <w:rsid w:val="002E4E22"/>
    <w:rsid w:val="002E6EC3"/>
    <w:rsid w:val="002F0814"/>
    <w:rsid w:val="002F10E1"/>
    <w:rsid w:val="002F2BFF"/>
    <w:rsid w:val="002F67D7"/>
    <w:rsid w:val="00302302"/>
    <w:rsid w:val="00302641"/>
    <w:rsid w:val="00305FDD"/>
    <w:rsid w:val="00306054"/>
    <w:rsid w:val="00312DBE"/>
    <w:rsid w:val="0031300A"/>
    <w:rsid w:val="00316C88"/>
    <w:rsid w:val="00316D50"/>
    <w:rsid w:val="003170D5"/>
    <w:rsid w:val="00317382"/>
    <w:rsid w:val="00320A6E"/>
    <w:rsid w:val="00323509"/>
    <w:rsid w:val="00324385"/>
    <w:rsid w:val="00331F8E"/>
    <w:rsid w:val="00332F61"/>
    <w:rsid w:val="003341D4"/>
    <w:rsid w:val="0034094E"/>
    <w:rsid w:val="00342173"/>
    <w:rsid w:val="0035010C"/>
    <w:rsid w:val="00356E50"/>
    <w:rsid w:val="00360939"/>
    <w:rsid w:val="00362ECB"/>
    <w:rsid w:val="003630E9"/>
    <w:rsid w:val="00364D0C"/>
    <w:rsid w:val="003661D4"/>
    <w:rsid w:val="00366B2B"/>
    <w:rsid w:val="00373CCA"/>
    <w:rsid w:val="00375303"/>
    <w:rsid w:val="00377BE4"/>
    <w:rsid w:val="00380745"/>
    <w:rsid w:val="00383D57"/>
    <w:rsid w:val="00383EC9"/>
    <w:rsid w:val="003851F6"/>
    <w:rsid w:val="0039427B"/>
    <w:rsid w:val="00394FF9"/>
    <w:rsid w:val="003951FF"/>
    <w:rsid w:val="00396DA9"/>
    <w:rsid w:val="003A082F"/>
    <w:rsid w:val="003A1060"/>
    <w:rsid w:val="003A3203"/>
    <w:rsid w:val="003A3D90"/>
    <w:rsid w:val="003A790E"/>
    <w:rsid w:val="003A7F82"/>
    <w:rsid w:val="003B373C"/>
    <w:rsid w:val="003B3ADB"/>
    <w:rsid w:val="003B5CF9"/>
    <w:rsid w:val="003B7C9B"/>
    <w:rsid w:val="003C01FF"/>
    <w:rsid w:val="003C0CDA"/>
    <w:rsid w:val="003C0F74"/>
    <w:rsid w:val="003C3A12"/>
    <w:rsid w:val="003C40A6"/>
    <w:rsid w:val="003C4CC0"/>
    <w:rsid w:val="003C660D"/>
    <w:rsid w:val="003D1854"/>
    <w:rsid w:val="003D2CF6"/>
    <w:rsid w:val="003E08F4"/>
    <w:rsid w:val="003E2FBE"/>
    <w:rsid w:val="003E55BA"/>
    <w:rsid w:val="003E60B7"/>
    <w:rsid w:val="003E7434"/>
    <w:rsid w:val="003E7CDC"/>
    <w:rsid w:val="003F13F8"/>
    <w:rsid w:val="003F2E81"/>
    <w:rsid w:val="003F3749"/>
    <w:rsid w:val="003F4178"/>
    <w:rsid w:val="003F7563"/>
    <w:rsid w:val="003F7BD4"/>
    <w:rsid w:val="004015DB"/>
    <w:rsid w:val="00401956"/>
    <w:rsid w:val="00404870"/>
    <w:rsid w:val="00405F7E"/>
    <w:rsid w:val="004105FD"/>
    <w:rsid w:val="00411FE9"/>
    <w:rsid w:val="004134C8"/>
    <w:rsid w:val="00414A38"/>
    <w:rsid w:val="00414FE5"/>
    <w:rsid w:val="00415BB1"/>
    <w:rsid w:val="00415D6D"/>
    <w:rsid w:val="0042023F"/>
    <w:rsid w:val="00422E3E"/>
    <w:rsid w:val="0043155D"/>
    <w:rsid w:val="00431692"/>
    <w:rsid w:val="004327CB"/>
    <w:rsid w:val="004331FA"/>
    <w:rsid w:val="004372F7"/>
    <w:rsid w:val="00437649"/>
    <w:rsid w:val="00440EFC"/>
    <w:rsid w:val="004411E4"/>
    <w:rsid w:val="004418F3"/>
    <w:rsid w:val="00441C64"/>
    <w:rsid w:val="0044284F"/>
    <w:rsid w:val="00444662"/>
    <w:rsid w:val="004530EC"/>
    <w:rsid w:val="0045444F"/>
    <w:rsid w:val="004564D3"/>
    <w:rsid w:val="004606F0"/>
    <w:rsid w:val="0046620B"/>
    <w:rsid w:val="00466287"/>
    <w:rsid w:val="00471982"/>
    <w:rsid w:val="00471CBC"/>
    <w:rsid w:val="00472B56"/>
    <w:rsid w:val="0047482F"/>
    <w:rsid w:val="00480818"/>
    <w:rsid w:val="004842DF"/>
    <w:rsid w:val="0048553D"/>
    <w:rsid w:val="0048663C"/>
    <w:rsid w:val="00490A89"/>
    <w:rsid w:val="00495B24"/>
    <w:rsid w:val="004A016E"/>
    <w:rsid w:val="004A0AAC"/>
    <w:rsid w:val="004A7DA9"/>
    <w:rsid w:val="004B16BE"/>
    <w:rsid w:val="004B4CFE"/>
    <w:rsid w:val="004B513B"/>
    <w:rsid w:val="004B64FE"/>
    <w:rsid w:val="004B6676"/>
    <w:rsid w:val="004C1413"/>
    <w:rsid w:val="004C38D8"/>
    <w:rsid w:val="004C5039"/>
    <w:rsid w:val="004C5BF5"/>
    <w:rsid w:val="004C638E"/>
    <w:rsid w:val="004C74BE"/>
    <w:rsid w:val="004D16B0"/>
    <w:rsid w:val="004D1781"/>
    <w:rsid w:val="004D24D2"/>
    <w:rsid w:val="004D39CC"/>
    <w:rsid w:val="004D43F2"/>
    <w:rsid w:val="004E1601"/>
    <w:rsid w:val="004E3027"/>
    <w:rsid w:val="004F2C47"/>
    <w:rsid w:val="00503E23"/>
    <w:rsid w:val="005146F1"/>
    <w:rsid w:val="0051770A"/>
    <w:rsid w:val="00517C68"/>
    <w:rsid w:val="005246C3"/>
    <w:rsid w:val="00526159"/>
    <w:rsid w:val="00526B72"/>
    <w:rsid w:val="00527893"/>
    <w:rsid w:val="00532D03"/>
    <w:rsid w:val="00533B57"/>
    <w:rsid w:val="00537A87"/>
    <w:rsid w:val="005454C7"/>
    <w:rsid w:val="00551F78"/>
    <w:rsid w:val="005537D4"/>
    <w:rsid w:val="00554B7B"/>
    <w:rsid w:val="005571B0"/>
    <w:rsid w:val="00557CBF"/>
    <w:rsid w:val="005600E9"/>
    <w:rsid w:val="00560862"/>
    <w:rsid w:val="0056149B"/>
    <w:rsid w:val="00567151"/>
    <w:rsid w:val="005675C4"/>
    <w:rsid w:val="00577157"/>
    <w:rsid w:val="00577843"/>
    <w:rsid w:val="005835D1"/>
    <w:rsid w:val="00584FE3"/>
    <w:rsid w:val="00585240"/>
    <w:rsid w:val="0058596A"/>
    <w:rsid w:val="00585EA7"/>
    <w:rsid w:val="00586BBC"/>
    <w:rsid w:val="00586D11"/>
    <w:rsid w:val="00592731"/>
    <w:rsid w:val="00592C63"/>
    <w:rsid w:val="005958FC"/>
    <w:rsid w:val="005A0A4A"/>
    <w:rsid w:val="005A2615"/>
    <w:rsid w:val="005A300B"/>
    <w:rsid w:val="005A3412"/>
    <w:rsid w:val="005A462A"/>
    <w:rsid w:val="005A4947"/>
    <w:rsid w:val="005B5A13"/>
    <w:rsid w:val="005C3F92"/>
    <w:rsid w:val="005D383B"/>
    <w:rsid w:val="005D685E"/>
    <w:rsid w:val="005E41B7"/>
    <w:rsid w:val="005E48C3"/>
    <w:rsid w:val="005E4A97"/>
    <w:rsid w:val="005E5640"/>
    <w:rsid w:val="005E6EF4"/>
    <w:rsid w:val="005F1867"/>
    <w:rsid w:val="005F1AAA"/>
    <w:rsid w:val="005F3766"/>
    <w:rsid w:val="005F3F54"/>
    <w:rsid w:val="005F50B1"/>
    <w:rsid w:val="006028B2"/>
    <w:rsid w:val="0060783C"/>
    <w:rsid w:val="00612A24"/>
    <w:rsid w:val="006164BB"/>
    <w:rsid w:val="00620308"/>
    <w:rsid w:val="00630030"/>
    <w:rsid w:val="00630A55"/>
    <w:rsid w:val="00634747"/>
    <w:rsid w:val="00637C27"/>
    <w:rsid w:val="00640252"/>
    <w:rsid w:val="00646627"/>
    <w:rsid w:val="00647CDD"/>
    <w:rsid w:val="006547C4"/>
    <w:rsid w:val="00655591"/>
    <w:rsid w:val="00657709"/>
    <w:rsid w:val="00661707"/>
    <w:rsid w:val="00671204"/>
    <w:rsid w:val="0067252E"/>
    <w:rsid w:val="00673632"/>
    <w:rsid w:val="006814AE"/>
    <w:rsid w:val="0068376E"/>
    <w:rsid w:val="0068398A"/>
    <w:rsid w:val="00685FF4"/>
    <w:rsid w:val="006876DD"/>
    <w:rsid w:val="00690857"/>
    <w:rsid w:val="00691CB0"/>
    <w:rsid w:val="00692B42"/>
    <w:rsid w:val="006948D5"/>
    <w:rsid w:val="00694A37"/>
    <w:rsid w:val="0069504A"/>
    <w:rsid w:val="0069788B"/>
    <w:rsid w:val="006A1B83"/>
    <w:rsid w:val="006A4913"/>
    <w:rsid w:val="006A6BC1"/>
    <w:rsid w:val="006A6CCD"/>
    <w:rsid w:val="006A7F85"/>
    <w:rsid w:val="006B1D5E"/>
    <w:rsid w:val="006B29D5"/>
    <w:rsid w:val="006B4A87"/>
    <w:rsid w:val="006C0320"/>
    <w:rsid w:val="006C0E6A"/>
    <w:rsid w:val="006C10EC"/>
    <w:rsid w:val="006C1F0F"/>
    <w:rsid w:val="006C3E9D"/>
    <w:rsid w:val="006C48C4"/>
    <w:rsid w:val="006C50D9"/>
    <w:rsid w:val="006C5569"/>
    <w:rsid w:val="006C5FE6"/>
    <w:rsid w:val="006C7541"/>
    <w:rsid w:val="006E342E"/>
    <w:rsid w:val="006E617B"/>
    <w:rsid w:val="006E741A"/>
    <w:rsid w:val="006E7431"/>
    <w:rsid w:val="006E7EE3"/>
    <w:rsid w:val="006F19C4"/>
    <w:rsid w:val="006F311C"/>
    <w:rsid w:val="006F3355"/>
    <w:rsid w:val="006F4504"/>
    <w:rsid w:val="006F5899"/>
    <w:rsid w:val="006F5B28"/>
    <w:rsid w:val="00701B23"/>
    <w:rsid w:val="00705FF9"/>
    <w:rsid w:val="00706AE5"/>
    <w:rsid w:val="00706C1E"/>
    <w:rsid w:val="007071B6"/>
    <w:rsid w:val="00710194"/>
    <w:rsid w:val="00710BBA"/>
    <w:rsid w:val="00713A0E"/>
    <w:rsid w:val="007155B4"/>
    <w:rsid w:val="00715A04"/>
    <w:rsid w:val="00716452"/>
    <w:rsid w:val="007171D5"/>
    <w:rsid w:val="0071791B"/>
    <w:rsid w:val="0071799C"/>
    <w:rsid w:val="0072140C"/>
    <w:rsid w:val="0072328B"/>
    <w:rsid w:val="00726163"/>
    <w:rsid w:val="00726EB1"/>
    <w:rsid w:val="007307EC"/>
    <w:rsid w:val="00732D8A"/>
    <w:rsid w:val="00733181"/>
    <w:rsid w:val="007344C2"/>
    <w:rsid w:val="0073470C"/>
    <w:rsid w:val="00740569"/>
    <w:rsid w:val="00743637"/>
    <w:rsid w:val="00743785"/>
    <w:rsid w:val="00745175"/>
    <w:rsid w:val="00746DBC"/>
    <w:rsid w:val="00750ACB"/>
    <w:rsid w:val="00751221"/>
    <w:rsid w:val="00753D0C"/>
    <w:rsid w:val="007550A3"/>
    <w:rsid w:val="007570E9"/>
    <w:rsid w:val="00760F55"/>
    <w:rsid w:val="00767706"/>
    <w:rsid w:val="00773038"/>
    <w:rsid w:val="00773BC2"/>
    <w:rsid w:val="0077452B"/>
    <w:rsid w:val="007830BD"/>
    <w:rsid w:val="007834D2"/>
    <w:rsid w:val="00785A13"/>
    <w:rsid w:val="00786A87"/>
    <w:rsid w:val="00787DBE"/>
    <w:rsid w:val="007904E7"/>
    <w:rsid w:val="00793E72"/>
    <w:rsid w:val="007A0FFD"/>
    <w:rsid w:val="007A5194"/>
    <w:rsid w:val="007A63B9"/>
    <w:rsid w:val="007A7A0C"/>
    <w:rsid w:val="007A7FCF"/>
    <w:rsid w:val="007B4647"/>
    <w:rsid w:val="007C1142"/>
    <w:rsid w:val="007C20AC"/>
    <w:rsid w:val="007C4120"/>
    <w:rsid w:val="007C6C77"/>
    <w:rsid w:val="007D1103"/>
    <w:rsid w:val="007D1F0D"/>
    <w:rsid w:val="007D22B4"/>
    <w:rsid w:val="007D2DF8"/>
    <w:rsid w:val="007D3234"/>
    <w:rsid w:val="007D5B08"/>
    <w:rsid w:val="007D6435"/>
    <w:rsid w:val="007D673D"/>
    <w:rsid w:val="007D6A29"/>
    <w:rsid w:val="007D7296"/>
    <w:rsid w:val="007E7363"/>
    <w:rsid w:val="007F252D"/>
    <w:rsid w:val="007F385F"/>
    <w:rsid w:val="007F6CD8"/>
    <w:rsid w:val="007F783C"/>
    <w:rsid w:val="007F7CF7"/>
    <w:rsid w:val="0080110D"/>
    <w:rsid w:val="00804AE1"/>
    <w:rsid w:val="00805E89"/>
    <w:rsid w:val="00806F14"/>
    <w:rsid w:val="00811C8F"/>
    <w:rsid w:val="00811D0F"/>
    <w:rsid w:val="008166A3"/>
    <w:rsid w:val="00823DD5"/>
    <w:rsid w:val="00824CA0"/>
    <w:rsid w:val="00825AC3"/>
    <w:rsid w:val="008265C3"/>
    <w:rsid w:val="00826B82"/>
    <w:rsid w:val="008277C2"/>
    <w:rsid w:val="00832706"/>
    <w:rsid w:val="00833ECA"/>
    <w:rsid w:val="008369F9"/>
    <w:rsid w:val="00837D7B"/>
    <w:rsid w:val="00841290"/>
    <w:rsid w:val="0084158A"/>
    <w:rsid w:val="0084470A"/>
    <w:rsid w:val="008449CD"/>
    <w:rsid w:val="008460A8"/>
    <w:rsid w:val="00850EB0"/>
    <w:rsid w:val="008510EF"/>
    <w:rsid w:val="008516A8"/>
    <w:rsid w:val="00853976"/>
    <w:rsid w:val="00853EC5"/>
    <w:rsid w:val="00857C42"/>
    <w:rsid w:val="008677F7"/>
    <w:rsid w:val="00870498"/>
    <w:rsid w:val="00870634"/>
    <w:rsid w:val="0087220F"/>
    <w:rsid w:val="008725D0"/>
    <w:rsid w:val="008725D1"/>
    <w:rsid w:val="00873DC3"/>
    <w:rsid w:val="00874512"/>
    <w:rsid w:val="00885296"/>
    <w:rsid w:val="00890306"/>
    <w:rsid w:val="00891213"/>
    <w:rsid w:val="00891B66"/>
    <w:rsid w:val="008922C8"/>
    <w:rsid w:val="00892BCF"/>
    <w:rsid w:val="00893DD3"/>
    <w:rsid w:val="00893F8F"/>
    <w:rsid w:val="0089590E"/>
    <w:rsid w:val="00896A05"/>
    <w:rsid w:val="008A11E3"/>
    <w:rsid w:val="008A5834"/>
    <w:rsid w:val="008A6169"/>
    <w:rsid w:val="008B0F5B"/>
    <w:rsid w:val="008B4E51"/>
    <w:rsid w:val="008B7549"/>
    <w:rsid w:val="008C31F2"/>
    <w:rsid w:val="008D1223"/>
    <w:rsid w:val="008D2A3E"/>
    <w:rsid w:val="008D2B68"/>
    <w:rsid w:val="008D30B7"/>
    <w:rsid w:val="008D5645"/>
    <w:rsid w:val="008D70C0"/>
    <w:rsid w:val="008E4027"/>
    <w:rsid w:val="008F08FA"/>
    <w:rsid w:val="008F4B56"/>
    <w:rsid w:val="008F4DC0"/>
    <w:rsid w:val="008F6F68"/>
    <w:rsid w:val="0090322F"/>
    <w:rsid w:val="009061CF"/>
    <w:rsid w:val="009064D0"/>
    <w:rsid w:val="00910382"/>
    <w:rsid w:val="009108C5"/>
    <w:rsid w:val="009159BF"/>
    <w:rsid w:val="00916924"/>
    <w:rsid w:val="0092658D"/>
    <w:rsid w:val="0093013E"/>
    <w:rsid w:val="00946B6F"/>
    <w:rsid w:val="009473F1"/>
    <w:rsid w:val="00951F74"/>
    <w:rsid w:val="009537F5"/>
    <w:rsid w:val="00956897"/>
    <w:rsid w:val="00956EC1"/>
    <w:rsid w:val="00956F88"/>
    <w:rsid w:val="00960171"/>
    <w:rsid w:val="0096035F"/>
    <w:rsid w:val="00963B81"/>
    <w:rsid w:val="009654AC"/>
    <w:rsid w:val="009721CC"/>
    <w:rsid w:val="00973F58"/>
    <w:rsid w:val="009741AC"/>
    <w:rsid w:val="00975777"/>
    <w:rsid w:val="00980D00"/>
    <w:rsid w:val="0098120E"/>
    <w:rsid w:val="00983CB8"/>
    <w:rsid w:val="00985AFB"/>
    <w:rsid w:val="009912CA"/>
    <w:rsid w:val="009939C2"/>
    <w:rsid w:val="00993BAE"/>
    <w:rsid w:val="00994FCA"/>
    <w:rsid w:val="0099598A"/>
    <w:rsid w:val="00996F41"/>
    <w:rsid w:val="009A0CE7"/>
    <w:rsid w:val="009A22BE"/>
    <w:rsid w:val="009A5473"/>
    <w:rsid w:val="009A5A9F"/>
    <w:rsid w:val="009A6A2D"/>
    <w:rsid w:val="009A721F"/>
    <w:rsid w:val="009B2086"/>
    <w:rsid w:val="009B317D"/>
    <w:rsid w:val="009B346C"/>
    <w:rsid w:val="009B39B2"/>
    <w:rsid w:val="009B3C8E"/>
    <w:rsid w:val="009B4522"/>
    <w:rsid w:val="009B46A7"/>
    <w:rsid w:val="009B46F6"/>
    <w:rsid w:val="009B739D"/>
    <w:rsid w:val="009C0341"/>
    <w:rsid w:val="009C1D45"/>
    <w:rsid w:val="009C24F6"/>
    <w:rsid w:val="009C5553"/>
    <w:rsid w:val="009C619C"/>
    <w:rsid w:val="009D0E12"/>
    <w:rsid w:val="009D12A6"/>
    <w:rsid w:val="009D4564"/>
    <w:rsid w:val="009D7A00"/>
    <w:rsid w:val="009E0911"/>
    <w:rsid w:val="009E63FD"/>
    <w:rsid w:val="009F0933"/>
    <w:rsid w:val="009F1FE8"/>
    <w:rsid w:val="009F3A73"/>
    <w:rsid w:val="009F4483"/>
    <w:rsid w:val="009F57CF"/>
    <w:rsid w:val="009F65A8"/>
    <w:rsid w:val="00A00A10"/>
    <w:rsid w:val="00A01323"/>
    <w:rsid w:val="00A01BD3"/>
    <w:rsid w:val="00A02058"/>
    <w:rsid w:val="00A069BD"/>
    <w:rsid w:val="00A0796E"/>
    <w:rsid w:val="00A22D05"/>
    <w:rsid w:val="00A235BE"/>
    <w:rsid w:val="00A422AD"/>
    <w:rsid w:val="00A449C0"/>
    <w:rsid w:val="00A46E34"/>
    <w:rsid w:val="00A47C4B"/>
    <w:rsid w:val="00A47EBA"/>
    <w:rsid w:val="00A54394"/>
    <w:rsid w:val="00A629F7"/>
    <w:rsid w:val="00A6381B"/>
    <w:rsid w:val="00A655C6"/>
    <w:rsid w:val="00A65AC8"/>
    <w:rsid w:val="00A70360"/>
    <w:rsid w:val="00A71013"/>
    <w:rsid w:val="00A7219E"/>
    <w:rsid w:val="00A72F8F"/>
    <w:rsid w:val="00A8006F"/>
    <w:rsid w:val="00A80743"/>
    <w:rsid w:val="00A80E4C"/>
    <w:rsid w:val="00A8157C"/>
    <w:rsid w:val="00A90300"/>
    <w:rsid w:val="00A92025"/>
    <w:rsid w:val="00A940FD"/>
    <w:rsid w:val="00A9547F"/>
    <w:rsid w:val="00A9658C"/>
    <w:rsid w:val="00AA06FA"/>
    <w:rsid w:val="00AA07C2"/>
    <w:rsid w:val="00AA25FD"/>
    <w:rsid w:val="00AA3E49"/>
    <w:rsid w:val="00AA57F8"/>
    <w:rsid w:val="00AA5A27"/>
    <w:rsid w:val="00AB4B8A"/>
    <w:rsid w:val="00AB6E04"/>
    <w:rsid w:val="00AB7864"/>
    <w:rsid w:val="00AC245B"/>
    <w:rsid w:val="00AD0B4E"/>
    <w:rsid w:val="00AD1A24"/>
    <w:rsid w:val="00AD3B52"/>
    <w:rsid w:val="00AD5EAF"/>
    <w:rsid w:val="00AE1558"/>
    <w:rsid w:val="00AE2990"/>
    <w:rsid w:val="00AF5008"/>
    <w:rsid w:val="00AF55C2"/>
    <w:rsid w:val="00AF7CB0"/>
    <w:rsid w:val="00B000E8"/>
    <w:rsid w:val="00B01BFF"/>
    <w:rsid w:val="00B04105"/>
    <w:rsid w:val="00B04D9C"/>
    <w:rsid w:val="00B05A2D"/>
    <w:rsid w:val="00B12006"/>
    <w:rsid w:val="00B14235"/>
    <w:rsid w:val="00B156EE"/>
    <w:rsid w:val="00B221BB"/>
    <w:rsid w:val="00B24045"/>
    <w:rsid w:val="00B26EC9"/>
    <w:rsid w:val="00B27F6C"/>
    <w:rsid w:val="00B303B9"/>
    <w:rsid w:val="00B313AF"/>
    <w:rsid w:val="00B43E6B"/>
    <w:rsid w:val="00B45123"/>
    <w:rsid w:val="00B4563B"/>
    <w:rsid w:val="00B45A93"/>
    <w:rsid w:val="00B51C16"/>
    <w:rsid w:val="00B52F57"/>
    <w:rsid w:val="00B5398E"/>
    <w:rsid w:val="00B55C53"/>
    <w:rsid w:val="00B56F0D"/>
    <w:rsid w:val="00B57609"/>
    <w:rsid w:val="00B605B3"/>
    <w:rsid w:val="00B71996"/>
    <w:rsid w:val="00B724B5"/>
    <w:rsid w:val="00B72AA8"/>
    <w:rsid w:val="00B73E98"/>
    <w:rsid w:val="00B751AE"/>
    <w:rsid w:val="00B75331"/>
    <w:rsid w:val="00B82265"/>
    <w:rsid w:val="00B83055"/>
    <w:rsid w:val="00B8488D"/>
    <w:rsid w:val="00B86247"/>
    <w:rsid w:val="00B86450"/>
    <w:rsid w:val="00B878C3"/>
    <w:rsid w:val="00B87C67"/>
    <w:rsid w:val="00B90E9D"/>
    <w:rsid w:val="00B94ACF"/>
    <w:rsid w:val="00BA023E"/>
    <w:rsid w:val="00BA0C86"/>
    <w:rsid w:val="00BA12D0"/>
    <w:rsid w:val="00BA26A7"/>
    <w:rsid w:val="00BA3DA8"/>
    <w:rsid w:val="00BA712A"/>
    <w:rsid w:val="00BA7CDB"/>
    <w:rsid w:val="00BB1AC1"/>
    <w:rsid w:val="00BB463B"/>
    <w:rsid w:val="00BB478A"/>
    <w:rsid w:val="00BB4D5B"/>
    <w:rsid w:val="00BB6070"/>
    <w:rsid w:val="00BC0868"/>
    <w:rsid w:val="00BC1339"/>
    <w:rsid w:val="00BC6F53"/>
    <w:rsid w:val="00BD20EE"/>
    <w:rsid w:val="00BD5D84"/>
    <w:rsid w:val="00BD75A7"/>
    <w:rsid w:val="00BE0B1D"/>
    <w:rsid w:val="00C00D3A"/>
    <w:rsid w:val="00C01352"/>
    <w:rsid w:val="00C03463"/>
    <w:rsid w:val="00C11A45"/>
    <w:rsid w:val="00C133F8"/>
    <w:rsid w:val="00C13F4F"/>
    <w:rsid w:val="00C14104"/>
    <w:rsid w:val="00C202ED"/>
    <w:rsid w:val="00C21E9E"/>
    <w:rsid w:val="00C23A60"/>
    <w:rsid w:val="00C264C0"/>
    <w:rsid w:val="00C26B04"/>
    <w:rsid w:val="00C26C96"/>
    <w:rsid w:val="00C347C8"/>
    <w:rsid w:val="00C36168"/>
    <w:rsid w:val="00C42119"/>
    <w:rsid w:val="00C427A5"/>
    <w:rsid w:val="00C51263"/>
    <w:rsid w:val="00C5302D"/>
    <w:rsid w:val="00C5493E"/>
    <w:rsid w:val="00C6604D"/>
    <w:rsid w:val="00C6649B"/>
    <w:rsid w:val="00C71D55"/>
    <w:rsid w:val="00C74ABE"/>
    <w:rsid w:val="00C76E81"/>
    <w:rsid w:val="00C76F82"/>
    <w:rsid w:val="00C86FFE"/>
    <w:rsid w:val="00C875AF"/>
    <w:rsid w:val="00C908E2"/>
    <w:rsid w:val="00C90E56"/>
    <w:rsid w:val="00C917C2"/>
    <w:rsid w:val="00C91D4E"/>
    <w:rsid w:val="00C92C76"/>
    <w:rsid w:val="00C95A08"/>
    <w:rsid w:val="00C95B3C"/>
    <w:rsid w:val="00CA1FED"/>
    <w:rsid w:val="00CA4CDE"/>
    <w:rsid w:val="00CB25B8"/>
    <w:rsid w:val="00CC010A"/>
    <w:rsid w:val="00CC0D0C"/>
    <w:rsid w:val="00CC31D8"/>
    <w:rsid w:val="00CC39E7"/>
    <w:rsid w:val="00CC7E92"/>
    <w:rsid w:val="00CD180B"/>
    <w:rsid w:val="00CD2380"/>
    <w:rsid w:val="00CD457B"/>
    <w:rsid w:val="00CD6386"/>
    <w:rsid w:val="00CE0DDB"/>
    <w:rsid w:val="00CE2445"/>
    <w:rsid w:val="00CE4E27"/>
    <w:rsid w:val="00CE781D"/>
    <w:rsid w:val="00CE7CB2"/>
    <w:rsid w:val="00CF160B"/>
    <w:rsid w:val="00CF1EF7"/>
    <w:rsid w:val="00CF371A"/>
    <w:rsid w:val="00D0046C"/>
    <w:rsid w:val="00D037C3"/>
    <w:rsid w:val="00D03FDC"/>
    <w:rsid w:val="00D0467B"/>
    <w:rsid w:val="00D122D4"/>
    <w:rsid w:val="00D142A4"/>
    <w:rsid w:val="00D20DC1"/>
    <w:rsid w:val="00D2341C"/>
    <w:rsid w:val="00D23B3A"/>
    <w:rsid w:val="00D23F4A"/>
    <w:rsid w:val="00D2411C"/>
    <w:rsid w:val="00D31CD9"/>
    <w:rsid w:val="00D32D34"/>
    <w:rsid w:val="00D3305C"/>
    <w:rsid w:val="00D40A16"/>
    <w:rsid w:val="00D40BB0"/>
    <w:rsid w:val="00D41D88"/>
    <w:rsid w:val="00D4237B"/>
    <w:rsid w:val="00D43551"/>
    <w:rsid w:val="00D442A5"/>
    <w:rsid w:val="00D513F1"/>
    <w:rsid w:val="00D54659"/>
    <w:rsid w:val="00D55320"/>
    <w:rsid w:val="00D5729A"/>
    <w:rsid w:val="00D625E3"/>
    <w:rsid w:val="00D6329E"/>
    <w:rsid w:val="00D65683"/>
    <w:rsid w:val="00D66A89"/>
    <w:rsid w:val="00D71084"/>
    <w:rsid w:val="00D73FEB"/>
    <w:rsid w:val="00D77DDC"/>
    <w:rsid w:val="00D81E6F"/>
    <w:rsid w:val="00D820C6"/>
    <w:rsid w:val="00D84F39"/>
    <w:rsid w:val="00D870B7"/>
    <w:rsid w:val="00D92868"/>
    <w:rsid w:val="00D932D0"/>
    <w:rsid w:val="00DA5C17"/>
    <w:rsid w:val="00DA6384"/>
    <w:rsid w:val="00DB0C3C"/>
    <w:rsid w:val="00DB6A9C"/>
    <w:rsid w:val="00DC16CC"/>
    <w:rsid w:val="00DD09F1"/>
    <w:rsid w:val="00DD0D23"/>
    <w:rsid w:val="00DD1EA8"/>
    <w:rsid w:val="00DD32C0"/>
    <w:rsid w:val="00DE05BD"/>
    <w:rsid w:val="00DE0B0A"/>
    <w:rsid w:val="00DE7BBF"/>
    <w:rsid w:val="00DF0AE8"/>
    <w:rsid w:val="00DF10D0"/>
    <w:rsid w:val="00DF1E19"/>
    <w:rsid w:val="00DF299B"/>
    <w:rsid w:val="00DF7600"/>
    <w:rsid w:val="00E01643"/>
    <w:rsid w:val="00E02AA8"/>
    <w:rsid w:val="00E107CA"/>
    <w:rsid w:val="00E14C3D"/>
    <w:rsid w:val="00E160B6"/>
    <w:rsid w:val="00E1770B"/>
    <w:rsid w:val="00E277C7"/>
    <w:rsid w:val="00E302AE"/>
    <w:rsid w:val="00E37C59"/>
    <w:rsid w:val="00E4401E"/>
    <w:rsid w:val="00E476C9"/>
    <w:rsid w:val="00E5020A"/>
    <w:rsid w:val="00E51AB5"/>
    <w:rsid w:val="00E54D4D"/>
    <w:rsid w:val="00E55850"/>
    <w:rsid w:val="00E577BC"/>
    <w:rsid w:val="00E578B9"/>
    <w:rsid w:val="00E60CF3"/>
    <w:rsid w:val="00E62822"/>
    <w:rsid w:val="00E65C88"/>
    <w:rsid w:val="00E712EC"/>
    <w:rsid w:val="00E7188F"/>
    <w:rsid w:val="00E7219F"/>
    <w:rsid w:val="00E74C32"/>
    <w:rsid w:val="00E753BE"/>
    <w:rsid w:val="00E754D2"/>
    <w:rsid w:val="00E76485"/>
    <w:rsid w:val="00E821CC"/>
    <w:rsid w:val="00E82A06"/>
    <w:rsid w:val="00E83FEE"/>
    <w:rsid w:val="00E9520A"/>
    <w:rsid w:val="00EA213C"/>
    <w:rsid w:val="00EA4222"/>
    <w:rsid w:val="00EA551A"/>
    <w:rsid w:val="00EA61C0"/>
    <w:rsid w:val="00EB2588"/>
    <w:rsid w:val="00EB2A3A"/>
    <w:rsid w:val="00EB3F66"/>
    <w:rsid w:val="00EC31FD"/>
    <w:rsid w:val="00EC39DB"/>
    <w:rsid w:val="00EC7279"/>
    <w:rsid w:val="00EC7C91"/>
    <w:rsid w:val="00ED00C1"/>
    <w:rsid w:val="00ED074B"/>
    <w:rsid w:val="00ED280E"/>
    <w:rsid w:val="00ED3AC1"/>
    <w:rsid w:val="00ED4468"/>
    <w:rsid w:val="00EE1786"/>
    <w:rsid w:val="00EE1B27"/>
    <w:rsid w:val="00EE1C27"/>
    <w:rsid w:val="00EE1D91"/>
    <w:rsid w:val="00EE4236"/>
    <w:rsid w:val="00EE48E6"/>
    <w:rsid w:val="00EE5275"/>
    <w:rsid w:val="00EF45B7"/>
    <w:rsid w:val="00EF4BE8"/>
    <w:rsid w:val="00EF5ACA"/>
    <w:rsid w:val="00F008E8"/>
    <w:rsid w:val="00F01B66"/>
    <w:rsid w:val="00F10F06"/>
    <w:rsid w:val="00F1653E"/>
    <w:rsid w:val="00F16BF6"/>
    <w:rsid w:val="00F17163"/>
    <w:rsid w:val="00F179F9"/>
    <w:rsid w:val="00F17EC8"/>
    <w:rsid w:val="00F21CD3"/>
    <w:rsid w:val="00F21E5B"/>
    <w:rsid w:val="00F33364"/>
    <w:rsid w:val="00F41ABC"/>
    <w:rsid w:val="00F47F17"/>
    <w:rsid w:val="00F51476"/>
    <w:rsid w:val="00F54F3F"/>
    <w:rsid w:val="00F56702"/>
    <w:rsid w:val="00F576AE"/>
    <w:rsid w:val="00F6092E"/>
    <w:rsid w:val="00F60B97"/>
    <w:rsid w:val="00F643D3"/>
    <w:rsid w:val="00F66963"/>
    <w:rsid w:val="00F713D9"/>
    <w:rsid w:val="00F71819"/>
    <w:rsid w:val="00F75ED2"/>
    <w:rsid w:val="00F771F6"/>
    <w:rsid w:val="00F775F7"/>
    <w:rsid w:val="00F77D2F"/>
    <w:rsid w:val="00F77D53"/>
    <w:rsid w:val="00F8611B"/>
    <w:rsid w:val="00F90A7E"/>
    <w:rsid w:val="00F92380"/>
    <w:rsid w:val="00F92953"/>
    <w:rsid w:val="00F94262"/>
    <w:rsid w:val="00FA0F21"/>
    <w:rsid w:val="00FA79E6"/>
    <w:rsid w:val="00FB0746"/>
    <w:rsid w:val="00FB2F12"/>
    <w:rsid w:val="00FB73D3"/>
    <w:rsid w:val="00FB7F10"/>
    <w:rsid w:val="00FC0539"/>
    <w:rsid w:val="00FC26AC"/>
    <w:rsid w:val="00FC5881"/>
    <w:rsid w:val="00FD0CC7"/>
    <w:rsid w:val="00FD1FFB"/>
    <w:rsid w:val="00FD25FF"/>
    <w:rsid w:val="00FD334F"/>
    <w:rsid w:val="00FD4A51"/>
    <w:rsid w:val="00FD4BC3"/>
    <w:rsid w:val="00FD5C31"/>
    <w:rsid w:val="00FD5EC9"/>
    <w:rsid w:val="00FD6E85"/>
    <w:rsid w:val="00FD6F8A"/>
    <w:rsid w:val="00FD7114"/>
    <w:rsid w:val="00FE05BA"/>
    <w:rsid w:val="00FE077D"/>
    <w:rsid w:val="00FE72A0"/>
    <w:rsid w:val="00FF3BD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72BF242B"/>
  <w15:docId w15:val="{B85571C2-7382-42C5-A5F1-04BD204535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0796E"/>
    <w:pPr>
      <w:spacing w:line="240" w:lineRule="auto"/>
      <w:jc w:val="both"/>
    </w:pPr>
    <w:rPr>
      <w:rFonts w:ascii="Arial" w:hAnsi="Arial"/>
      <w:sz w:val="24"/>
    </w:rPr>
  </w:style>
  <w:style w:type="paragraph" w:styleId="Nadpis1">
    <w:name w:val="heading 1"/>
    <w:basedOn w:val="Normln"/>
    <w:next w:val="Normln"/>
    <w:link w:val="Nadpis1Char"/>
    <w:uiPriority w:val="9"/>
    <w:qFormat/>
    <w:rsid w:val="0084158A"/>
    <w:pPr>
      <w:keepNext/>
      <w:keepLines/>
      <w:numPr>
        <w:numId w:val="1"/>
      </w:numPr>
      <w:spacing w:before="240" w:after="120" w:line="259" w:lineRule="auto"/>
      <w:ind w:left="431" w:hanging="431"/>
      <w:outlineLvl w:val="0"/>
    </w:pPr>
    <w:rPr>
      <w:rFonts w:eastAsiaTheme="majorEastAsia" w:cstheme="majorBidi"/>
      <w:b/>
      <w:sz w:val="32"/>
      <w:szCs w:val="32"/>
    </w:rPr>
  </w:style>
  <w:style w:type="paragraph" w:styleId="Nadpis2">
    <w:name w:val="heading 2"/>
    <w:basedOn w:val="Normln"/>
    <w:next w:val="Normln"/>
    <w:link w:val="Nadpis2Char"/>
    <w:autoRedefine/>
    <w:uiPriority w:val="9"/>
    <w:unhideWhenUsed/>
    <w:qFormat/>
    <w:rsid w:val="0084158A"/>
    <w:pPr>
      <w:keepNext/>
      <w:keepLines/>
      <w:numPr>
        <w:ilvl w:val="1"/>
        <w:numId w:val="1"/>
      </w:numPr>
      <w:spacing w:before="240" w:after="120" w:line="259" w:lineRule="auto"/>
      <w:ind w:left="578" w:hanging="578"/>
      <w:outlineLvl w:val="1"/>
    </w:pPr>
    <w:rPr>
      <w:rFonts w:eastAsiaTheme="majorEastAsia" w:cstheme="majorBidi"/>
      <w:b/>
      <w:sz w:val="36"/>
      <w:szCs w:val="26"/>
    </w:rPr>
  </w:style>
  <w:style w:type="paragraph" w:styleId="Nadpis3">
    <w:name w:val="heading 3"/>
    <w:basedOn w:val="Normln"/>
    <w:next w:val="Normln"/>
    <w:link w:val="Nadpis3Char"/>
    <w:autoRedefine/>
    <w:uiPriority w:val="9"/>
    <w:unhideWhenUsed/>
    <w:qFormat/>
    <w:rsid w:val="00AD1A24"/>
    <w:pPr>
      <w:keepNext/>
      <w:keepLines/>
      <w:numPr>
        <w:ilvl w:val="2"/>
        <w:numId w:val="1"/>
      </w:numPr>
      <w:spacing w:before="240" w:after="120" w:line="259" w:lineRule="auto"/>
      <w:outlineLvl w:val="2"/>
    </w:pPr>
    <w:rPr>
      <w:rFonts w:eastAsiaTheme="majorEastAsia" w:cstheme="majorBidi"/>
      <w:b/>
      <w:sz w:val="32"/>
      <w:szCs w:val="24"/>
    </w:rPr>
  </w:style>
  <w:style w:type="paragraph" w:styleId="Nadpis4">
    <w:name w:val="heading 4"/>
    <w:basedOn w:val="Normln"/>
    <w:next w:val="Normln"/>
    <w:link w:val="Nadpis4Char"/>
    <w:autoRedefine/>
    <w:uiPriority w:val="9"/>
    <w:unhideWhenUsed/>
    <w:qFormat/>
    <w:rsid w:val="00317382"/>
    <w:pPr>
      <w:keepNext/>
      <w:keepLines/>
      <w:numPr>
        <w:ilvl w:val="3"/>
        <w:numId w:val="1"/>
      </w:numPr>
      <w:spacing w:before="240" w:after="120"/>
      <w:ind w:left="862" w:hanging="862"/>
      <w:outlineLvl w:val="3"/>
    </w:pPr>
    <w:rPr>
      <w:rFonts w:eastAsiaTheme="majorEastAsia" w:cstheme="majorBidi"/>
      <w:b/>
      <w:iCs/>
      <w:sz w:val="28"/>
    </w:rPr>
  </w:style>
  <w:style w:type="paragraph" w:styleId="Nadpis5">
    <w:name w:val="heading 5"/>
    <w:basedOn w:val="Normln"/>
    <w:next w:val="Normln"/>
    <w:link w:val="Nadpis5Char"/>
    <w:autoRedefine/>
    <w:uiPriority w:val="9"/>
    <w:unhideWhenUsed/>
    <w:qFormat/>
    <w:rsid w:val="0028190C"/>
    <w:pPr>
      <w:keepNext/>
      <w:keepLines/>
      <w:numPr>
        <w:numId w:val="2"/>
      </w:numPr>
      <w:spacing w:before="240" w:after="120" w:line="259" w:lineRule="auto"/>
      <w:outlineLvl w:val="4"/>
    </w:pPr>
    <w:rPr>
      <w:rFonts w:eastAsiaTheme="majorEastAsia" w:cstheme="majorBidi"/>
      <w:b/>
    </w:rPr>
  </w:style>
  <w:style w:type="paragraph" w:styleId="Nadpis6">
    <w:name w:val="heading 6"/>
    <w:basedOn w:val="Normln"/>
    <w:next w:val="Normln"/>
    <w:link w:val="Nadpis6Char"/>
    <w:autoRedefine/>
    <w:uiPriority w:val="9"/>
    <w:unhideWhenUsed/>
    <w:qFormat/>
    <w:rsid w:val="003D2CF6"/>
    <w:pPr>
      <w:keepNext/>
      <w:keepLines/>
      <w:numPr>
        <w:numId w:val="3"/>
      </w:numPr>
      <w:spacing w:before="240" w:after="120" w:line="259" w:lineRule="auto"/>
      <w:outlineLvl w:val="5"/>
    </w:pPr>
    <w:rPr>
      <w:rFonts w:eastAsiaTheme="majorEastAsia" w:cstheme="majorBidi"/>
      <w:b/>
    </w:rPr>
  </w:style>
  <w:style w:type="paragraph" w:styleId="Nadpis7">
    <w:name w:val="heading 7"/>
    <w:basedOn w:val="Normln"/>
    <w:next w:val="Normln"/>
    <w:link w:val="Nadpis7Char"/>
    <w:autoRedefine/>
    <w:uiPriority w:val="9"/>
    <w:unhideWhenUsed/>
    <w:qFormat/>
    <w:rsid w:val="00B52F57"/>
    <w:pPr>
      <w:keepNext/>
      <w:keepLines/>
      <w:spacing w:before="240" w:after="120" w:line="259" w:lineRule="auto"/>
      <w:outlineLvl w:val="6"/>
    </w:pPr>
    <w:rPr>
      <w:rFonts w:eastAsiaTheme="majorEastAsia" w:cstheme="majorBidi"/>
      <w:iCs/>
      <w:u w:val="single"/>
    </w:rPr>
  </w:style>
  <w:style w:type="paragraph" w:styleId="Nadpis8">
    <w:name w:val="heading 8"/>
    <w:basedOn w:val="Normln"/>
    <w:next w:val="Normln"/>
    <w:link w:val="Nadpis8Char"/>
    <w:autoRedefine/>
    <w:uiPriority w:val="9"/>
    <w:unhideWhenUsed/>
    <w:qFormat/>
    <w:rsid w:val="0084158A"/>
    <w:pPr>
      <w:keepNext/>
      <w:keepLines/>
      <w:numPr>
        <w:ilvl w:val="7"/>
        <w:numId w:val="1"/>
      </w:numPr>
      <w:spacing w:before="240" w:after="120" w:line="259" w:lineRule="auto"/>
      <w:ind w:left="0" w:firstLine="0"/>
      <w:outlineLvl w:val="7"/>
    </w:pPr>
    <w:rPr>
      <w:rFonts w:eastAsiaTheme="majorEastAsia" w:cs="Arial"/>
      <w:b/>
      <w:color w:val="202124"/>
      <w:szCs w:val="21"/>
    </w:rPr>
  </w:style>
  <w:style w:type="paragraph" w:styleId="Nadpis9">
    <w:name w:val="heading 9"/>
    <w:basedOn w:val="Normln"/>
    <w:next w:val="Normln"/>
    <w:link w:val="Nadpis9Char"/>
    <w:uiPriority w:val="9"/>
    <w:semiHidden/>
    <w:unhideWhenUsed/>
    <w:qFormat/>
    <w:rsid w:val="00F75ED2"/>
    <w:pPr>
      <w:keepNext/>
      <w:keepLines/>
      <w:numPr>
        <w:ilvl w:val="8"/>
        <w:numId w:val="1"/>
      </w:numPr>
      <w:spacing w:before="40" w:after="0"/>
      <w:outlineLvl w:val="8"/>
    </w:pPr>
    <w:rPr>
      <w:rFonts w:eastAsiaTheme="majorEastAsia" w:cstheme="majorBidi"/>
      <w:iCs/>
      <w:color w:val="272727" w:themeColor="text1" w:themeTint="D8"/>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4158A"/>
    <w:rPr>
      <w:rFonts w:ascii="Arial" w:eastAsiaTheme="majorEastAsia" w:hAnsi="Arial" w:cstheme="majorBidi"/>
      <w:b/>
      <w:sz w:val="32"/>
      <w:szCs w:val="32"/>
    </w:rPr>
  </w:style>
  <w:style w:type="character" w:customStyle="1" w:styleId="Nadpis2Char">
    <w:name w:val="Nadpis 2 Char"/>
    <w:basedOn w:val="Standardnpsmoodstavce"/>
    <w:link w:val="Nadpis2"/>
    <w:uiPriority w:val="9"/>
    <w:rsid w:val="0084158A"/>
    <w:rPr>
      <w:rFonts w:ascii="Arial" w:eastAsiaTheme="majorEastAsia" w:hAnsi="Arial" w:cstheme="majorBidi"/>
      <w:b/>
      <w:sz w:val="36"/>
      <w:szCs w:val="26"/>
    </w:rPr>
  </w:style>
  <w:style w:type="character" w:customStyle="1" w:styleId="Nadpis3Char">
    <w:name w:val="Nadpis 3 Char"/>
    <w:basedOn w:val="Standardnpsmoodstavce"/>
    <w:link w:val="Nadpis3"/>
    <w:uiPriority w:val="9"/>
    <w:rsid w:val="00AD1A24"/>
    <w:rPr>
      <w:rFonts w:ascii="Arial" w:eastAsiaTheme="majorEastAsia" w:hAnsi="Arial" w:cstheme="majorBidi"/>
      <w:b/>
      <w:sz w:val="32"/>
      <w:szCs w:val="24"/>
    </w:rPr>
  </w:style>
  <w:style w:type="character" w:customStyle="1" w:styleId="Nadpis4Char">
    <w:name w:val="Nadpis 4 Char"/>
    <w:basedOn w:val="Standardnpsmoodstavce"/>
    <w:link w:val="Nadpis4"/>
    <w:uiPriority w:val="9"/>
    <w:rsid w:val="00317382"/>
    <w:rPr>
      <w:rFonts w:ascii="Arial" w:eastAsiaTheme="majorEastAsia" w:hAnsi="Arial" w:cstheme="majorBidi"/>
      <w:b/>
      <w:iCs/>
      <w:sz w:val="28"/>
    </w:rPr>
  </w:style>
  <w:style w:type="character" w:customStyle="1" w:styleId="Nadpis5Char">
    <w:name w:val="Nadpis 5 Char"/>
    <w:basedOn w:val="Standardnpsmoodstavce"/>
    <w:link w:val="Nadpis5"/>
    <w:uiPriority w:val="9"/>
    <w:rsid w:val="0028190C"/>
    <w:rPr>
      <w:rFonts w:ascii="Arial" w:eastAsiaTheme="majorEastAsia" w:hAnsi="Arial" w:cstheme="majorBidi"/>
      <w:b/>
      <w:sz w:val="24"/>
    </w:rPr>
  </w:style>
  <w:style w:type="character" w:customStyle="1" w:styleId="Nadpis6Char">
    <w:name w:val="Nadpis 6 Char"/>
    <w:basedOn w:val="Standardnpsmoodstavce"/>
    <w:link w:val="Nadpis6"/>
    <w:uiPriority w:val="9"/>
    <w:rsid w:val="003D2CF6"/>
    <w:rPr>
      <w:rFonts w:ascii="Arial" w:eastAsiaTheme="majorEastAsia" w:hAnsi="Arial" w:cstheme="majorBidi"/>
      <w:b/>
      <w:sz w:val="24"/>
    </w:rPr>
  </w:style>
  <w:style w:type="character" w:customStyle="1" w:styleId="Nadpis7Char">
    <w:name w:val="Nadpis 7 Char"/>
    <w:basedOn w:val="Standardnpsmoodstavce"/>
    <w:link w:val="Nadpis7"/>
    <w:uiPriority w:val="9"/>
    <w:rsid w:val="00B52F57"/>
    <w:rPr>
      <w:rFonts w:ascii="Arial" w:eastAsiaTheme="majorEastAsia" w:hAnsi="Arial" w:cstheme="majorBidi"/>
      <w:iCs/>
      <w:sz w:val="24"/>
      <w:u w:val="single"/>
    </w:rPr>
  </w:style>
  <w:style w:type="character" w:customStyle="1" w:styleId="Nadpis8Char">
    <w:name w:val="Nadpis 8 Char"/>
    <w:basedOn w:val="Standardnpsmoodstavce"/>
    <w:link w:val="Nadpis8"/>
    <w:uiPriority w:val="9"/>
    <w:rsid w:val="0084158A"/>
    <w:rPr>
      <w:rFonts w:ascii="Arial" w:eastAsiaTheme="majorEastAsia" w:hAnsi="Arial" w:cs="Arial"/>
      <w:b/>
      <w:color w:val="202124"/>
      <w:sz w:val="24"/>
      <w:szCs w:val="21"/>
    </w:rPr>
  </w:style>
  <w:style w:type="character" w:customStyle="1" w:styleId="Nadpis9Char">
    <w:name w:val="Nadpis 9 Char"/>
    <w:basedOn w:val="Standardnpsmoodstavce"/>
    <w:link w:val="Nadpis9"/>
    <w:uiPriority w:val="9"/>
    <w:semiHidden/>
    <w:rsid w:val="00F75ED2"/>
    <w:rPr>
      <w:rFonts w:ascii="Arial" w:eastAsiaTheme="majorEastAsia" w:hAnsi="Arial" w:cstheme="majorBidi"/>
      <w:iCs/>
      <w:color w:val="272727" w:themeColor="text1" w:themeTint="D8"/>
      <w:sz w:val="24"/>
      <w:szCs w:val="21"/>
    </w:rPr>
  </w:style>
  <w:style w:type="character" w:styleId="Hypertextovodkaz">
    <w:name w:val="Hyperlink"/>
    <w:uiPriority w:val="99"/>
    <w:rsid w:val="006F5B28"/>
    <w:rPr>
      <w:rFonts w:cs="Times New Roman"/>
      <w:color w:val="0000FF"/>
      <w:u w:val="single"/>
    </w:rPr>
  </w:style>
  <w:style w:type="paragraph" w:styleId="Titulek">
    <w:name w:val="caption"/>
    <w:basedOn w:val="Normln"/>
    <w:next w:val="Normln"/>
    <w:uiPriority w:val="35"/>
    <w:unhideWhenUsed/>
    <w:qFormat/>
    <w:rsid w:val="006F5B28"/>
    <w:pPr>
      <w:spacing w:after="200"/>
    </w:pPr>
    <w:rPr>
      <w:i/>
      <w:iCs/>
      <w:szCs w:val="18"/>
    </w:rPr>
  </w:style>
  <w:style w:type="character" w:styleId="Odkaznakoment">
    <w:name w:val="annotation reference"/>
    <w:basedOn w:val="Standardnpsmoodstavce"/>
    <w:uiPriority w:val="99"/>
    <w:semiHidden/>
    <w:unhideWhenUsed/>
    <w:rsid w:val="006F5B28"/>
    <w:rPr>
      <w:sz w:val="16"/>
      <w:szCs w:val="16"/>
    </w:rPr>
  </w:style>
  <w:style w:type="paragraph" w:styleId="Textkomente">
    <w:name w:val="annotation text"/>
    <w:basedOn w:val="Normln"/>
    <w:link w:val="TextkomenteChar"/>
    <w:uiPriority w:val="99"/>
    <w:semiHidden/>
    <w:unhideWhenUsed/>
    <w:rsid w:val="006F5B28"/>
    <w:rPr>
      <w:sz w:val="20"/>
      <w:szCs w:val="20"/>
    </w:rPr>
  </w:style>
  <w:style w:type="character" w:customStyle="1" w:styleId="TextkomenteChar">
    <w:name w:val="Text komentáře Char"/>
    <w:basedOn w:val="Standardnpsmoodstavce"/>
    <w:link w:val="Textkomente"/>
    <w:uiPriority w:val="99"/>
    <w:semiHidden/>
    <w:rsid w:val="006F5B28"/>
    <w:rPr>
      <w:rFonts w:ascii="Arial" w:hAnsi="Arial"/>
      <w:sz w:val="20"/>
      <w:szCs w:val="20"/>
    </w:rPr>
  </w:style>
  <w:style w:type="paragraph" w:styleId="Odstavecseseznamem">
    <w:name w:val="List Paragraph"/>
    <w:basedOn w:val="Normln"/>
    <w:link w:val="OdstavecseseznamemChar"/>
    <w:uiPriority w:val="34"/>
    <w:qFormat/>
    <w:rsid w:val="006F5B28"/>
    <w:pPr>
      <w:ind w:left="720"/>
      <w:contextualSpacing/>
      <w:jc w:val="left"/>
    </w:pPr>
    <w:rPr>
      <w:rFonts w:ascii="Calibri" w:eastAsia="Calibri" w:hAnsi="Calibri" w:cs="Times New Roman"/>
      <w:sz w:val="22"/>
    </w:rPr>
  </w:style>
  <w:style w:type="table" w:styleId="Mkatabulky">
    <w:name w:val="Table Grid"/>
    <w:basedOn w:val="Normlntabulka"/>
    <w:uiPriority w:val="39"/>
    <w:rsid w:val="006F5B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bubliny">
    <w:name w:val="Balloon Text"/>
    <w:basedOn w:val="Normln"/>
    <w:link w:val="TextbublinyChar"/>
    <w:uiPriority w:val="99"/>
    <w:semiHidden/>
    <w:unhideWhenUsed/>
    <w:rsid w:val="006F5B28"/>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5B28"/>
    <w:rPr>
      <w:rFonts w:ascii="Segoe UI" w:hAnsi="Segoe UI" w:cs="Segoe UI"/>
      <w:sz w:val="18"/>
      <w:szCs w:val="18"/>
    </w:rPr>
  </w:style>
  <w:style w:type="paragraph" w:styleId="Pedmtkomente">
    <w:name w:val="annotation subject"/>
    <w:basedOn w:val="Textkomente"/>
    <w:next w:val="Textkomente"/>
    <w:link w:val="PedmtkomenteChar"/>
    <w:uiPriority w:val="99"/>
    <w:semiHidden/>
    <w:unhideWhenUsed/>
    <w:rsid w:val="006F5B28"/>
    <w:rPr>
      <w:b/>
      <w:bCs/>
    </w:rPr>
  </w:style>
  <w:style w:type="character" w:customStyle="1" w:styleId="PedmtkomenteChar">
    <w:name w:val="Předmět komentáře Char"/>
    <w:basedOn w:val="TextkomenteChar"/>
    <w:link w:val="Pedmtkomente"/>
    <w:uiPriority w:val="99"/>
    <w:semiHidden/>
    <w:rsid w:val="006F5B28"/>
    <w:rPr>
      <w:rFonts w:ascii="Arial" w:hAnsi="Arial"/>
      <w:b/>
      <w:bCs/>
      <w:sz w:val="20"/>
      <w:szCs w:val="20"/>
    </w:rPr>
  </w:style>
  <w:style w:type="character" w:customStyle="1" w:styleId="OdstavecseseznamemChar">
    <w:name w:val="Odstavec se seznamem Char"/>
    <w:basedOn w:val="Standardnpsmoodstavce"/>
    <w:link w:val="Odstavecseseznamem"/>
    <w:uiPriority w:val="99"/>
    <w:locked/>
    <w:rsid w:val="00726163"/>
    <w:rPr>
      <w:rFonts w:ascii="Calibri" w:eastAsia="Calibri" w:hAnsi="Calibri" w:cs="Times New Roman"/>
    </w:rPr>
  </w:style>
  <w:style w:type="paragraph" w:customStyle="1" w:styleId="Text">
    <w:name w:val="Text"/>
    <w:basedOn w:val="Normln"/>
    <w:qFormat/>
    <w:rsid w:val="002D4E39"/>
    <w:pPr>
      <w:widowControl w:val="0"/>
      <w:spacing w:before="120" w:after="120" w:line="360" w:lineRule="auto"/>
      <w:ind w:firstLine="709"/>
    </w:pPr>
    <w:rPr>
      <w:rFonts w:asciiTheme="minorHAnsi" w:hAnsiTheme="minorHAnsi"/>
      <w:sz w:val="22"/>
    </w:rPr>
  </w:style>
  <w:style w:type="paragraph" w:styleId="Textpoznpodarou">
    <w:name w:val="footnote text"/>
    <w:basedOn w:val="Normln"/>
    <w:link w:val="TextpoznpodarouChar"/>
    <w:uiPriority w:val="99"/>
    <w:unhideWhenUsed/>
    <w:rsid w:val="002D4E39"/>
    <w:pPr>
      <w:spacing w:after="0"/>
      <w:jc w:val="left"/>
    </w:pPr>
    <w:rPr>
      <w:rFonts w:asciiTheme="minorHAnsi" w:hAnsiTheme="minorHAnsi"/>
      <w:sz w:val="20"/>
      <w:szCs w:val="20"/>
    </w:rPr>
  </w:style>
  <w:style w:type="character" w:customStyle="1" w:styleId="TextpoznpodarouChar">
    <w:name w:val="Text pozn. pod čarou Char"/>
    <w:basedOn w:val="Standardnpsmoodstavce"/>
    <w:link w:val="Textpoznpodarou"/>
    <w:uiPriority w:val="99"/>
    <w:rsid w:val="002D4E39"/>
    <w:rPr>
      <w:sz w:val="20"/>
      <w:szCs w:val="20"/>
    </w:rPr>
  </w:style>
  <w:style w:type="character" w:styleId="Znakapoznpodarou">
    <w:name w:val="footnote reference"/>
    <w:basedOn w:val="Standardnpsmoodstavce"/>
    <w:uiPriority w:val="99"/>
    <w:semiHidden/>
    <w:unhideWhenUsed/>
    <w:rsid w:val="002D4E39"/>
    <w:rPr>
      <w:vertAlign w:val="superscript"/>
    </w:rPr>
  </w:style>
  <w:style w:type="paragraph" w:customStyle="1" w:styleId="nadpiszkona">
    <w:name w:val="nadpis zákona"/>
    <w:basedOn w:val="Normln"/>
    <w:next w:val="Normln"/>
    <w:rsid w:val="002D4E39"/>
    <w:pPr>
      <w:keepNext/>
      <w:keepLines/>
      <w:spacing w:before="120" w:after="0"/>
      <w:jc w:val="center"/>
      <w:outlineLvl w:val="0"/>
    </w:pPr>
    <w:rPr>
      <w:rFonts w:ascii="Times New Roman" w:eastAsia="Times New Roman" w:hAnsi="Times New Roman" w:cs="Times New Roman"/>
      <w:b/>
      <w:szCs w:val="20"/>
      <w:lang w:eastAsia="cs-CZ"/>
    </w:rPr>
  </w:style>
  <w:style w:type="character" w:styleId="Zdraznn">
    <w:name w:val="Emphasis"/>
    <w:basedOn w:val="Standardnpsmoodstavce"/>
    <w:uiPriority w:val="20"/>
    <w:qFormat/>
    <w:rsid w:val="00CE7CB2"/>
    <w:rPr>
      <w:i/>
      <w:iCs/>
    </w:rPr>
  </w:style>
  <w:style w:type="paragraph" w:styleId="Zpat">
    <w:name w:val="footer"/>
    <w:basedOn w:val="Normln"/>
    <w:link w:val="ZpatChar"/>
    <w:uiPriority w:val="99"/>
    <w:unhideWhenUsed/>
    <w:rsid w:val="00CE7CB2"/>
    <w:pPr>
      <w:tabs>
        <w:tab w:val="center" w:pos="4536"/>
        <w:tab w:val="right" w:pos="9072"/>
      </w:tabs>
      <w:spacing w:after="0"/>
      <w:jc w:val="left"/>
    </w:pPr>
    <w:rPr>
      <w:rFonts w:ascii="Calibri" w:eastAsia="Calibri" w:hAnsi="Calibri" w:cs="Times New Roman"/>
      <w:sz w:val="22"/>
    </w:rPr>
  </w:style>
  <w:style w:type="character" w:customStyle="1" w:styleId="ZpatChar">
    <w:name w:val="Zápatí Char"/>
    <w:basedOn w:val="Standardnpsmoodstavce"/>
    <w:link w:val="Zpat"/>
    <w:uiPriority w:val="99"/>
    <w:rsid w:val="00CE7CB2"/>
    <w:rPr>
      <w:rFonts w:ascii="Calibri" w:eastAsia="Calibri" w:hAnsi="Calibri" w:cs="Times New Roman"/>
    </w:rPr>
  </w:style>
  <w:style w:type="paragraph" w:customStyle="1" w:styleId="l3">
    <w:name w:val="l3"/>
    <w:basedOn w:val="Normln"/>
    <w:rsid w:val="00312DBE"/>
    <w:pPr>
      <w:spacing w:before="100" w:beforeAutospacing="1" w:after="100" w:afterAutospacing="1"/>
      <w:jc w:val="left"/>
    </w:pPr>
    <w:rPr>
      <w:rFonts w:ascii="Times New Roman" w:eastAsia="Times New Roman" w:hAnsi="Times New Roman" w:cs="Times New Roman"/>
      <w:szCs w:val="24"/>
      <w:lang w:eastAsia="cs-CZ"/>
    </w:rPr>
  </w:style>
  <w:style w:type="character" w:styleId="PromnnHTML">
    <w:name w:val="HTML Variable"/>
    <w:basedOn w:val="Standardnpsmoodstavce"/>
    <w:uiPriority w:val="99"/>
    <w:semiHidden/>
    <w:unhideWhenUsed/>
    <w:rsid w:val="00312DBE"/>
    <w:rPr>
      <w:i/>
      <w:iCs/>
    </w:rPr>
  </w:style>
  <w:style w:type="paragraph" w:customStyle="1" w:styleId="l4">
    <w:name w:val="l4"/>
    <w:basedOn w:val="Normln"/>
    <w:rsid w:val="00312DBE"/>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wm-m-207536399911588732msolistparagraph">
    <w:name w:val="-wm-m_-207536399911588732msolistparagraph"/>
    <w:basedOn w:val="Normln"/>
    <w:rsid w:val="002E4B20"/>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wm-msonormal">
    <w:name w:val="-wm-msonormal"/>
    <w:basedOn w:val="Normln"/>
    <w:rsid w:val="002E4B20"/>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Default">
    <w:name w:val="Default"/>
    <w:rsid w:val="00162277"/>
    <w:pPr>
      <w:autoSpaceDE w:val="0"/>
      <w:autoSpaceDN w:val="0"/>
      <w:adjustRightInd w:val="0"/>
      <w:spacing w:after="0" w:line="240" w:lineRule="auto"/>
    </w:pPr>
    <w:rPr>
      <w:rFonts w:ascii="Times New Roman" w:eastAsia="Calibri" w:hAnsi="Times New Roman" w:cs="Times New Roman"/>
      <w:color w:val="000000"/>
      <w:sz w:val="24"/>
      <w:szCs w:val="24"/>
      <w:lang w:eastAsia="cs-CZ"/>
    </w:rPr>
  </w:style>
  <w:style w:type="character" w:customStyle="1" w:styleId="hgkelc">
    <w:name w:val="hgkelc"/>
    <w:basedOn w:val="Standardnpsmoodstavce"/>
    <w:rsid w:val="00B27F6C"/>
  </w:style>
  <w:style w:type="paragraph" w:styleId="Normlnweb">
    <w:name w:val="Normal (Web)"/>
    <w:basedOn w:val="Normln"/>
    <w:uiPriority w:val="99"/>
    <w:semiHidden/>
    <w:unhideWhenUsed/>
    <w:rsid w:val="00AD5EAF"/>
    <w:pPr>
      <w:spacing w:before="100" w:beforeAutospacing="1" w:after="100" w:afterAutospacing="1"/>
      <w:jc w:val="left"/>
    </w:pPr>
    <w:rPr>
      <w:rFonts w:ascii="Times New Roman" w:eastAsia="Times New Roman" w:hAnsi="Times New Roman" w:cs="Times New Roman"/>
      <w:szCs w:val="24"/>
      <w:lang w:eastAsia="cs-CZ"/>
    </w:rPr>
  </w:style>
  <w:style w:type="paragraph" w:customStyle="1" w:styleId="m309879155825721888msolistparagraph">
    <w:name w:val="m_309879155825721888msolistparagraph"/>
    <w:basedOn w:val="Normln"/>
    <w:rsid w:val="00AB7864"/>
    <w:pPr>
      <w:spacing w:before="100" w:beforeAutospacing="1" w:after="100" w:afterAutospacing="1"/>
      <w:jc w:val="left"/>
    </w:pPr>
    <w:rPr>
      <w:rFonts w:ascii="Times New Roman" w:eastAsia="Times New Roman" w:hAnsi="Times New Roman" w:cs="Times New Roman"/>
      <w:szCs w:val="24"/>
      <w:lang w:eastAsia="cs-CZ"/>
    </w:rPr>
  </w:style>
  <w:style w:type="paragraph" w:styleId="Zhlav">
    <w:name w:val="header"/>
    <w:basedOn w:val="Normln"/>
    <w:link w:val="ZhlavChar"/>
    <w:uiPriority w:val="99"/>
    <w:unhideWhenUsed/>
    <w:rsid w:val="00896A05"/>
    <w:pPr>
      <w:tabs>
        <w:tab w:val="center" w:pos="4536"/>
        <w:tab w:val="right" w:pos="9072"/>
      </w:tabs>
      <w:spacing w:after="0"/>
    </w:pPr>
  </w:style>
  <w:style w:type="character" w:customStyle="1" w:styleId="ZhlavChar">
    <w:name w:val="Záhlaví Char"/>
    <w:basedOn w:val="Standardnpsmoodstavce"/>
    <w:link w:val="Zhlav"/>
    <w:uiPriority w:val="99"/>
    <w:rsid w:val="00896A05"/>
    <w:rPr>
      <w:rFonts w:ascii="Arial" w:hAnsi="Arial"/>
      <w:sz w:val="24"/>
    </w:rPr>
  </w:style>
  <w:style w:type="paragraph" w:styleId="Revize">
    <w:name w:val="Revision"/>
    <w:hidden/>
    <w:uiPriority w:val="99"/>
    <w:semiHidden/>
    <w:rsid w:val="00D122D4"/>
    <w:pPr>
      <w:spacing w:after="0" w:line="240" w:lineRule="auto"/>
    </w:pPr>
    <w:rPr>
      <w:rFonts w:ascii="Arial" w:hAnsi="Arial"/>
      <w:sz w:val="24"/>
    </w:rPr>
  </w:style>
  <w:style w:type="paragraph" w:styleId="Bezmezer">
    <w:name w:val="No Spacing"/>
    <w:uiPriority w:val="1"/>
    <w:qFormat/>
    <w:rsid w:val="00B14235"/>
    <w:pPr>
      <w:spacing w:after="0" w:line="240" w:lineRule="auto"/>
      <w:jc w:val="both"/>
    </w:pPr>
    <w:rPr>
      <w:rFonts w:ascii="Arial" w:hAnsi="Arial"/>
      <w:sz w:val="24"/>
    </w:rPr>
  </w:style>
  <w:style w:type="paragraph" w:styleId="Seznamobrzk">
    <w:name w:val="table of figures"/>
    <w:basedOn w:val="Normln"/>
    <w:next w:val="Normln"/>
    <w:uiPriority w:val="99"/>
    <w:unhideWhenUsed/>
    <w:rsid w:val="0046620B"/>
    <w:pPr>
      <w:spacing w:after="0"/>
    </w:pPr>
  </w:style>
  <w:style w:type="paragraph" w:styleId="Obsah2">
    <w:name w:val="toc 2"/>
    <w:basedOn w:val="Normln"/>
    <w:next w:val="Normln"/>
    <w:autoRedefine/>
    <w:uiPriority w:val="39"/>
    <w:unhideWhenUsed/>
    <w:rsid w:val="00D54659"/>
    <w:pPr>
      <w:spacing w:after="100"/>
      <w:ind w:left="240"/>
    </w:pPr>
  </w:style>
  <w:style w:type="paragraph" w:styleId="Obsah3">
    <w:name w:val="toc 3"/>
    <w:basedOn w:val="Normln"/>
    <w:next w:val="Normln"/>
    <w:autoRedefine/>
    <w:uiPriority w:val="39"/>
    <w:unhideWhenUsed/>
    <w:rsid w:val="00D54659"/>
    <w:pPr>
      <w:spacing w:after="100"/>
      <w:ind w:left="480"/>
    </w:pPr>
  </w:style>
  <w:style w:type="paragraph" w:styleId="Obsah5">
    <w:name w:val="toc 5"/>
    <w:basedOn w:val="Normln"/>
    <w:next w:val="Normln"/>
    <w:autoRedefine/>
    <w:uiPriority w:val="39"/>
    <w:unhideWhenUsed/>
    <w:rsid w:val="00D54659"/>
    <w:pPr>
      <w:spacing w:after="100"/>
      <w:ind w:left="960"/>
    </w:pPr>
  </w:style>
  <w:style w:type="paragraph" w:styleId="Obsah6">
    <w:name w:val="toc 6"/>
    <w:basedOn w:val="Normln"/>
    <w:next w:val="Normln"/>
    <w:autoRedefine/>
    <w:uiPriority w:val="39"/>
    <w:unhideWhenUsed/>
    <w:rsid w:val="00D54659"/>
    <w:pPr>
      <w:spacing w:after="100"/>
      <w:ind w:left="1200"/>
    </w:pPr>
  </w:style>
  <w:style w:type="paragraph" w:styleId="Obsah1">
    <w:name w:val="toc 1"/>
    <w:basedOn w:val="Normln"/>
    <w:next w:val="Normln"/>
    <w:autoRedefine/>
    <w:uiPriority w:val="39"/>
    <w:unhideWhenUsed/>
    <w:rsid w:val="00D54659"/>
    <w:pPr>
      <w:spacing w:after="100" w:line="259" w:lineRule="auto"/>
      <w:jc w:val="left"/>
    </w:pPr>
    <w:rPr>
      <w:rFonts w:asciiTheme="minorHAnsi" w:eastAsiaTheme="minorEastAsia" w:hAnsiTheme="minorHAnsi"/>
      <w:sz w:val="22"/>
      <w:lang w:eastAsia="cs-CZ"/>
    </w:rPr>
  </w:style>
  <w:style w:type="paragraph" w:styleId="Obsah4">
    <w:name w:val="toc 4"/>
    <w:basedOn w:val="Normln"/>
    <w:next w:val="Normln"/>
    <w:autoRedefine/>
    <w:uiPriority w:val="39"/>
    <w:unhideWhenUsed/>
    <w:rsid w:val="00D54659"/>
    <w:pPr>
      <w:spacing w:after="100" w:line="259" w:lineRule="auto"/>
      <w:ind w:left="660"/>
      <w:jc w:val="left"/>
    </w:pPr>
    <w:rPr>
      <w:rFonts w:asciiTheme="minorHAnsi" w:eastAsiaTheme="minorEastAsia" w:hAnsiTheme="minorHAnsi"/>
      <w:sz w:val="22"/>
      <w:lang w:eastAsia="cs-CZ"/>
    </w:rPr>
  </w:style>
  <w:style w:type="paragraph" w:styleId="Obsah7">
    <w:name w:val="toc 7"/>
    <w:basedOn w:val="Normln"/>
    <w:next w:val="Normln"/>
    <w:autoRedefine/>
    <w:uiPriority w:val="39"/>
    <w:unhideWhenUsed/>
    <w:rsid w:val="00D54659"/>
    <w:pPr>
      <w:spacing w:after="100" w:line="259" w:lineRule="auto"/>
      <w:ind w:left="1320"/>
      <w:jc w:val="left"/>
    </w:pPr>
    <w:rPr>
      <w:rFonts w:asciiTheme="minorHAnsi" w:eastAsiaTheme="minorEastAsia" w:hAnsiTheme="minorHAnsi"/>
      <w:sz w:val="22"/>
      <w:lang w:eastAsia="cs-CZ"/>
    </w:rPr>
  </w:style>
  <w:style w:type="paragraph" w:styleId="Obsah8">
    <w:name w:val="toc 8"/>
    <w:basedOn w:val="Normln"/>
    <w:next w:val="Normln"/>
    <w:autoRedefine/>
    <w:uiPriority w:val="39"/>
    <w:unhideWhenUsed/>
    <w:rsid w:val="00D54659"/>
    <w:pPr>
      <w:spacing w:after="100" w:line="259" w:lineRule="auto"/>
      <w:ind w:left="1540"/>
      <w:jc w:val="left"/>
    </w:pPr>
    <w:rPr>
      <w:rFonts w:asciiTheme="minorHAnsi" w:eastAsiaTheme="minorEastAsia" w:hAnsiTheme="minorHAnsi"/>
      <w:sz w:val="22"/>
      <w:lang w:eastAsia="cs-CZ"/>
    </w:rPr>
  </w:style>
  <w:style w:type="paragraph" w:styleId="Obsah9">
    <w:name w:val="toc 9"/>
    <w:basedOn w:val="Normln"/>
    <w:next w:val="Normln"/>
    <w:autoRedefine/>
    <w:uiPriority w:val="39"/>
    <w:unhideWhenUsed/>
    <w:rsid w:val="00D54659"/>
    <w:pPr>
      <w:spacing w:after="100" w:line="259" w:lineRule="auto"/>
      <w:ind w:left="1760"/>
      <w:jc w:val="left"/>
    </w:pPr>
    <w:rPr>
      <w:rFonts w:asciiTheme="minorHAnsi" w:eastAsiaTheme="minorEastAsia" w:hAnsiTheme="minorHAnsi"/>
      <w:sz w:val="22"/>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59239">
      <w:bodyDiv w:val="1"/>
      <w:marLeft w:val="0"/>
      <w:marRight w:val="0"/>
      <w:marTop w:val="0"/>
      <w:marBottom w:val="0"/>
      <w:divBdr>
        <w:top w:val="none" w:sz="0" w:space="0" w:color="auto"/>
        <w:left w:val="none" w:sz="0" w:space="0" w:color="auto"/>
        <w:bottom w:val="none" w:sz="0" w:space="0" w:color="auto"/>
        <w:right w:val="none" w:sz="0" w:space="0" w:color="auto"/>
      </w:divBdr>
    </w:div>
    <w:div w:id="332495089">
      <w:bodyDiv w:val="1"/>
      <w:marLeft w:val="0"/>
      <w:marRight w:val="0"/>
      <w:marTop w:val="0"/>
      <w:marBottom w:val="0"/>
      <w:divBdr>
        <w:top w:val="none" w:sz="0" w:space="0" w:color="auto"/>
        <w:left w:val="none" w:sz="0" w:space="0" w:color="auto"/>
        <w:bottom w:val="none" w:sz="0" w:space="0" w:color="auto"/>
        <w:right w:val="none" w:sz="0" w:space="0" w:color="auto"/>
      </w:divBdr>
    </w:div>
    <w:div w:id="794953133">
      <w:bodyDiv w:val="1"/>
      <w:marLeft w:val="0"/>
      <w:marRight w:val="0"/>
      <w:marTop w:val="0"/>
      <w:marBottom w:val="0"/>
      <w:divBdr>
        <w:top w:val="none" w:sz="0" w:space="0" w:color="auto"/>
        <w:left w:val="none" w:sz="0" w:space="0" w:color="auto"/>
        <w:bottom w:val="none" w:sz="0" w:space="0" w:color="auto"/>
        <w:right w:val="none" w:sz="0" w:space="0" w:color="auto"/>
      </w:divBdr>
    </w:div>
    <w:div w:id="810249160">
      <w:bodyDiv w:val="1"/>
      <w:marLeft w:val="0"/>
      <w:marRight w:val="0"/>
      <w:marTop w:val="0"/>
      <w:marBottom w:val="0"/>
      <w:divBdr>
        <w:top w:val="none" w:sz="0" w:space="0" w:color="auto"/>
        <w:left w:val="none" w:sz="0" w:space="0" w:color="auto"/>
        <w:bottom w:val="none" w:sz="0" w:space="0" w:color="auto"/>
        <w:right w:val="none" w:sz="0" w:space="0" w:color="auto"/>
      </w:divBdr>
    </w:div>
    <w:div w:id="893157174">
      <w:bodyDiv w:val="1"/>
      <w:marLeft w:val="0"/>
      <w:marRight w:val="0"/>
      <w:marTop w:val="0"/>
      <w:marBottom w:val="0"/>
      <w:divBdr>
        <w:top w:val="none" w:sz="0" w:space="0" w:color="auto"/>
        <w:left w:val="none" w:sz="0" w:space="0" w:color="auto"/>
        <w:bottom w:val="none" w:sz="0" w:space="0" w:color="auto"/>
        <w:right w:val="none" w:sz="0" w:space="0" w:color="auto"/>
      </w:divBdr>
    </w:div>
    <w:div w:id="1031687394">
      <w:bodyDiv w:val="1"/>
      <w:marLeft w:val="0"/>
      <w:marRight w:val="0"/>
      <w:marTop w:val="0"/>
      <w:marBottom w:val="0"/>
      <w:divBdr>
        <w:top w:val="none" w:sz="0" w:space="0" w:color="auto"/>
        <w:left w:val="none" w:sz="0" w:space="0" w:color="auto"/>
        <w:bottom w:val="none" w:sz="0" w:space="0" w:color="auto"/>
        <w:right w:val="none" w:sz="0" w:space="0" w:color="auto"/>
      </w:divBdr>
    </w:div>
    <w:div w:id="1310137525">
      <w:bodyDiv w:val="1"/>
      <w:marLeft w:val="0"/>
      <w:marRight w:val="0"/>
      <w:marTop w:val="0"/>
      <w:marBottom w:val="0"/>
      <w:divBdr>
        <w:top w:val="none" w:sz="0" w:space="0" w:color="auto"/>
        <w:left w:val="none" w:sz="0" w:space="0" w:color="auto"/>
        <w:bottom w:val="none" w:sz="0" w:space="0" w:color="auto"/>
        <w:right w:val="none" w:sz="0" w:space="0" w:color="auto"/>
      </w:divBdr>
    </w:div>
    <w:div w:id="1395739332">
      <w:bodyDiv w:val="1"/>
      <w:marLeft w:val="0"/>
      <w:marRight w:val="0"/>
      <w:marTop w:val="0"/>
      <w:marBottom w:val="0"/>
      <w:divBdr>
        <w:top w:val="none" w:sz="0" w:space="0" w:color="auto"/>
        <w:left w:val="none" w:sz="0" w:space="0" w:color="auto"/>
        <w:bottom w:val="none" w:sz="0" w:space="0" w:color="auto"/>
        <w:right w:val="none" w:sz="0" w:space="0" w:color="auto"/>
      </w:divBdr>
    </w:div>
    <w:div w:id="1453554434">
      <w:bodyDiv w:val="1"/>
      <w:marLeft w:val="0"/>
      <w:marRight w:val="0"/>
      <w:marTop w:val="0"/>
      <w:marBottom w:val="0"/>
      <w:divBdr>
        <w:top w:val="none" w:sz="0" w:space="0" w:color="auto"/>
        <w:left w:val="none" w:sz="0" w:space="0" w:color="auto"/>
        <w:bottom w:val="none" w:sz="0" w:space="0" w:color="auto"/>
        <w:right w:val="none" w:sz="0" w:space="0" w:color="auto"/>
      </w:divBdr>
    </w:div>
    <w:div w:id="1644460814">
      <w:bodyDiv w:val="1"/>
      <w:marLeft w:val="0"/>
      <w:marRight w:val="0"/>
      <w:marTop w:val="0"/>
      <w:marBottom w:val="0"/>
      <w:divBdr>
        <w:top w:val="none" w:sz="0" w:space="0" w:color="auto"/>
        <w:left w:val="none" w:sz="0" w:space="0" w:color="auto"/>
        <w:bottom w:val="none" w:sz="0" w:space="0" w:color="auto"/>
        <w:right w:val="none" w:sz="0" w:space="0" w:color="auto"/>
      </w:divBdr>
    </w:div>
    <w:div w:id="189558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image" Target="media/image4.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cs.wikipedia.org/wiki/Internet" TargetMode="Externa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image" Target="media/image3.jpeg"/><Relationship Id="rId25" Type="http://schemas.openxmlformats.org/officeDocument/2006/relationships/hyperlink" Target="https://gamdom.com/" TargetMode="External"/><Relationship Id="rId2" Type="http://schemas.openxmlformats.org/officeDocument/2006/relationships/numbering" Target="numbering.xml"/><Relationship Id="rId16" Type="http://schemas.openxmlformats.org/officeDocument/2006/relationships/hyperlink" Target="http://www.bet365.com" TargetMode="External"/><Relationship Id="rId20" Type="http://schemas.openxmlformats.org/officeDocument/2006/relationships/hyperlink" Target="https://cs.wikipedia.org/wiki/Finan%C4%8Dn%C3%AD_transakc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24" Type="http://schemas.openxmlformats.org/officeDocument/2006/relationships/hyperlink" Target="https://cs.wikipedia.org/wiki/Visa" TargetMode="Externa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yperlink" Target="https://cs.wikipedia.org/wiki/Americk%C3%BD_dolar" TargetMode="External"/><Relationship Id="rId28" Type="http://schemas.openxmlformats.org/officeDocument/2006/relationships/fontTable" Target="fontTable.xml"/><Relationship Id="rId10" Type="http://schemas.openxmlformats.org/officeDocument/2006/relationships/chart" Target="charts/chart3.xml"/><Relationship Id="rId19"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image" Target="media/image1.jpeg"/><Relationship Id="rId22" Type="http://schemas.openxmlformats.org/officeDocument/2006/relationships/hyperlink" Target="https://cs.wikipedia.org/wiki/PayPal" TargetMode="External"/><Relationship Id="rId27"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idnes.cz/hry/novinky/lootboxy-zakaz-hry.A180425_171215_bw-novinky_srp" TargetMode="External"/><Relationship Id="rId1" Type="http://schemas.openxmlformats.org/officeDocument/2006/relationships/hyperlink" Target="https://www.telegraph.co.uk/betting/sports-guides/betting-exchanges/"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Pr&#225;ce\RIA\Technick&#225;%20hra_Kuba_F1\flash\FINAL\Nejvy&#353;&#353;&#237;%20s&#225;zka\aktualizovan&#225;%20tabulka%20s&#225;zek%20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Pr&#225;ce\RIA\Technick&#225;%20hra_Kuba_F1\flash\FINAL\Nejvy&#353;&#353;&#237;%20s&#225;zka\aktualizovan&#225;%20tabulka%20s&#225;zek%20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Pr&#225;ce\RIA\Technick&#225;%20hra_Kuba_F1\flash\FINAL\Nejvy&#353;&#353;&#237;%20s&#225;zka\aktualizovan&#225;%20tabulka%20s&#225;zek%20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Pr&#225;ce\RIA\Technick&#225;%20hra_Kuba_F1\flash\statistika%20NHP\&#345;&#237;jen\Tabulka%20NHP.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Pr&#225;ce\RIA\Technick&#225;%20hra_Kuba_F1\flash\statistika%20NHP\&#345;&#237;jen\Tabulka%20NHP.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Pr&#225;ce\RIA\Technick&#225;%20hra_Kuba_F1\flash\statistika%20NHP\&#345;&#237;jen\Tabulka%20NHP.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200" b="1"/>
              <a:t>Sázky</a:t>
            </a:r>
            <a:r>
              <a:rPr lang="cs-CZ" sz="1200" b="1" baseline="0"/>
              <a:t> uzavřené v hernách 1.10.-31.10.2019</a:t>
            </a:r>
          </a:p>
        </c:rich>
      </c:tx>
      <c:layout>
        <c:manualLayout>
          <c:xMode val="edge"/>
          <c:yMode val="edge"/>
          <c:x val="0.2396742385916778"/>
          <c:y val="3.7313356723237601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w="25400">
          <a:noFill/>
        </a:ln>
        <a:effectLst/>
        <a:sp3d/>
      </c:spPr>
    </c:backWall>
    <c:plotArea>
      <c:layout/>
      <c:bar3DChart>
        <c:barDir val="col"/>
        <c:grouping val="clustered"/>
        <c:varyColors val="0"/>
        <c:ser>
          <c:idx val="0"/>
          <c:order val="0"/>
          <c:spPr>
            <a:solidFill>
              <a:schemeClr val="accent1"/>
            </a:solidFill>
            <a:ln>
              <a:noFill/>
            </a:ln>
            <a:effectLst/>
            <a:sp3d/>
          </c:spPr>
          <c:invertIfNegative val="0"/>
          <c:cat>
            <c:numRef>
              <c:f>Herna!$B$3:$B$25</c:f>
              <c:numCache>
                <c:formatCode>General</c:formatCode>
                <c:ptCount val="23"/>
                <c:pt idx="0">
                  <c:v>0.1</c:v>
                </c:pt>
                <c:pt idx="1">
                  <c:v>0.3</c:v>
                </c:pt>
                <c:pt idx="2">
                  <c:v>0.5</c:v>
                </c:pt>
                <c:pt idx="3">
                  <c:v>0.8</c:v>
                </c:pt>
                <c:pt idx="4">
                  <c:v>1</c:v>
                </c:pt>
                <c:pt idx="5">
                  <c:v>2</c:v>
                </c:pt>
                <c:pt idx="6">
                  <c:v>3</c:v>
                </c:pt>
                <c:pt idx="7">
                  <c:v>4</c:v>
                </c:pt>
                <c:pt idx="8">
                  <c:v>5</c:v>
                </c:pt>
                <c:pt idx="9">
                  <c:v>6</c:v>
                </c:pt>
                <c:pt idx="10">
                  <c:v>7</c:v>
                </c:pt>
                <c:pt idx="11">
                  <c:v>8</c:v>
                </c:pt>
                <c:pt idx="12">
                  <c:v>9</c:v>
                </c:pt>
                <c:pt idx="13">
                  <c:v>10</c:v>
                </c:pt>
                <c:pt idx="14">
                  <c:v>20</c:v>
                </c:pt>
                <c:pt idx="15">
                  <c:v>30</c:v>
                </c:pt>
                <c:pt idx="16">
                  <c:v>40</c:v>
                </c:pt>
                <c:pt idx="17">
                  <c:v>50</c:v>
                </c:pt>
                <c:pt idx="18">
                  <c:v>60</c:v>
                </c:pt>
                <c:pt idx="19">
                  <c:v>70</c:v>
                </c:pt>
                <c:pt idx="20">
                  <c:v>80</c:v>
                </c:pt>
                <c:pt idx="21">
                  <c:v>90</c:v>
                </c:pt>
                <c:pt idx="22">
                  <c:v>100</c:v>
                </c:pt>
              </c:numCache>
            </c:numRef>
          </c:cat>
          <c:val>
            <c:numRef>
              <c:f>Herna!$D$3:$D$25</c:f>
              <c:numCache>
                <c:formatCode>_-* #\ ##0_-;\-* #\ ##0_-;_-* "-"??_-;_-@_-</c:formatCode>
                <c:ptCount val="23"/>
                <c:pt idx="0">
                  <c:v>2.9870000000000001E-3</c:v>
                </c:pt>
                <c:pt idx="1">
                  <c:v>8.92E-4</c:v>
                </c:pt>
                <c:pt idx="2">
                  <c:v>2.075E-3</c:v>
                </c:pt>
                <c:pt idx="3">
                  <c:v>2.4000000000000001E-5</c:v>
                </c:pt>
                <c:pt idx="4">
                  <c:v>1.8901019999999999</c:v>
                </c:pt>
                <c:pt idx="5">
                  <c:v>12.484633000000001</c:v>
                </c:pt>
                <c:pt idx="6">
                  <c:v>0.49387500000000001</c:v>
                </c:pt>
                <c:pt idx="7">
                  <c:v>1.2228619999999999</c:v>
                </c:pt>
                <c:pt idx="8">
                  <c:v>33.756943999999997</c:v>
                </c:pt>
                <c:pt idx="9">
                  <c:v>8.1035999999999997E-2</c:v>
                </c:pt>
                <c:pt idx="10">
                  <c:v>8.3742999999999998E-2</c:v>
                </c:pt>
                <c:pt idx="11">
                  <c:v>0.99279399999999995</c:v>
                </c:pt>
                <c:pt idx="12">
                  <c:v>0.12711700000000001</c:v>
                </c:pt>
                <c:pt idx="13">
                  <c:v>30.632016</c:v>
                </c:pt>
                <c:pt idx="14">
                  <c:v>19.201698</c:v>
                </c:pt>
                <c:pt idx="15">
                  <c:v>9.223096</c:v>
                </c:pt>
                <c:pt idx="16">
                  <c:v>5.6228899999999999</c:v>
                </c:pt>
                <c:pt idx="17">
                  <c:v>7.1134529999999998</c:v>
                </c:pt>
                <c:pt idx="18">
                  <c:v>1.4163410000000001</c:v>
                </c:pt>
                <c:pt idx="19">
                  <c:v>0.92768499999999998</c:v>
                </c:pt>
                <c:pt idx="20">
                  <c:v>1.8137490000000001</c:v>
                </c:pt>
                <c:pt idx="21">
                  <c:v>0.70166200000000001</c:v>
                </c:pt>
                <c:pt idx="22">
                  <c:v>8.623678</c:v>
                </c:pt>
              </c:numCache>
            </c:numRef>
          </c:val>
          <c:extLst>
            <c:ext xmlns:c16="http://schemas.microsoft.com/office/drawing/2014/chart" uri="{C3380CC4-5D6E-409C-BE32-E72D297353CC}">
              <c16:uniqueId val="{00000000-A357-43FE-B9E8-F61C8947E0A5}"/>
            </c:ext>
          </c:extLst>
        </c:ser>
        <c:dLbls>
          <c:showLegendKey val="0"/>
          <c:showVal val="0"/>
          <c:showCatName val="0"/>
          <c:showSerName val="0"/>
          <c:showPercent val="0"/>
          <c:showBubbleSize val="0"/>
        </c:dLbls>
        <c:gapWidth val="150"/>
        <c:shape val="box"/>
        <c:axId val="39530880"/>
        <c:axId val="39532800"/>
        <c:axId val="0"/>
      </c:bar3DChart>
      <c:catAx>
        <c:axId val="3953088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b="1"/>
                  <a:t>Hodnota</a:t>
                </a:r>
                <a:r>
                  <a:rPr lang="cs-CZ" b="1" baseline="0"/>
                  <a:t> sázky (Kč)</a:t>
                </a:r>
                <a:endParaRPr lang="cs-CZ" b="1"/>
              </a:p>
            </c:rich>
          </c:tx>
          <c:layout>
            <c:manualLayout>
              <c:xMode val="edge"/>
              <c:yMode val="edge"/>
              <c:x val="0.39424434381650258"/>
              <c:y val="0.89315150487516315"/>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9532800"/>
        <c:crossesAt val="0"/>
        <c:auto val="1"/>
        <c:lblAlgn val="ctr"/>
        <c:lblOffset val="100"/>
        <c:noMultiLvlLbl val="0"/>
      </c:catAx>
      <c:valAx>
        <c:axId val="39532800"/>
        <c:scaling>
          <c:orientation val="minMax"/>
          <c:min val="0.1"/>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b="1"/>
                  <a:t>Počet</a:t>
                </a:r>
                <a:br>
                  <a:rPr lang="cs-CZ" b="1"/>
                </a:br>
                <a:r>
                  <a:rPr lang="cs-CZ" b="1"/>
                  <a:t>uzavřených </a:t>
                </a:r>
                <a:br>
                  <a:rPr lang="cs-CZ" b="1"/>
                </a:br>
                <a:r>
                  <a:rPr lang="cs-CZ" b="1"/>
                  <a:t>sázek</a:t>
                </a:r>
                <a:br>
                  <a:rPr lang="cs-CZ" b="1"/>
                </a:br>
                <a:r>
                  <a:rPr lang="cs-CZ" b="1"/>
                  <a:t>(v mil.)</a:t>
                </a:r>
              </a:p>
              <a:p>
                <a:pPr>
                  <a:defRPr sz="1000" b="0" i="0" u="none" strike="noStrike" kern="1200" baseline="0">
                    <a:solidFill>
                      <a:schemeClr val="tx1">
                        <a:lumMod val="65000"/>
                        <a:lumOff val="35000"/>
                      </a:schemeClr>
                    </a:solidFill>
                    <a:latin typeface="+mn-lt"/>
                    <a:ea typeface="+mn-ea"/>
                    <a:cs typeface="+mn-cs"/>
                  </a:defRPr>
                </a:pPr>
                <a:endParaRPr lang="cs-CZ"/>
              </a:p>
            </c:rich>
          </c:tx>
          <c:layout/>
          <c:overlay val="0"/>
          <c:spPr>
            <a:noFill/>
            <a:ln>
              <a:noFill/>
            </a:ln>
            <a:effectLst/>
          </c:sp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9530880"/>
        <c:crosses val="autoZero"/>
        <c:crossBetween val="between"/>
      </c:valAx>
      <c:spPr>
        <a:noFill/>
        <a:ln w="25400">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cs-CZ"/>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cs-CZ" sz="1200" b="1"/>
              <a:t>Sázky uzavřené v kasinech </a:t>
            </a:r>
            <a:r>
              <a:rPr lang="cs-CZ" sz="1200" b="1" i="0" baseline="0">
                <a:effectLst/>
              </a:rPr>
              <a:t>1.10.-31.10.2019</a:t>
            </a:r>
            <a:endParaRPr lang="cs-CZ" sz="1200">
              <a:effectLst/>
            </a:endParaRPr>
          </a:p>
        </c:rich>
      </c:tx>
      <c:layout>
        <c:manualLayout>
          <c:xMode val="edge"/>
          <c:yMode val="edge"/>
          <c:x val="0.26261021937165135"/>
          <c:y val="4.0271237281780448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numRef>
              <c:f>Kasino!$B$3:$B$39</c:f>
              <c:numCache>
                <c:formatCode>General</c:formatCode>
                <c:ptCount val="37"/>
                <c:pt idx="0">
                  <c:v>0.1</c:v>
                </c:pt>
                <c:pt idx="1">
                  <c:v>0.2</c:v>
                </c:pt>
                <c:pt idx="2">
                  <c:v>0.3</c:v>
                </c:pt>
                <c:pt idx="3">
                  <c:v>0.4</c:v>
                </c:pt>
                <c:pt idx="4">
                  <c:v>0.5</c:v>
                </c:pt>
                <c:pt idx="5">
                  <c:v>0.6</c:v>
                </c:pt>
                <c:pt idx="6">
                  <c:v>0.7</c:v>
                </c:pt>
                <c:pt idx="7">
                  <c:v>0.8</c:v>
                </c:pt>
                <c:pt idx="8">
                  <c:v>0.9</c:v>
                </c:pt>
                <c:pt idx="9">
                  <c:v>1</c:v>
                </c:pt>
                <c:pt idx="10">
                  <c:v>2</c:v>
                </c:pt>
                <c:pt idx="11">
                  <c:v>3</c:v>
                </c:pt>
                <c:pt idx="12">
                  <c:v>4</c:v>
                </c:pt>
                <c:pt idx="13">
                  <c:v>5</c:v>
                </c:pt>
                <c:pt idx="14">
                  <c:v>6</c:v>
                </c:pt>
                <c:pt idx="15">
                  <c:v>7</c:v>
                </c:pt>
                <c:pt idx="16">
                  <c:v>8</c:v>
                </c:pt>
                <c:pt idx="17">
                  <c:v>9</c:v>
                </c:pt>
                <c:pt idx="18">
                  <c:v>10</c:v>
                </c:pt>
                <c:pt idx="19">
                  <c:v>20</c:v>
                </c:pt>
                <c:pt idx="20">
                  <c:v>30</c:v>
                </c:pt>
                <c:pt idx="21">
                  <c:v>40</c:v>
                </c:pt>
                <c:pt idx="22">
                  <c:v>50</c:v>
                </c:pt>
                <c:pt idx="23">
                  <c:v>60</c:v>
                </c:pt>
                <c:pt idx="24">
                  <c:v>70</c:v>
                </c:pt>
                <c:pt idx="25">
                  <c:v>80</c:v>
                </c:pt>
                <c:pt idx="26">
                  <c:v>90</c:v>
                </c:pt>
                <c:pt idx="27">
                  <c:v>100</c:v>
                </c:pt>
                <c:pt idx="28">
                  <c:v>200</c:v>
                </c:pt>
                <c:pt idx="29">
                  <c:v>300</c:v>
                </c:pt>
                <c:pt idx="30">
                  <c:v>400</c:v>
                </c:pt>
                <c:pt idx="31">
                  <c:v>500</c:v>
                </c:pt>
                <c:pt idx="32">
                  <c:v>600</c:v>
                </c:pt>
                <c:pt idx="33">
                  <c:v>700</c:v>
                </c:pt>
                <c:pt idx="34">
                  <c:v>800</c:v>
                </c:pt>
                <c:pt idx="35">
                  <c:v>900</c:v>
                </c:pt>
                <c:pt idx="36">
                  <c:v>1000</c:v>
                </c:pt>
              </c:numCache>
            </c:numRef>
          </c:cat>
          <c:val>
            <c:numRef>
              <c:f>Kasino!$D$3:$D$39</c:f>
              <c:numCache>
                <c:formatCode>_-* #\ ##0_-;\-* #\ ##0_-;_-* "-"??_-;_-@_-</c:formatCode>
                <c:ptCount val="37"/>
                <c:pt idx="0">
                  <c:v>5.9845000000000002E-2</c:v>
                </c:pt>
                <c:pt idx="1">
                  <c:v>6.084E-3</c:v>
                </c:pt>
                <c:pt idx="2">
                  <c:v>1.88853</c:v>
                </c:pt>
                <c:pt idx="3">
                  <c:v>2.2800000000000001E-4</c:v>
                </c:pt>
                <c:pt idx="4">
                  <c:v>0.24105699999999999</c:v>
                </c:pt>
                <c:pt idx="5">
                  <c:v>1.4E-5</c:v>
                </c:pt>
                <c:pt idx="6">
                  <c:v>1.7E-5</c:v>
                </c:pt>
                <c:pt idx="7">
                  <c:v>6.2095999999999998E-2</c:v>
                </c:pt>
                <c:pt idx="8">
                  <c:v>1.92E-4</c:v>
                </c:pt>
                <c:pt idx="9">
                  <c:v>9.3004499999999997</c:v>
                </c:pt>
                <c:pt idx="10">
                  <c:v>32.693665000000003</c:v>
                </c:pt>
                <c:pt idx="11">
                  <c:v>18.290818999999999</c:v>
                </c:pt>
                <c:pt idx="12">
                  <c:v>3.997153</c:v>
                </c:pt>
                <c:pt idx="13">
                  <c:v>126.383816</c:v>
                </c:pt>
                <c:pt idx="14">
                  <c:v>0.64884699999999995</c:v>
                </c:pt>
                <c:pt idx="15">
                  <c:v>2.6130119999999999</c:v>
                </c:pt>
                <c:pt idx="16">
                  <c:v>14.493364</c:v>
                </c:pt>
                <c:pt idx="17">
                  <c:v>1.424736</c:v>
                </c:pt>
                <c:pt idx="18">
                  <c:v>153.867512</c:v>
                </c:pt>
                <c:pt idx="19">
                  <c:v>80.311622</c:v>
                </c:pt>
                <c:pt idx="20">
                  <c:v>68.108244999999997</c:v>
                </c:pt>
                <c:pt idx="21">
                  <c:v>26.377006000000002</c:v>
                </c:pt>
                <c:pt idx="22">
                  <c:v>43.998038999999999</c:v>
                </c:pt>
                <c:pt idx="23">
                  <c:v>6.118125</c:v>
                </c:pt>
                <c:pt idx="24">
                  <c:v>6.5326370000000002</c:v>
                </c:pt>
                <c:pt idx="25">
                  <c:v>9.5449009999999994</c:v>
                </c:pt>
                <c:pt idx="26">
                  <c:v>2.5689289999999998</c:v>
                </c:pt>
                <c:pt idx="27">
                  <c:v>25.675485999999999</c:v>
                </c:pt>
                <c:pt idx="28">
                  <c:v>9.8556729999999995</c:v>
                </c:pt>
                <c:pt idx="29">
                  <c:v>4.3757010000000003</c:v>
                </c:pt>
                <c:pt idx="30">
                  <c:v>1.6447909999999999</c:v>
                </c:pt>
                <c:pt idx="31">
                  <c:v>2.1487340000000001</c:v>
                </c:pt>
                <c:pt idx="32">
                  <c:v>0.108555</c:v>
                </c:pt>
                <c:pt idx="33">
                  <c:v>0.18953400000000001</c:v>
                </c:pt>
                <c:pt idx="34">
                  <c:v>0.54125699999999999</c:v>
                </c:pt>
                <c:pt idx="35">
                  <c:v>7.0761000000000004E-2</c:v>
                </c:pt>
                <c:pt idx="36">
                  <c:v>1.3561589999999999</c:v>
                </c:pt>
              </c:numCache>
            </c:numRef>
          </c:val>
          <c:extLst>
            <c:ext xmlns:c16="http://schemas.microsoft.com/office/drawing/2014/chart" uri="{C3380CC4-5D6E-409C-BE32-E72D297353CC}">
              <c16:uniqueId val="{00000000-C9B3-4043-BE66-89ECE050FC81}"/>
            </c:ext>
          </c:extLst>
        </c:ser>
        <c:dLbls>
          <c:showLegendKey val="0"/>
          <c:showVal val="0"/>
          <c:showCatName val="0"/>
          <c:showSerName val="0"/>
          <c:showPercent val="0"/>
          <c:showBubbleSize val="0"/>
        </c:dLbls>
        <c:gapWidth val="150"/>
        <c:shape val="box"/>
        <c:axId val="39570048"/>
        <c:axId val="39580416"/>
        <c:axId val="0"/>
      </c:bar3DChart>
      <c:catAx>
        <c:axId val="3957004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b="1"/>
                  <a:t>Hodnota</a:t>
                </a:r>
                <a:r>
                  <a:rPr lang="cs-CZ" b="1" baseline="0"/>
                  <a:t> sázky (Kč)</a:t>
                </a:r>
              </a:p>
            </c:rich>
          </c:tx>
          <c:layout>
            <c:manualLayout>
              <c:xMode val="edge"/>
              <c:yMode val="edge"/>
              <c:x val="0.41157503507937798"/>
              <c:y val="0.88815109120534241"/>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9580416"/>
        <c:crosses val="autoZero"/>
        <c:auto val="1"/>
        <c:lblAlgn val="ctr"/>
        <c:lblOffset val="100"/>
        <c:noMultiLvlLbl val="0"/>
      </c:catAx>
      <c:valAx>
        <c:axId val="395804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1" i="0" u="none" strike="noStrike" kern="1200" baseline="0">
                    <a:solidFill>
                      <a:schemeClr val="tx1">
                        <a:lumMod val="65000"/>
                        <a:lumOff val="35000"/>
                      </a:schemeClr>
                    </a:solidFill>
                    <a:latin typeface="+mn-lt"/>
                    <a:ea typeface="+mn-ea"/>
                    <a:cs typeface="+mn-cs"/>
                  </a:defRPr>
                </a:pPr>
                <a:r>
                  <a:rPr lang="cs-CZ" b="1"/>
                  <a:t>Počet</a:t>
                </a:r>
                <a:r>
                  <a:rPr lang="cs-CZ" b="1" baseline="0"/>
                  <a:t> </a:t>
                </a:r>
                <a:br>
                  <a:rPr lang="cs-CZ" b="1" baseline="0"/>
                </a:br>
                <a:r>
                  <a:rPr lang="cs-CZ" b="1" baseline="0"/>
                  <a:t>uzavřených </a:t>
                </a:r>
                <a:br>
                  <a:rPr lang="cs-CZ" b="1" baseline="0"/>
                </a:br>
                <a:r>
                  <a:rPr lang="cs-CZ" b="1" baseline="0"/>
                  <a:t>sázek </a:t>
                </a:r>
                <a:br>
                  <a:rPr lang="cs-CZ" b="1" baseline="0"/>
                </a:br>
                <a:r>
                  <a:rPr lang="cs-CZ" b="1" baseline="0"/>
                  <a:t>(v mil.)</a:t>
                </a:r>
              </a:p>
            </c:rich>
          </c:tx>
          <c:layout/>
          <c:overlay val="0"/>
          <c:spPr>
            <a:noFill/>
            <a:ln>
              <a:noFill/>
            </a:ln>
            <a:effectLst/>
          </c:sp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39570048"/>
        <c:crosses val="autoZero"/>
        <c:crossBetween val="between"/>
      </c:valAx>
      <c:spPr>
        <a:noFill/>
        <a:ln>
          <a:solidFill>
            <a:schemeClr val="tx1"/>
          </a:solidFill>
        </a:ln>
        <a:effectLst/>
      </c:spPr>
    </c:plotArea>
    <c:plotVisOnly val="1"/>
    <c:dispBlanksAs val="gap"/>
    <c:showDLblsOverMax val="0"/>
  </c:chart>
  <c:spPr>
    <a:solidFill>
      <a:schemeClr val="bg1"/>
    </a:solidFill>
    <a:ln w="9525" cap="flat" cmpd="sng" algn="ctr">
      <a:solidFill>
        <a:schemeClr val="tx1">
          <a:lumMod val="95000"/>
          <a:lumOff val="5000"/>
        </a:schemeClr>
      </a:solidFill>
      <a:round/>
    </a:ln>
    <a:effectLst/>
  </c:spPr>
  <c:txPr>
    <a:bodyPr/>
    <a:lstStyle/>
    <a:p>
      <a:pPr>
        <a:defRPr/>
      </a:pPr>
      <a:endParaRPr lang="cs-CZ"/>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200" b="1"/>
              <a:t>Sázky uzavřené na internetu 1.10.-31.10.2019</a:t>
            </a:r>
          </a:p>
        </c:rich>
      </c:tx>
      <c:layout>
        <c:manualLayout>
          <c:xMode val="edge"/>
          <c:yMode val="edge"/>
          <c:x val="0.2041281432562865"/>
          <c:y val="4.6296412948381452E-2"/>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spPr>
            <a:solidFill>
              <a:schemeClr val="accent1"/>
            </a:solidFill>
            <a:ln>
              <a:noFill/>
            </a:ln>
            <a:effectLst/>
            <a:sp3d/>
          </c:spPr>
          <c:invertIfNegative val="0"/>
          <c:cat>
            <c:numRef>
              <c:f>Internet!$B$3:$B$40</c:f>
              <c:numCache>
                <c:formatCode>General</c:formatCode>
                <c:ptCount val="38"/>
                <c:pt idx="0">
                  <c:v>0</c:v>
                </c:pt>
                <c:pt idx="1">
                  <c:v>0.1</c:v>
                </c:pt>
                <c:pt idx="2">
                  <c:v>0.2</c:v>
                </c:pt>
                <c:pt idx="3">
                  <c:v>0.3</c:v>
                </c:pt>
                <c:pt idx="4">
                  <c:v>0.4</c:v>
                </c:pt>
                <c:pt idx="5">
                  <c:v>0.5</c:v>
                </c:pt>
                <c:pt idx="6">
                  <c:v>0.6</c:v>
                </c:pt>
                <c:pt idx="7">
                  <c:v>0.7</c:v>
                </c:pt>
                <c:pt idx="8">
                  <c:v>0.8</c:v>
                </c:pt>
                <c:pt idx="9">
                  <c:v>0.9</c:v>
                </c:pt>
                <c:pt idx="10">
                  <c:v>1</c:v>
                </c:pt>
                <c:pt idx="11">
                  <c:v>2</c:v>
                </c:pt>
                <c:pt idx="12">
                  <c:v>3</c:v>
                </c:pt>
                <c:pt idx="13">
                  <c:v>4</c:v>
                </c:pt>
                <c:pt idx="14">
                  <c:v>5</c:v>
                </c:pt>
                <c:pt idx="15">
                  <c:v>6</c:v>
                </c:pt>
                <c:pt idx="16">
                  <c:v>7</c:v>
                </c:pt>
                <c:pt idx="17">
                  <c:v>8</c:v>
                </c:pt>
                <c:pt idx="18">
                  <c:v>9</c:v>
                </c:pt>
                <c:pt idx="19">
                  <c:v>10</c:v>
                </c:pt>
                <c:pt idx="20">
                  <c:v>20</c:v>
                </c:pt>
                <c:pt idx="21">
                  <c:v>30</c:v>
                </c:pt>
                <c:pt idx="22">
                  <c:v>40</c:v>
                </c:pt>
                <c:pt idx="23">
                  <c:v>50</c:v>
                </c:pt>
                <c:pt idx="24">
                  <c:v>60</c:v>
                </c:pt>
                <c:pt idx="25">
                  <c:v>70</c:v>
                </c:pt>
                <c:pt idx="26">
                  <c:v>80</c:v>
                </c:pt>
                <c:pt idx="27">
                  <c:v>90</c:v>
                </c:pt>
                <c:pt idx="28">
                  <c:v>100</c:v>
                </c:pt>
                <c:pt idx="29">
                  <c:v>200</c:v>
                </c:pt>
                <c:pt idx="30">
                  <c:v>300</c:v>
                </c:pt>
                <c:pt idx="31">
                  <c:v>400</c:v>
                </c:pt>
                <c:pt idx="32">
                  <c:v>500</c:v>
                </c:pt>
                <c:pt idx="33">
                  <c:v>600</c:v>
                </c:pt>
                <c:pt idx="34">
                  <c:v>700</c:v>
                </c:pt>
                <c:pt idx="35">
                  <c:v>800</c:v>
                </c:pt>
                <c:pt idx="36">
                  <c:v>900</c:v>
                </c:pt>
                <c:pt idx="37">
                  <c:v>1000</c:v>
                </c:pt>
              </c:numCache>
            </c:numRef>
          </c:cat>
          <c:val>
            <c:numRef>
              <c:f>Internet!$D$3:$D$40</c:f>
              <c:numCache>
                <c:formatCode>_-* #\ ##0_-;\-* #\ ##0_-;_-* "-"??_-;_-@_-</c:formatCode>
                <c:ptCount val="38"/>
                <c:pt idx="0">
                  <c:v>2.3419999999999999E-3</c:v>
                </c:pt>
                <c:pt idx="1">
                  <c:v>1.8330360000000001</c:v>
                </c:pt>
                <c:pt idx="2">
                  <c:v>0.89616600000000002</c:v>
                </c:pt>
                <c:pt idx="3">
                  <c:v>1.8161609999999999</c:v>
                </c:pt>
                <c:pt idx="4">
                  <c:v>0.474192</c:v>
                </c:pt>
                <c:pt idx="5">
                  <c:v>5.0476049999999999</c:v>
                </c:pt>
                <c:pt idx="6">
                  <c:v>0.45135199999999998</c:v>
                </c:pt>
                <c:pt idx="7">
                  <c:v>0.23142099999999999</c:v>
                </c:pt>
                <c:pt idx="8">
                  <c:v>0.392289</c:v>
                </c:pt>
                <c:pt idx="9">
                  <c:v>0.33551799999999998</c:v>
                </c:pt>
                <c:pt idx="10">
                  <c:v>20.782397</c:v>
                </c:pt>
                <c:pt idx="11">
                  <c:v>18.961694000000001</c:v>
                </c:pt>
                <c:pt idx="12">
                  <c:v>9.511552</c:v>
                </c:pt>
                <c:pt idx="13">
                  <c:v>15.837064</c:v>
                </c:pt>
                <c:pt idx="14">
                  <c:v>31.086319</c:v>
                </c:pt>
                <c:pt idx="15">
                  <c:v>4.5026010000000003</c:v>
                </c:pt>
                <c:pt idx="16">
                  <c:v>0.53808900000000004</c:v>
                </c:pt>
                <c:pt idx="17">
                  <c:v>5.9501689999999998</c:v>
                </c:pt>
                <c:pt idx="18">
                  <c:v>1.4769220000000001</c:v>
                </c:pt>
                <c:pt idx="19">
                  <c:v>36.630057000000001</c:v>
                </c:pt>
                <c:pt idx="20">
                  <c:v>30.109688999999999</c:v>
                </c:pt>
                <c:pt idx="21">
                  <c:v>10.878125000000001</c:v>
                </c:pt>
                <c:pt idx="22">
                  <c:v>8.8829659999999997</c:v>
                </c:pt>
                <c:pt idx="23">
                  <c:v>9.0271720000000002</c:v>
                </c:pt>
                <c:pt idx="24">
                  <c:v>1.7626280000000001</c:v>
                </c:pt>
                <c:pt idx="25">
                  <c:v>0.38789899999999999</c:v>
                </c:pt>
                <c:pt idx="26">
                  <c:v>4.2137690000000001</c:v>
                </c:pt>
                <c:pt idx="27">
                  <c:v>0.44679600000000003</c:v>
                </c:pt>
                <c:pt idx="28">
                  <c:v>5.8076509999999999</c:v>
                </c:pt>
                <c:pt idx="29">
                  <c:v>2.4183140000000001</c:v>
                </c:pt>
                <c:pt idx="30">
                  <c:v>0.84447799999999995</c:v>
                </c:pt>
                <c:pt idx="31">
                  <c:v>0.40676800000000002</c:v>
                </c:pt>
                <c:pt idx="32">
                  <c:v>0.55338200000000004</c:v>
                </c:pt>
                <c:pt idx="33">
                  <c:v>7.8504000000000004E-2</c:v>
                </c:pt>
                <c:pt idx="34">
                  <c:v>3.7006999999999998E-2</c:v>
                </c:pt>
                <c:pt idx="35">
                  <c:v>7.6858999999999997E-2</c:v>
                </c:pt>
                <c:pt idx="36">
                  <c:v>3.9196000000000002E-2</c:v>
                </c:pt>
                <c:pt idx="37">
                  <c:v>0.51191299999999995</c:v>
                </c:pt>
              </c:numCache>
            </c:numRef>
          </c:val>
          <c:extLst>
            <c:ext xmlns:c16="http://schemas.microsoft.com/office/drawing/2014/chart" uri="{C3380CC4-5D6E-409C-BE32-E72D297353CC}">
              <c16:uniqueId val="{00000000-49FD-4B71-A5BB-3D40414E62EE}"/>
            </c:ext>
          </c:extLst>
        </c:ser>
        <c:dLbls>
          <c:showLegendKey val="0"/>
          <c:showVal val="0"/>
          <c:showCatName val="0"/>
          <c:showSerName val="0"/>
          <c:showPercent val="0"/>
          <c:showBubbleSize val="0"/>
        </c:dLbls>
        <c:gapWidth val="150"/>
        <c:shape val="box"/>
        <c:axId val="99051008"/>
        <c:axId val="99052928"/>
        <c:axId val="0"/>
      </c:bar3DChart>
      <c:catAx>
        <c:axId val="990510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b="1"/>
                  <a:t>Hodnota sázky (Kč)</a:t>
                </a:r>
              </a:p>
            </c:rich>
          </c:tx>
          <c:layout>
            <c:manualLayout>
              <c:xMode val="edge"/>
              <c:yMode val="edge"/>
              <c:x val="0.39204046369203849"/>
              <c:y val="0.88112131816856232"/>
            </c:manualLayout>
          </c:layout>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9052928"/>
        <c:crosses val="autoZero"/>
        <c:auto val="1"/>
        <c:lblAlgn val="ctr"/>
        <c:lblOffset val="100"/>
        <c:noMultiLvlLbl val="0"/>
      </c:catAx>
      <c:valAx>
        <c:axId val="990529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cs-CZ" b="1"/>
                  <a:t>Počet</a:t>
                </a:r>
                <a:r>
                  <a:rPr lang="cs-CZ" b="1" baseline="0"/>
                  <a:t/>
                </a:r>
                <a:br>
                  <a:rPr lang="cs-CZ" b="1" baseline="0"/>
                </a:br>
                <a:r>
                  <a:rPr lang="cs-CZ" b="1" baseline="0"/>
                  <a:t>uzavřených</a:t>
                </a:r>
                <a:br>
                  <a:rPr lang="cs-CZ" b="1" baseline="0"/>
                </a:br>
                <a:r>
                  <a:rPr lang="cs-CZ" b="1" baseline="0"/>
                  <a:t>sázek</a:t>
                </a:r>
                <a:br>
                  <a:rPr lang="cs-CZ" b="1" baseline="0"/>
                </a:br>
                <a:r>
                  <a:rPr lang="cs-CZ" b="1" baseline="0"/>
                  <a:t>(v mil.)</a:t>
                </a:r>
              </a:p>
            </c:rich>
          </c:tx>
          <c:layout/>
          <c:overlay val="0"/>
          <c:spPr>
            <a:noFill/>
            <a:ln>
              <a:noFill/>
            </a:ln>
            <a:effectLst/>
          </c:spPr>
        </c:title>
        <c:numFmt formatCode="_-* #\ ##0_-;\-* #\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9051008"/>
        <c:crosses val="autoZero"/>
        <c:crossBetween val="between"/>
      </c:valAx>
      <c:spPr>
        <a:noFill/>
        <a:ln>
          <a:noFill/>
        </a:ln>
        <a:effectLst/>
      </c:spPr>
    </c:plotArea>
    <c:plotVisOnly val="1"/>
    <c:dispBlanksAs val="gap"/>
    <c:showDLblsOverMax val="0"/>
  </c:chart>
  <c:spPr>
    <a:solidFill>
      <a:schemeClr val="bg1"/>
    </a:solidFill>
    <a:ln w="9525" cap="flat" cmpd="sng" algn="ctr">
      <a:solidFill>
        <a:sysClr val="windowText" lastClr="000000"/>
      </a:solidFill>
      <a:round/>
    </a:ln>
    <a:effectLst/>
  </c:spPr>
  <c:txPr>
    <a:bodyPr/>
    <a:lstStyle/>
    <a:p>
      <a:pPr>
        <a:defRPr/>
      </a:pPr>
      <a:endParaRPr lang="cs-CZ"/>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200" b="1"/>
              <a:t>Nejvyšší</a:t>
            </a:r>
            <a:r>
              <a:rPr lang="cs-CZ" sz="1200" b="1" baseline="0"/>
              <a:t> hodinová prohra - Herny </a:t>
            </a:r>
            <a:endParaRPr lang="cs-CZ" sz="1200" b="1"/>
          </a:p>
        </c:rich>
      </c:tx>
      <c:layout>
        <c:manualLayout>
          <c:xMode val="edge"/>
          <c:yMode val="edge"/>
          <c:x val="0.28619444444444442"/>
          <c:y val="4.6296296296296294E-2"/>
        </c:manualLayout>
      </c:layout>
      <c:overlay val="0"/>
      <c:spPr>
        <a:noFill/>
        <a:ln>
          <a:noFill/>
        </a:ln>
        <a:effectLst/>
      </c:spPr>
    </c:title>
    <c:autoTitleDeleted val="0"/>
    <c:plotArea>
      <c:layout/>
      <c:barChart>
        <c:barDir val="col"/>
        <c:grouping val="clustered"/>
        <c:varyColors val="0"/>
        <c:ser>
          <c:idx val="0"/>
          <c:order val="0"/>
          <c:tx>
            <c:strRef>
              <c:f>List1!$B$3</c:f>
              <c:strCache>
                <c:ptCount val="1"/>
                <c:pt idx="0">
                  <c:v>Počet účastí</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List1!$C$2:$E$2</c:f>
              <c:strCache>
                <c:ptCount val="3"/>
                <c:pt idx="0">
                  <c:v>30 - 40 tis. Kč</c:v>
                </c:pt>
                <c:pt idx="1">
                  <c:v>40 - 45 tis. Kč</c:v>
                </c:pt>
                <c:pt idx="2">
                  <c:v>nad 45 tis. Kč</c:v>
                </c:pt>
              </c:strCache>
            </c:strRef>
          </c:cat>
          <c:val>
            <c:numRef>
              <c:f>List1!$C$3:$E$3</c:f>
              <c:numCache>
                <c:formatCode>General</c:formatCode>
                <c:ptCount val="3"/>
                <c:pt idx="0">
                  <c:v>3035</c:v>
                </c:pt>
                <c:pt idx="1">
                  <c:v>286</c:v>
                </c:pt>
                <c:pt idx="2">
                  <c:v>117</c:v>
                </c:pt>
              </c:numCache>
            </c:numRef>
          </c:val>
          <c:extLst>
            <c:ext xmlns:c16="http://schemas.microsoft.com/office/drawing/2014/chart" uri="{C3380CC4-5D6E-409C-BE32-E72D297353CC}">
              <c16:uniqueId val="{00000000-EA94-48F1-A861-0C8B6E89FCDB}"/>
            </c:ext>
          </c:extLst>
        </c:ser>
        <c:ser>
          <c:idx val="1"/>
          <c:order val="1"/>
          <c:tx>
            <c:strRef>
              <c:f>List1!$B$4</c:f>
              <c:strCache>
                <c:ptCount val="1"/>
                <c:pt idx="0">
                  <c:v>Počet účastníků hazardní hry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List1!$C$2:$E$2</c:f>
              <c:strCache>
                <c:ptCount val="3"/>
                <c:pt idx="0">
                  <c:v>30 - 40 tis. Kč</c:v>
                </c:pt>
                <c:pt idx="1">
                  <c:v>40 - 45 tis. Kč</c:v>
                </c:pt>
                <c:pt idx="2">
                  <c:v>nad 45 tis. Kč</c:v>
                </c:pt>
              </c:strCache>
            </c:strRef>
          </c:cat>
          <c:val>
            <c:numRef>
              <c:f>List1!$C$4:$E$4</c:f>
              <c:numCache>
                <c:formatCode>General</c:formatCode>
                <c:ptCount val="3"/>
                <c:pt idx="0">
                  <c:v>231</c:v>
                </c:pt>
                <c:pt idx="1">
                  <c:v>46</c:v>
                </c:pt>
                <c:pt idx="2">
                  <c:v>22</c:v>
                </c:pt>
              </c:numCache>
            </c:numRef>
          </c:val>
          <c:extLst>
            <c:ext xmlns:c16="http://schemas.microsoft.com/office/drawing/2014/chart" uri="{C3380CC4-5D6E-409C-BE32-E72D297353CC}">
              <c16:uniqueId val="{00000001-EA94-48F1-A861-0C8B6E89FCDB}"/>
            </c:ext>
          </c:extLst>
        </c:ser>
        <c:dLbls>
          <c:showLegendKey val="0"/>
          <c:showVal val="0"/>
          <c:showCatName val="0"/>
          <c:showSerName val="0"/>
          <c:showPercent val="0"/>
          <c:showBubbleSize val="0"/>
        </c:dLbls>
        <c:gapWidth val="219"/>
        <c:overlap val="-27"/>
        <c:axId val="99112448"/>
        <c:axId val="99113984"/>
      </c:barChart>
      <c:catAx>
        <c:axId val="9911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9113984"/>
        <c:crosses val="autoZero"/>
        <c:auto val="1"/>
        <c:lblAlgn val="ctr"/>
        <c:lblOffset val="100"/>
        <c:noMultiLvlLbl val="0"/>
      </c:catAx>
      <c:valAx>
        <c:axId val="991139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91124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cs-CZ"/>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200" b="1" i="0" baseline="0">
                <a:effectLst/>
              </a:rPr>
              <a:t>Hodinové prohry v kasinech </a:t>
            </a:r>
            <a:endParaRPr lang="cs-CZ" sz="1200">
              <a:effectLst/>
            </a:endParaRPr>
          </a:p>
        </c:rich>
      </c:tx>
      <c:layout/>
      <c:overlay val="0"/>
      <c:spPr>
        <a:noFill/>
        <a:ln>
          <a:noFill/>
        </a:ln>
        <a:effectLst/>
      </c:spPr>
    </c:title>
    <c:autoTitleDeleted val="0"/>
    <c:plotArea>
      <c:layout/>
      <c:barChart>
        <c:barDir val="col"/>
        <c:grouping val="clustered"/>
        <c:varyColors val="0"/>
        <c:ser>
          <c:idx val="0"/>
          <c:order val="0"/>
          <c:tx>
            <c:strRef>
              <c:f>List1!$H$3</c:f>
              <c:strCache>
                <c:ptCount val="1"/>
                <c:pt idx="0">
                  <c:v>Počet účastí</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List1!$I$2:$L$2</c:f>
              <c:strCache>
                <c:ptCount val="4"/>
                <c:pt idx="0">
                  <c:v>200 - 300 tis. Kč</c:v>
                </c:pt>
                <c:pt idx="1">
                  <c:v>300 - 400 tis. Kč</c:v>
                </c:pt>
                <c:pt idx="2">
                  <c:v>400 - 450 tis. Kč</c:v>
                </c:pt>
                <c:pt idx="3">
                  <c:v>nad 450 tis. Kč</c:v>
                </c:pt>
              </c:strCache>
            </c:strRef>
          </c:cat>
          <c:val>
            <c:numRef>
              <c:f>List1!$I$3:$L$3</c:f>
              <c:numCache>
                <c:formatCode>General</c:formatCode>
                <c:ptCount val="4"/>
                <c:pt idx="0">
                  <c:v>3859</c:v>
                </c:pt>
                <c:pt idx="1">
                  <c:v>531</c:v>
                </c:pt>
                <c:pt idx="2">
                  <c:v>148</c:v>
                </c:pt>
                <c:pt idx="3">
                  <c:v>73</c:v>
                </c:pt>
              </c:numCache>
            </c:numRef>
          </c:val>
          <c:extLst>
            <c:ext xmlns:c16="http://schemas.microsoft.com/office/drawing/2014/chart" uri="{C3380CC4-5D6E-409C-BE32-E72D297353CC}">
              <c16:uniqueId val="{00000000-9E2A-4AE8-BB07-B95EACC5A799}"/>
            </c:ext>
          </c:extLst>
        </c:ser>
        <c:ser>
          <c:idx val="1"/>
          <c:order val="1"/>
          <c:tx>
            <c:strRef>
              <c:f>List1!$H$4</c:f>
              <c:strCache>
                <c:ptCount val="1"/>
                <c:pt idx="0">
                  <c:v>Počet účastníků hazardní hry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List1!$I$2:$L$2</c:f>
              <c:strCache>
                <c:ptCount val="4"/>
                <c:pt idx="0">
                  <c:v>200 - 300 tis. Kč</c:v>
                </c:pt>
                <c:pt idx="1">
                  <c:v>300 - 400 tis. Kč</c:v>
                </c:pt>
                <c:pt idx="2">
                  <c:v>400 - 450 tis. Kč</c:v>
                </c:pt>
                <c:pt idx="3">
                  <c:v>nad 450 tis. Kč</c:v>
                </c:pt>
              </c:strCache>
            </c:strRef>
          </c:cat>
          <c:val>
            <c:numRef>
              <c:f>List1!$I$4:$L$4</c:f>
              <c:numCache>
                <c:formatCode>General</c:formatCode>
                <c:ptCount val="4"/>
                <c:pt idx="0">
                  <c:v>165</c:v>
                </c:pt>
                <c:pt idx="1">
                  <c:v>37</c:v>
                </c:pt>
                <c:pt idx="2">
                  <c:v>14</c:v>
                </c:pt>
                <c:pt idx="3">
                  <c:v>10</c:v>
                </c:pt>
              </c:numCache>
            </c:numRef>
          </c:val>
          <c:extLst>
            <c:ext xmlns:c16="http://schemas.microsoft.com/office/drawing/2014/chart" uri="{C3380CC4-5D6E-409C-BE32-E72D297353CC}">
              <c16:uniqueId val="{00000001-9E2A-4AE8-BB07-B95EACC5A799}"/>
            </c:ext>
          </c:extLst>
        </c:ser>
        <c:dLbls>
          <c:showLegendKey val="0"/>
          <c:showVal val="0"/>
          <c:showCatName val="0"/>
          <c:showSerName val="0"/>
          <c:showPercent val="0"/>
          <c:showBubbleSize val="0"/>
        </c:dLbls>
        <c:gapWidth val="219"/>
        <c:overlap val="-27"/>
        <c:axId val="99145600"/>
        <c:axId val="99147136"/>
      </c:barChart>
      <c:catAx>
        <c:axId val="99145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9147136"/>
        <c:crosses val="autoZero"/>
        <c:auto val="1"/>
        <c:lblAlgn val="ctr"/>
        <c:lblOffset val="100"/>
        <c:noMultiLvlLbl val="0"/>
      </c:catAx>
      <c:valAx>
        <c:axId val="9914713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9145600"/>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cs-CZ"/>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200" b="1" i="0" baseline="0">
                <a:effectLst/>
              </a:rPr>
              <a:t>Hodinové prohry na internetu</a:t>
            </a:r>
            <a:endParaRPr lang="cs-CZ" sz="1200">
              <a:effectLst/>
            </a:endParaRPr>
          </a:p>
        </c:rich>
      </c:tx>
      <c:layout>
        <c:manualLayout>
          <c:xMode val="edge"/>
          <c:yMode val="edge"/>
          <c:x val="0.29888188976377955"/>
          <c:y val="4.6296296296296294E-2"/>
        </c:manualLayout>
      </c:layout>
      <c:overlay val="0"/>
      <c:spPr>
        <a:noFill/>
        <a:ln>
          <a:noFill/>
        </a:ln>
        <a:effectLst/>
      </c:spPr>
    </c:title>
    <c:autoTitleDeleted val="0"/>
    <c:plotArea>
      <c:layout/>
      <c:barChart>
        <c:barDir val="col"/>
        <c:grouping val="clustered"/>
        <c:varyColors val="0"/>
        <c:ser>
          <c:idx val="0"/>
          <c:order val="0"/>
          <c:tx>
            <c:strRef>
              <c:f>List1!$O$3</c:f>
              <c:strCache>
                <c:ptCount val="1"/>
                <c:pt idx="0">
                  <c:v>Počet účastí</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List1!$P$2:$R$2</c:f>
              <c:strCache>
                <c:ptCount val="3"/>
                <c:pt idx="0">
                  <c:v>150 - 200 tis. Kč</c:v>
                </c:pt>
                <c:pt idx="1">
                  <c:v>200 - 300 tis. Kč</c:v>
                </c:pt>
                <c:pt idx="2">
                  <c:v>nad 300 tis. Kč</c:v>
                </c:pt>
              </c:strCache>
            </c:strRef>
          </c:cat>
          <c:val>
            <c:numRef>
              <c:f>List1!$P$3:$R$3</c:f>
              <c:numCache>
                <c:formatCode>General</c:formatCode>
                <c:ptCount val="3"/>
                <c:pt idx="0">
                  <c:v>1379</c:v>
                </c:pt>
                <c:pt idx="1">
                  <c:v>494</c:v>
                </c:pt>
                <c:pt idx="2">
                  <c:v>7</c:v>
                </c:pt>
              </c:numCache>
            </c:numRef>
          </c:val>
          <c:extLst>
            <c:ext xmlns:c16="http://schemas.microsoft.com/office/drawing/2014/chart" uri="{C3380CC4-5D6E-409C-BE32-E72D297353CC}">
              <c16:uniqueId val="{00000000-0944-4A3D-91B6-210C22F8D982}"/>
            </c:ext>
          </c:extLst>
        </c:ser>
        <c:ser>
          <c:idx val="1"/>
          <c:order val="1"/>
          <c:tx>
            <c:strRef>
              <c:f>List1!$O$4</c:f>
              <c:strCache>
                <c:ptCount val="1"/>
                <c:pt idx="0">
                  <c:v>Počet účastníků hazardní hry</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List1!$P$2:$R$2</c:f>
              <c:strCache>
                <c:ptCount val="3"/>
                <c:pt idx="0">
                  <c:v>150 - 200 tis. Kč</c:v>
                </c:pt>
                <c:pt idx="1">
                  <c:v>200 - 300 tis. Kč</c:v>
                </c:pt>
                <c:pt idx="2">
                  <c:v>nad 300 tis. Kč</c:v>
                </c:pt>
              </c:strCache>
            </c:strRef>
          </c:cat>
          <c:val>
            <c:numRef>
              <c:f>List1!$P$4:$R$4</c:f>
              <c:numCache>
                <c:formatCode>General</c:formatCode>
                <c:ptCount val="3"/>
                <c:pt idx="0">
                  <c:v>71</c:v>
                </c:pt>
                <c:pt idx="1">
                  <c:v>22</c:v>
                </c:pt>
                <c:pt idx="2">
                  <c:v>1</c:v>
                </c:pt>
              </c:numCache>
            </c:numRef>
          </c:val>
          <c:extLst>
            <c:ext xmlns:c16="http://schemas.microsoft.com/office/drawing/2014/chart" uri="{C3380CC4-5D6E-409C-BE32-E72D297353CC}">
              <c16:uniqueId val="{00000001-0944-4A3D-91B6-210C22F8D982}"/>
            </c:ext>
          </c:extLst>
        </c:ser>
        <c:dLbls>
          <c:showLegendKey val="0"/>
          <c:showVal val="0"/>
          <c:showCatName val="0"/>
          <c:showSerName val="0"/>
          <c:showPercent val="0"/>
          <c:showBubbleSize val="0"/>
        </c:dLbls>
        <c:gapWidth val="219"/>
        <c:overlap val="-27"/>
        <c:axId val="99465088"/>
        <c:axId val="99466624"/>
      </c:barChart>
      <c:catAx>
        <c:axId val="994650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9466624"/>
        <c:crosses val="autoZero"/>
        <c:auto val="1"/>
        <c:lblAlgn val="ctr"/>
        <c:lblOffset val="100"/>
        <c:noMultiLvlLbl val="0"/>
      </c:catAx>
      <c:valAx>
        <c:axId val="9946662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9946508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legend>
    <c:plotVisOnly val="1"/>
    <c:dispBlanksAs val="gap"/>
    <c:showDLblsOverMax val="0"/>
  </c:chart>
  <c:spPr>
    <a:solidFill>
      <a:schemeClr val="bg1"/>
    </a:solidFill>
    <a:ln w="9525" cap="flat" cmpd="sng" algn="ctr">
      <a:solidFill>
        <a:schemeClr val="tx1"/>
      </a:solidFill>
      <a:round/>
    </a:ln>
    <a:effectLst/>
  </c:spPr>
  <c:txPr>
    <a:bodyPr/>
    <a:lstStyle/>
    <a:p>
      <a:pPr>
        <a:defRPr/>
      </a:pPr>
      <a:endParaRPr lang="cs-CZ"/>
    </a:p>
  </c:txPr>
  <c:externalData r:id="rId1">
    <c:autoUpdate val="0"/>
  </c:externalData>
</c:chartSpace>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FE2103-4247-474E-A67A-4F35423671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68</Pages>
  <Words>23902</Words>
  <Characters>141024</Characters>
  <Application>Microsoft Office Word</Application>
  <DocSecurity>0</DocSecurity>
  <Lines>1175</Lines>
  <Paragraphs>329</Paragraphs>
  <ScaleCrop>false</ScaleCrop>
  <HeadingPairs>
    <vt:vector size="2" baseType="variant">
      <vt:variant>
        <vt:lpstr>Název</vt:lpstr>
      </vt:variant>
      <vt:variant>
        <vt:i4>1</vt:i4>
      </vt:variant>
    </vt:vector>
  </HeadingPairs>
  <TitlesOfParts>
    <vt:vector size="1" baseType="lpstr">
      <vt:lpstr/>
    </vt:vector>
  </TitlesOfParts>
  <Company>Ministerstvo financí</Company>
  <LinksUpToDate>false</LinksUpToDate>
  <CharactersWithSpaces>164597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Poláková Karolína</dc:creator>
  <cp:keywords/>
  <dc:description/>
  <cp:lastModifiedBy>Nespěšná Petra Mgr. Bc.</cp:lastModifiedBy>
  <cp:revision>2</cp:revision>
  <dcterms:created xsi:type="dcterms:W3CDTF">2021-06-03T09:48:00Z</dcterms:created>
  <dcterms:modified xsi:type="dcterms:W3CDTF">2021-06-03T09:48:00Z</dcterms:modified>
</cp:coreProperties>
</file>