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B04483" w14:textId="09598070" w:rsidR="006B3B31" w:rsidRDefault="006B3B31" w:rsidP="0045079E">
      <w:pPr>
        <w:pStyle w:val="Nadpis2"/>
        <w:numPr>
          <w:ilvl w:val="0"/>
          <w:numId w:val="0"/>
        </w:numPr>
        <w:ind w:left="578" w:hanging="578"/>
      </w:pPr>
      <w:bookmarkStart w:id="0" w:name="_Toc71631353"/>
      <w:bookmarkStart w:id="1" w:name="_Toc73529674"/>
      <w:bookmarkStart w:id="2" w:name="_Toc73608869"/>
      <w:bookmarkStart w:id="3" w:name="_Toc73608965"/>
      <w:r>
        <w:t>Povolovací řízení</w:t>
      </w:r>
      <w:bookmarkEnd w:id="0"/>
      <w:bookmarkEnd w:id="1"/>
      <w:bookmarkEnd w:id="2"/>
      <w:bookmarkEnd w:id="3"/>
    </w:p>
    <w:p w14:paraId="5F34BDA8" w14:textId="2C34C6C1" w:rsidR="006B3B31" w:rsidRDefault="006B3B31" w:rsidP="0009229E">
      <w:pPr>
        <w:pStyle w:val="Nadpis3"/>
      </w:pPr>
      <w:bookmarkStart w:id="4" w:name="_Toc73529675"/>
      <w:bookmarkStart w:id="5" w:name="_Toc73608966"/>
      <w:r w:rsidRPr="00675437">
        <w:t>Ko</w:t>
      </w:r>
      <w:r>
        <w:t>nkrétní popis regulace</w:t>
      </w:r>
      <w:r w:rsidRPr="00675437">
        <w:t xml:space="preserve"> obsažené v zákoně o</w:t>
      </w:r>
      <w:r>
        <w:t> </w:t>
      </w:r>
      <w:r w:rsidRPr="00675437">
        <w:t>loteriích</w:t>
      </w:r>
      <w:bookmarkEnd w:id="4"/>
      <w:bookmarkEnd w:id="5"/>
    </w:p>
    <w:p w14:paraId="055CB532" w14:textId="77777777" w:rsidR="006B3B31" w:rsidRDefault="006B3B31" w:rsidP="00AF112D">
      <w:pPr>
        <w:pStyle w:val="Nadpis5"/>
      </w:pPr>
      <w:bookmarkStart w:id="6" w:name="_Toc73529676"/>
      <w:bookmarkStart w:id="7" w:name="_Toc73608967"/>
      <w:r>
        <w:t>Povolení k provozování loterií a jiných podobných her</w:t>
      </w:r>
      <w:bookmarkEnd w:id="6"/>
      <w:bookmarkEnd w:id="7"/>
    </w:p>
    <w:p w14:paraId="509FE680" w14:textId="2BC1FB09" w:rsidR="006B3B31" w:rsidRDefault="006B3B31" w:rsidP="001770A0">
      <w:r w:rsidRPr="007C4565">
        <w:t>Zákon o loteriích upravoval oblast vydávání povolení k provozování loterií a jiných podobných her na území České republiky poměrně roztříštěně a nek</w:t>
      </w:r>
      <w:r>
        <w:t>oncepčně. Obecná ustanovení</w:t>
      </w:r>
      <w:r w:rsidRPr="007C4565">
        <w:t xml:space="preserve"> stanovila základní podmínky kladené na provozovatele, v dalších částech se pak zákon zabýval povolováním loterií a tombol, výherních hracích přístrojů, kursových sázek, sázkových her v kasinu a dostihových sázek, úprava však byla v zákoně poměrně roztříštěná. </w:t>
      </w:r>
      <w:bookmarkStart w:id="8" w:name="_GoBack"/>
      <w:bookmarkEnd w:id="8"/>
      <w:r w:rsidRPr="007C4565">
        <w:t xml:space="preserve">Správním orgánem pro vydání licence bylo </w:t>
      </w:r>
      <w:r w:rsidR="00A33C07">
        <w:t>zpravidla</w:t>
      </w:r>
      <w:r w:rsidRPr="007C4565">
        <w:t xml:space="preserve"> Ministerstvo financí, v některých případech</w:t>
      </w:r>
      <w:r w:rsidRPr="007C4565">
        <w:rPr>
          <w:vertAlign w:val="superscript"/>
        </w:rPr>
        <w:footnoteReference w:id="1"/>
      </w:r>
      <w:r w:rsidRPr="007C4565">
        <w:t xml:space="preserve"> také obecní úřad nebo krajský úřad. Ve většině případů však obecní úřad nebyl správním orgánem, který by vydával povolení k provozování</w:t>
      </w:r>
      <w:r>
        <w:t xml:space="preserve"> loterií a jiných podobných her</w:t>
      </w:r>
      <w:r w:rsidR="00A33C07">
        <w:t xml:space="preserve"> na </w:t>
      </w:r>
      <w:r w:rsidRPr="007C4565">
        <w:t xml:space="preserve">jeho území, což bylo považováno za významný nedostatek úpravy zejména z pohledu toho, že právě obec je nejvíce znalá </w:t>
      </w:r>
      <w:r w:rsidR="00A33C07">
        <w:t>místních poměrů, které jsou pro </w:t>
      </w:r>
      <w:r w:rsidRPr="007C4565">
        <w:t xml:space="preserve">vydávání povolení rozhodné. </w:t>
      </w:r>
      <w:r w:rsidR="00A33C07">
        <w:t>Dle</w:t>
      </w:r>
      <w:r w:rsidR="0009269F">
        <w:t xml:space="preserve"> </w:t>
      </w:r>
      <w:r w:rsidRPr="007C4565">
        <w:t>§ 50 odst. 3 zá</w:t>
      </w:r>
      <w:r>
        <w:t>kona o</w:t>
      </w:r>
      <w:r w:rsidR="0009269F">
        <w:t> </w:t>
      </w:r>
      <w:r>
        <w:t xml:space="preserve"> loteriích navíc svěřovalo</w:t>
      </w:r>
      <w:r w:rsidRPr="007C4565">
        <w:t xml:space="preserve"> Ministerstvu financí pravomoc povolovat i loterie a jiné podobné hry, které nebyly v</w:t>
      </w:r>
      <w:r>
        <w:t> </w:t>
      </w:r>
      <w:r w:rsidRPr="007C4565">
        <w:t xml:space="preserve">zákoně v části první až čtvrté </w:t>
      </w:r>
      <w:r>
        <w:t xml:space="preserve">výslovně </w:t>
      </w:r>
      <w:r w:rsidRPr="007C4565">
        <w:t>upraveny</w:t>
      </w:r>
      <w:r w:rsidRPr="007C4565">
        <w:rPr>
          <w:vertAlign w:val="superscript"/>
        </w:rPr>
        <w:footnoteReference w:id="2"/>
      </w:r>
      <w:r w:rsidRPr="007C4565">
        <w:t>.</w:t>
      </w:r>
    </w:p>
    <w:p w14:paraId="215AA434" w14:textId="5D9A0F42" w:rsidR="006B3B31" w:rsidRDefault="006B3B31" w:rsidP="001770A0">
      <w:pPr>
        <w:rPr>
          <w:i/>
        </w:rPr>
      </w:pPr>
      <w:r w:rsidRPr="00AD6FC5">
        <w:t xml:space="preserve">Často vytýkaným nedostatkem zákona o loteriích byla také nemožnost licencovat zahraniční provozovatele loterií a jiných podobných her. </w:t>
      </w:r>
      <w:r w:rsidR="003110CD">
        <w:t>V</w:t>
      </w:r>
      <w:r>
        <w:t xml:space="preserve"> </w:t>
      </w:r>
      <w:r w:rsidRPr="00AD6FC5">
        <w:t>§ 4 odst</w:t>
      </w:r>
      <w:r w:rsidR="003110CD">
        <w:t>. 4 zákona o </w:t>
      </w:r>
      <w:r>
        <w:t xml:space="preserve">loteriích </w:t>
      </w:r>
      <w:r w:rsidR="003110CD">
        <w:t>bylo stanoveno</w:t>
      </w:r>
      <w:r w:rsidRPr="00AD6FC5">
        <w:t>: „</w:t>
      </w:r>
      <w:r w:rsidRPr="00AD6FC5">
        <w:rPr>
          <w:i/>
        </w:rPr>
        <w:t>Povolení k provozování loterií a jiných podobných her může být vydáno pouze právnické osobě, která má sídlo na území České republiky. Povolení nelze vydat tuzemské právnické osobě se z</w:t>
      </w:r>
      <w:r w:rsidR="00FB2333">
        <w:rPr>
          <w:i/>
        </w:rPr>
        <w:t>ahraniční majetkovou účastí ani </w:t>
      </w:r>
      <w:r w:rsidRPr="00AD6FC5">
        <w:rPr>
          <w:i/>
        </w:rPr>
        <w:t>právnické osobě, ve které má tato společnost majetkovou účast. Ustanovení věty druhé se nevztahuje na sázkové hry podle § 2 písm. i).“</w:t>
      </w:r>
    </w:p>
    <w:p w14:paraId="2D5A215A" w14:textId="612F5844" w:rsidR="006B3B31" w:rsidRPr="007C4565" w:rsidRDefault="006B3B31" w:rsidP="001770A0">
      <w:r w:rsidRPr="00AD6FC5">
        <w:t xml:space="preserve">Za nedostatek předchozí úpravy byla rovněž považována nepřehlednost vydávaných licencí, zejména pro </w:t>
      </w:r>
      <w:r w:rsidR="0064721A">
        <w:t>dozorující</w:t>
      </w:r>
      <w:r w:rsidRPr="00AD6FC5">
        <w:t xml:space="preserve"> orgány. Licencovaný subjekt mohl být držitelem několika desítek či stovek vydaných rozhodnutí k provozování loterií a jiných podobných her na území České republiky, včetně velkého množství jejich doplňků, upravujících rozsah uděleného oprávnění. V praxi tak mohlo být velmi obtížné zajistit si znalost finální verze vydaného oprávnění, neboť bylo nezbytné si „poskládat“ všechna vydaná rozhodnutí o konkrétním oprávnění dohromady.</w:t>
      </w:r>
    </w:p>
    <w:p w14:paraId="224118D0" w14:textId="168E3FAC" w:rsidR="006B3B31" w:rsidRDefault="006B3B31" w:rsidP="00BC1E08">
      <w:r>
        <w:t>Zákon o loteriích pevně stanovoval základní kapitál, který musel být plně splacen pouze peněžitými vklady. Požadovaná výše základního kapitálu byla 100</w:t>
      </w:r>
      <w:r w:rsidR="005759AC">
        <w:t> </w:t>
      </w:r>
      <w:r>
        <w:t>mil.</w:t>
      </w:r>
      <w:r w:rsidR="005759AC">
        <w:t> </w:t>
      </w:r>
      <w:r>
        <w:t>Kč nebo 30</w:t>
      </w:r>
      <w:r w:rsidR="005759AC">
        <w:t> </w:t>
      </w:r>
      <w:r>
        <w:t>mil.</w:t>
      </w:r>
      <w:r w:rsidR="005759AC">
        <w:t> </w:t>
      </w:r>
      <w:r>
        <w:t>Kč, a to v závislosti na druhu hazardní hry.</w:t>
      </w:r>
    </w:p>
    <w:p w14:paraId="3661B011" w14:textId="77777777" w:rsidR="006B3B31" w:rsidRDefault="006B3B31" w:rsidP="00AF112D">
      <w:pPr>
        <w:pStyle w:val="Nadpis5"/>
      </w:pPr>
      <w:bookmarkStart w:id="9" w:name="_Toc73529677"/>
      <w:bookmarkStart w:id="10" w:name="_Toc73608968"/>
      <w:r w:rsidRPr="00FE15C2">
        <w:lastRenderedPageBreak/>
        <w:t>Ohlášení</w:t>
      </w:r>
      <w:r>
        <w:t xml:space="preserve"> hazardní hry, tombola a turnaj malého rozsahu</w:t>
      </w:r>
      <w:bookmarkEnd w:id="9"/>
      <w:bookmarkEnd w:id="10"/>
    </w:p>
    <w:p w14:paraId="5CAC411C" w14:textId="04D6E480" w:rsidR="006B3B31" w:rsidRPr="00D67216" w:rsidRDefault="006B3B31" w:rsidP="00BC1E08">
      <w:r>
        <w:t>Institut ohlášení hazardní hry nebyl podle zákona o loteriích upraven. Stejně tak nebyl zákonem o loteriích upraven turnaj malého rozsahu, tedy takový turnaj v karetní hře, při němž je počet účastníků hazardní hry předem určen a úhrnný vklad jednotlivých účastníků do jednoho turnaje je shora omezen. Tomboly byly povolovány obecními úřady pro jejich správní obvod, a to za podmínky, že se jednalo o tombolu s herní jistinou do 50</w:t>
      </w:r>
      <w:r w:rsidR="005759AC">
        <w:t> </w:t>
      </w:r>
      <w:r>
        <w:t>000</w:t>
      </w:r>
      <w:r w:rsidR="005759AC">
        <w:t> </w:t>
      </w:r>
      <w:r>
        <w:t>Kč či v případě vě</w:t>
      </w:r>
      <w:r w:rsidR="003110CD">
        <w:t>cné loterie s herní jistinou do </w:t>
      </w:r>
      <w:r>
        <w:t>200</w:t>
      </w:r>
      <w:r w:rsidR="005759AC">
        <w:t> </w:t>
      </w:r>
      <w:r>
        <w:t>000</w:t>
      </w:r>
      <w:r w:rsidR="005759AC">
        <w:t> </w:t>
      </w:r>
      <w:r>
        <w:t>Kč. V ostatních případech byly tomboly povolovány Ministerstvem financí. U </w:t>
      </w:r>
      <w:r w:rsidRPr="00B84018">
        <w:t>tombol provozovaných při slavnostech a zábavách, při nichž</w:t>
      </w:r>
      <w:r>
        <w:t xml:space="preserve"> byly</w:t>
      </w:r>
      <w:r w:rsidRPr="00B84018">
        <w:t xml:space="preserve"> výhry dotovány převážně z</w:t>
      </w:r>
      <w:r>
        <w:t> </w:t>
      </w:r>
      <w:r w:rsidRPr="00B84018">
        <w:t>věcných darů členů pořádající organizace, rozhod</w:t>
      </w:r>
      <w:r w:rsidR="003110CD">
        <w:t>ovala</w:t>
      </w:r>
      <w:r>
        <w:t xml:space="preserve"> výjimečně o </w:t>
      </w:r>
      <w:r w:rsidRPr="00B84018">
        <w:t>podmínkách provozování tomboly příslušná</w:t>
      </w:r>
      <w:r>
        <w:t xml:space="preserve"> obec podle vlastního uvážení a </w:t>
      </w:r>
      <w:r w:rsidRPr="00B84018">
        <w:t>místních poměrů</w:t>
      </w:r>
      <w:r>
        <w:t>. Zákon o loteriích také stanovoval úhrnnou cenu výher tombol, která nesměla být menší než 20</w:t>
      </w:r>
      <w:r w:rsidR="005759AC">
        <w:t> </w:t>
      </w:r>
      <w:r>
        <w:t>% a vyšší než 50</w:t>
      </w:r>
      <w:r w:rsidR="005759AC">
        <w:t> </w:t>
      </w:r>
      <w:r>
        <w:t>% herní jistiny.</w:t>
      </w:r>
    </w:p>
    <w:p w14:paraId="574AAD35" w14:textId="619593A6" w:rsidR="006B3B31" w:rsidRDefault="006B3B31" w:rsidP="0009229E">
      <w:pPr>
        <w:pStyle w:val="Nadpis3"/>
      </w:pPr>
      <w:bookmarkStart w:id="11" w:name="_Toc73529678"/>
      <w:bookmarkStart w:id="12" w:name="_Toc73608969"/>
      <w:r>
        <w:t>Konkrétní pop</w:t>
      </w:r>
      <w:r w:rsidR="00C1553D">
        <w:t xml:space="preserve">is regulace obsažené v </w:t>
      </w:r>
      <w:r w:rsidR="002C04B6">
        <w:t>zákoně o </w:t>
      </w:r>
      <w:r>
        <w:t>hazardních hrách</w:t>
      </w:r>
      <w:bookmarkEnd w:id="11"/>
      <w:bookmarkEnd w:id="12"/>
    </w:p>
    <w:p w14:paraId="66E3A284" w14:textId="77777777" w:rsidR="006B3B31" w:rsidRPr="00AF112D" w:rsidRDefault="006B3B31" w:rsidP="00AF112D">
      <w:pPr>
        <w:pStyle w:val="Nadpis5"/>
        <w:numPr>
          <w:ilvl w:val="0"/>
          <w:numId w:val="27"/>
        </w:numPr>
      </w:pPr>
      <w:bookmarkStart w:id="13" w:name="_Toc73529679"/>
      <w:bookmarkStart w:id="14" w:name="_Toc73608970"/>
      <w:r w:rsidRPr="00AF112D">
        <w:t>Základní povolení</w:t>
      </w:r>
      <w:bookmarkEnd w:id="13"/>
      <w:bookmarkEnd w:id="14"/>
    </w:p>
    <w:p w14:paraId="45DEA11B" w14:textId="3E73FD04" w:rsidR="006B3B31" w:rsidRDefault="006B3B31" w:rsidP="00BC1E08">
      <w:r w:rsidRPr="00560589">
        <w:t>Zákon o hazardních hrách vychází z koncepce, že každý subjekt, který má záj</w:t>
      </w:r>
      <w:r w:rsidR="003110CD">
        <w:t>e</w:t>
      </w:r>
      <w:r w:rsidRPr="00560589">
        <w:t>m provozo</w:t>
      </w:r>
      <w:r>
        <w:t>vat hazardní hru vyjmenovanou v</w:t>
      </w:r>
      <w:r w:rsidRPr="00560589">
        <w:t xml:space="preserve"> §</w:t>
      </w:r>
      <w:r w:rsidR="005759AC">
        <w:t> </w:t>
      </w:r>
      <w:r w:rsidRPr="00560589">
        <w:t>3</w:t>
      </w:r>
      <w:r w:rsidR="005759AC">
        <w:t> </w:t>
      </w:r>
      <w:r w:rsidRPr="00560589">
        <w:t>odst.</w:t>
      </w:r>
      <w:r w:rsidR="005759AC">
        <w:t> </w:t>
      </w:r>
      <w:r w:rsidRPr="00560589">
        <w:t>2 písm.</w:t>
      </w:r>
      <w:r w:rsidR="005759AC">
        <w:t> </w:t>
      </w:r>
      <w:r w:rsidRPr="00560589">
        <w:t>a)</w:t>
      </w:r>
      <w:r w:rsidR="005759AC">
        <w:t> </w:t>
      </w:r>
      <w:r w:rsidRPr="00560589">
        <w:t>až</w:t>
      </w:r>
      <w:r w:rsidR="005759AC">
        <w:t> </w:t>
      </w:r>
      <w:r w:rsidRPr="00560589">
        <w:t>f)</w:t>
      </w:r>
      <w:r w:rsidR="00FB2333">
        <w:t xml:space="preserve"> zákona o </w:t>
      </w:r>
      <w:r w:rsidR="003110CD">
        <w:t>hazardních hrách</w:t>
      </w:r>
      <w:r w:rsidRPr="00560589">
        <w:t xml:space="preserve"> na území České republiky, je povinen získat oprávnění k provozování takové hazardní hry. Zákon o</w:t>
      </w:r>
      <w:r>
        <w:t> </w:t>
      </w:r>
      <w:r w:rsidRPr="00560589">
        <w:t xml:space="preserve">hazardních hrách předvídá možnost získání </w:t>
      </w:r>
      <w:r w:rsidRPr="00560589">
        <w:rPr>
          <w:b/>
        </w:rPr>
        <w:t>oprávnění k provozování druhu hazardní hry, označované jako základní povolení</w:t>
      </w:r>
      <w:r w:rsidRPr="00560589">
        <w:t xml:space="preserve">, a </w:t>
      </w:r>
      <w:r w:rsidRPr="00560589">
        <w:rPr>
          <w:b/>
        </w:rPr>
        <w:t>oprávnění k provozování konkrétního herního prostoru</w:t>
      </w:r>
      <w:r w:rsidRPr="00560589">
        <w:t xml:space="preserve">, v němž mohou být provozovány konkrétní vybrané druhy hazardních her (technická hra, živá hra a bingo provozované </w:t>
      </w:r>
      <w:r w:rsidR="001613B6">
        <w:t xml:space="preserve">formou </w:t>
      </w:r>
      <w:r w:rsidRPr="00560589">
        <w:t xml:space="preserve">land-based), označované jako </w:t>
      </w:r>
      <w:r w:rsidRPr="00560589">
        <w:rPr>
          <w:b/>
        </w:rPr>
        <w:t>povolení k umístění herního prostoru</w:t>
      </w:r>
      <w:r w:rsidRPr="00560589">
        <w:t>. Správním orgánem příslušným k vedení správního říze</w:t>
      </w:r>
      <w:r w:rsidR="003110CD">
        <w:t>ní o </w:t>
      </w:r>
      <w:r w:rsidRPr="00560589">
        <w:t>vydání, změně nebo zrušení základního povolení je Ministerstvo financí. Správním orgánem příslušným k vedení správního řízení o vydání, změně nebo zrušení povolení k umístění herního prostoru je obecní úřad obce, v jejímž obvodu se má nacházet herní prostor, ve kterém mají být příslušné hazardní hry provozovány.</w:t>
      </w:r>
    </w:p>
    <w:p w14:paraId="08D76C04" w14:textId="0BB460EC" w:rsidR="006B3B31" w:rsidRDefault="006B3B31" w:rsidP="00BC1E08">
      <w:r w:rsidRPr="008A1F10">
        <w:t>Proces vedení správního řízení o vydání, změně nebo zrušení z</w:t>
      </w:r>
      <w:r>
        <w:t>ákladního povolení je upraven v §</w:t>
      </w:r>
      <w:r w:rsidR="005759AC">
        <w:t> </w:t>
      </w:r>
      <w:r>
        <w:t>85-</w:t>
      </w:r>
      <w:r w:rsidRPr="008A1F10">
        <w:t>96 zákona o hazardních hrách. Subsidiárně se aplikuje právní úprava obsažená ve správním řádu. Současná právní úprava tak oproti předchozí úpravě detailněji zakotvuje podmínky pro vydání základního povolení, jeho změnu a zrušení. Dále pak přechod a zánik základního povolení, rovněž také problematiku oznamování změn skutečností, na základě kterých bylo základní povolení vydáno. Právní úprava přinesla zcela novou koncepci v podobě vydávání rozhodnutí v režimu nového rozhodnutí ve smyslu §</w:t>
      </w:r>
      <w:r w:rsidR="005759AC">
        <w:t> </w:t>
      </w:r>
      <w:r w:rsidRPr="008A1F10">
        <w:t>101 správního řádu.</w:t>
      </w:r>
    </w:p>
    <w:p w14:paraId="4B579BCF" w14:textId="77777777" w:rsidR="006B3B31" w:rsidRDefault="006B3B31" w:rsidP="006B3B31">
      <w:pPr>
        <w:rPr>
          <w:b/>
        </w:rPr>
      </w:pPr>
      <w:bookmarkStart w:id="15" w:name="_Toc69373769"/>
      <w:r w:rsidRPr="00BB0A52">
        <w:rPr>
          <w:b/>
        </w:rPr>
        <w:t>Podmínky pro vydání základního povolení, podmínky kladené na žadatele</w:t>
      </w:r>
      <w:bookmarkEnd w:id="15"/>
    </w:p>
    <w:p w14:paraId="7B01438A" w14:textId="77777777" w:rsidR="006B3B31" w:rsidRDefault="006B3B31" w:rsidP="00BC1E08">
      <w:r w:rsidRPr="00091DFC">
        <w:t xml:space="preserve">Ministerstvo financí je oprávněno vydat </w:t>
      </w:r>
      <w:r>
        <w:t xml:space="preserve">žadateli </w:t>
      </w:r>
      <w:r w:rsidRPr="00091DFC">
        <w:t>základní povolení za předpokladu, že:</w:t>
      </w:r>
    </w:p>
    <w:p w14:paraId="7A89022F" w14:textId="21F6EEE4" w:rsidR="006B3B31" w:rsidRPr="002A7293" w:rsidRDefault="006B3B31" w:rsidP="006B3B31">
      <w:pPr>
        <w:spacing w:after="120"/>
        <w:ind w:left="709"/>
      </w:pPr>
      <w:r w:rsidRPr="002A7293">
        <w:t>a) splňuje podmínky stanovené v § 6, 91 a 92</w:t>
      </w:r>
      <w:r w:rsidR="003110CD">
        <w:t xml:space="preserve"> zákona o hazardních hrách</w:t>
      </w:r>
      <w:r w:rsidRPr="002A7293">
        <w:t>,</w:t>
      </w:r>
    </w:p>
    <w:p w14:paraId="7525CB6B" w14:textId="19375A4D" w:rsidR="006B3B31" w:rsidRPr="002A7293" w:rsidRDefault="006B3B31" w:rsidP="006B3B31">
      <w:pPr>
        <w:spacing w:after="120"/>
        <w:ind w:left="709"/>
      </w:pPr>
      <w:r w:rsidRPr="002A7293">
        <w:t>b) poskytl kauci podle § 89</w:t>
      </w:r>
      <w:r w:rsidR="003110CD">
        <w:t xml:space="preserve"> zákona o hazardních hrách</w:t>
      </w:r>
      <w:r w:rsidRPr="002A7293">
        <w:t>,</w:t>
      </w:r>
    </w:p>
    <w:p w14:paraId="45F9BBEF" w14:textId="6C1CF8DF" w:rsidR="006B3B31" w:rsidRPr="002A7293" w:rsidRDefault="006B3B31" w:rsidP="006B3B31">
      <w:pPr>
        <w:spacing w:after="120"/>
        <w:ind w:left="709"/>
      </w:pPr>
      <w:r w:rsidRPr="002A7293">
        <w:t>c) není v době vydání rozhodnutí nebo nebyl v po</w:t>
      </w:r>
      <w:r w:rsidR="00FB2333">
        <w:t>sledních 3 letech v likvidaci a </w:t>
      </w:r>
      <w:r w:rsidRPr="002A7293">
        <w:t xml:space="preserve">nebyl vůči </w:t>
      </w:r>
      <w:r>
        <w:t xml:space="preserve">němu </w:t>
      </w:r>
      <w:r w:rsidRPr="002A7293">
        <w:t>v posledních 3 letech pravomocně zjištěn úpadek,</w:t>
      </w:r>
    </w:p>
    <w:p w14:paraId="18ABA79A" w14:textId="11F04DE9" w:rsidR="006B3B31" w:rsidRPr="002A7293" w:rsidRDefault="006B3B31" w:rsidP="006B3B31">
      <w:pPr>
        <w:spacing w:after="120"/>
        <w:ind w:left="709"/>
      </w:pPr>
      <w:r w:rsidRPr="002A7293">
        <w:lastRenderedPageBreak/>
        <w:t>d) nebude provozování hazardní hry narušovat veřejný pořádek a</w:t>
      </w:r>
    </w:p>
    <w:p w14:paraId="0C498861" w14:textId="6B286782" w:rsidR="006B3B31" w:rsidRDefault="006B3B31" w:rsidP="006B3B31">
      <w:pPr>
        <w:ind w:left="708"/>
      </w:pPr>
      <w:r w:rsidRPr="002A7293">
        <w:t>e) je zaručeno řádné provozování hazardní hry a zajištěno řádné technické vybavení.</w:t>
      </w:r>
    </w:p>
    <w:p w14:paraId="7C01A503" w14:textId="77777777" w:rsidR="006B3B31" w:rsidRDefault="006B3B31" w:rsidP="00BC1E08">
      <w:r>
        <w:t>Zákon o hazardních hrách pak vedle těchto podmínek stanoví speciální náležitosti žádosti o vydání základního povolení (vedle obecných náležitostí žádosti podle správního řádu) a konkrétní povinné přílohy žádosti:</w:t>
      </w:r>
    </w:p>
    <w:p w14:paraId="662451A2" w14:textId="5419A0EB" w:rsidR="006B3B31" w:rsidRPr="008A0107" w:rsidRDefault="00947176" w:rsidP="00A14435">
      <w:pPr>
        <w:pStyle w:val="Odstavecseseznamem"/>
        <w:numPr>
          <w:ilvl w:val="0"/>
          <w:numId w:val="13"/>
        </w:numPr>
        <w:spacing w:after="120"/>
        <w:ind w:left="714" w:hanging="357"/>
        <w:contextualSpacing w:val="0"/>
        <w:jc w:val="both"/>
        <w:rPr>
          <w:rFonts w:ascii="Arial" w:hAnsi="Arial" w:cs="Arial"/>
          <w:sz w:val="24"/>
          <w:szCs w:val="24"/>
        </w:rPr>
      </w:pPr>
      <w:r>
        <w:rPr>
          <w:rFonts w:ascii="Arial" w:hAnsi="Arial" w:cs="Arial"/>
          <w:sz w:val="24"/>
          <w:szCs w:val="24"/>
        </w:rPr>
        <w:t>s</w:t>
      </w:r>
      <w:r w:rsidR="006B3B31" w:rsidRPr="008A0107">
        <w:rPr>
          <w:rFonts w:ascii="Arial" w:hAnsi="Arial" w:cs="Arial"/>
          <w:sz w:val="24"/>
          <w:szCs w:val="24"/>
        </w:rPr>
        <w:t>eznam osob, které jsou členem žadatele, statutárního orgánu žadatele, kontrolního orgánu žadatele, vykonávající činnosti prokuristy a jsou skutečným majitel</w:t>
      </w:r>
      <w:r>
        <w:rPr>
          <w:rFonts w:ascii="Arial" w:hAnsi="Arial" w:cs="Arial"/>
          <w:sz w:val="24"/>
          <w:szCs w:val="24"/>
        </w:rPr>
        <w:t>i</w:t>
      </w:r>
      <w:r w:rsidR="006B3B31" w:rsidRPr="008A0107">
        <w:rPr>
          <w:rFonts w:ascii="Arial" w:hAnsi="Arial" w:cs="Arial"/>
          <w:sz w:val="24"/>
          <w:szCs w:val="24"/>
        </w:rPr>
        <w:t xml:space="preserve"> žadatele</w:t>
      </w:r>
      <w:r>
        <w:rPr>
          <w:rFonts w:ascii="Arial" w:hAnsi="Arial" w:cs="Arial"/>
          <w:sz w:val="24"/>
          <w:szCs w:val="24"/>
        </w:rPr>
        <w:t>; tento seznam nesmí být</w:t>
      </w:r>
      <w:r w:rsidR="006B3B31" w:rsidRPr="008A0107">
        <w:rPr>
          <w:rFonts w:ascii="Arial" w:hAnsi="Arial" w:cs="Arial"/>
          <w:sz w:val="24"/>
          <w:szCs w:val="24"/>
        </w:rPr>
        <w:t xml:space="preserve"> starší </w:t>
      </w:r>
      <w:r w:rsidR="005759AC">
        <w:rPr>
          <w:rFonts w:ascii="Arial" w:hAnsi="Arial" w:cs="Arial"/>
          <w:sz w:val="24"/>
          <w:szCs w:val="24"/>
        </w:rPr>
        <w:t xml:space="preserve">než </w:t>
      </w:r>
      <w:r w:rsidR="006B3B31" w:rsidRPr="008A0107">
        <w:rPr>
          <w:rFonts w:ascii="Arial" w:hAnsi="Arial" w:cs="Arial"/>
          <w:sz w:val="24"/>
          <w:szCs w:val="24"/>
        </w:rPr>
        <w:t>3 měsíc</w:t>
      </w:r>
      <w:r w:rsidR="005759AC">
        <w:rPr>
          <w:rFonts w:ascii="Arial" w:hAnsi="Arial" w:cs="Arial"/>
          <w:sz w:val="24"/>
          <w:szCs w:val="24"/>
        </w:rPr>
        <w:t>e</w:t>
      </w:r>
      <w:r w:rsidR="006B3B31" w:rsidRPr="008A0107">
        <w:rPr>
          <w:rFonts w:ascii="Arial" w:hAnsi="Arial" w:cs="Arial"/>
          <w:sz w:val="24"/>
          <w:szCs w:val="24"/>
        </w:rPr>
        <w:t xml:space="preserve"> od data podání žádosti;</w:t>
      </w:r>
    </w:p>
    <w:p w14:paraId="1A5CA346" w14:textId="763F44C3"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d</w:t>
      </w:r>
      <w:r w:rsidR="006B3B31" w:rsidRPr="008A0107">
        <w:rPr>
          <w:rFonts w:ascii="Arial" w:hAnsi="Arial" w:cs="Arial"/>
          <w:sz w:val="24"/>
          <w:szCs w:val="24"/>
        </w:rPr>
        <w:t>oklad o poskytnutí kauce, s výjimkou žádosti o bingo, technickou hru a živou hru;</w:t>
      </w:r>
    </w:p>
    <w:p w14:paraId="6EF06BB9" w14:textId="782E0685"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d</w:t>
      </w:r>
      <w:r w:rsidR="006B3B31" w:rsidRPr="008A0107">
        <w:rPr>
          <w:rFonts w:ascii="Arial" w:hAnsi="Arial" w:cs="Arial"/>
          <w:sz w:val="24"/>
          <w:szCs w:val="24"/>
        </w:rPr>
        <w:t xml:space="preserve">oklad prokazující bezdlužnost žadatele, který není starší </w:t>
      </w:r>
      <w:r w:rsidR="006577BF">
        <w:rPr>
          <w:rFonts w:ascii="Arial" w:hAnsi="Arial" w:cs="Arial"/>
          <w:sz w:val="24"/>
          <w:szCs w:val="24"/>
        </w:rPr>
        <w:t xml:space="preserve">než </w:t>
      </w:r>
      <w:r w:rsidR="006B3B31" w:rsidRPr="008A0107">
        <w:rPr>
          <w:rFonts w:ascii="Arial" w:hAnsi="Arial" w:cs="Arial"/>
          <w:sz w:val="24"/>
          <w:szCs w:val="24"/>
        </w:rPr>
        <w:t>30 dn</w:t>
      </w:r>
      <w:r w:rsidR="006577BF">
        <w:rPr>
          <w:rFonts w:ascii="Arial" w:hAnsi="Arial" w:cs="Arial"/>
          <w:sz w:val="24"/>
          <w:szCs w:val="24"/>
        </w:rPr>
        <w:t>í</w:t>
      </w:r>
      <w:r w:rsidR="006B3B31" w:rsidRPr="008A0107">
        <w:rPr>
          <w:rFonts w:ascii="Arial" w:hAnsi="Arial" w:cs="Arial"/>
          <w:sz w:val="24"/>
          <w:szCs w:val="24"/>
        </w:rPr>
        <w:t xml:space="preserve"> od data podání žádosti, v případě zahraničních dokladů nesmí být starší </w:t>
      </w:r>
      <w:r w:rsidR="006577BF">
        <w:rPr>
          <w:rFonts w:ascii="Arial" w:hAnsi="Arial" w:cs="Arial"/>
          <w:sz w:val="24"/>
          <w:szCs w:val="24"/>
        </w:rPr>
        <w:t xml:space="preserve">než </w:t>
      </w:r>
      <w:r w:rsidR="006B3B31" w:rsidRPr="008A0107">
        <w:rPr>
          <w:rFonts w:ascii="Arial" w:hAnsi="Arial" w:cs="Arial"/>
          <w:sz w:val="24"/>
          <w:szCs w:val="24"/>
        </w:rPr>
        <w:t>3 měsíc</w:t>
      </w:r>
      <w:r w:rsidR="006577BF">
        <w:rPr>
          <w:rFonts w:ascii="Arial" w:hAnsi="Arial" w:cs="Arial"/>
          <w:sz w:val="24"/>
          <w:szCs w:val="24"/>
        </w:rPr>
        <w:t>e</w:t>
      </w:r>
      <w:r w:rsidR="006B3B31" w:rsidRPr="008A0107">
        <w:rPr>
          <w:rFonts w:ascii="Arial" w:hAnsi="Arial" w:cs="Arial"/>
          <w:sz w:val="24"/>
          <w:szCs w:val="24"/>
        </w:rPr>
        <w:t xml:space="preserve"> od data podání žádosti;</w:t>
      </w:r>
    </w:p>
    <w:p w14:paraId="18619A5C" w14:textId="6F68F3B4"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i</w:t>
      </w:r>
      <w:r w:rsidR="006B3B31" w:rsidRPr="008A0107">
        <w:rPr>
          <w:rFonts w:ascii="Arial" w:hAnsi="Arial" w:cs="Arial"/>
          <w:sz w:val="24"/>
          <w:szCs w:val="24"/>
        </w:rPr>
        <w:t xml:space="preserve">dentifikační údaje osob, jichž se týká povinnost bezúhonnosti, a v případě cizích státních příslušníků doklad o bezúhonnosti, který není starší </w:t>
      </w:r>
      <w:r w:rsidR="00FB2333">
        <w:rPr>
          <w:rFonts w:ascii="Arial" w:hAnsi="Arial" w:cs="Arial"/>
          <w:sz w:val="24"/>
          <w:szCs w:val="24"/>
        </w:rPr>
        <w:t>než </w:t>
      </w:r>
      <w:r w:rsidR="006B3B31" w:rsidRPr="008A0107">
        <w:rPr>
          <w:rFonts w:ascii="Arial" w:hAnsi="Arial" w:cs="Arial"/>
          <w:sz w:val="24"/>
          <w:szCs w:val="24"/>
        </w:rPr>
        <w:t>3</w:t>
      </w:r>
      <w:r w:rsidR="006577BF">
        <w:rPr>
          <w:rFonts w:ascii="Arial" w:hAnsi="Arial" w:cs="Arial"/>
          <w:sz w:val="24"/>
          <w:szCs w:val="24"/>
        </w:rPr>
        <w:t> </w:t>
      </w:r>
      <w:r w:rsidR="006B3B31" w:rsidRPr="008A0107">
        <w:rPr>
          <w:rFonts w:ascii="Arial" w:hAnsi="Arial" w:cs="Arial"/>
          <w:sz w:val="24"/>
          <w:szCs w:val="24"/>
        </w:rPr>
        <w:t xml:space="preserve"> měsíc</w:t>
      </w:r>
      <w:r w:rsidR="006577BF">
        <w:rPr>
          <w:rFonts w:ascii="Arial" w:hAnsi="Arial" w:cs="Arial"/>
          <w:sz w:val="24"/>
          <w:szCs w:val="24"/>
        </w:rPr>
        <w:t>e</w:t>
      </w:r>
      <w:r w:rsidR="006B3B31" w:rsidRPr="008A0107">
        <w:rPr>
          <w:rFonts w:ascii="Arial" w:hAnsi="Arial" w:cs="Arial"/>
          <w:sz w:val="24"/>
          <w:szCs w:val="24"/>
        </w:rPr>
        <w:t xml:space="preserve"> od data podání žádosti;</w:t>
      </w:r>
    </w:p>
    <w:p w14:paraId="736B8287" w14:textId="2451480B"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h</w:t>
      </w:r>
      <w:r w:rsidR="006B3B31" w:rsidRPr="008A0107">
        <w:rPr>
          <w:rFonts w:ascii="Arial" w:hAnsi="Arial" w:cs="Arial"/>
          <w:sz w:val="24"/>
          <w:szCs w:val="24"/>
        </w:rPr>
        <w:t xml:space="preserve">erní plán, který není starší </w:t>
      </w:r>
      <w:r w:rsidR="006577BF">
        <w:rPr>
          <w:rFonts w:ascii="Arial" w:hAnsi="Arial" w:cs="Arial"/>
          <w:sz w:val="24"/>
          <w:szCs w:val="24"/>
        </w:rPr>
        <w:t xml:space="preserve">než </w:t>
      </w:r>
      <w:r w:rsidR="006B3B31" w:rsidRPr="008A0107">
        <w:rPr>
          <w:rFonts w:ascii="Arial" w:hAnsi="Arial" w:cs="Arial"/>
          <w:sz w:val="24"/>
          <w:szCs w:val="24"/>
        </w:rPr>
        <w:t>3 měsíc</w:t>
      </w:r>
      <w:r w:rsidR="006577BF">
        <w:rPr>
          <w:rFonts w:ascii="Arial" w:hAnsi="Arial" w:cs="Arial"/>
          <w:sz w:val="24"/>
          <w:szCs w:val="24"/>
        </w:rPr>
        <w:t>e</w:t>
      </w:r>
      <w:r w:rsidR="006B3B31" w:rsidRPr="008A0107">
        <w:rPr>
          <w:rFonts w:ascii="Arial" w:hAnsi="Arial" w:cs="Arial"/>
          <w:sz w:val="24"/>
          <w:szCs w:val="24"/>
        </w:rPr>
        <w:t xml:space="preserve"> od data podání žádosti;</w:t>
      </w:r>
    </w:p>
    <w:p w14:paraId="7E7B5D57" w14:textId="5D4593AE"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d</w:t>
      </w:r>
      <w:r w:rsidR="006B3B31" w:rsidRPr="008A0107">
        <w:rPr>
          <w:rFonts w:ascii="Arial" w:hAnsi="Arial" w:cs="Arial"/>
          <w:sz w:val="24"/>
          <w:szCs w:val="24"/>
        </w:rPr>
        <w:t>okument o odborném posouzení a osvědčení o provozuschopnosti;</w:t>
      </w:r>
    </w:p>
    <w:p w14:paraId="5DB8CCD0" w14:textId="1215843F"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d</w:t>
      </w:r>
      <w:r w:rsidR="006B3B31" w:rsidRPr="008A0107">
        <w:rPr>
          <w:rFonts w:ascii="Arial" w:hAnsi="Arial" w:cs="Arial"/>
          <w:sz w:val="24"/>
          <w:szCs w:val="24"/>
        </w:rPr>
        <w:t>okument o umístění serveru, jde-li o druh hazardní hry, u níž nedochází k</w:t>
      </w:r>
      <w:r w:rsidR="006B3B31">
        <w:rPr>
          <w:rFonts w:ascii="Arial" w:hAnsi="Arial" w:cs="Arial"/>
          <w:sz w:val="24"/>
          <w:szCs w:val="24"/>
        </w:rPr>
        <w:t> </w:t>
      </w:r>
      <w:r w:rsidR="006B3B31" w:rsidRPr="008A0107">
        <w:rPr>
          <w:rFonts w:ascii="Arial" w:hAnsi="Arial" w:cs="Arial"/>
          <w:sz w:val="24"/>
          <w:szCs w:val="24"/>
        </w:rPr>
        <w:t xml:space="preserve">tvorbě náhody v místě účasti na hazardní hře, </w:t>
      </w:r>
      <w:r w:rsidR="00C1553D">
        <w:rPr>
          <w:rFonts w:ascii="Arial" w:hAnsi="Arial" w:cs="Arial"/>
          <w:sz w:val="24"/>
          <w:szCs w:val="24"/>
        </w:rPr>
        <w:t xml:space="preserve">a </w:t>
      </w:r>
      <w:r w:rsidR="006B3B31" w:rsidRPr="008A0107">
        <w:rPr>
          <w:rFonts w:ascii="Arial" w:hAnsi="Arial" w:cs="Arial"/>
          <w:sz w:val="24"/>
          <w:szCs w:val="24"/>
        </w:rPr>
        <w:t xml:space="preserve">který není starší </w:t>
      </w:r>
      <w:r w:rsidR="006577BF">
        <w:rPr>
          <w:rFonts w:ascii="Arial" w:hAnsi="Arial" w:cs="Arial"/>
          <w:sz w:val="24"/>
          <w:szCs w:val="24"/>
        </w:rPr>
        <w:t xml:space="preserve">než </w:t>
      </w:r>
      <w:r w:rsidR="00272E43">
        <w:rPr>
          <w:rFonts w:ascii="Arial" w:hAnsi="Arial" w:cs="Arial"/>
          <w:sz w:val="24"/>
          <w:szCs w:val="24"/>
        </w:rPr>
        <w:t>3 </w:t>
      </w:r>
      <w:r w:rsidR="006B3B31" w:rsidRPr="008A0107">
        <w:rPr>
          <w:rFonts w:ascii="Arial" w:hAnsi="Arial" w:cs="Arial"/>
          <w:sz w:val="24"/>
          <w:szCs w:val="24"/>
        </w:rPr>
        <w:t>měsíc</w:t>
      </w:r>
      <w:r w:rsidR="006577BF">
        <w:rPr>
          <w:rFonts w:ascii="Arial" w:hAnsi="Arial" w:cs="Arial"/>
          <w:sz w:val="24"/>
          <w:szCs w:val="24"/>
        </w:rPr>
        <w:t>e</w:t>
      </w:r>
      <w:r w:rsidR="006B3B31" w:rsidRPr="008A0107">
        <w:rPr>
          <w:rFonts w:ascii="Arial" w:hAnsi="Arial" w:cs="Arial"/>
          <w:sz w:val="24"/>
          <w:szCs w:val="24"/>
        </w:rPr>
        <w:t xml:space="preserve"> od data podání žádosti;</w:t>
      </w:r>
    </w:p>
    <w:p w14:paraId="15962B4C" w14:textId="79DA6C3C"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s</w:t>
      </w:r>
      <w:r w:rsidR="006B3B31" w:rsidRPr="008A0107">
        <w:rPr>
          <w:rFonts w:ascii="Arial" w:hAnsi="Arial" w:cs="Arial"/>
          <w:sz w:val="24"/>
          <w:szCs w:val="24"/>
        </w:rPr>
        <w:t>adu znehodnocených vzorů hodnotových a hracích žetonů (v případě žádosti o živou hru);</w:t>
      </w:r>
    </w:p>
    <w:p w14:paraId="3D07AD05" w14:textId="383EFCAE" w:rsidR="006B3B31" w:rsidRPr="008A0107" w:rsidRDefault="00947176" w:rsidP="00A14435">
      <w:pPr>
        <w:pStyle w:val="Odstavecseseznamem"/>
        <w:numPr>
          <w:ilvl w:val="0"/>
          <w:numId w:val="13"/>
        </w:numPr>
        <w:spacing w:after="120"/>
        <w:contextualSpacing w:val="0"/>
        <w:jc w:val="both"/>
        <w:rPr>
          <w:rFonts w:ascii="Arial" w:hAnsi="Arial" w:cs="Arial"/>
          <w:sz w:val="24"/>
          <w:szCs w:val="24"/>
        </w:rPr>
      </w:pPr>
      <w:r>
        <w:rPr>
          <w:rFonts w:ascii="Arial" w:hAnsi="Arial" w:cs="Arial"/>
          <w:sz w:val="24"/>
          <w:szCs w:val="24"/>
        </w:rPr>
        <w:t>v</w:t>
      </w:r>
      <w:r w:rsidR="006B3B31" w:rsidRPr="008A0107">
        <w:rPr>
          <w:rFonts w:ascii="Arial" w:hAnsi="Arial" w:cs="Arial"/>
          <w:sz w:val="24"/>
          <w:szCs w:val="24"/>
        </w:rPr>
        <w:t xml:space="preserve">zor losu, který musí být takto označen a dokumentaci prokazující jejich zabezpečení proti zneužití nebo jejich výrobní specifikaci, která není starší </w:t>
      </w:r>
      <w:r w:rsidR="00FB2333">
        <w:rPr>
          <w:rFonts w:ascii="Arial" w:hAnsi="Arial" w:cs="Arial"/>
          <w:sz w:val="24"/>
          <w:szCs w:val="24"/>
        </w:rPr>
        <w:t>než </w:t>
      </w:r>
      <w:r w:rsidR="006B3B31" w:rsidRPr="008A0107">
        <w:rPr>
          <w:rFonts w:ascii="Arial" w:hAnsi="Arial" w:cs="Arial"/>
          <w:sz w:val="24"/>
          <w:szCs w:val="24"/>
        </w:rPr>
        <w:t>3</w:t>
      </w:r>
      <w:r w:rsidR="006B3B31">
        <w:rPr>
          <w:rFonts w:ascii="Arial" w:hAnsi="Arial" w:cs="Arial"/>
          <w:sz w:val="24"/>
          <w:szCs w:val="24"/>
        </w:rPr>
        <w:t> </w:t>
      </w:r>
      <w:r w:rsidR="006B3B31" w:rsidRPr="008A0107">
        <w:rPr>
          <w:rFonts w:ascii="Arial" w:hAnsi="Arial" w:cs="Arial"/>
          <w:sz w:val="24"/>
          <w:szCs w:val="24"/>
        </w:rPr>
        <w:t>měsíc</w:t>
      </w:r>
      <w:r w:rsidR="006577BF">
        <w:rPr>
          <w:rFonts w:ascii="Arial" w:hAnsi="Arial" w:cs="Arial"/>
          <w:sz w:val="24"/>
          <w:szCs w:val="24"/>
        </w:rPr>
        <w:t>e</w:t>
      </w:r>
      <w:r w:rsidR="006B3B31" w:rsidRPr="008A0107">
        <w:rPr>
          <w:rFonts w:ascii="Arial" w:hAnsi="Arial" w:cs="Arial"/>
          <w:sz w:val="24"/>
          <w:szCs w:val="24"/>
        </w:rPr>
        <w:t xml:space="preserve"> od data podání žádosti (v případě žádosti o peněžitou, věcnou nebo okamžitou loterii);</w:t>
      </w:r>
    </w:p>
    <w:p w14:paraId="6A856B4F" w14:textId="25833F06" w:rsidR="006B3B31" w:rsidRPr="00A714D5" w:rsidRDefault="00947176" w:rsidP="00A14435">
      <w:pPr>
        <w:pStyle w:val="Odstavecseseznamem"/>
        <w:numPr>
          <w:ilvl w:val="0"/>
          <w:numId w:val="13"/>
        </w:numPr>
        <w:jc w:val="both"/>
        <w:rPr>
          <w:rFonts w:ascii="Arial" w:hAnsi="Arial" w:cs="Arial"/>
        </w:rPr>
      </w:pPr>
      <w:r>
        <w:rPr>
          <w:rFonts w:ascii="Arial" w:hAnsi="Arial" w:cs="Arial"/>
          <w:sz w:val="24"/>
          <w:szCs w:val="24"/>
        </w:rPr>
        <w:t>s</w:t>
      </w:r>
      <w:r w:rsidR="006B3B31" w:rsidRPr="00A714D5">
        <w:rPr>
          <w:rFonts w:ascii="Arial" w:hAnsi="Arial" w:cs="Arial"/>
          <w:sz w:val="24"/>
          <w:szCs w:val="24"/>
        </w:rPr>
        <w:t>eznam míst, kde bude umožňov</w:t>
      </w:r>
      <w:r w:rsidR="00FB2333">
        <w:rPr>
          <w:rFonts w:ascii="Arial" w:hAnsi="Arial" w:cs="Arial"/>
          <w:sz w:val="24"/>
          <w:szCs w:val="24"/>
        </w:rPr>
        <w:t>ána účast na kursové sázce nebo </w:t>
      </w:r>
      <w:r w:rsidR="006B3B31" w:rsidRPr="00A714D5">
        <w:rPr>
          <w:rFonts w:ascii="Arial" w:hAnsi="Arial" w:cs="Arial"/>
          <w:sz w:val="24"/>
          <w:szCs w:val="24"/>
        </w:rPr>
        <w:t>totalizátorové hře, a smlouvu uzavřenou s tím, kdo bude monitorovat ovlivňování sportovních výsledků, která není starší</w:t>
      </w:r>
      <w:r w:rsidR="006577BF">
        <w:rPr>
          <w:rFonts w:ascii="Arial" w:hAnsi="Arial" w:cs="Arial"/>
          <w:sz w:val="24"/>
          <w:szCs w:val="24"/>
        </w:rPr>
        <w:t xml:space="preserve"> než</w:t>
      </w:r>
      <w:r w:rsidR="006B3B31" w:rsidRPr="00A714D5">
        <w:rPr>
          <w:rFonts w:ascii="Arial" w:hAnsi="Arial" w:cs="Arial"/>
          <w:sz w:val="24"/>
          <w:szCs w:val="24"/>
        </w:rPr>
        <w:t xml:space="preserve"> 3 měsíc</w:t>
      </w:r>
      <w:r w:rsidR="006577BF">
        <w:rPr>
          <w:rFonts w:ascii="Arial" w:hAnsi="Arial" w:cs="Arial"/>
          <w:sz w:val="24"/>
          <w:szCs w:val="24"/>
        </w:rPr>
        <w:t>e</w:t>
      </w:r>
      <w:r w:rsidR="006B3B31" w:rsidRPr="00A714D5">
        <w:rPr>
          <w:rFonts w:ascii="Arial" w:hAnsi="Arial" w:cs="Arial"/>
          <w:sz w:val="24"/>
          <w:szCs w:val="24"/>
        </w:rPr>
        <w:t xml:space="preserve"> od data podání žádosti (v případě žádosti o kursovou sázku nebo totalizátorovou hru).</w:t>
      </w:r>
    </w:p>
    <w:p w14:paraId="1B72B561" w14:textId="4220E8FE" w:rsidR="006B3B31" w:rsidRDefault="006B3B31" w:rsidP="00BC1E08">
      <w:r w:rsidRPr="00A714D5">
        <w:t>Za účelem zabezpečení jednotného postupu při podávání žádosti o vydání základního povolení vydalo Ministerstvo financí Metodický pokyn k vyplnění žádosti o vydání základního povolení a formulář žádosti zveřej</w:t>
      </w:r>
      <w:r>
        <w:t>něný na internetových stránkách </w:t>
      </w:r>
      <w:r w:rsidRPr="00A714D5">
        <w:t>Ministerstva</w:t>
      </w:r>
      <w:r>
        <w:t> </w:t>
      </w:r>
      <w:r w:rsidRPr="00A714D5">
        <w:t>financí</w:t>
      </w:r>
      <w:r w:rsidR="00272E43">
        <w:t>.</w:t>
      </w:r>
      <w:r w:rsidR="006730E7">
        <w:rPr>
          <w:rStyle w:val="Znakapoznpodarou"/>
        </w:rPr>
        <w:footnoteReference w:id="3"/>
      </w:r>
      <w:r>
        <w:t> </w:t>
      </w:r>
      <w:r w:rsidRPr="00A714D5">
        <w:t>V tomto metodickém pokynu jsou</w:t>
      </w:r>
      <w:r>
        <w:t xml:space="preserve"> </w:t>
      </w:r>
      <w:r w:rsidRPr="00A714D5">
        <w:t>řešeny základní otázky spojené s dokládáním povinných příloh a prokazováním rozhodných skutečností.</w:t>
      </w:r>
    </w:p>
    <w:p w14:paraId="1AA5117F" w14:textId="20CB4054" w:rsidR="006B3B31" w:rsidRPr="00A714D5" w:rsidRDefault="006B3B31" w:rsidP="00BC1E08">
      <w:r w:rsidRPr="00A714D5">
        <w:t xml:space="preserve">Ačkoliv je právní úprava vydávání základního povolení primárně upravena ve shora zmiňovaných ustanoveních části páté zákona o hazardních hrách, splnění </w:t>
      </w:r>
      <w:r w:rsidRPr="00A714D5">
        <w:rPr>
          <w:b/>
        </w:rPr>
        <w:t xml:space="preserve">základních </w:t>
      </w:r>
      <w:r w:rsidRPr="00A714D5">
        <w:rPr>
          <w:b/>
        </w:rPr>
        <w:lastRenderedPageBreak/>
        <w:t>podmínek kladených na provozovatele vyjmenovává §</w:t>
      </w:r>
      <w:r w:rsidR="006577BF">
        <w:rPr>
          <w:b/>
        </w:rPr>
        <w:t> </w:t>
      </w:r>
      <w:r w:rsidRPr="00A714D5">
        <w:rPr>
          <w:b/>
        </w:rPr>
        <w:t>6</w:t>
      </w:r>
      <w:r w:rsidR="006577BF">
        <w:rPr>
          <w:b/>
        </w:rPr>
        <w:t> </w:t>
      </w:r>
      <w:r w:rsidRPr="00A714D5">
        <w:rPr>
          <w:b/>
        </w:rPr>
        <w:t>odst. 1 zákona o</w:t>
      </w:r>
      <w:r w:rsidR="00BC1E08">
        <w:rPr>
          <w:b/>
        </w:rPr>
        <w:t> </w:t>
      </w:r>
      <w:r w:rsidRPr="00A714D5">
        <w:rPr>
          <w:b/>
        </w:rPr>
        <w:t>hazardních hrách.</w:t>
      </w:r>
      <w:r w:rsidRPr="00A714D5">
        <w:t xml:space="preserve"> Splnění těchto skutečností musí provozovatel v rámci vedeného správního řízení o vydání základního povolení prokázat. Těmito podmínkami</w:t>
      </w:r>
      <w:r w:rsidRPr="00A714D5">
        <w:rPr>
          <w:vertAlign w:val="superscript"/>
        </w:rPr>
        <w:footnoteReference w:id="4"/>
      </w:r>
      <w:r w:rsidRPr="00A714D5">
        <w:t xml:space="preserve"> jsou:</w:t>
      </w:r>
    </w:p>
    <w:p w14:paraId="499D0503" w14:textId="77777777" w:rsidR="006B3B31" w:rsidRPr="00A714D5" w:rsidRDefault="006B3B31" w:rsidP="00A14435">
      <w:pPr>
        <w:numPr>
          <w:ilvl w:val="0"/>
          <w:numId w:val="14"/>
        </w:numPr>
        <w:rPr>
          <w:rFonts w:cs="Arial"/>
        </w:rPr>
      </w:pPr>
      <w:r w:rsidRPr="00A714D5">
        <w:rPr>
          <w:rFonts w:cs="Arial"/>
        </w:rPr>
        <w:t>sídlo v České republice, jiném členském státě Evropské unie nebo ve státě, který je smluvní stranou Dohody o Evropském hospodářském prostoru,</w:t>
      </w:r>
    </w:p>
    <w:p w14:paraId="27D60FB2" w14:textId="77777777" w:rsidR="006B3B31" w:rsidRPr="00A714D5" w:rsidRDefault="006B3B31" w:rsidP="00A14435">
      <w:pPr>
        <w:numPr>
          <w:ilvl w:val="0"/>
          <w:numId w:val="14"/>
        </w:numPr>
        <w:rPr>
          <w:rFonts w:cs="Arial"/>
        </w:rPr>
      </w:pPr>
      <w:r w:rsidRPr="00A714D5">
        <w:rPr>
          <w:rFonts w:cs="Arial"/>
        </w:rPr>
        <w:t>organizační struktura s řádným, průhledným a uceleným vymezením působností a</w:t>
      </w:r>
      <w:r>
        <w:rPr>
          <w:rFonts w:cs="Arial"/>
        </w:rPr>
        <w:t> </w:t>
      </w:r>
      <w:r w:rsidRPr="00A714D5">
        <w:rPr>
          <w:rFonts w:cs="Arial"/>
        </w:rPr>
        <w:t>rozhodovacích pravomocí,</w:t>
      </w:r>
    </w:p>
    <w:p w14:paraId="5A24DDB4" w14:textId="77777777" w:rsidR="006B3B31" w:rsidRPr="00A714D5" w:rsidRDefault="006B3B31" w:rsidP="00A14435">
      <w:pPr>
        <w:numPr>
          <w:ilvl w:val="0"/>
          <w:numId w:val="14"/>
        </w:numPr>
        <w:rPr>
          <w:rFonts w:cs="Arial"/>
        </w:rPr>
      </w:pPr>
      <w:r w:rsidRPr="00A714D5">
        <w:rPr>
          <w:rFonts w:cs="Arial"/>
        </w:rPr>
        <w:t>zřízená dozorčí rada, správní rada nebo jiný obdobný kontrolní orgán (dále jen „kontrolní orgán“),</w:t>
      </w:r>
    </w:p>
    <w:p w14:paraId="535A2B84" w14:textId="77777777" w:rsidR="006B3B31" w:rsidRPr="00A714D5" w:rsidRDefault="006B3B31" w:rsidP="00A14435">
      <w:pPr>
        <w:numPr>
          <w:ilvl w:val="0"/>
          <w:numId w:val="14"/>
        </w:numPr>
        <w:rPr>
          <w:rFonts w:cs="Arial"/>
        </w:rPr>
      </w:pPr>
      <w:r w:rsidRPr="00A714D5">
        <w:rPr>
          <w:rFonts w:cs="Arial"/>
        </w:rPr>
        <w:t xml:space="preserve">vlastní zdroje v minimální výši 2 </w:t>
      </w:r>
      <w:r>
        <w:rPr>
          <w:rFonts w:cs="Arial"/>
        </w:rPr>
        <w:t>mil.</w:t>
      </w:r>
      <w:r w:rsidRPr="00A714D5">
        <w:rPr>
          <w:rFonts w:cs="Arial"/>
        </w:rPr>
        <w:t xml:space="preserve"> </w:t>
      </w:r>
      <w:r>
        <w:rPr>
          <w:rFonts w:cs="Arial"/>
        </w:rPr>
        <w:t>eur</w:t>
      </w:r>
      <w:r w:rsidRPr="00A714D5">
        <w:rPr>
          <w:rFonts w:cs="Arial"/>
        </w:rPr>
        <w:t>,</w:t>
      </w:r>
    </w:p>
    <w:p w14:paraId="45443AB9" w14:textId="77777777" w:rsidR="006B3B31" w:rsidRPr="00A714D5" w:rsidRDefault="006B3B31" w:rsidP="00A14435">
      <w:pPr>
        <w:numPr>
          <w:ilvl w:val="0"/>
          <w:numId w:val="14"/>
        </w:numPr>
        <w:rPr>
          <w:rFonts w:cs="Arial"/>
        </w:rPr>
      </w:pPr>
      <w:r w:rsidRPr="00A714D5">
        <w:rPr>
          <w:rFonts w:cs="Arial"/>
        </w:rPr>
        <w:t>průhledný a nezávadný původ zdrojů,</w:t>
      </w:r>
    </w:p>
    <w:p w14:paraId="658DA7E4" w14:textId="5280E41F" w:rsidR="006B3B31" w:rsidRDefault="006B3B31" w:rsidP="00A14435">
      <w:pPr>
        <w:numPr>
          <w:ilvl w:val="0"/>
          <w:numId w:val="14"/>
        </w:numPr>
        <w:rPr>
          <w:rFonts w:cs="Arial"/>
        </w:rPr>
      </w:pPr>
      <w:r w:rsidRPr="00A714D5">
        <w:rPr>
          <w:rFonts w:cs="Arial"/>
        </w:rPr>
        <w:t>průhledná vlastnická struktura, ze které je zřejmé, kdo je jejím skutečným majitelem podle zákona upravujícího opatření proti legaliz</w:t>
      </w:r>
      <w:r w:rsidR="00BC1E08">
        <w:rPr>
          <w:rFonts w:cs="Arial"/>
        </w:rPr>
        <w:t>aci výnosů z trestné činnosti a </w:t>
      </w:r>
      <w:r w:rsidRPr="00A714D5">
        <w:rPr>
          <w:rFonts w:cs="Arial"/>
        </w:rPr>
        <w:t>financování terorismu (dále jen „skutečný majitel“), a</w:t>
      </w:r>
    </w:p>
    <w:p w14:paraId="066ECA1F" w14:textId="77777777" w:rsidR="006B3B31" w:rsidRPr="00787A56" w:rsidRDefault="006B3B31" w:rsidP="00A14435">
      <w:pPr>
        <w:pStyle w:val="Odstavecseseznamem"/>
        <w:numPr>
          <w:ilvl w:val="0"/>
          <w:numId w:val="14"/>
        </w:numPr>
        <w:rPr>
          <w:rFonts w:ascii="Arial" w:hAnsi="Arial" w:cs="Arial"/>
          <w:sz w:val="24"/>
        </w:rPr>
      </w:pPr>
      <w:r w:rsidRPr="00787A56">
        <w:rPr>
          <w:rFonts w:ascii="Arial" w:hAnsi="Arial" w:cs="Arial"/>
          <w:sz w:val="24"/>
        </w:rPr>
        <w:t>věcné, personální a organizační předpoklady potřebné pro výkon činnosti v rozsahu, v jakém hodlá provozovat hazardní hry.</w:t>
      </w:r>
    </w:p>
    <w:p w14:paraId="634CB724" w14:textId="0C3E0754" w:rsidR="006B3B31" w:rsidRDefault="006B3B31" w:rsidP="006B3B31">
      <w:pPr>
        <w:rPr>
          <w:rFonts w:cs="Arial"/>
          <w:b/>
        </w:rPr>
      </w:pPr>
      <w:r w:rsidRPr="00EC21AA">
        <w:rPr>
          <w:rFonts w:cs="Arial"/>
          <w:b/>
        </w:rPr>
        <w:t>Ad 1</w:t>
      </w:r>
      <w:r w:rsidR="006577BF">
        <w:rPr>
          <w:rFonts w:cs="Arial"/>
          <w:b/>
        </w:rPr>
        <w:t>)</w:t>
      </w:r>
      <w:r w:rsidRPr="00EC21AA">
        <w:rPr>
          <w:rFonts w:cs="Arial"/>
          <w:b/>
        </w:rPr>
        <w:t xml:space="preserve"> sídlo v České republice, jiném člens</w:t>
      </w:r>
      <w:r w:rsidR="00FB2333">
        <w:rPr>
          <w:rFonts w:cs="Arial"/>
          <w:b/>
        </w:rPr>
        <w:t>kém státě Evropské unie nebo ve </w:t>
      </w:r>
      <w:r w:rsidRPr="00EC21AA">
        <w:rPr>
          <w:rFonts w:cs="Arial"/>
          <w:b/>
        </w:rPr>
        <w:t xml:space="preserve">státě, který je smluvní stranou Dohody o </w:t>
      </w:r>
      <w:r>
        <w:rPr>
          <w:rFonts w:cs="Arial"/>
          <w:b/>
        </w:rPr>
        <w:t>Evropském hospodářském prostoru</w:t>
      </w:r>
    </w:p>
    <w:p w14:paraId="111ABC8B" w14:textId="324D5F30" w:rsidR="006B3B31" w:rsidRDefault="006B3B31" w:rsidP="006B3B31">
      <w:r w:rsidRPr="00787A56">
        <w:t xml:space="preserve">S ohledem na svobodu usazování a volného pohybu služeb na vnitřním trhu Evropské unie zákon </w:t>
      </w:r>
      <w:r w:rsidR="00947176">
        <w:t xml:space="preserve">o hazardních hrách </w:t>
      </w:r>
      <w:r w:rsidRPr="00787A56">
        <w:t>přinesl významný posun v možnosti provozovatele mít sídlo na území členského státu Evropské unie nebo ve státě, jen</w:t>
      </w:r>
      <w:r w:rsidR="00BC7198">
        <w:t>ž </w:t>
      </w:r>
      <w:r w:rsidR="00BC1E08">
        <w:t>je smluvní stranou Dohody o </w:t>
      </w:r>
      <w:r w:rsidRPr="00787A56">
        <w:t>Evropském hospodářském prostoru</w:t>
      </w:r>
      <w:r>
        <w:t>, čímž byl zároveň odstraněn rozpor původní úpravy s unijním právem</w:t>
      </w:r>
      <w:r w:rsidRPr="00787A56">
        <w:t>. V rámci aplikace zákona o hazardních hrách tato podmínka nenesla</w:t>
      </w:r>
      <w:r w:rsidR="00BC7198">
        <w:t xml:space="preserve"> - </w:t>
      </w:r>
      <w:r w:rsidRPr="00787A56">
        <w:t xml:space="preserve"> až na situaci spojenou s výstupem Velké Británie z Evropské unie</w:t>
      </w:r>
      <w:r w:rsidR="00BC7198">
        <w:t xml:space="preserve"> - </w:t>
      </w:r>
      <w:r w:rsidRPr="00787A56">
        <w:t xml:space="preserve"> význa</w:t>
      </w:r>
      <w:r w:rsidR="00BC7198">
        <w:t>mnější problémy. Pokud </w:t>
      </w:r>
      <w:r w:rsidRPr="00787A56">
        <w:t>by Velká Británie neuzavřela s Evropskou unií tzv. brexitovou dohodu, byla Česká republika připrave</w:t>
      </w:r>
      <w:r w:rsidR="00BC1E08">
        <w:t>na řešit tuto oblast zákonem č. </w:t>
      </w:r>
      <w:r w:rsidRPr="00787A56">
        <w:t>74/2019</w:t>
      </w:r>
      <w:r w:rsidR="00947176">
        <w:t> </w:t>
      </w:r>
      <w:r w:rsidRPr="00787A56">
        <w:t xml:space="preserve">Sb., </w:t>
      </w:r>
      <w:r w:rsidR="00BC7198">
        <w:t>o úpravě některých vztahů v </w:t>
      </w:r>
      <w:r w:rsidRPr="00787A56">
        <w:t>souvislosti s vystoupením Spojeného království Vel</w:t>
      </w:r>
      <w:r w:rsidR="00FB2333">
        <w:t>ké Británie a Severního Irska z </w:t>
      </w:r>
      <w:r w:rsidRPr="00787A56">
        <w:t>Evropské unie</w:t>
      </w:r>
      <w:r w:rsidR="00947176">
        <w:t xml:space="preserve">. </w:t>
      </w:r>
      <w:r w:rsidR="00BC7198">
        <w:t>Kdy</w:t>
      </w:r>
      <w:r w:rsidR="00947176">
        <w:t>by</w:t>
      </w:r>
      <w:r w:rsidRPr="00787A56">
        <w:t xml:space="preserve"> </w:t>
      </w:r>
      <w:r w:rsidR="00BC7198" w:rsidRPr="00787A56">
        <w:t xml:space="preserve">měl </w:t>
      </w:r>
      <w:r w:rsidRPr="00787A56">
        <w:t>provozovatel vydané zákla</w:t>
      </w:r>
      <w:r w:rsidR="00BC7198">
        <w:t>dní povolení a v důsledku tzv. </w:t>
      </w:r>
      <w:r w:rsidR="00947176">
        <w:t>b</w:t>
      </w:r>
      <w:r w:rsidRPr="00787A56">
        <w:t>rexitu by podmínku kladenou na sídlo přestal splňovat, poskytlo by se mu přechodné období, po které by mu absence plnění této podmínky byla tolerována. Nově licencovaný subjekt by již tuto podmínku musel splňovat. Vzhledem k uzavření dohody však tento zákon nevstoupil v účinnost a na vzájemné vztahy se aplikuje uzavřená dohoda. V oblasti hazardních her tato dohoda ponechává další prostor pro vyjednávání uspořádání vzájemných vztahů. Vzhledem k absenci jakékoliv konkrétní úpravy nyní Ministerstvo financí při vydávání po</w:t>
      </w:r>
      <w:r w:rsidR="00272E43">
        <w:t>volení postupuje podle zákona o </w:t>
      </w:r>
      <w:r w:rsidRPr="00787A56">
        <w:t>hazardních hrách bez jakýchkoliv výjimek a subjekt, jež je usídlen na území Spojeného království Velké Británie a Severního Irska, nemůže podle současného právního stavu získat základní povolení pro provozování hazardních her na území České republiky.</w:t>
      </w:r>
    </w:p>
    <w:p w14:paraId="49BFD984" w14:textId="72F4EA57" w:rsidR="006B3B31" w:rsidRDefault="006B3B31" w:rsidP="006B3B31">
      <w:pPr>
        <w:rPr>
          <w:rFonts w:cs="Arial"/>
          <w:b/>
        </w:rPr>
      </w:pPr>
      <w:r w:rsidRPr="00EC21AA">
        <w:rPr>
          <w:rFonts w:cs="Arial"/>
          <w:b/>
        </w:rPr>
        <w:t>Ad 2</w:t>
      </w:r>
      <w:r w:rsidR="006577BF">
        <w:rPr>
          <w:rFonts w:cs="Arial"/>
          <w:b/>
        </w:rPr>
        <w:t>)</w:t>
      </w:r>
      <w:r w:rsidRPr="00EC21AA">
        <w:rPr>
          <w:rFonts w:cs="Arial"/>
          <w:b/>
        </w:rPr>
        <w:t xml:space="preserve"> organizační struktura s řádným, průhledným a uceleným vymezením působ</w:t>
      </w:r>
      <w:r>
        <w:rPr>
          <w:rFonts w:cs="Arial"/>
          <w:b/>
        </w:rPr>
        <w:t>ností a rozhodovacích pravomocí</w:t>
      </w:r>
    </w:p>
    <w:p w14:paraId="60087F8F" w14:textId="17BA9857" w:rsidR="006B3B31" w:rsidRDefault="006B3B31" w:rsidP="00BC1E08">
      <w:r w:rsidRPr="00845A7F">
        <w:lastRenderedPageBreak/>
        <w:t>Uvedená podmínka je jedním z p</w:t>
      </w:r>
      <w:r w:rsidR="00BC7198">
        <w:t xml:space="preserve">rostředků, které mají zajistit vydávání </w:t>
      </w:r>
      <w:r w:rsidRPr="00845A7F">
        <w:t>povolení subjektům, které mají transparentní fungování, čímž dochází ke snižování negativních vlivů hazardních he</w:t>
      </w:r>
      <w:r>
        <w:t>r</w:t>
      </w:r>
      <w:r w:rsidR="009B6AF5">
        <w:t xml:space="preserve"> a</w:t>
      </w:r>
      <w:r>
        <w:t xml:space="preserve"> zejména možnosti propojení s </w:t>
      </w:r>
      <w:r w:rsidRPr="00845A7F">
        <w:t>organizovaným zločinem (na uvedená rizika upozorňují jak studie o vlivech hazardu, tak zprávy bezpečnostních služeb státu). Tento efekt je pak dále podpořen na</w:t>
      </w:r>
      <w:r w:rsidR="00BC1E08">
        <w:t>př. požadavkem na bezdlužnost a </w:t>
      </w:r>
      <w:r w:rsidRPr="00845A7F">
        <w:t xml:space="preserve">bezúhonnost členů vedení obchodní společnosti </w:t>
      </w:r>
      <w:r>
        <w:t>a </w:t>
      </w:r>
      <w:r w:rsidRPr="00845A7F">
        <w:t>dalších klíčových osob.</w:t>
      </w:r>
    </w:p>
    <w:p w14:paraId="41126C49" w14:textId="5C913C19" w:rsidR="006B3B31" w:rsidRDefault="006B3B31" w:rsidP="006B3B31">
      <w:pPr>
        <w:rPr>
          <w:rFonts w:cs="Arial"/>
          <w:b/>
        </w:rPr>
      </w:pPr>
      <w:r w:rsidRPr="001C18A4">
        <w:rPr>
          <w:rFonts w:cs="Arial"/>
          <w:b/>
        </w:rPr>
        <w:t>Ad 3</w:t>
      </w:r>
      <w:r w:rsidR="006577BF">
        <w:rPr>
          <w:rFonts w:cs="Arial"/>
          <w:b/>
        </w:rPr>
        <w:t>)</w:t>
      </w:r>
      <w:r w:rsidRPr="001C18A4">
        <w:rPr>
          <w:rFonts w:cs="Arial"/>
          <w:b/>
        </w:rPr>
        <w:t xml:space="preserve"> </w:t>
      </w:r>
      <w:r>
        <w:rPr>
          <w:rFonts w:cs="Arial"/>
          <w:b/>
        </w:rPr>
        <w:t>zřízená dozorčí rada, správní rada</w:t>
      </w:r>
      <w:r w:rsidRPr="001C18A4">
        <w:rPr>
          <w:rFonts w:cs="Arial"/>
          <w:b/>
        </w:rPr>
        <w:t xml:space="preserve"> nebo jiný obdobný kontrolní org</w:t>
      </w:r>
      <w:r>
        <w:rPr>
          <w:rFonts w:cs="Arial"/>
          <w:b/>
        </w:rPr>
        <w:t>án (dále jen „kontrolní orgán“)</w:t>
      </w:r>
    </w:p>
    <w:p w14:paraId="7AD11677" w14:textId="0C3E36B1" w:rsidR="006B3B31" w:rsidRDefault="006B3B31" w:rsidP="00BC1E08">
      <w:r w:rsidRPr="00747FA9">
        <w:t xml:space="preserve">Požadavek kladený právní úpravou navazuje na předchozí podmínku z hlediska cíle právní úpravy licencovat pouze stabilní, profesionální subjekty se systémem zajištění vnitřní kontroly managementu a eliminovat tím částečně rizika spojená s negativními stránkami tohoto specifického odvětví podnikání. </w:t>
      </w:r>
      <w:r w:rsidRPr="00C75CB6">
        <w:t>Podrobněji se tímto požadavkem bude zabývat následující část věnovaná konkrétn</w:t>
      </w:r>
      <w:r w:rsidR="009B6AF5">
        <w:t>ím oblastem možného zaměření se </w:t>
      </w:r>
      <w:r w:rsidRPr="00C75CB6">
        <w:t>v budoucnu.</w:t>
      </w:r>
    </w:p>
    <w:p w14:paraId="4257CD4A" w14:textId="68262F8E" w:rsidR="006B3B31" w:rsidRDefault="006B3B31" w:rsidP="006B3B31">
      <w:pPr>
        <w:rPr>
          <w:rFonts w:cs="Arial"/>
          <w:b/>
        </w:rPr>
      </w:pPr>
      <w:r w:rsidRPr="001C18A4">
        <w:rPr>
          <w:rFonts w:cs="Arial"/>
          <w:b/>
        </w:rPr>
        <w:t>Ad 4</w:t>
      </w:r>
      <w:r w:rsidR="006577BF">
        <w:rPr>
          <w:rFonts w:cs="Arial"/>
          <w:b/>
        </w:rPr>
        <w:t>)</w:t>
      </w:r>
      <w:r w:rsidRPr="001C18A4">
        <w:rPr>
          <w:rFonts w:cs="Arial"/>
          <w:b/>
        </w:rPr>
        <w:t xml:space="preserve"> vlastní zdroje v minimální výši 2 </w:t>
      </w:r>
      <w:r>
        <w:rPr>
          <w:rFonts w:cs="Arial"/>
          <w:b/>
        </w:rPr>
        <w:t>mil.</w:t>
      </w:r>
      <w:r w:rsidRPr="001C18A4">
        <w:rPr>
          <w:rFonts w:cs="Arial"/>
          <w:b/>
        </w:rPr>
        <w:t xml:space="preserve"> </w:t>
      </w:r>
      <w:r>
        <w:rPr>
          <w:rFonts w:cs="Arial"/>
          <w:b/>
        </w:rPr>
        <w:t>eur</w:t>
      </w:r>
      <w:r w:rsidRPr="001C18A4">
        <w:rPr>
          <w:rFonts w:cs="Arial"/>
          <w:b/>
        </w:rPr>
        <w:t xml:space="preserve"> a ad 5 </w:t>
      </w:r>
      <w:r>
        <w:rPr>
          <w:rFonts w:cs="Arial"/>
          <w:b/>
        </w:rPr>
        <w:t>průhledný a nezávadný původ zdrojů</w:t>
      </w:r>
    </w:p>
    <w:p w14:paraId="3D6B65AD" w14:textId="33016B27" w:rsidR="006B3B31" w:rsidRDefault="006B3B31" w:rsidP="00BC1E08">
      <w:r>
        <w:t>Oba uvedené požadavky dokreslují již shora uvedenou podmínku týkající se finanční stability subjektu a průhlednosti a nezávadnosti původu zdrojů. Uvedené sleduje</w:t>
      </w:r>
      <w:r w:rsidR="009B6AF5">
        <w:t xml:space="preserve"> </w:t>
      </w:r>
      <w:r w:rsidR="00947176">
        <w:t>schopnost provozovatelů</w:t>
      </w:r>
      <w:r w:rsidRPr="00947F2D">
        <w:t xml:space="preserve"> dostát svým zákonným p</w:t>
      </w:r>
      <w:r w:rsidR="00FB2333">
        <w:t>ovinnostem (zejména vzhledem ke </w:t>
      </w:r>
      <w:r w:rsidRPr="00947F2D">
        <w:t>zna</w:t>
      </w:r>
      <w:r>
        <w:t>čným požadavkům na hardwarové a </w:t>
      </w:r>
      <w:r w:rsidRPr="00947F2D">
        <w:t>softwarové vybavení) a</w:t>
      </w:r>
      <w:r w:rsidR="00D554E8">
        <w:t> </w:t>
      </w:r>
      <w:r w:rsidRPr="00947F2D">
        <w:t xml:space="preserve"> závazkům vůči věřitelům (a to jak vůči st</w:t>
      </w:r>
      <w:r>
        <w:t>átu, tak i </w:t>
      </w:r>
      <w:r w:rsidRPr="00947F2D">
        <w:t xml:space="preserve">účastníkům hazardní hry) jak při vstupu do odvětví, tj. při zahájení činnosti, tak po celou dobu jejího provozování, a i po jeho skončení </w:t>
      </w:r>
      <w:r>
        <w:t>v rámci vypořádání vzniklých závazků</w:t>
      </w:r>
      <w:r w:rsidRPr="00947F2D">
        <w:t xml:space="preserve">. </w:t>
      </w:r>
      <w:r>
        <w:t xml:space="preserve">Účelem je selekce subjektů v takové míře, </w:t>
      </w:r>
      <w:r w:rsidR="00EE4318">
        <w:t xml:space="preserve">která </w:t>
      </w:r>
      <w:r w:rsidR="0076677F">
        <w:t>povede k</w:t>
      </w:r>
      <w:r w:rsidR="00EE4318">
        <w:t xml:space="preserve"> vydávání</w:t>
      </w:r>
      <w:r w:rsidR="009B6AF5">
        <w:t xml:space="preserve"> </w:t>
      </w:r>
      <w:r>
        <w:t>povolení jen těm stabilním</w:t>
      </w:r>
      <w:r w:rsidR="0076677F">
        <w:t xml:space="preserve">. Důvodem je mj. velký objem finančních prostředků, s kterými </w:t>
      </w:r>
      <w:r w:rsidR="00EE4318">
        <w:t>je</w:t>
      </w:r>
      <w:r>
        <w:t xml:space="preserve"> </w:t>
      </w:r>
      <w:r w:rsidRPr="00947F2D">
        <w:t xml:space="preserve">v rámci tohoto druhu podnikání </w:t>
      </w:r>
      <w:r>
        <w:t>operováno</w:t>
      </w:r>
      <w:r w:rsidRPr="00C75CB6">
        <w:t>. Podrobněji se tímto požadavkem bude zabývat následující část věnovaná konkrétním oblastem možného zaměření se v budoucnu.</w:t>
      </w:r>
    </w:p>
    <w:p w14:paraId="5C2876DC" w14:textId="2F487F2D" w:rsidR="006B3B31" w:rsidRDefault="006B3B31" w:rsidP="006B3B31">
      <w:pPr>
        <w:rPr>
          <w:rFonts w:cs="Arial"/>
          <w:b/>
          <w:szCs w:val="24"/>
        </w:rPr>
      </w:pPr>
      <w:r w:rsidRPr="001C18A4">
        <w:rPr>
          <w:rFonts w:cs="Arial"/>
          <w:b/>
          <w:szCs w:val="24"/>
        </w:rPr>
        <w:t>Ad 6</w:t>
      </w:r>
      <w:r w:rsidR="006577BF">
        <w:rPr>
          <w:rFonts w:cs="Arial"/>
          <w:b/>
          <w:szCs w:val="24"/>
        </w:rPr>
        <w:t>)</w:t>
      </w:r>
      <w:r w:rsidRPr="001C18A4">
        <w:rPr>
          <w:rFonts w:cs="Arial"/>
          <w:b/>
          <w:szCs w:val="24"/>
        </w:rPr>
        <w:t xml:space="preserve"> </w:t>
      </w:r>
      <w:r w:rsidRPr="001C18A4">
        <w:rPr>
          <w:rFonts w:cs="Arial"/>
          <w:b/>
        </w:rPr>
        <w:t>průhledná vlastnická struktura, ze které je zřejmé, kdo je jejím skutečným majitelem podle zákona upravujícího opatření proti legalizaci výnosů z trestné činnosti a financování terorismu (dále jen „skutečný majitel“)</w:t>
      </w:r>
    </w:p>
    <w:p w14:paraId="1764CE09" w14:textId="30CFF783" w:rsidR="006B3B31" w:rsidRDefault="006B3B31" w:rsidP="00BC1E08">
      <w:r>
        <w:t>Požadavek průhledné vlastnické struktury, ze které je zřejmé, kdo je jejím skutečným majitelem, je úzce spojen s</w:t>
      </w:r>
      <w:r w:rsidR="009B6AF5">
        <w:t> </w:t>
      </w:r>
      <w:r>
        <w:t>podmínkou</w:t>
      </w:r>
      <w:r w:rsidR="009B6AF5">
        <w:t xml:space="preserve"> ad</w:t>
      </w:r>
      <w:r>
        <w:t xml:space="preserve"> 2</w:t>
      </w:r>
      <w:r w:rsidR="009B6AF5">
        <w:t>)</w:t>
      </w:r>
      <w:r>
        <w:t xml:space="preserve"> a</w:t>
      </w:r>
      <w:r w:rsidR="009B6AF5">
        <w:t xml:space="preserve"> ad</w:t>
      </w:r>
      <w:r>
        <w:t xml:space="preserve"> 3</w:t>
      </w:r>
      <w:r w:rsidR="009B6AF5">
        <w:t>)</w:t>
      </w:r>
      <w:r>
        <w:t>, která si klade za cíl</w:t>
      </w:r>
      <w:r w:rsidR="009B6AF5">
        <w:t xml:space="preserve"> </w:t>
      </w:r>
      <w:r>
        <w:t>vydá</w:t>
      </w:r>
      <w:r w:rsidR="009B6AF5">
        <w:t>vání povolení</w:t>
      </w:r>
      <w:r>
        <w:t xml:space="preserve"> pouze subjektům s průhlednou vlastnickou strukturou s transparentní organizační stránkou. Definice skutečného majitele je obsažena v §</w:t>
      </w:r>
      <w:r w:rsidR="00BC1E08">
        <w:t> </w:t>
      </w:r>
      <w:r>
        <w:t>4 odst. 4</w:t>
      </w:r>
      <w:r w:rsidR="00EE4318">
        <w:t xml:space="preserve"> AML zákona</w:t>
      </w:r>
      <w:r>
        <w:t>. Žadatel je povinen označit osobu</w:t>
      </w:r>
      <w:r w:rsidR="009B6AF5">
        <w:t xml:space="preserve"> skutečného maji</w:t>
      </w:r>
      <w:r w:rsidR="00D267DD">
        <w:t>t</w:t>
      </w:r>
      <w:r w:rsidR="009B6AF5">
        <w:t>ele</w:t>
      </w:r>
      <w:r>
        <w:t>, uvést a v případě pochybností prokázat důvod, na základě kterého je označená osoba skutečným majitelem a pomocí organizačního schématu struktury společnosti zachytit vztahy mezi skutečným majitelem a žadatelem o vydání povolení, včetně zachycení vlastnické struktury společnosti.</w:t>
      </w:r>
    </w:p>
    <w:p w14:paraId="1140E944" w14:textId="40638D0B" w:rsidR="006B3B31" w:rsidRDefault="006B3B31" w:rsidP="006B3B31">
      <w:pPr>
        <w:rPr>
          <w:rFonts w:cs="Arial"/>
          <w:b/>
          <w:szCs w:val="24"/>
        </w:rPr>
      </w:pPr>
      <w:r w:rsidRPr="001C18A4">
        <w:rPr>
          <w:rFonts w:cs="Arial"/>
          <w:b/>
          <w:szCs w:val="24"/>
        </w:rPr>
        <w:t>Ad 7</w:t>
      </w:r>
      <w:r w:rsidR="006577BF">
        <w:rPr>
          <w:rFonts w:cs="Arial"/>
          <w:b/>
          <w:szCs w:val="24"/>
        </w:rPr>
        <w:t>)</w:t>
      </w:r>
      <w:r w:rsidRPr="001C18A4">
        <w:rPr>
          <w:rFonts w:cs="Arial"/>
          <w:b/>
          <w:szCs w:val="24"/>
        </w:rPr>
        <w:t xml:space="preserve"> věcné, personální a organizační předpoklady potřebné pro výkon činnosti v rozsahu, v jaké</w:t>
      </w:r>
      <w:r>
        <w:rPr>
          <w:rFonts w:cs="Arial"/>
          <w:b/>
          <w:szCs w:val="24"/>
        </w:rPr>
        <w:t>m hodlá provozovat hazardní hry</w:t>
      </w:r>
    </w:p>
    <w:p w14:paraId="02419FD0" w14:textId="475431C1" w:rsidR="006B3B31" w:rsidRDefault="009B6AF5" w:rsidP="00BC1E08">
      <w:r>
        <w:t>Za ú</w:t>
      </w:r>
      <w:r w:rsidR="006B3B31">
        <w:t xml:space="preserve">čelem </w:t>
      </w:r>
      <w:r>
        <w:t xml:space="preserve">zajištění vydávání povolení pouze takovým subjektům, které jsou schopny zajistit potřebnou profesionalitu pro výkon dané činnosti, je stanoven </w:t>
      </w:r>
      <w:r w:rsidR="006B3B31">
        <w:t>požadav</w:t>
      </w:r>
      <w:r>
        <w:t>e</w:t>
      </w:r>
      <w:r w:rsidR="006B3B31">
        <w:t>k</w:t>
      </w:r>
      <w:r w:rsidR="00FB2333">
        <w:t xml:space="preserve"> na </w:t>
      </w:r>
      <w:r w:rsidR="006B3B31" w:rsidRPr="00FF6DD3">
        <w:t>věcné, personální a organizační předpoklady potřebné pro</w:t>
      </w:r>
      <w:r>
        <w:t> </w:t>
      </w:r>
      <w:r w:rsidR="00FB2333">
        <w:t>výkon činnosti v </w:t>
      </w:r>
      <w:r w:rsidR="006B3B31" w:rsidRPr="00FF6DD3">
        <w:t>rozsahu, v jakém hodlá provozovat hazardní hry</w:t>
      </w:r>
      <w:r>
        <w:t>.</w:t>
      </w:r>
      <w:r w:rsidR="006B3B31">
        <w:t>. Konkrétní požadavky jsou odvi</w:t>
      </w:r>
      <w:r w:rsidR="008422B0">
        <w:t>slé od rozsahu činnosti, kterou </w:t>
      </w:r>
      <w:r w:rsidR="006B3B31">
        <w:t>žadatel žádá povolit. P</w:t>
      </w:r>
      <w:r w:rsidR="006B3B31" w:rsidRPr="007406F2">
        <w:t xml:space="preserve">ersonální předpoklady </w:t>
      </w:r>
      <w:r w:rsidR="006B3B31">
        <w:t xml:space="preserve">může žadatel </w:t>
      </w:r>
      <w:r w:rsidR="006B3B31">
        <w:lastRenderedPageBreak/>
        <w:t xml:space="preserve">doložit </w:t>
      </w:r>
      <w:r w:rsidR="006B3B31" w:rsidRPr="007406F2">
        <w:t>například předložením relevantní části profesního životopisu dokládající délku praxe (min.</w:t>
      </w:r>
      <w:r w:rsidR="006B3B31">
        <w:t> </w:t>
      </w:r>
      <w:r w:rsidR="006B3B31" w:rsidRPr="007406F2">
        <w:t>3</w:t>
      </w:r>
      <w:r w:rsidR="006B3B31">
        <w:t> </w:t>
      </w:r>
      <w:r w:rsidR="006B3B31" w:rsidRPr="007406F2">
        <w:t>roky) v oblasti provozování konkrétního druhu hazardní hry alespoň pěti osob (např. krupiér u živé hry), které budou reálně působit na českém trhu. Případně je možné doložit získané certifikáty a jiné dokumenty dokládající dostatečné personální předpoklady těchto osob a uv</w:t>
      </w:r>
      <w:r w:rsidR="006B3B31">
        <w:t xml:space="preserve">ést další doplňující informace. </w:t>
      </w:r>
      <w:r w:rsidR="006B3B31" w:rsidRPr="007406F2">
        <w:t>Organizační předpoklady je možno doložit například uvedením informace, v</w:t>
      </w:r>
      <w:r w:rsidR="00253244">
        <w:t xml:space="preserve"> jakých zemích žadatel působí a </w:t>
      </w:r>
      <w:r w:rsidR="006B3B31" w:rsidRPr="007406F2">
        <w:t>jak dlouho. Věcné předpoklady jsou doloženy především již samotnou</w:t>
      </w:r>
      <w:r w:rsidR="006B3B31">
        <w:t xml:space="preserve"> </w:t>
      </w:r>
      <w:r w:rsidR="006B3B31" w:rsidRPr="007406F2">
        <w:t>existencí požadované výš</w:t>
      </w:r>
      <w:r w:rsidR="00FB2333">
        <w:t>e vlastních zdrojů a dále např. </w:t>
      </w:r>
      <w:r w:rsidR="006B3B31" w:rsidRPr="007406F2">
        <w:t>předložením dokumentů o od</w:t>
      </w:r>
      <w:r w:rsidR="006B3B31">
        <w:t>borném posouzení a osvědčením o </w:t>
      </w:r>
      <w:r w:rsidR="006B3B31" w:rsidRPr="007406F2">
        <w:t>provozuschopnosti.</w:t>
      </w:r>
    </w:p>
    <w:p w14:paraId="2A9C9454" w14:textId="0F408DB7" w:rsidR="006B3B31" w:rsidRDefault="006B3B31" w:rsidP="00BC1E08">
      <w:r>
        <w:t>Dalšími relevantními ustanoveními pro prokazování splnění podmínek</w:t>
      </w:r>
      <w:r w:rsidR="008422B0">
        <w:t xml:space="preserve"> kladených na </w:t>
      </w:r>
      <w:r>
        <w:t>provozovatele hazardních her jsou</w:t>
      </w:r>
      <w:r w:rsidR="008422B0">
        <w:t xml:space="preserve"> normy upravující</w:t>
      </w:r>
      <w:r>
        <w:t xml:space="preserve"> podmínky bezdlužnosti a</w:t>
      </w:r>
      <w:r w:rsidR="008422B0">
        <w:t> </w:t>
      </w:r>
      <w:r>
        <w:t>bezúhonnosti. V případě bezdlužnosti se jedná o novou podmínku, kterou s sebou právní úprava přinesla. Požadavek bezúhonnosti v zúžené podobě obsahoval již zákon o loteriích.</w:t>
      </w:r>
    </w:p>
    <w:p w14:paraId="53F322F9" w14:textId="77777777" w:rsidR="006B3B31" w:rsidRDefault="006B3B31" w:rsidP="006B3B31">
      <w:pPr>
        <w:rPr>
          <w:rFonts w:cs="Arial"/>
          <w:szCs w:val="24"/>
        </w:rPr>
      </w:pPr>
      <w:r w:rsidRPr="003C297D">
        <w:rPr>
          <w:rFonts w:cs="Arial"/>
          <w:b/>
          <w:szCs w:val="24"/>
        </w:rPr>
        <w:t xml:space="preserve">Bezdlužnost </w:t>
      </w:r>
      <w:r>
        <w:rPr>
          <w:rFonts w:cs="Arial"/>
          <w:szCs w:val="24"/>
        </w:rPr>
        <w:t>zákon o hazardních hrách definuje jako absenci nedoplatku:</w:t>
      </w:r>
    </w:p>
    <w:p w14:paraId="31918DBD" w14:textId="77777777" w:rsidR="006B3B31" w:rsidRDefault="006B3B31" w:rsidP="006B3B31">
      <w:pPr>
        <w:ind w:left="708"/>
        <w:rPr>
          <w:rFonts w:cs="Arial"/>
          <w:szCs w:val="24"/>
        </w:rPr>
      </w:pPr>
      <w:r w:rsidRPr="00F9528D">
        <w:rPr>
          <w:rFonts w:cs="Arial"/>
          <w:szCs w:val="24"/>
        </w:rPr>
        <w:t>a) u orgánů Finanční správy České republiky a orgánů Celní správy České republiky, s výjimkou nedoplatku, u kterého je povoleno posečkání jeho úhrady nebo ro</w:t>
      </w:r>
      <w:r>
        <w:rPr>
          <w:rFonts w:cs="Arial"/>
          <w:szCs w:val="24"/>
        </w:rPr>
        <w:t>zložení jeho úhrady na splátky,</w:t>
      </w:r>
    </w:p>
    <w:p w14:paraId="37F758FD" w14:textId="77777777" w:rsidR="006B3B31" w:rsidRPr="00F9528D" w:rsidRDefault="006B3B31" w:rsidP="006B3B31">
      <w:pPr>
        <w:ind w:firstLine="708"/>
        <w:rPr>
          <w:rFonts w:cs="Arial"/>
          <w:szCs w:val="24"/>
        </w:rPr>
      </w:pPr>
      <w:r w:rsidRPr="00F9528D">
        <w:rPr>
          <w:rFonts w:cs="Arial"/>
          <w:szCs w:val="24"/>
        </w:rPr>
        <w:t>b) na pojistném a na penále na veřejném zdravotním pojištění,</w:t>
      </w:r>
    </w:p>
    <w:p w14:paraId="271DA6C5" w14:textId="77777777" w:rsidR="006B3B31" w:rsidRPr="00F9528D" w:rsidRDefault="006B3B31" w:rsidP="006B3B31">
      <w:pPr>
        <w:ind w:left="708"/>
        <w:rPr>
          <w:rFonts w:cs="Arial"/>
          <w:szCs w:val="24"/>
        </w:rPr>
      </w:pPr>
      <w:r w:rsidRPr="00F9528D">
        <w:rPr>
          <w:rFonts w:cs="Arial"/>
          <w:szCs w:val="24"/>
        </w:rPr>
        <w:t>c) na pojistném a na penále na sociální zabezpečení a příspěvku na státní politiku zaměstnanosti, s výjimkou nedoplatku, u kterého bylo povoleno splácení ve splátkách, a není v prodlení se splácením splátek,</w:t>
      </w:r>
    </w:p>
    <w:p w14:paraId="3793AAA2" w14:textId="6FEDB620" w:rsidR="006B3B31" w:rsidRDefault="006B3B31" w:rsidP="006B3B31">
      <w:pPr>
        <w:ind w:left="708"/>
        <w:rPr>
          <w:rFonts w:cs="Arial"/>
          <w:szCs w:val="24"/>
        </w:rPr>
      </w:pPr>
      <w:r w:rsidRPr="00F9528D">
        <w:rPr>
          <w:rFonts w:cs="Arial"/>
          <w:szCs w:val="24"/>
        </w:rPr>
        <w:t xml:space="preserve">d) na peněžitých plněních obdobných </w:t>
      </w:r>
      <w:r w:rsidR="00FB2333">
        <w:rPr>
          <w:rFonts w:cs="Arial"/>
          <w:szCs w:val="24"/>
        </w:rPr>
        <w:t>plněním uvedeným v písmenech a) </w:t>
      </w:r>
      <w:r w:rsidRPr="00F9528D">
        <w:rPr>
          <w:rFonts w:cs="Arial"/>
          <w:szCs w:val="24"/>
        </w:rPr>
        <w:t>až</w:t>
      </w:r>
      <w:r w:rsidR="008422B0">
        <w:rPr>
          <w:rFonts w:cs="Arial"/>
          <w:szCs w:val="24"/>
        </w:rPr>
        <w:t> </w:t>
      </w:r>
      <w:r w:rsidRPr="00F9528D">
        <w:rPr>
          <w:rFonts w:cs="Arial"/>
          <w:szCs w:val="24"/>
        </w:rPr>
        <w:t>c) ve státě, ve kterém má tato os</w:t>
      </w:r>
      <w:r w:rsidR="00FB2333">
        <w:rPr>
          <w:rFonts w:cs="Arial"/>
          <w:szCs w:val="24"/>
        </w:rPr>
        <w:t>oba sídlo, místo podnikání nebo </w:t>
      </w:r>
      <w:r w:rsidRPr="00F9528D">
        <w:rPr>
          <w:rFonts w:cs="Arial"/>
          <w:szCs w:val="24"/>
        </w:rPr>
        <w:t xml:space="preserve">bydliště, nebo ve státě, ve kterém se zdržovala a působila </w:t>
      </w:r>
      <w:r w:rsidR="00FB2333">
        <w:rPr>
          <w:rFonts w:cs="Arial"/>
          <w:szCs w:val="24"/>
        </w:rPr>
        <w:t>déle než 3 </w:t>
      </w:r>
      <w:r w:rsidRPr="00F9528D">
        <w:rPr>
          <w:rFonts w:cs="Arial"/>
          <w:szCs w:val="24"/>
        </w:rPr>
        <w:t>měsíce v</w:t>
      </w:r>
      <w:r>
        <w:rPr>
          <w:rFonts w:cs="Arial"/>
          <w:szCs w:val="24"/>
        </w:rPr>
        <w:t> </w:t>
      </w:r>
      <w:r w:rsidR="00BC1E08">
        <w:rPr>
          <w:rFonts w:cs="Arial"/>
          <w:szCs w:val="24"/>
        </w:rPr>
        <w:t>posledních 5 </w:t>
      </w:r>
      <w:r w:rsidRPr="00F9528D">
        <w:rPr>
          <w:rFonts w:cs="Arial"/>
          <w:szCs w:val="24"/>
        </w:rPr>
        <w:t>letech přede dnem podání žádosti o vydání povolení.</w:t>
      </w:r>
    </w:p>
    <w:p w14:paraId="3705E53D" w14:textId="3AED4980" w:rsidR="006B3B31" w:rsidRDefault="006B3B31" w:rsidP="00BC1E08">
      <w:r>
        <w:t>Bezdlužnost je vyžadována nejen u osoby žadatele o vydání základního povolení, ale také u osoby</w:t>
      </w:r>
      <w:r w:rsidRPr="00A04483">
        <w:t xml:space="preserve">, která je členem statutárního orgánu žadatele, a je-li tímto členem právnická osoba, též </w:t>
      </w:r>
      <w:r>
        <w:t>u fyzické osoby</w:t>
      </w:r>
      <w:r w:rsidRPr="00A04483">
        <w:t>, která ji v tomto orgánu zastupuje,</w:t>
      </w:r>
      <w:r>
        <w:t xml:space="preserve"> u osoby</w:t>
      </w:r>
      <w:r w:rsidRPr="00A04483">
        <w:t xml:space="preserve">, která je členem kontrolního orgánu žadatele, a je-li tímto členem právnická osoba, též </w:t>
      </w:r>
      <w:r w:rsidR="00BC1E08">
        <w:t>u </w:t>
      </w:r>
      <w:r>
        <w:t>fyzické osoby</w:t>
      </w:r>
      <w:r w:rsidRPr="00A04483">
        <w:t>, která ji v tomto orgánu zastupuje,</w:t>
      </w:r>
      <w:r>
        <w:t xml:space="preserve"> u prokuristy</w:t>
      </w:r>
      <w:r w:rsidRPr="00A04483">
        <w:t xml:space="preserve"> a</w:t>
      </w:r>
      <w:r>
        <w:t xml:space="preserve"> skutečného</w:t>
      </w:r>
      <w:r w:rsidRPr="00A04483">
        <w:t xml:space="preserve"> majitel</w:t>
      </w:r>
      <w:r>
        <w:t>e</w:t>
      </w:r>
      <w:r w:rsidRPr="00A04483">
        <w:t xml:space="preserve"> žadatele.</w:t>
      </w:r>
    </w:p>
    <w:p w14:paraId="78382D93" w14:textId="61B0D08E" w:rsidR="006B3B31" w:rsidRDefault="006B3B31" w:rsidP="00BC1E08">
      <w:r>
        <w:t xml:space="preserve">Bezdlužnost se podle </w:t>
      </w:r>
      <w:r w:rsidR="00EE4318">
        <w:t xml:space="preserve">písmen </w:t>
      </w:r>
      <w:r>
        <w:t xml:space="preserve">a) až c) uvedených výše prokazuje potvrzením příslušného finančního úřadu, </w:t>
      </w:r>
      <w:r w:rsidRPr="006409A3">
        <w:t>příslušného celního úřadu, příslušné zdravotní pojišťovny a příslušné okresní správy sociálního zabezpečení, které nesmí být starší než 30 kalendářních dnů přede dnem podání žádosti o vydání základního povolení.</w:t>
      </w:r>
      <w:r>
        <w:t xml:space="preserve"> V případě uvedené</w:t>
      </w:r>
      <w:r w:rsidR="00EE4318">
        <w:t>m</w:t>
      </w:r>
      <w:r>
        <w:t xml:space="preserve"> pod písmenem d) se skutečnost p</w:t>
      </w:r>
      <w:r w:rsidRPr="008377F9">
        <w:t>rokazuje potvrzením o</w:t>
      </w:r>
      <w:r w:rsidR="00D554E8">
        <w:t> </w:t>
      </w:r>
      <w:r w:rsidRPr="008377F9">
        <w:t xml:space="preserve"> bezdlužnosti, popřípadě obdobným zahraničním dokladem vydaný</w:t>
      </w:r>
      <w:r>
        <w:t xml:space="preserve">m orgánem státu, jehož je osoba </w:t>
      </w:r>
      <w:r w:rsidRPr="008377F9">
        <w:t>občanem nebo v němž</w:t>
      </w:r>
      <w:r w:rsidR="00BC1E08">
        <w:t xml:space="preserve"> má trvalý pobyt anebo sídlo, a </w:t>
      </w:r>
      <w:r w:rsidRPr="008377F9">
        <w:t>rovněž obdobným zahraničním dokladem vydaným orgánem státu, v</w:t>
      </w:r>
      <w:r>
        <w:t> </w:t>
      </w:r>
      <w:r w:rsidRPr="008377F9">
        <w:t>němž se zdržovala nebo působila nepřetržitě déle než 3 měsíce v posledních 5</w:t>
      </w:r>
      <w:r>
        <w:t> </w:t>
      </w:r>
      <w:r w:rsidRPr="008377F9">
        <w:t>letech přede dnem podání žádosti o</w:t>
      </w:r>
      <w:r w:rsidR="00D554E8">
        <w:t> </w:t>
      </w:r>
      <w:r w:rsidRPr="008377F9">
        <w:t xml:space="preserve"> základní povolení. Nevydává-li tento stát obdobný zahraniční doklad, předloží osoba uvedená v</w:t>
      </w:r>
      <w:r>
        <w:t xml:space="preserve"> odstavci 1 čestné prohlášení o </w:t>
      </w:r>
      <w:r w:rsidRPr="008377F9">
        <w:t>bezdlužnosti učiněné před notářem nebo orgánem státu, jehož je občanem, nebo</w:t>
      </w:r>
      <w:r w:rsidR="008422B0">
        <w:t> </w:t>
      </w:r>
      <w:r w:rsidRPr="008377F9">
        <w:t>před notářem nebo orgánem státu posledního pobytu. Tyto doklady nesmí být starší než 3 měsíce přede dnem podání žádosti o</w:t>
      </w:r>
      <w:r w:rsidR="00D554E8">
        <w:t> </w:t>
      </w:r>
      <w:r w:rsidRPr="008377F9">
        <w:t xml:space="preserve"> vydání základního povolení. J</w:t>
      </w:r>
      <w:r w:rsidR="00BC1E08">
        <w:t>sou</w:t>
      </w:r>
      <w:r w:rsidR="008422B0">
        <w:noBreakHyphen/>
      </w:r>
      <w:r w:rsidR="00FB2333">
        <w:t>li doklady o </w:t>
      </w:r>
      <w:r w:rsidR="00BC1E08">
        <w:t>bezdlužnosti v </w:t>
      </w:r>
      <w:r w:rsidRPr="008377F9">
        <w:t xml:space="preserve">jiném než českém </w:t>
      </w:r>
      <w:r w:rsidRPr="008377F9">
        <w:lastRenderedPageBreak/>
        <w:t>jazyc</w:t>
      </w:r>
      <w:r>
        <w:t>e, předkládají se v originále a </w:t>
      </w:r>
      <w:r w:rsidR="00FB2333">
        <w:t>současně v </w:t>
      </w:r>
      <w:r w:rsidRPr="008377F9">
        <w:t>překladu do českého jazyka</w:t>
      </w:r>
      <w:r>
        <w:t>,</w:t>
      </w:r>
      <w:r w:rsidRPr="008377F9">
        <w:t xml:space="preserve"> v</w:t>
      </w:r>
      <w:r w:rsidR="00D554E8">
        <w:t> </w:t>
      </w:r>
      <w:r w:rsidRPr="008377F9">
        <w:t xml:space="preserve"> pochybnostech </w:t>
      </w:r>
      <w:r>
        <w:t>M</w:t>
      </w:r>
      <w:r w:rsidRPr="008377F9">
        <w:t>inisterstvo</w:t>
      </w:r>
      <w:r>
        <w:t xml:space="preserve"> financí</w:t>
      </w:r>
      <w:r w:rsidRPr="008377F9">
        <w:t xml:space="preserve"> </w:t>
      </w:r>
      <w:r>
        <w:t>požaduje</w:t>
      </w:r>
      <w:r w:rsidRPr="008377F9">
        <w:t xml:space="preserve"> úředně ověřený překlad.</w:t>
      </w:r>
    </w:p>
    <w:p w14:paraId="1E394722" w14:textId="62F168AB" w:rsidR="006B3B31" w:rsidRDefault="006B3B31" w:rsidP="00BC1E08">
      <w:r w:rsidRPr="009A7F93">
        <w:t xml:space="preserve">Pokud </w:t>
      </w:r>
      <w:r w:rsidR="009E00DD">
        <w:t xml:space="preserve">je </w:t>
      </w:r>
      <w:r w:rsidRPr="009A7F93">
        <w:t xml:space="preserve">osoba, na kterou se vztahuje podmínka bezdlužnosti, </w:t>
      </w:r>
      <w:r w:rsidR="009E00DD">
        <w:t xml:space="preserve">občanem nebo má </w:t>
      </w:r>
      <w:r w:rsidRPr="009A7F93">
        <w:t>trvalý pobyt anebo sídlo ve státě mimo území České republiky, anebo se v takovém státě zdržovala</w:t>
      </w:r>
      <w:r w:rsidRPr="003C297D">
        <w:t xml:space="preserve"> a působila déle než 3 měsíce v posledních 5 letech přede dnem podání žádosti o vydání </w:t>
      </w:r>
      <w:r w:rsidRPr="00387200">
        <w:t>povolení, musí doložit kromě potvrzení o</w:t>
      </w:r>
      <w:r w:rsidR="006550C2">
        <w:t xml:space="preserve"> absenci</w:t>
      </w:r>
      <w:r w:rsidRPr="00387200">
        <w:t xml:space="preserve"> nedoplat</w:t>
      </w:r>
      <w:r w:rsidR="006550C2">
        <w:t>ků</w:t>
      </w:r>
      <w:r w:rsidRPr="00387200">
        <w:t xml:space="preserve"> </w:t>
      </w:r>
      <w:r w:rsidRPr="00144E17">
        <w:t xml:space="preserve">podle a) až c), také potvrzení o </w:t>
      </w:r>
      <w:r w:rsidR="006550C2">
        <w:t xml:space="preserve">absenci </w:t>
      </w:r>
      <w:r w:rsidR="009E00DD">
        <w:t>nedoplatku ve smyslu písm. </w:t>
      </w:r>
      <w:r w:rsidRPr="00144E17">
        <w:t>d).</w:t>
      </w:r>
      <w:r w:rsidRPr="003C297D">
        <w:t xml:space="preserve"> Osoba si může vybrat, zda takové </w:t>
      </w:r>
      <w:r w:rsidR="009E00DD">
        <w:t>doklady doloží buď potvrzením o </w:t>
      </w:r>
      <w:r w:rsidRPr="003C297D">
        <w:t>bezdlužnosti, popřípadě obdobným zahraničním dokladem vydaným orgá</w:t>
      </w:r>
      <w:r w:rsidR="00FB2333">
        <w:t>nem státu, kde je občanem, nebo </w:t>
      </w:r>
      <w:r w:rsidRPr="003C297D">
        <w:t>má trvalý pobyt anebo sídlo,</w:t>
      </w:r>
      <w:r>
        <w:t xml:space="preserve"> vždy však musí tyto doklady doložit</w:t>
      </w:r>
      <w:r w:rsidR="00FB2333">
        <w:t xml:space="preserve"> ze státu, v </w:t>
      </w:r>
      <w:r w:rsidRPr="00BE7071">
        <w:t>němž se tato osoba zdržovala nebo působila nepřetržitě dé</w:t>
      </w:r>
      <w:r w:rsidR="00FB2333">
        <w:t>le než 3 měsíce v </w:t>
      </w:r>
      <w:r w:rsidRPr="00BE7071">
        <w:t>posledních 5</w:t>
      </w:r>
      <w:r>
        <w:t> </w:t>
      </w:r>
      <w:r w:rsidRPr="00BE7071">
        <w:t xml:space="preserve">letech přede dnem podání žádosti o </w:t>
      </w:r>
      <w:r w:rsidRPr="003C297D">
        <w:t xml:space="preserve">vydání </w:t>
      </w:r>
      <w:r w:rsidRPr="00BE7071">
        <w:t>p</w:t>
      </w:r>
      <w:r w:rsidRPr="00C75CB6">
        <w:t>ovolení</w:t>
      </w:r>
      <w:r w:rsidRPr="00C75CB6">
        <w:rPr>
          <w:vertAlign w:val="superscript"/>
        </w:rPr>
        <w:footnoteReference w:id="5"/>
      </w:r>
      <w:r w:rsidRPr="00C75CB6">
        <w:t>. Problematikou rozšíření okruhu</w:t>
      </w:r>
      <w:r w:rsidR="006550C2">
        <w:t xml:space="preserve"> absence</w:t>
      </w:r>
      <w:r w:rsidRPr="00C75CB6">
        <w:t xml:space="preserve"> nedoplatků se bude zabývat následující část věnovaná konkrétním</w:t>
      </w:r>
      <w:r w:rsidR="00BC1E08">
        <w:t xml:space="preserve"> oblastem možného zaměření se v </w:t>
      </w:r>
      <w:r w:rsidRPr="00C75CB6">
        <w:t>budoucnu.</w:t>
      </w:r>
    </w:p>
    <w:p w14:paraId="166A9807" w14:textId="041161E3" w:rsidR="006B3B31" w:rsidRDefault="006B3B31" w:rsidP="006B3B31">
      <w:r w:rsidRPr="00B440B7">
        <w:rPr>
          <w:b/>
        </w:rPr>
        <w:t xml:space="preserve">Bezúhonnost </w:t>
      </w:r>
      <w:r>
        <w:t>je v zákoně o hazardních hrách vymezena negativně. Za bezúhonnou nemůže být považována osoba, která byla p</w:t>
      </w:r>
      <w:r w:rsidRPr="00B440B7">
        <w:t>ravomocně odsouzena pro úmyslný trestný čin, nebo pro trestný čin hospodářský nebo pro trestný čin proti majetku, pokud se na ni nehledí, jako by nebyla odsouzena</w:t>
      </w:r>
      <w:r>
        <w:t>. Oproti zá</w:t>
      </w:r>
      <w:r w:rsidR="00BC1E08">
        <w:t>konu o loteriích se jedná o </w:t>
      </w:r>
      <w:r>
        <w:t>širší vymezení okruhu činů, které vylučují bezúhonnost osoby, neboť se nemusí jednat pouze o trestné činy, jejichž skutková podstata souvisí s provozováním loterií a jiných podobných her (v současné terminologii hazardních her).</w:t>
      </w:r>
    </w:p>
    <w:p w14:paraId="1257129F" w14:textId="29E4EF9F" w:rsidR="006B3B31" w:rsidRPr="009A7F93" w:rsidRDefault="006B3B31" w:rsidP="006B3B31">
      <w:pPr>
        <w:rPr>
          <w:rFonts w:cs="Arial"/>
          <w:szCs w:val="24"/>
        </w:rPr>
      </w:pPr>
      <w:r w:rsidRPr="009A7F93">
        <w:rPr>
          <w:rFonts w:cs="Arial"/>
          <w:szCs w:val="24"/>
        </w:rPr>
        <w:t>Okruh osob, u nichž je vyžadována bezúhonnost, je stejný jako pro podmínku bezdlužnosti.</w:t>
      </w:r>
    </w:p>
    <w:p w14:paraId="31721B94" w14:textId="0AB96C6C" w:rsidR="006B3B31" w:rsidRPr="009A7F93" w:rsidRDefault="006B3B31" w:rsidP="006B3B31">
      <w:pPr>
        <w:rPr>
          <w:rFonts w:cs="Arial"/>
          <w:szCs w:val="24"/>
        </w:rPr>
      </w:pPr>
      <w:r w:rsidRPr="009A7F93">
        <w:rPr>
          <w:rFonts w:cs="Arial"/>
          <w:szCs w:val="24"/>
        </w:rPr>
        <w:t>V případě fyzické osoby, která má přiděleno rodné číslo</w:t>
      </w:r>
      <w:r w:rsidRPr="009A7F93">
        <w:rPr>
          <w:rFonts w:cs="Arial"/>
          <w:szCs w:val="24"/>
          <w:vertAlign w:val="superscript"/>
        </w:rPr>
        <w:footnoteReference w:id="6"/>
      </w:r>
      <w:r w:rsidRPr="009A7F93">
        <w:rPr>
          <w:rFonts w:cs="Arial"/>
          <w:szCs w:val="24"/>
        </w:rPr>
        <w:t xml:space="preserve">, si Ministerstvo financí </w:t>
      </w:r>
      <w:r w:rsidR="006550C2">
        <w:rPr>
          <w:rFonts w:cs="Arial"/>
          <w:szCs w:val="24"/>
        </w:rPr>
        <w:t>po</w:t>
      </w:r>
      <w:r w:rsidRPr="009A7F93">
        <w:rPr>
          <w:rFonts w:cs="Arial"/>
          <w:szCs w:val="24"/>
        </w:rPr>
        <w:t xml:space="preserve">žádá </w:t>
      </w:r>
      <w:r w:rsidR="006550C2">
        <w:rPr>
          <w:rFonts w:cs="Arial"/>
          <w:szCs w:val="24"/>
        </w:rPr>
        <w:t xml:space="preserve">o </w:t>
      </w:r>
      <w:r w:rsidRPr="009A7F93">
        <w:rPr>
          <w:rFonts w:cs="Arial"/>
          <w:szCs w:val="24"/>
        </w:rPr>
        <w:t>výpis z evidence Rejstříku trestů, pokud mu žadatel poskytne potřebné identifikační údaje osob podle § 130 zákona o hazardních hrách. Žadatel může též požádat, aby Ministerstvo financí zjistilo tuto skutečnos</w:t>
      </w:r>
      <w:r w:rsidR="009E00DD">
        <w:rPr>
          <w:rFonts w:cs="Arial"/>
          <w:szCs w:val="24"/>
        </w:rPr>
        <w:t>t z jiného správního řízení, ve </w:t>
      </w:r>
      <w:r w:rsidRPr="009A7F93">
        <w:rPr>
          <w:rFonts w:cs="Arial"/>
          <w:szCs w:val="24"/>
        </w:rPr>
        <w:t>kterém ji doložil, přičemž platí, že dokument nesmí být starší</w:t>
      </w:r>
      <w:r w:rsidR="006550C2">
        <w:rPr>
          <w:rFonts w:cs="Arial"/>
          <w:szCs w:val="24"/>
        </w:rPr>
        <w:t xml:space="preserve"> než</w:t>
      </w:r>
      <w:r w:rsidRPr="009A7F93">
        <w:rPr>
          <w:rFonts w:cs="Arial"/>
          <w:szCs w:val="24"/>
        </w:rPr>
        <w:t xml:space="preserve"> 3 měsíc</w:t>
      </w:r>
      <w:r w:rsidR="006550C2">
        <w:rPr>
          <w:rFonts w:cs="Arial"/>
          <w:szCs w:val="24"/>
        </w:rPr>
        <w:t>e</w:t>
      </w:r>
      <w:r w:rsidR="009E00DD">
        <w:rPr>
          <w:rFonts w:cs="Arial"/>
          <w:szCs w:val="24"/>
        </w:rPr>
        <w:t xml:space="preserve"> od </w:t>
      </w:r>
      <w:r w:rsidRPr="009A7F93">
        <w:rPr>
          <w:rFonts w:cs="Arial"/>
          <w:szCs w:val="24"/>
        </w:rPr>
        <w:t>okamžiku podání žádosti o vydání základního povolení.</w:t>
      </w:r>
    </w:p>
    <w:p w14:paraId="0198D0FD" w14:textId="77777777" w:rsidR="006B3B31" w:rsidRDefault="006B3B31" w:rsidP="006B3B31">
      <w:pPr>
        <w:rPr>
          <w:rFonts w:cs="Arial"/>
          <w:szCs w:val="24"/>
        </w:rPr>
      </w:pPr>
      <w:r w:rsidRPr="009A7F93">
        <w:rPr>
          <w:rFonts w:cs="Arial"/>
          <w:szCs w:val="24"/>
        </w:rPr>
        <w:t>V případě cizích státních příslušníků se bezúhonnost prokazuje výpisem z Rejstříku trestů, popřípadě obdobným zahraničním dokladem vydaným státem, jehož je osoba občanem nebo v němž má trvalý pobyt anebo sídlo, nebo obdobným zahraničním dokladem vydaným orgánem státu, v němž se zdržovala nebo působila nepřetržitě déle než 3 měsíce v posledních 5 letech přede dnem podání žádosti o základní povolení. Nevydává-li tento stát obdobný zahraniční doklad, předloží osoba čestné prohlášení o bezúhonnosti učiněné před notářem nebo orgánem státu, jehož je občanem, nebo před notářem nebo orgánem státu posledního pobytu. Tyto doklady nesmí být starší než 3 měsíce přede dnem podání žádosti o vydání základního povolení. Jsou-li doklady o bezúhonnosti v jiném než českém jazyce, předkládají se v</w:t>
      </w:r>
      <w:r>
        <w:rPr>
          <w:rFonts w:cs="Arial"/>
          <w:szCs w:val="24"/>
        </w:rPr>
        <w:t> </w:t>
      </w:r>
      <w:r w:rsidRPr="009A7F93">
        <w:rPr>
          <w:rFonts w:cs="Arial"/>
          <w:szCs w:val="24"/>
        </w:rPr>
        <w:t>originále a současně v překladu do českého jazyka, v pochybnostech Ministerstvo financí požaduje úředně ověřený překlad.</w:t>
      </w:r>
    </w:p>
    <w:p w14:paraId="5E9633AE" w14:textId="0F9B605F" w:rsidR="006B3B31" w:rsidRPr="009A7F93" w:rsidRDefault="006B3B31" w:rsidP="006B3B31">
      <w:pPr>
        <w:rPr>
          <w:rFonts w:cs="Arial"/>
          <w:szCs w:val="24"/>
        </w:rPr>
      </w:pPr>
      <w:r w:rsidRPr="009A7F93">
        <w:rPr>
          <w:rFonts w:cs="Arial"/>
          <w:szCs w:val="24"/>
        </w:rPr>
        <w:lastRenderedPageBreak/>
        <w:t>Na rozdíl od bezdlužnosti</w:t>
      </w:r>
      <w:r w:rsidR="006550C2">
        <w:rPr>
          <w:rFonts w:cs="Arial"/>
          <w:szCs w:val="24"/>
        </w:rPr>
        <w:t xml:space="preserve"> si</w:t>
      </w:r>
      <w:r w:rsidRPr="009A7F93">
        <w:rPr>
          <w:rFonts w:cs="Arial"/>
          <w:szCs w:val="24"/>
        </w:rPr>
        <w:t xml:space="preserve"> v případě prokázání bezúhonnosti cizí státní příslušník se sídlem mimo Českou republiku může vybrat, zda doloží doklad prokazující bezúhonnost ze státu, jehož je občanem, nebo v němž má trvalý pobyt, nebo v němž se zdržoval nebo působil nepřetržitě déle než 3 měsíce v posledních 5 letech přede dnem podání žádosti o vydání základního povolení. V případě zahraniční obchodní společnosti dokládá obchodní společnost doklad o bezúhonnost primárně ze státu, v němž má sídlo a dále také ze států, ve kterých působila v rozhodném období.</w:t>
      </w:r>
    </w:p>
    <w:p w14:paraId="434975C6" w14:textId="77777777" w:rsidR="006B3B31" w:rsidRDefault="006B3B31" w:rsidP="006B3B31">
      <w:pPr>
        <w:rPr>
          <w:rFonts w:cs="Arial"/>
          <w:szCs w:val="24"/>
        </w:rPr>
      </w:pPr>
      <w:r w:rsidRPr="009A7F93">
        <w:rPr>
          <w:rFonts w:cs="Arial"/>
          <w:szCs w:val="24"/>
        </w:rPr>
        <w:t>Pro vydání povolení dále musí žadatel poskytnout kauci. Tomuto tématu je věnována samostatná část tohoto dokumentu.</w:t>
      </w:r>
    </w:p>
    <w:p w14:paraId="743810E2" w14:textId="2E9ABE85" w:rsidR="006B3B31" w:rsidRPr="009A7F93" w:rsidRDefault="006B3B31" w:rsidP="006B3B31">
      <w:pPr>
        <w:rPr>
          <w:rFonts w:cs="Arial"/>
          <w:szCs w:val="24"/>
        </w:rPr>
      </w:pPr>
      <w:r w:rsidRPr="009A7F93">
        <w:rPr>
          <w:rFonts w:cs="Arial"/>
          <w:szCs w:val="24"/>
        </w:rPr>
        <w:t xml:space="preserve">Podmínkou pro vydání základního povolení je také </w:t>
      </w:r>
      <w:r w:rsidRPr="00DB3549">
        <w:rPr>
          <w:rFonts w:cs="Arial"/>
          <w:b/>
          <w:szCs w:val="24"/>
        </w:rPr>
        <w:t>absence likvidace</w:t>
      </w:r>
      <w:r w:rsidRPr="009A7F93">
        <w:rPr>
          <w:rFonts w:cs="Arial"/>
          <w:szCs w:val="24"/>
        </w:rPr>
        <w:t xml:space="preserve"> nebo </w:t>
      </w:r>
      <w:r w:rsidRPr="00DB3549">
        <w:rPr>
          <w:rFonts w:cs="Arial"/>
          <w:b/>
          <w:szCs w:val="24"/>
        </w:rPr>
        <w:t>pravomocného zjištění úpadku</w:t>
      </w:r>
      <w:r w:rsidRPr="009A7F93">
        <w:rPr>
          <w:rFonts w:cs="Arial"/>
          <w:szCs w:val="24"/>
        </w:rPr>
        <w:t xml:space="preserve"> v době rozhodnutí a v posledních 3 letech. Uvedená podmínka doplňuje již shora zmiňované požadavky na finanční stabilitu licencovaných subjektů a garanci zdravého hospodaření včetně schopnosti plnit své závazky. Právní úprava je tedy v tomto ohledu speciální v tom, že ani způsob řešení úpadku v podobě reorganizace společnosti v roz</w:t>
      </w:r>
      <w:r w:rsidR="00F5798F">
        <w:rPr>
          <w:rFonts w:cs="Arial"/>
          <w:szCs w:val="24"/>
        </w:rPr>
        <w:t>hodném období není považován za </w:t>
      </w:r>
      <w:r w:rsidRPr="009A7F93">
        <w:rPr>
          <w:rFonts w:cs="Arial"/>
          <w:szCs w:val="24"/>
        </w:rPr>
        <w:t>dostatečnou záruku. Tedy ani subjekt, který prošel úspěšnou reorganizací v posledních 3 letech, není oprávněn získat licenci, a pokud k pravomocnému prohlášení úpadku dojde po udělení licence, pak je Ministerstvo financí povinno zahájit příslušný proces odnětí udělené licence bez ohledu na případný způsob řešení takového úpadku.</w:t>
      </w:r>
    </w:p>
    <w:p w14:paraId="66EF508A" w14:textId="1F0665D5" w:rsidR="00BC1E08" w:rsidRPr="0045079E" w:rsidRDefault="006B3B31" w:rsidP="006B3B31">
      <w:pPr>
        <w:rPr>
          <w:rFonts w:cs="Arial"/>
          <w:szCs w:val="24"/>
        </w:rPr>
      </w:pPr>
      <w:r w:rsidRPr="009A7F93">
        <w:rPr>
          <w:rFonts w:cs="Arial"/>
          <w:szCs w:val="24"/>
        </w:rPr>
        <w:t>Při vydávání základního povolení je Ministerstv</w:t>
      </w:r>
      <w:r w:rsidR="00FB2333">
        <w:rPr>
          <w:rFonts w:cs="Arial"/>
          <w:szCs w:val="24"/>
        </w:rPr>
        <w:t>o financí povinno posoudit, zda </w:t>
      </w:r>
      <w:r w:rsidRPr="009A7F93">
        <w:rPr>
          <w:rFonts w:cs="Arial"/>
          <w:b/>
          <w:szCs w:val="24"/>
        </w:rPr>
        <w:t>nebude provozování hazardní hry narušovat veřejný pořádek</w:t>
      </w:r>
      <w:r w:rsidR="006550C2">
        <w:rPr>
          <w:rFonts w:cs="Arial"/>
          <w:b/>
          <w:szCs w:val="24"/>
        </w:rPr>
        <w:t>,</w:t>
      </w:r>
      <w:r w:rsidRPr="009A7F93">
        <w:rPr>
          <w:rFonts w:cs="Arial"/>
          <w:b/>
          <w:szCs w:val="24"/>
        </w:rPr>
        <w:t xml:space="preserve"> zda bude zaručeno řádné provozování hazardní hry a zajištěno řádné technické vybavení</w:t>
      </w:r>
      <w:r w:rsidRPr="009A7F93">
        <w:rPr>
          <w:rFonts w:cs="Arial"/>
          <w:szCs w:val="24"/>
        </w:rPr>
        <w:t>. K prokázání, že je zajištěno řádné technické vybavení, slouží především dokumenty odborného posouzení a osvědčení o provozuschopnosti, jež jsou výstupními dokumenty odborného posuzování pověřenou osobou. Předmětem těchto dokumentů je pak zachycení ověření, že zařízení splňuje techni</w:t>
      </w:r>
      <w:r w:rsidR="00BC1E08">
        <w:rPr>
          <w:rFonts w:cs="Arial"/>
          <w:szCs w:val="24"/>
        </w:rPr>
        <w:t>cké požadavky kladené zákonem o </w:t>
      </w:r>
      <w:r w:rsidRPr="009A7F93">
        <w:rPr>
          <w:rFonts w:cs="Arial"/>
          <w:szCs w:val="24"/>
        </w:rPr>
        <w:t>hazardních hrách. Pro zajištění řádného provozování hazardní hry pak Ministerstvo financí stanovuje v rámci vydávaného základního povolení podmínky, při jejichž plnění dochází k řádnému provozování dané hazardní hry.</w:t>
      </w:r>
      <w:bookmarkStart w:id="16" w:name="_Toc69373770"/>
    </w:p>
    <w:p w14:paraId="7FEE25DC" w14:textId="768EFF91" w:rsidR="006B3B31" w:rsidRDefault="006B3B31" w:rsidP="006B3B31">
      <w:pPr>
        <w:rPr>
          <w:b/>
        </w:rPr>
      </w:pPr>
      <w:r w:rsidRPr="008A1375">
        <w:rPr>
          <w:b/>
        </w:rPr>
        <w:t>Forma příloh</w:t>
      </w:r>
      <w:bookmarkEnd w:id="16"/>
    </w:p>
    <w:p w14:paraId="6E2F70B0" w14:textId="209981C6" w:rsidR="006B3B31" w:rsidRPr="008A1375" w:rsidRDefault="006B3B31" w:rsidP="00BC1E08">
      <w:r w:rsidRPr="008A1375">
        <w:t>Jak už bylo uvedeno shora, zákon o hazardních hrách v některých případech stanoví pro prokázání uvedených skutečností konkrétní přílohy, které musí žadatel doložit (např. povinné přílohy vyjmenované v § 88 odst. 2 až 5 zákona o hazardních hrách, § 91 odst. 3 a 4 zákona o hazardních hrách, § 92 odst. 3 a 4 zákona o hazardních hrách), v některých případech uvádí pouze podmínky</w:t>
      </w:r>
      <w:r w:rsidR="00F5798F">
        <w:t>, které je nezbytné splnit, bez </w:t>
      </w:r>
      <w:r w:rsidRPr="008A1375">
        <w:t>stanovení konkrétních příloh (např. § 6 odst. 1 písm. b) zákona o hazardních hrách).</w:t>
      </w:r>
    </w:p>
    <w:p w14:paraId="2D03153D" w14:textId="163C9F3B" w:rsidR="006B3B31" w:rsidRDefault="006B3B31" w:rsidP="00BC1E08">
      <w:r w:rsidRPr="008A1375">
        <w:t>Z hlediska formy dokládaných příloh pak Ministerstvo financí sleduje výklad obsažený v závěru č. 151/2016 ze zasedání por</w:t>
      </w:r>
      <w:r w:rsidR="003529F1">
        <w:t>adního sboru ministra vnitra ke </w:t>
      </w:r>
      <w:r w:rsidRPr="008A1375">
        <w:t>správnímu řádu: „</w:t>
      </w:r>
      <w:r w:rsidRPr="008A1375">
        <w:rPr>
          <w:i/>
        </w:rPr>
        <w:t>Předkládá-li osoba správnímu orgánu dokumenty, které zákon vymezuje jako povinné přílohy k žádosti, musí mít formu originálu nebo ověřené kopie. V případě elektronické komunikace musí být listina podrobena autorizované konverzi dokumentů podle zákona č. 300/2008 Sb., o elektronických úkonech a autorizované konverzi dokumentů, ve znění pozdějších předpisů. Je-li správnímu orgánu předkládána listina, která má sloužit k provedení důkazu, je dostačující prostá kopie dokumentu, popřípadě naskenovaný dokument, nejsou-li pochybnosti o p</w:t>
      </w:r>
      <w:r w:rsidR="00BC1E08">
        <w:rPr>
          <w:i/>
        </w:rPr>
        <w:t>ravosti takového dokumentu a </w:t>
      </w:r>
      <w:r w:rsidRPr="008A1375">
        <w:rPr>
          <w:i/>
        </w:rPr>
        <w:t xml:space="preserve">akceptuje-li takovou formu příslušný správní orgán. Míra autenticity listiny a její </w:t>
      </w:r>
      <w:r w:rsidRPr="008A1375">
        <w:rPr>
          <w:i/>
        </w:rPr>
        <w:lastRenderedPageBreak/>
        <w:t>informační přínos je v takovém případě předmětem volného hodnocení důkazů správního orgánu podle § 50 odst. 4 správního řádu</w:t>
      </w:r>
      <w:r w:rsidRPr="008A1375">
        <w:t>.“ Ačkoliv tedy zákon o hazardních hrách, zejména § 6</w:t>
      </w:r>
      <w:r w:rsidR="003529F1">
        <w:t xml:space="preserve"> zákona o hazardních hrách</w:t>
      </w:r>
      <w:r w:rsidR="006550C2">
        <w:t>,</w:t>
      </w:r>
      <w:r w:rsidRPr="008A1375">
        <w:t xml:space="preserve"> nestanoví konkrétní přílohy, kterými je nezbytné požadavky prokázat, doporučuje Ministerstvo financí i</w:t>
      </w:r>
      <w:r>
        <w:t> </w:t>
      </w:r>
      <w:r w:rsidRPr="008A1375">
        <w:t>tyto podklady dokládat v originálu nebo úředně ověřené kopii pro předejití jakýchkoliv pochybností o jejich pravosti, a to i vzhledem k významu podmínky, kterou mají takové doklady proka</w:t>
      </w:r>
      <w:r w:rsidR="003529F1">
        <w:t>zovat. V případě, že se jedná o </w:t>
      </w:r>
      <w:r w:rsidRPr="008A1375">
        <w:t>elektronickou formu dokumentu, jehož původcem je sám žadatel, je dostatečné z hlediska formy, pokud dokument je opatřen uznávaným elektronickým podpisem</w:t>
      </w:r>
      <w:r w:rsidRPr="008A1375">
        <w:rPr>
          <w:vertAlign w:val="superscript"/>
        </w:rPr>
        <w:footnoteReference w:id="7"/>
      </w:r>
      <w:r w:rsidRPr="008A1375">
        <w:t xml:space="preserve"> žadatelem, případně jeho právním zástupcem, anebo je tento dokument zaslán datovou schránkou žadatele nebo jeho právního zástupce, která vytváří fikci podpisu ve smyslu § 18 od</w:t>
      </w:r>
      <w:r w:rsidR="00BC1E08">
        <w:t>st. 2 zákona č. 300/2008 Sb., o </w:t>
      </w:r>
      <w:r w:rsidR="003529F1">
        <w:t>elektronických úkonech a </w:t>
      </w:r>
      <w:r w:rsidRPr="008A1375">
        <w:t>autorizované konverzi dokumentů</w:t>
      </w:r>
      <w:r w:rsidR="00105739">
        <w:t>, ve znění pozdějších předpisů,</w:t>
      </w:r>
      <w:r w:rsidRPr="008A1375">
        <w:t xml:space="preserve"> na elektronickém dokumentu zaslaném takovou datovou zprávou.</w:t>
      </w:r>
    </w:p>
    <w:p w14:paraId="6A527E07" w14:textId="2D262B13" w:rsidR="006B3B31" w:rsidRPr="004A6A11" w:rsidRDefault="006B3B31" w:rsidP="00BC1E08">
      <w:r>
        <w:t>Podle</w:t>
      </w:r>
      <w:r w:rsidRPr="004A6A11">
        <w:t xml:space="preserve"> § 16 správního řádu se v řízení jedná a písemnosti se vyhotovují v českém jazyce. Písemnosti vyhotovené v cizím jazyce (vyjma jazyka slovenského) předkládá žadatel v originálním znění a zpravidla současn</w:t>
      </w:r>
      <w:r w:rsidR="003529F1">
        <w:t>ě v úředně ověřeném překladu do </w:t>
      </w:r>
      <w:r w:rsidRPr="004A6A11">
        <w:t>českého jazyka. Dále, jedná-li se o cizí veřejnou lis</w:t>
      </w:r>
      <w:r w:rsidR="003529F1">
        <w:t>tinu, musí být v souladu s § 53 o</w:t>
      </w:r>
      <w:r w:rsidRPr="004A6A11">
        <w:t>dst. 4 správního řádu opatřena předepsaný</w:t>
      </w:r>
      <w:r w:rsidR="003529F1">
        <w:t>m ověřením, tedy apostilou (dle </w:t>
      </w:r>
      <w:r w:rsidRPr="004A6A11">
        <w:t>tzv. Haagské úmluvy ze dne 5. října 1961</w:t>
      </w:r>
      <w:r w:rsidRPr="004A6A11">
        <w:rPr>
          <w:vertAlign w:val="superscript"/>
        </w:rPr>
        <w:footnoteReference w:id="8"/>
      </w:r>
      <w:r w:rsidRPr="004A6A11">
        <w:t>), nebo superlegalizací, pokud se nejedná o</w:t>
      </w:r>
      <w:r>
        <w:t> </w:t>
      </w:r>
      <w:r w:rsidRPr="004A6A11">
        <w:t>veřejnou listinu, kterou není třeba na základě uzavřené bilaterální smlouvy</w:t>
      </w:r>
      <w:r w:rsidRPr="004A6A11">
        <w:rPr>
          <w:vertAlign w:val="superscript"/>
        </w:rPr>
        <w:footnoteReference w:id="9"/>
      </w:r>
      <w:r w:rsidRPr="004A6A11">
        <w:t xml:space="preserve"> dále ověřovat. V některých případech ustanovení zákona o hazardních hrách (např. § 91 odst. 4 zákona o hazardních hrách) tento požadavek zmírňuje tak, že může stačit prostý překlad, pokud nemá Ministerstvo financí pochybnosti a úředně ověřený překlad si nevyžádá.</w:t>
      </w:r>
    </w:p>
    <w:p w14:paraId="79B9CD92" w14:textId="21438F06" w:rsidR="006B3B31" w:rsidRDefault="006B3B31" w:rsidP="00AF25A0">
      <w:r w:rsidRPr="004A6A11">
        <w:t xml:space="preserve">Žadatel může požadovat, aby Ministerstvo financí některé údaje </w:t>
      </w:r>
      <w:r w:rsidR="00110F51">
        <w:t>zjistilo z veřejně přístupného R</w:t>
      </w:r>
      <w:r w:rsidRPr="004A6A11">
        <w:t xml:space="preserve">ejstříku (v žádosti žadatel specifikuje kterého) či postupovalo </w:t>
      </w:r>
      <w:r>
        <w:t>po</w:t>
      </w:r>
      <w:r w:rsidRPr="004A6A11">
        <w:t>dle §</w:t>
      </w:r>
      <w:r w:rsidR="00105739">
        <w:t> </w:t>
      </w:r>
      <w:r w:rsidRPr="004A6A11">
        <w:t>92</w:t>
      </w:r>
      <w:r w:rsidR="00105739">
        <w:t> </w:t>
      </w:r>
      <w:r w:rsidRPr="004A6A11">
        <w:t>odst.</w:t>
      </w:r>
      <w:r w:rsidR="00105739">
        <w:t> </w:t>
      </w:r>
      <w:r w:rsidRPr="004A6A11">
        <w:t>3 zákona o hazardních hrách (prokázání bezúhonnosti), případně opatřilo některé přílohy z jiného jím vedeného spisového materiálu. Při využití této možnosti žadatel deklaruje, že se stav jím dokládaných skutečností nezměnil a že přílohy jsou stále relevantní a nedošlo k jejich změně.</w:t>
      </w:r>
    </w:p>
    <w:p w14:paraId="681063FB" w14:textId="393FC8F4" w:rsidR="006B3B31" w:rsidRDefault="006B3B31" w:rsidP="00AF25A0">
      <w:r>
        <w:t>V souladu s § 88 odst. 2 zákona o hazardních hrách dokládá všechny přílohy k žádosti o základní povolení žadatel, případně jeho zástupce na základě plné moci. Subsidiárně se zde aplikuje právní úprava jednání za právnickou osobu v rámci správního řízení upravená § 30 sprá</w:t>
      </w:r>
      <w:r w:rsidR="00513AB2">
        <w:t xml:space="preserve">vního řádu, doplněná aplikací § </w:t>
      </w:r>
      <w:r>
        <w:t xml:space="preserve">21 zákona č. 99/1963 Sb., občanský soudní řád, ve znění pozdějších předpisů. Za právnickou osobu jedná </w:t>
      </w:r>
      <w:r w:rsidRPr="009B3505">
        <w:t>a) člen statutárního orgánu; tvoří-li statu</w:t>
      </w:r>
      <w:r w:rsidR="003F4861">
        <w:t>tární orgán více osob, jedná za </w:t>
      </w:r>
      <w:r w:rsidRPr="009B3505">
        <w:t>právnickou osobu předseda statutárního orgánu, popřípadě jeho člen, který tím byl pověřen; je-li předsedou nebo pověřeným členem právnická osoba, jedná vždy fyzická osoba, která je k tomu touto právnickou osobou zmoc</w:t>
      </w:r>
      <w:r>
        <w:t xml:space="preserve">něna nebo jinak oprávněna, nebo </w:t>
      </w:r>
      <w:r w:rsidRPr="009B3505">
        <w:t>b) její zaměstnanec (člen), který tím byl st</w:t>
      </w:r>
      <w:r>
        <w:t xml:space="preserve">atutárním orgánem pověřen, nebo </w:t>
      </w:r>
      <w:r w:rsidRPr="009B3505">
        <w:t>c) vedoucí jejího odštěpného závodu, jde-li o věci týkající se tohoto závo</w:t>
      </w:r>
      <w:r>
        <w:t xml:space="preserve">du, nebo </w:t>
      </w:r>
      <w:r w:rsidRPr="009B3505">
        <w:t>d) její prokurista, může-li podle udělené prokury jednat samostatně.</w:t>
      </w:r>
      <w:r>
        <w:t xml:space="preserve"> V téže věci může za právnickou </w:t>
      </w:r>
      <w:r>
        <w:lastRenderedPageBreak/>
        <w:t>osobu současně činit úkony jen jedna osoba. Účastník si také může vybrat svého zmocněnce, který jej zastupuje na základě udělené plné moci</w:t>
      </w:r>
      <w:r>
        <w:rPr>
          <w:rStyle w:val="Znakapoznpodarou"/>
          <w:rFonts w:cs="Arial"/>
          <w:szCs w:val="24"/>
        </w:rPr>
        <w:footnoteReference w:id="10"/>
      </w:r>
      <w:r>
        <w:t>. Oprávnění jednat za společnost v rámci vedeného správního řízení je klíčové z hlediska toho, jaká podání jsou v daném správním řízení relevantní. Pokud by podání bylo doloženo osobou, která není v rámci správního řízení oprávněna za společnost jednat, nemohlo by k němu být přihlíženo</w:t>
      </w:r>
      <w:r>
        <w:rPr>
          <w:rStyle w:val="Znakapoznpodarou"/>
          <w:rFonts w:cs="Arial"/>
          <w:szCs w:val="24"/>
        </w:rPr>
        <w:footnoteReference w:id="11"/>
      </w:r>
      <w:r>
        <w:t>. Stejně tak v rámci daného správního řízení nejedná Minister</w:t>
      </w:r>
      <w:r w:rsidR="003F4861">
        <w:t>stvo financí s jinou osobou než </w:t>
      </w:r>
      <w:r>
        <w:t>s tou, která je k tomu za žadatele oprávněna.</w:t>
      </w:r>
    </w:p>
    <w:p w14:paraId="57D87D75" w14:textId="77777777" w:rsidR="006B3B31" w:rsidRDefault="006B3B31" w:rsidP="006B3B31">
      <w:pPr>
        <w:rPr>
          <w:rFonts w:cs="Arial"/>
          <w:b/>
          <w:szCs w:val="24"/>
        </w:rPr>
      </w:pPr>
      <w:bookmarkStart w:id="17" w:name="_Toc69373771"/>
      <w:r w:rsidRPr="00E26BD0">
        <w:rPr>
          <w:rFonts w:cs="Arial"/>
          <w:b/>
          <w:szCs w:val="24"/>
        </w:rPr>
        <w:t xml:space="preserve">Proces vydání </w:t>
      </w:r>
      <w:bookmarkEnd w:id="17"/>
      <w:r w:rsidRPr="00E26BD0">
        <w:rPr>
          <w:rFonts w:cs="Arial"/>
          <w:b/>
          <w:szCs w:val="24"/>
        </w:rPr>
        <w:t>základního povolení</w:t>
      </w:r>
    </w:p>
    <w:p w14:paraId="2751D336" w14:textId="757A75C3" w:rsidR="006B3B31" w:rsidRPr="00E26BD0" w:rsidRDefault="006B3B31" w:rsidP="006167E0">
      <w:r w:rsidRPr="00E26BD0">
        <w:t>Ministerstvo financí vydává jedno základní povolení k provozování konkrétního druhu hazardní hry. V rámci základního povolení mimo jiné uvede, zda je hazardní hra provozována dálkovým způsobem prostřednic</w:t>
      </w:r>
      <w:r w:rsidR="003F4861">
        <w:t>tvím internetu nebo formou land</w:t>
      </w:r>
      <w:r w:rsidR="003F4861">
        <w:noBreakHyphen/>
      </w:r>
      <w:r w:rsidRPr="00E26BD0">
        <w:t>based. Pro každý druh hazardní hry se tedy vydává samostatné základní povolení, provozovatel nemůže být oprávněným držitelem více základních povolení pro stejný druh hazardní hry. Zákon o hazardních hrách tak přinesl</w:t>
      </w:r>
      <w:r>
        <w:t xml:space="preserve"> ve srovnání s předchozí právní úpravou</w:t>
      </w:r>
      <w:r w:rsidRPr="00E26BD0">
        <w:t xml:space="preserve"> zcela odlišnou konce</w:t>
      </w:r>
      <w:r w:rsidR="00FB2333">
        <w:t>pci při vydávání licence, neboť </w:t>
      </w:r>
      <w:r w:rsidRPr="00E26BD0">
        <w:t>veškeré oprávnění (rozsah činnosti) vztahující se ke konkrétnímu druhu hazardní hry vydávané Ministerstvem financí je zachyceno právě v jednom základním povolení. Základní povolení se vydává nejdéle na dobu 6 let.</w:t>
      </w:r>
    </w:p>
    <w:p w14:paraId="09209311" w14:textId="77777777" w:rsidR="006B3B31" w:rsidRPr="00E26BD0" w:rsidRDefault="006B3B31" w:rsidP="006167E0">
      <w:r w:rsidRPr="00E26BD0">
        <w:t>V základním povolení Ministerstvo financí povolí provozování konkrétního druhu hazardní hry, stanoví podmínky jejího provozování, schválí model technického zařízení, jehož prostřednictvím má být hazardní hra provozována, a herní plán.</w:t>
      </w:r>
    </w:p>
    <w:p w14:paraId="41B69B7D" w14:textId="2ACCD534" w:rsidR="006B3B31" w:rsidRPr="00E26BD0" w:rsidRDefault="006B3B31" w:rsidP="006167E0">
      <w:r w:rsidRPr="00E26BD0">
        <w:t xml:space="preserve">Uvedená změna způsobila, že </w:t>
      </w:r>
      <w:r w:rsidR="00105739">
        <w:t xml:space="preserve">je </w:t>
      </w:r>
      <w:r w:rsidRPr="00E26BD0">
        <w:t xml:space="preserve">přehled všech informací dostupný na „jednom místě“, tj. v základním povolení, jež je efektivnější pro řádný výkon dozoru. Přílohou základního povolení je vždy herní plán, který je aktuální a obsahuje rozsáhlé množství informací (cca stovky stran v závislosti na druhu hazardní hry a portfoliu provozovatele), což jej může v některých případech činit nepřehledným. </w:t>
      </w:r>
    </w:p>
    <w:p w14:paraId="1577D99D" w14:textId="43831977" w:rsidR="006B3B31" w:rsidRDefault="006B3B31" w:rsidP="006167E0">
      <w:r w:rsidRPr="00E26BD0">
        <w:t xml:space="preserve">Proti </w:t>
      </w:r>
      <w:r>
        <w:t>rozhodnutí ve správním řízení o vydání, změně či zrušení základního</w:t>
      </w:r>
      <w:r w:rsidRPr="00E26BD0">
        <w:t xml:space="preserve"> povolení může žadatel podat opravný prostředek – rozklad, který má vůči vydanému rozhodnutí odkladný účinek. O rozkladu pak může rozhodnout Ministerstvo financí v podobě tzv.</w:t>
      </w:r>
      <w:r w:rsidR="00D554E8">
        <w:t> </w:t>
      </w:r>
      <w:r w:rsidRPr="00E26BD0">
        <w:t xml:space="preserve"> autoremedury postupem podle § 87 správního řádu za podmínek v tomto ustanovení stanovených. V takovém případě, pokud nedochází k úpravě herního plánu, je tento herní plán Ministerstvem</w:t>
      </w:r>
      <w:r w:rsidR="003F4861">
        <w:t xml:space="preserve"> financí opětovně schvalován ve </w:t>
      </w:r>
      <w:r w:rsidRPr="00E26BD0">
        <w:t>stejném znění. V případě, že nejsou dány podmínky pro postup tzv.</w:t>
      </w:r>
      <w:r>
        <w:t> </w:t>
      </w:r>
      <w:r w:rsidRPr="00E26BD0">
        <w:t>autoremedurou, rozhodu</w:t>
      </w:r>
      <w:r>
        <w:t>je o</w:t>
      </w:r>
      <w:r w:rsidR="00D554E8">
        <w:t> </w:t>
      </w:r>
      <w:r>
        <w:t xml:space="preserve"> podaném rozkladu ministr</w:t>
      </w:r>
      <w:r w:rsidRPr="00E26BD0">
        <w:t xml:space="preserve"> financí na návrh rozkladové komise.</w:t>
      </w:r>
    </w:p>
    <w:p w14:paraId="31E40F4A" w14:textId="77777777" w:rsidR="006B3B31" w:rsidRDefault="006B3B31" w:rsidP="006B3B31">
      <w:pPr>
        <w:rPr>
          <w:b/>
        </w:rPr>
      </w:pPr>
      <w:bookmarkStart w:id="18" w:name="_Toc69373772"/>
      <w:r w:rsidRPr="009B309E">
        <w:rPr>
          <w:b/>
        </w:rPr>
        <w:t>Změna základního povolení</w:t>
      </w:r>
      <w:bookmarkEnd w:id="18"/>
    </w:p>
    <w:p w14:paraId="152B46A7" w14:textId="018E1876" w:rsidR="006B3B31" w:rsidRDefault="006B3B31" w:rsidP="006167E0">
      <w:r>
        <w:t xml:space="preserve">Jak už bylo několikrát uvedeno, zákon o hazardních hrách přinesl zcela novou právní úpravu při vydávání změn rozhodnutí, neboť při každé změně základního povolení se vydává nové rozhodnutí ve smyslu § 101 písm. e) správního řádu. Důraz je tímto způsobem kladen na vždy aktuální základní povolení a schválený herní plán, ve kterém jsou vždy veškeré informace týkající se provozu konkrétního druhu hazardní hry (tj. vždy kompletní rozsah povolené činnosti týkající se konkrétního druhu hazardní </w:t>
      </w:r>
      <w:r>
        <w:lastRenderedPageBreak/>
        <w:t>hry). Podle zákona o loteriích totiž provozovatel zpravidla disponoval primárním povolením, které bylo následně modifikováno několika navazujícími rozho</w:t>
      </w:r>
      <w:r w:rsidR="006167E0">
        <w:t>dnutími o </w:t>
      </w:r>
      <w:r>
        <w:t>změně. Aktualizovaná podoba primárního povolení nebyla nikde zachycena, což způsobovalo potíže zejména při výkonu dozorových aktivit.</w:t>
      </w:r>
    </w:p>
    <w:p w14:paraId="3842340F" w14:textId="77777777" w:rsidR="006B3B31" w:rsidRPr="009E0FDF" w:rsidRDefault="006B3B31" w:rsidP="006167E0">
      <w:r w:rsidRPr="009E0FDF">
        <w:t>V</w:t>
      </w:r>
      <w:r>
        <w:t> souladu s</w:t>
      </w:r>
      <w:r w:rsidRPr="009E0FDF">
        <w:t xml:space="preserve"> § 94 odst. 1 zákona o hazardních hrách Ministerstvo financí nahradí dosavadní základní povolení novým, pokud:</w:t>
      </w:r>
    </w:p>
    <w:p w14:paraId="5ED3F08D" w14:textId="77777777" w:rsidR="006B3B31" w:rsidRPr="009E0FDF" w:rsidRDefault="006B3B31" w:rsidP="006B3B31">
      <w:pPr>
        <w:ind w:firstLine="708"/>
      </w:pPr>
      <w:r w:rsidRPr="009E0FDF">
        <w:t>a) provozovatel podá žádost, ve které navrhne změnu údajů, k jejichž změně</w:t>
      </w:r>
    </w:p>
    <w:p w14:paraId="03C0278B" w14:textId="77777777" w:rsidR="006B3B31" w:rsidRPr="009E0FDF" w:rsidRDefault="006B3B31" w:rsidP="006B3B31">
      <w:pPr>
        <w:ind w:left="708" w:firstLine="708"/>
      </w:pPr>
      <w:r w:rsidRPr="009E0FDF">
        <w:t>1. může dojít až na základě změny základního povolení,</w:t>
      </w:r>
    </w:p>
    <w:p w14:paraId="7DB9BC8F" w14:textId="6255A47B" w:rsidR="006B3B31" w:rsidRPr="009E0FDF" w:rsidRDefault="006B3B31" w:rsidP="006B3B31">
      <w:pPr>
        <w:ind w:left="708" w:firstLine="708"/>
      </w:pPr>
      <w:r w:rsidRPr="009E0FDF">
        <w:t>2. došlo při bezodkladném zásahu podle § 109b</w:t>
      </w:r>
      <w:r w:rsidR="00105739">
        <w:t xml:space="preserve"> zákona o hazardních hrách</w:t>
      </w:r>
      <w:r w:rsidRPr="009E0FDF">
        <w:t>, nebo</w:t>
      </w:r>
    </w:p>
    <w:p w14:paraId="5983BB93" w14:textId="447C18D2" w:rsidR="006B3B31" w:rsidRPr="009E0FDF" w:rsidRDefault="006B3B31" w:rsidP="006B3B31">
      <w:pPr>
        <w:ind w:left="708" w:firstLine="708"/>
      </w:pPr>
      <w:r w:rsidRPr="009E0FDF">
        <w:t>3. došlo podle § 109c odst. 5</w:t>
      </w:r>
      <w:r w:rsidR="00105739">
        <w:t xml:space="preserve"> zákona o hazardních hrách</w:t>
      </w:r>
      <w:r w:rsidRPr="009E0FDF">
        <w:t>,</w:t>
      </w:r>
    </w:p>
    <w:p w14:paraId="2DBFD989" w14:textId="77777777" w:rsidR="006B3B31" w:rsidRPr="009E0FDF" w:rsidRDefault="006B3B31" w:rsidP="006B3B31">
      <w:pPr>
        <w:ind w:left="708"/>
      </w:pPr>
      <w:r w:rsidRPr="009E0FDF">
        <w:t>b) dojde ke změně dalších údajů, které jsou uvedeny v základním povolení, nebo</w:t>
      </w:r>
    </w:p>
    <w:p w14:paraId="34091C29" w14:textId="77777777" w:rsidR="006B3B31" w:rsidRDefault="006B3B31" w:rsidP="006B3B31">
      <w:pPr>
        <w:ind w:left="708"/>
      </w:pPr>
      <w:r w:rsidRPr="009E0FDF">
        <w:t>c) jím v odůvodněných případech změní nebo doplní podmínky pro řádné provozování hazardní hry stanovené v dosavadním základním povolení.</w:t>
      </w:r>
    </w:p>
    <w:p w14:paraId="5C8A1DFF" w14:textId="77777777" w:rsidR="006B3B31" w:rsidRDefault="006B3B31" w:rsidP="006167E0">
      <w:r>
        <w:t xml:space="preserve">Ke změně základního povolení tak může dojít </w:t>
      </w:r>
      <w:r w:rsidRPr="00C07D30">
        <w:rPr>
          <w:b/>
        </w:rPr>
        <w:t>na žádost provozovatele</w:t>
      </w:r>
      <w:r>
        <w:t xml:space="preserve"> postupem podle § 94 odst. 1 písm. a) zákona o hazardních hrách, nebo </w:t>
      </w:r>
      <w:r w:rsidRPr="00C07D30">
        <w:rPr>
          <w:b/>
        </w:rPr>
        <w:t>z moci úřední Ministerstvem financí</w:t>
      </w:r>
      <w:r>
        <w:t xml:space="preserve"> podle § 94 odst. 1 písm. b) nebo c) zákona o hazardních hrách.</w:t>
      </w:r>
    </w:p>
    <w:p w14:paraId="39AD95F4" w14:textId="0C3F7C37" w:rsidR="006B3B31" w:rsidRDefault="006B3B31" w:rsidP="006167E0">
      <w:r>
        <w:t>Pokud jde o změnu základního povolení na žádost provozovatele, k té zpravidla dochází z důvodu požadavků na rozšíření nebo zú</w:t>
      </w:r>
      <w:r w:rsidR="00205047">
        <w:t>žení stávajícího oprávnění nebo </w:t>
      </w:r>
      <w:r>
        <w:t xml:space="preserve">z důvodu požadavku na změnu pravidel obsažených v herním plánu. K takovým změnám totiž může dojít až na základě změny základního povolení. </w:t>
      </w:r>
      <w:r w:rsidR="003F4861">
        <w:t>V návaznosti na </w:t>
      </w:r>
      <w:r>
        <w:t>novelizaci zákona o hazardních hrách zákonem č. 527/2020 Sb. došlo k úpravě dalších důvodů, z</w:t>
      </w:r>
      <w:r w:rsidR="003F4861">
        <w:t>e</w:t>
      </w:r>
      <w:r>
        <w:t xml:space="preserve"> kterých může být</w:t>
      </w:r>
      <w:r w:rsidR="00205047">
        <w:t xml:space="preserve"> žádost provozovatele podána, a </w:t>
      </w:r>
      <w:r>
        <w:t>to v návaznosti na bezodkladný zásah do zařízení podle § 10</w:t>
      </w:r>
      <w:r w:rsidR="00205047">
        <w:t>9b zákona o </w:t>
      </w:r>
      <w:r>
        <w:t>hazardních hrách a v návaznosti na změny malého rozsahu, které byly pověřenou osobou vyhodnoceny buď jednotlivě nebo souhrnně jako změny přesahu</w:t>
      </w:r>
      <w:r w:rsidR="003F4861">
        <w:t>jící malý rozsah, za </w:t>
      </w:r>
      <w:r w:rsidR="006167E0">
        <w:t>podmínek § </w:t>
      </w:r>
      <w:r>
        <w:t>109c odst. 5 zákona o hazardních hrách.</w:t>
      </w:r>
    </w:p>
    <w:p w14:paraId="535E9512" w14:textId="5D85DB04" w:rsidR="006B3B31" w:rsidRDefault="006B3B31" w:rsidP="006167E0">
      <w:r w:rsidRPr="00467042">
        <w:t>Z moci úřední pak Ministerstvo financí změní základní povolení (jako výsledek vedeného správního řízení o změně základního povolení z moci úřední), pokud dojde ke změně dalších údajů, které jsou uvedeny v základním povolení, a k nimž nemusí dojít až na základě změny základního povolení. Zpravidla se bude jednat například o</w:t>
      </w:r>
      <w:r>
        <w:t> </w:t>
      </w:r>
      <w:r w:rsidRPr="00467042">
        <w:t>změnu sídla obchodní společnosti nebo změnu jejího názvu. K těmto změnám totiž dochází již na základě zápisu těchto údajů do obchodního rejstříku. I přes tyto účinky je však žádoucí, aby základní povolení bylo aktualizováno o tyto základní údaje, včetně schváleného herního plánu. Vzhledem k tomu, že herní plán je dokument, jehož původcem je žadatel a který Ministerstvo financí jako nedílnou součást základního povolení schvaluje, je v těchto případech nezbytná součinnost provozovatele v podobě dodání aktualizovaného herního plánu. Ministerstvo financí se zp</w:t>
      </w:r>
      <w:r w:rsidR="006167E0">
        <w:t>ravidla o </w:t>
      </w:r>
      <w:r w:rsidRPr="00467042">
        <w:t>změně těchto údajů dozví na základě oznamo</w:t>
      </w:r>
      <w:r w:rsidR="006167E0">
        <w:t>vací povinnosti provozovatele o </w:t>
      </w:r>
      <w:r w:rsidRPr="00467042">
        <w:t>změnách skutečností, na zákla</w:t>
      </w:r>
      <w:r w:rsidRPr="00C75CB6">
        <w:t>dě kterých bylo vydáno základní povolení, podle §</w:t>
      </w:r>
      <w:r w:rsidR="00D554E8">
        <w:t> </w:t>
      </w:r>
      <w:r w:rsidRPr="00C75CB6">
        <w:t xml:space="preserve">93 zákona o hazardních hrách. Problematikou dokládání povinných příloh v rámci vedeného správního řízení o změně základního povolení z moci úřední se bude </w:t>
      </w:r>
      <w:r w:rsidRPr="00C75CB6">
        <w:lastRenderedPageBreak/>
        <w:t>zabývat následující část věnovaná konk</w:t>
      </w:r>
      <w:r w:rsidR="00205047">
        <w:t>rétnímu popisu nástrojů, včetně </w:t>
      </w:r>
      <w:r w:rsidRPr="00C75CB6">
        <w:t>oblastí úpravy de lege ferenda.</w:t>
      </w:r>
    </w:p>
    <w:p w14:paraId="6E89AECD" w14:textId="738AA564" w:rsidR="006B3B31" w:rsidRDefault="006B3B31" w:rsidP="006167E0">
      <w:r w:rsidRPr="00467042">
        <w:t>Dalším důvodem vedení správního řízení o změně základního povolení z moci úřední je odůvodněná změna nebo doplnění podmínek pro řádné provozování hazardní hry v dosavadním základním povolení. Zprvu je nutné upozornit, že tento důvod je důvodem k zahájení správního řízení pouze z moci úřední. Žadatel tedy může dát podnět k zahájení takového správního řízení, nicméně to, zda správní řízení bude zahájeno, je čistě v gesci správního orgánu, tedy Ministerstva financí. Jak totiž uvádí samotná důvodová zpráva: „</w:t>
      </w:r>
      <w:r w:rsidRPr="00467042">
        <w:rPr>
          <w:i/>
        </w:rPr>
        <w:t>Vždy půjde svou povahou o akt vydaný ex offo, jinými slovy provozovatel na základě zákona nedisponuje možností podat žádost na změnu (úpravu, ubrání, přidání či d</w:t>
      </w:r>
      <w:r w:rsidR="00253244">
        <w:rPr>
          <w:i/>
        </w:rPr>
        <w:t>oplnění) podmínek stanovených v </w:t>
      </w:r>
      <w:r w:rsidRPr="00467042">
        <w:rPr>
          <w:i/>
        </w:rPr>
        <w:t>povolení a Ministerstvu financí zákon neukládá povinnost o této žádosti meritorně rozhodnout. Pokud by provozovatel takovou žádost Ministerstvu financí adresoval, bude se na ni pohlížet toliko jako na podnět, který M</w:t>
      </w:r>
      <w:r w:rsidR="00253244">
        <w:rPr>
          <w:i/>
        </w:rPr>
        <w:t>inisterstvo financí posoudí a v </w:t>
      </w:r>
      <w:r w:rsidRPr="00467042">
        <w:rPr>
          <w:i/>
        </w:rPr>
        <w:t>případě vyhodnocení tohoto podnětu za relevantní, zahájí řízení z moci ú</w:t>
      </w:r>
      <w:r w:rsidR="00253244">
        <w:rPr>
          <w:i/>
        </w:rPr>
        <w:t>řední o </w:t>
      </w:r>
      <w:r w:rsidRPr="00467042">
        <w:rPr>
          <w:i/>
        </w:rPr>
        <w:t xml:space="preserve">změně podmínek stanovených v základním povolení.“ </w:t>
      </w:r>
      <w:r w:rsidRPr="00467042">
        <w:t xml:space="preserve">Ministerstvo financí tohoto oprávnění využilo například v návaznosti na nabytí účinnosti </w:t>
      </w:r>
      <w:r>
        <w:t xml:space="preserve">reportingové </w:t>
      </w:r>
      <w:r w:rsidRPr="00467042">
        <w:t>vyhlášky.</w:t>
      </w:r>
    </w:p>
    <w:p w14:paraId="3303D174" w14:textId="77777777" w:rsidR="006B3B31" w:rsidRPr="001A5086" w:rsidRDefault="006B3B31" w:rsidP="006167E0">
      <w:r w:rsidRPr="001A5086">
        <w:t>Nové základní povolení je možné vydat nejdéle na dobu trvání právních účinků původního základního povolení. Základní povolení tak nelze prostřednictvím změn prodlužovat co do jeho platnosti.</w:t>
      </w:r>
    </w:p>
    <w:p w14:paraId="34872708" w14:textId="0EFD76B6" w:rsidR="006B3B31" w:rsidRDefault="006B3B31" w:rsidP="006167E0">
      <w:r w:rsidRPr="001A5086">
        <w:t>Zákon o hazardních hrách dále stanoví podmínky, za kterých je možné změnu základního povolení vydat. K nahrazení dosavadního základního povolení novým Ministerstvo financí přistoupí pouze tehdy, jsou-l</w:t>
      </w:r>
      <w:r w:rsidR="00205047">
        <w:t>i i nadále splněny podmínky pro </w:t>
      </w:r>
      <w:r w:rsidRPr="001A5086">
        <w:t>vydání základního povolení. Zároveň vša</w:t>
      </w:r>
      <w:r w:rsidR="00205047">
        <w:t>k odstavec čtvrtý stanoví, že v </w:t>
      </w:r>
      <w:r w:rsidRPr="001A5086">
        <w:t xml:space="preserve">odůvodnění nového povolení se odůvodňují pouze změny oproti dosavadnímu povolení. Vzhledem k problematickým aspektům těchto dvou podmínek přistoupilo Ministerstvo financí v rámci nastavené správní praxe k tomu, že při vydávání změny základního povolení ověřuje prokázání podmínek pro vydání opětovně pouze v těch případech, kdy má pochybnosti ohledně jejich soustavného plnění ze strany provozovatele, případně když ze zákona plyne provozovateli povinnost doložit nový doklad v rámci oznamování změn </w:t>
      </w:r>
      <w:r w:rsidRPr="00C75CB6">
        <w:t>skutečností (podrobněji k tomu viz kapitola zabývající se Oznamováním změn skutečností).</w:t>
      </w:r>
      <w:r>
        <w:t xml:space="preserve"> </w:t>
      </w:r>
      <w:r w:rsidRPr="001A5086">
        <w:t>Zároveň v případě důvodných pochybností souběžně zahajuje postup podle § 95 zákona o hazardních hrách</w:t>
      </w:r>
      <w:r w:rsidR="00105739">
        <w:t>. P</w:t>
      </w:r>
      <w:r w:rsidRPr="001A5086">
        <w:t>okud v rámci vedeného správního řízení není prokázáno plnění zákonem stanovených podmínek pro vydání základního povolení, přistupuje ke zru</w:t>
      </w:r>
      <w:r w:rsidR="00EE37F2">
        <w:t>šení povolení z moci úřední. Po </w:t>
      </w:r>
      <w:r w:rsidRPr="001A5086">
        <w:t>dobu, po kterou je správní řízení o</w:t>
      </w:r>
      <w:r w:rsidR="00D554E8">
        <w:t> </w:t>
      </w:r>
      <w:r w:rsidRPr="001A5086">
        <w:t xml:space="preserve"> zrušení základního povolení vedeno, nevydává Ministerstvo financí jakékoliv změny </w:t>
      </w:r>
      <w:r w:rsidR="00EE37F2">
        <w:t>vydaného základního povolení do </w:t>
      </w:r>
      <w:r w:rsidRPr="001A5086">
        <w:t>okamžiku pravomocného ukončení správního řízení o zrušení základního povolení a správní řízení o změně základního povolení po tuto dobu přerušuje.</w:t>
      </w:r>
    </w:p>
    <w:p w14:paraId="3FF13A38" w14:textId="35970D82" w:rsidR="006B3B31" w:rsidRPr="00A64B0D" w:rsidRDefault="006B3B31" w:rsidP="006167E0">
      <w:r w:rsidRPr="00A64B0D">
        <w:t xml:space="preserve">Rozhodnutí o změně základního povolení je možné vydat pouze v případě, že vůči posledně vydanému změnovému rozhodnutí není vedeno správní řízení o rozkladu, který směřuje proti celému vydávanému rozhodnutí. </w:t>
      </w:r>
      <w:r w:rsidRPr="006D0AAB">
        <w:t>Rozhodnutí o změně základního povolení je možné vydat pouze v případě, že posledn</w:t>
      </w:r>
      <w:r w:rsidR="00EE37F2">
        <w:t>í vydané rozhodnutí o vydání či </w:t>
      </w:r>
      <w:r w:rsidRPr="006D0AAB">
        <w:t xml:space="preserve">změně základního povolení nabylo právní </w:t>
      </w:r>
      <w:r w:rsidR="00205047">
        <w:t>moci. Důvodem je skutečnost, že </w:t>
      </w:r>
      <w:r w:rsidRPr="006D0AAB">
        <w:t>Ministerstvo financí nahrazuje předchozí základní povolení právě tímto novým</w:t>
      </w:r>
      <w:r w:rsidR="00105739">
        <w:t>. Z</w:t>
      </w:r>
      <w:r w:rsidRPr="006D0AAB">
        <w:t>rušit tak může pouze rozhodnutí, které již nabylo právní moci.</w:t>
      </w:r>
      <w:r w:rsidRPr="00A64B0D">
        <w:t xml:space="preserve"> </w:t>
      </w:r>
    </w:p>
    <w:p w14:paraId="245347CB" w14:textId="77777777" w:rsidR="006B3B31" w:rsidRDefault="006B3B31" w:rsidP="006167E0">
      <w:r w:rsidRPr="00A64B0D">
        <w:lastRenderedPageBreak/>
        <w:t>Pokud jde o možnost podání opravných prostředků, žadatel je oprávněn vůči základnímu povolení podat rozklad.</w:t>
      </w:r>
      <w:r>
        <w:t xml:space="preserve"> O rozkladu rozhoduje ministr</w:t>
      </w:r>
      <w:r w:rsidRPr="00A64B0D">
        <w:t xml:space="preserve"> financí na návrh rozkladové komise. Včas podaný rozklad má vůči vydanému rozhodnutí odkladný účinek, tedy rozhodnutí nenabývá právní moci.</w:t>
      </w:r>
    </w:p>
    <w:p w14:paraId="29F5FB3B" w14:textId="32B1736A" w:rsidR="006B3B31" w:rsidRDefault="006B3B31" w:rsidP="006167E0">
      <w:pPr>
        <w:rPr>
          <w:color w:val="000000"/>
        </w:rPr>
      </w:pPr>
      <w:r>
        <w:rPr>
          <w:rFonts w:cs="Arial"/>
          <w:szCs w:val="24"/>
        </w:rPr>
        <w:t>Ministerstvo financí do 30. 9. 2020 poučovalo účastníka řízení o možnosti podat rozklad pouze do těch částí výroku, které byly předmětem změny</w:t>
      </w:r>
      <w:r>
        <w:rPr>
          <w:rStyle w:val="Znakapoznpodarou"/>
          <w:rFonts w:cs="Arial"/>
          <w:szCs w:val="24"/>
        </w:rPr>
        <w:footnoteReference w:id="12"/>
      </w:r>
      <w:r>
        <w:rPr>
          <w:rFonts w:cs="Arial"/>
          <w:szCs w:val="24"/>
        </w:rPr>
        <w:t>. V rámci přezkoumání této skutečnosti ministr</w:t>
      </w:r>
      <w:r w:rsidR="00105739">
        <w:rPr>
          <w:rFonts w:cs="Arial"/>
          <w:szCs w:val="24"/>
        </w:rPr>
        <w:t>em</w:t>
      </w:r>
      <w:r>
        <w:rPr>
          <w:rFonts w:cs="Arial"/>
          <w:szCs w:val="24"/>
        </w:rPr>
        <w:t xml:space="preserve"> financí byl tento postup přehodnocen z důvodu, že je tímto způsobem účastník řízení na svém právu neoprávněně omezen</w:t>
      </w:r>
      <w:r w:rsidR="006167E0">
        <w:rPr>
          <w:rFonts w:cs="Arial"/>
          <w:szCs w:val="24"/>
        </w:rPr>
        <w:t>, neboť správní řád ani zákon o </w:t>
      </w:r>
      <w:r>
        <w:rPr>
          <w:rFonts w:cs="Arial"/>
          <w:szCs w:val="24"/>
        </w:rPr>
        <w:t xml:space="preserve">hazardních hrách neomezuje účastníka v právu na podání rozkladu vůči novému rozhodnutí ve smyslu § 101 správního řádu tak, jak Ministerstvo financí v poučení uvádělo. Na druhou stranu však </w:t>
      </w:r>
      <w:r w:rsidR="00105739">
        <w:rPr>
          <w:rFonts w:cs="Arial"/>
          <w:szCs w:val="24"/>
        </w:rPr>
        <w:t>bylo</w:t>
      </w:r>
      <w:r>
        <w:rPr>
          <w:rFonts w:cs="Arial"/>
          <w:szCs w:val="24"/>
        </w:rPr>
        <w:t xml:space="preserve"> v daném rozhodnutí uved</w:t>
      </w:r>
      <w:r w:rsidR="00105739">
        <w:rPr>
          <w:rFonts w:cs="Arial"/>
          <w:szCs w:val="24"/>
        </w:rPr>
        <w:t>eno</w:t>
      </w:r>
      <w:r w:rsidR="00D554E8">
        <w:rPr>
          <w:rFonts w:cs="Arial"/>
          <w:szCs w:val="24"/>
        </w:rPr>
        <w:t>,</w:t>
      </w:r>
      <w:r>
        <w:rPr>
          <w:rFonts w:cs="Arial"/>
          <w:szCs w:val="24"/>
        </w:rPr>
        <w:t xml:space="preserve"> že toto oprávnění </w:t>
      </w:r>
      <w:r w:rsidR="00105739">
        <w:rPr>
          <w:rFonts w:cs="Arial"/>
          <w:szCs w:val="24"/>
        </w:rPr>
        <w:t xml:space="preserve">sice </w:t>
      </w:r>
      <w:r>
        <w:rPr>
          <w:rFonts w:cs="Arial"/>
          <w:szCs w:val="24"/>
        </w:rPr>
        <w:t xml:space="preserve">nemůže být zúženo, </w:t>
      </w:r>
      <w:r w:rsidR="00105739">
        <w:rPr>
          <w:rFonts w:cs="Arial"/>
          <w:szCs w:val="24"/>
        </w:rPr>
        <w:t>nicméně však musí být zohledněn</w:t>
      </w:r>
      <w:r>
        <w:rPr>
          <w:rFonts w:cs="Arial"/>
          <w:szCs w:val="24"/>
        </w:rPr>
        <w:t xml:space="preserve"> § 82 odst. 4 správního řádu, kter</w:t>
      </w:r>
      <w:r w:rsidR="00105739">
        <w:rPr>
          <w:rFonts w:cs="Arial"/>
          <w:szCs w:val="24"/>
        </w:rPr>
        <w:t>ý</w:t>
      </w:r>
      <w:r>
        <w:rPr>
          <w:rFonts w:cs="Arial"/>
          <w:szCs w:val="24"/>
        </w:rPr>
        <w:t xml:space="preserve"> nepřipouští možnost přihlížet v průběhu odvolacího (rozkladového) řízení </w:t>
      </w:r>
      <w:r w:rsidRPr="000203FA">
        <w:rPr>
          <w:bCs/>
          <w:color w:val="000000"/>
        </w:rPr>
        <w:t xml:space="preserve">k </w:t>
      </w:r>
      <w:r>
        <w:rPr>
          <w:color w:val="000000"/>
        </w:rPr>
        <w:t>no</w:t>
      </w:r>
      <w:r w:rsidR="00205047">
        <w:rPr>
          <w:color w:val="000000"/>
        </w:rPr>
        <w:t>vým skutečnostem a k návrhům na </w:t>
      </w:r>
      <w:r>
        <w:rPr>
          <w:color w:val="000000"/>
        </w:rPr>
        <w:t xml:space="preserve">provedení nových důkazů, jde-li o takové skutečnosti nebo důkazy, které účastník mohl uplatnit dříve. Pokud tedy účastník řízení v rámci rozkladů napadá skutečnosti, které již byly uvedeny v předchozím pravomocném základním povolení, není možné k takovým skutečnostem v rámci vedeného rozkladového řízení přihlížet. Zároveň je rovněž nezbytné přihlížet k § 82 odst. 1 správního řádu, </w:t>
      </w:r>
      <w:r w:rsidR="00E54387">
        <w:rPr>
          <w:color w:val="000000"/>
        </w:rPr>
        <w:t>podle kterého</w:t>
      </w:r>
      <w:r>
        <w:rPr>
          <w:color w:val="000000"/>
        </w:rPr>
        <w:t xml:space="preserve"> rozkladem lze napadnout jen výrokovou část rozhodnutí, jednotlivý výrok nebo jeho vedlejší ustanovení</w:t>
      </w:r>
      <w:r w:rsidR="00E54387">
        <w:rPr>
          <w:color w:val="000000"/>
        </w:rPr>
        <w:t>;</w:t>
      </w:r>
      <w:r>
        <w:rPr>
          <w:color w:val="000000"/>
        </w:rPr>
        <w:t xml:space="preserve"> rozklad jen proti odůvodnění rozhodnutí je nepřípustný. Vzhledem k uvedenému rozhodnutí Ministerstvo financí přistoupilo ke změně nastavené správní praxe a od 1. 10. 2020 v rámci poučení o opravném prostředku vydávaných základních povolení upravilo chybnou formulaci tak,</w:t>
      </w:r>
      <w:r w:rsidR="00205047">
        <w:rPr>
          <w:color w:val="000000"/>
        </w:rPr>
        <w:t xml:space="preserve"> že možnost podání rozkladu již </w:t>
      </w:r>
      <w:r>
        <w:rPr>
          <w:color w:val="000000"/>
        </w:rPr>
        <w:t>není omezována pouze na skutečnosti, které byly předmětem změny. Fakticky je však účastník řízení v rámci rozkladového řízení stejně omezen co do tvrzení nový</w:t>
      </w:r>
      <w:r w:rsidR="006167E0">
        <w:rPr>
          <w:color w:val="000000"/>
        </w:rPr>
        <w:t>ch skutečností a návrhů právě § </w:t>
      </w:r>
      <w:r>
        <w:rPr>
          <w:color w:val="000000"/>
        </w:rPr>
        <w:t>82 odst. 4 správního řádu.</w:t>
      </w:r>
    </w:p>
    <w:p w14:paraId="5CB3E105" w14:textId="77777777" w:rsidR="006B3B31" w:rsidRDefault="006B3B31" w:rsidP="00272E43">
      <w:pPr>
        <w:keepNext/>
        <w:rPr>
          <w:b/>
        </w:rPr>
      </w:pPr>
      <w:bookmarkStart w:id="19" w:name="_Toc69373773"/>
      <w:r w:rsidRPr="00787276">
        <w:rPr>
          <w:b/>
        </w:rPr>
        <w:t>Zrušení základního povolení</w:t>
      </w:r>
      <w:bookmarkEnd w:id="19"/>
    </w:p>
    <w:p w14:paraId="7BCC6DCE" w14:textId="7B9FB4E5" w:rsidR="006B3B31" w:rsidRDefault="006B3B31" w:rsidP="006167E0">
      <w:r w:rsidRPr="00787276">
        <w:t>Zákon o hazardních hrách podrobněji upravuje rovn</w:t>
      </w:r>
      <w:r w:rsidR="00205047">
        <w:t>ěž zrušení vydané licence, a to </w:t>
      </w:r>
      <w:r w:rsidRPr="00787276">
        <w:rPr>
          <w:b/>
        </w:rPr>
        <w:t>na žádost provozovatele</w:t>
      </w:r>
      <w:r>
        <w:t xml:space="preserve"> (</w:t>
      </w:r>
      <w:r w:rsidRPr="00787276">
        <w:t>§ 95 odst.</w:t>
      </w:r>
      <w:r>
        <w:t> </w:t>
      </w:r>
      <w:r w:rsidRPr="00787276">
        <w:t>3 zákona o</w:t>
      </w:r>
      <w:r>
        <w:t> </w:t>
      </w:r>
      <w:r w:rsidR="00205047">
        <w:t>hazardních hrách) nebo </w:t>
      </w:r>
      <w:r>
        <w:rPr>
          <w:b/>
        </w:rPr>
        <w:t>z moci úřední M</w:t>
      </w:r>
      <w:r w:rsidRPr="00787276">
        <w:rPr>
          <w:b/>
        </w:rPr>
        <w:t>inisterstvem</w:t>
      </w:r>
      <w:r>
        <w:rPr>
          <w:b/>
        </w:rPr>
        <w:t xml:space="preserve"> financí </w:t>
      </w:r>
      <w:r w:rsidRPr="00787276">
        <w:t>(§ 95 odst. 2 zákona o</w:t>
      </w:r>
      <w:r>
        <w:t> </w:t>
      </w:r>
      <w:r w:rsidRPr="00787276">
        <w:t>hazardních hrách).</w:t>
      </w:r>
    </w:p>
    <w:p w14:paraId="6C9D74BD" w14:textId="387895A5" w:rsidR="006B3B31" w:rsidRDefault="006B3B31" w:rsidP="006167E0">
      <w:r w:rsidRPr="00787276">
        <w:rPr>
          <w:b/>
        </w:rPr>
        <w:t>V případě žádosti provozovatele</w:t>
      </w:r>
      <w:r w:rsidRPr="00787276">
        <w:t xml:space="preserve"> se jedná o klas</w:t>
      </w:r>
      <w:r w:rsidR="00205047">
        <w:t>ické správní řízení zahájené na </w:t>
      </w:r>
      <w:r w:rsidRPr="00787276">
        <w:t>žádost, jehož výsledkem je zrušení vydané licence. V rámci implementace zákona o hazardních hrách vyvstaly otázky spojené zejména s řádným ukončením provozu a s tím související řádné vypořádání uživatelských kont. Právní úprava tuto problematiku výslovně a podrobně neřeší (zmí</w:t>
      </w:r>
      <w:r w:rsidR="00205047">
        <w:t>nku o činnostech potřebných pro </w:t>
      </w:r>
      <w:r w:rsidRPr="00787276">
        <w:t xml:space="preserve">ukončení a vypořádání hazardní hry obsahuje jen § 5 zákona o hazardních hrách), ačkoliv nelze akceptovat, že by za řádné provozování mohlo být považováno takové provozování, které nebude řádně a náležitě vypořádáno. Přestože se řádné vypořádání dotýká mnoha aspektů daného provozu (oznamovací povinnosti ukončení provozu, řádná úhrada závazků vůči státu a další povinnosti plynoucí z jiných právních předpisů), byla tato problematika ze strany Ministerstva financí řešena především ve vztahu ke zřízeným uživatelským kontům. Stanovení podrobnější úpravy do vydávaného základního povolení v rámci podmínky řádného provozu bylo shledáno </w:t>
      </w:r>
      <w:r w:rsidRPr="00787276">
        <w:lastRenderedPageBreak/>
        <w:t xml:space="preserve">jako problematické </w:t>
      </w:r>
      <w:r w:rsidR="00E54387">
        <w:t>zejména</w:t>
      </w:r>
      <w:r w:rsidR="00E54387" w:rsidRPr="00787276">
        <w:t xml:space="preserve"> </w:t>
      </w:r>
      <w:r w:rsidRPr="00787276">
        <w:t xml:space="preserve">z důvodu, že v okamžiku zrušení vydaného povolení toto rozhodnutí pozbývá svých právních účinků. Po určitou dobu správní praxe vyžadovala, </w:t>
      </w:r>
      <w:r w:rsidR="00E54387">
        <w:t>aby</w:t>
      </w:r>
      <w:r w:rsidR="00E54387" w:rsidRPr="00787276">
        <w:t xml:space="preserve"> </w:t>
      </w:r>
      <w:r w:rsidRPr="00787276">
        <w:t xml:space="preserve">rozhodnutí o zrušení základního povolení </w:t>
      </w:r>
      <w:r w:rsidR="00E54387">
        <w:t>bylo</w:t>
      </w:r>
      <w:r w:rsidR="00E54387" w:rsidRPr="00787276">
        <w:t xml:space="preserve"> </w:t>
      </w:r>
      <w:r w:rsidRPr="00787276">
        <w:t>žadateli vydáno pouze za předpokladu, že prokáže vypořádání zřízených uživatelských kont a v případě kursové sázky též způsob vypořádání nevyhodnocených kursových sázek (uzavření dohod s jednotlivými sázejícími o</w:t>
      </w:r>
      <w:r>
        <w:t> </w:t>
      </w:r>
      <w:r w:rsidRPr="00787276">
        <w:t>vypořádání nevyhodnocené sázky)</w:t>
      </w:r>
      <w:r w:rsidR="00E54387">
        <w:t>. O</w:t>
      </w:r>
      <w:r w:rsidRPr="00787276">
        <w:t>právnění k provozování okamžitých loterií mohlo být zrušeno až po uplynutí roční lhůty pro uplatnění nároku na výhru. Vzhledem k problematick</w:t>
      </w:r>
      <w:r w:rsidR="006167E0">
        <w:t>ým aspektům tohoto postupu (tj. </w:t>
      </w:r>
      <w:r w:rsidRPr="00787276">
        <w:t>zejména obtížnosti získání některých dokladů, v případě čestných prohlášení problematičnosti jejich</w:t>
      </w:r>
      <w:r>
        <w:t xml:space="preserve"> </w:t>
      </w:r>
      <w:r w:rsidRPr="00787276">
        <w:t>prokazatelnosti a rozdílnosti postupu při zrušení základního povolení z moci úřední) Ministerstvo financí začalo přistupovat ke stanovení podmínky</w:t>
      </w:r>
      <w:r w:rsidRPr="00787276">
        <w:rPr>
          <w:vertAlign w:val="superscript"/>
        </w:rPr>
        <w:footnoteReference w:id="13"/>
      </w:r>
      <w:r w:rsidRPr="00787276">
        <w:t xml:space="preserve"> řádného vypořádání do rozhodnutí o zrušení základního povolení. Podmínka vypořádání uživatelských kont tak není primárně zkoumána před vydáním rozhodnutí o zrušení základního povolení, ale je více kladen důraz na následný dozor splnění této povinnosti v rámci řádného provozování hazardní hry ve smyslu §</w:t>
      </w:r>
      <w:r w:rsidR="00D554E8">
        <w:t> </w:t>
      </w:r>
      <w:r w:rsidRPr="00787276">
        <w:t>5 zákona o hazardn</w:t>
      </w:r>
      <w:r w:rsidR="00205047">
        <w:t>ích hrách, které </w:t>
      </w:r>
      <w:r w:rsidRPr="00787276">
        <w:t>sebou nese i č</w:t>
      </w:r>
      <w:r w:rsidR="006167E0">
        <w:t>innosti potřebné pro ukončení a </w:t>
      </w:r>
      <w:r w:rsidRPr="00787276">
        <w:t>vypořádání hazardní hry. Zároveň bylo v rámci připomínkování herních plánů provozovatelům doporučeno, aby do úpravy vzájemných vztahů s účastník</w:t>
      </w:r>
      <w:r w:rsidR="00205047">
        <w:t>y hazardních her, zejména co do </w:t>
      </w:r>
      <w:r w:rsidRPr="00787276">
        <w:t>vypořádání uživatelských kont a</w:t>
      </w:r>
      <w:r>
        <w:t xml:space="preserve"> nevyhodnocených sázek, promítli</w:t>
      </w:r>
      <w:r w:rsidRPr="00787276">
        <w:t xml:space="preserve"> </w:t>
      </w:r>
      <w:r w:rsidRPr="00C12DA4">
        <w:t xml:space="preserve">rovněž postupy vypořádání navazující na zrušení nebo zánik základního povolení. Podrobněji se tímto tématem z hlediska úprav de lege ferenda zabývá </w:t>
      </w:r>
      <w:r w:rsidR="006730E7">
        <w:t>Příloha č. 5</w:t>
      </w:r>
      <w:r w:rsidR="00C12DA4">
        <w:t xml:space="preserve"> </w:t>
      </w:r>
      <w:r w:rsidRPr="00C12DA4">
        <w:t xml:space="preserve">Druhy hazardních her </w:t>
      </w:r>
      <w:r w:rsidR="00C12DA4">
        <w:t xml:space="preserve">a příloha č. </w:t>
      </w:r>
      <w:r w:rsidR="006730E7">
        <w:t xml:space="preserve">4 </w:t>
      </w:r>
      <w:r w:rsidR="00205047" w:rsidRPr="00C12DA4">
        <w:t>Registrace a </w:t>
      </w:r>
      <w:r w:rsidRPr="00C12DA4">
        <w:t>uživatelské konto.</w:t>
      </w:r>
    </w:p>
    <w:p w14:paraId="6F946F11" w14:textId="5634810A" w:rsidR="006B3B31" w:rsidRPr="00922D21" w:rsidRDefault="006B3B31" w:rsidP="006167E0">
      <w:r w:rsidRPr="00922D21">
        <w:rPr>
          <w:b/>
        </w:rPr>
        <w:t>V případě zrušení základního povolení z moci úřední</w:t>
      </w:r>
      <w:r w:rsidRPr="00922D21">
        <w:t xml:space="preserve"> se jedná o klasické správní řízení zahájené z moci úřední Ministerstvem financí. Zji</w:t>
      </w:r>
      <w:r w:rsidR="00205047">
        <w:t>stí-li Ministerstvo financí, že </w:t>
      </w:r>
      <w:r w:rsidRPr="00922D21">
        <w:t>provozovatel přestal splňovat podmínky stanovené pro vydání základního povolení a připouští-li to povaha těchto podmínek a nehrozí-li nebezpečí z prodlení, vyzve Ministerstvo financí nejdříve provozovatele k jejich splnění ve stanovené lhůtě. Provozovateli se tímto poskytuje jakási „druhá“ šance na zjednání nápravy a splnění podmínek stanovených pro vydání základního povolení, které i s ohledem na tuto zákonnou textaci musí provozovatel plnit po celou dobu provozování hazardní hr</w:t>
      </w:r>
      <w:r>
        <w:t>y na</w:t>
      </w:r>
      <w:r w:rsidR="007617AC">
        <w:t> </w:t>
      </w:r>
      <w:r>
        <w:t xml:space="preserve">základě vydaného povolení. </w:t>
      </w:r>
      <w:r w:rsidRPr="00922D21">
        <w:t>Pokud nejsou splněny podmínky pro poskytnutí této možnosti pro zjednání nápravy nebo pokud nejsou podmínky ani v dodatečné lhůtě splněny, zahájí Ministerstvo financí správní řízení o zrušení základního povolení. Zákon o hazardních hrách vymezuje výčet důvodů, na základě kterých je možné správní řízení zahájit a z</w:t>
      </w:r>
      <w:r w:rsidR="00E54387">
        <w:t>a</w:t>
      </w:r>
      <w:r w:rsidRPr="00922D21">
        <w:t> kterých je možné následně jako výsledek tohoto procesu základní povolení odebrat. Důvody jsou:</w:t>
      </w:r>
    </w:p>
    <w:p w14:paraId="2C75DB7C" w14:textId="77777777" w:rsidR="006B3B31" w:rsidRPr="00922D21" w:rsidRDefault="006B3B31" w:rsidP="006B3B31">
      <w:pPr>
        <w:ind w:left="708"/>
      </w:pPr>
      <w:r w:rsidRPr="00922D21">
        <w:t>a) neza</w:t>
      </w:r>
      <w:r>
        <w:t>jistí-li provozovatel na výzvu M</w:t>
      </w:r>
      <w:r w:rsidRPr="00922D21">
        <w:t xml:space="preserve">inisterstva </w:t>
      </w:r>
      <w:r>
        <w:t xml:space="preserve">financí </w:t>
      </w:r>
      <w:r w:rsidRPr="00922D21">
        <w:t>ve stanovené lhůtě splnění podmínek stanovených pro vydání základního povolení,</w:t>
      </w:r>
    </w:p>
    <w:p w14:paraId="4071E4B6" w14:textId="77777777" w:rsidR="006B3B31" w:rsidRPr="00922D21" w:rsidRDefault="006B3B31" w:rsidP="006B3B31">
      <w:pPr>
        <w:ind w:left="708"/>
      </w:pPr>
      <w:r w:rsidRPr="00922D21">
        <w:t xml:space="preserve">b) vyjdou-li dodatečně najevo skutečnosti, pro které by nebylo možné základní povolení udělit, </w:t>
      </w:r>
    </w:p>
    <w:p w14:paraId="6C5FEA96" w14:textId="1CA9CC18" w:rsidR="006B3B31" w:rsidRPr="00922D21" w:rsidRDefault="006B3B31" w:rsidP="006B3B31">
      <w:pPr>
        <w:ind w:left="708"/>
      </w:pPr>
      <w:r w:rsidRPr="00922D21">
        <w:t>c) poruší-li provozovatel opakovaně nebo závažným způsobem povinnosti stanovené tímto zákonem, zákonem upravujícím daň z hazardních her nebo</w:t>
      </w:r>
      <w:r w:rsidR="007617AC">
        <w:t> </w:t>
      </w:r>
      <w:r w:rsidRPr="00922D21">
        <w:t>základním povolením, nebo</w:t>
      </w:r>
    </w:p>
    <w:p w14:paraId="36B77FD8" w14:textId="6E010324" w:rsidR="006B3B31" w:rsidRPr="00922D21" w:rsidRDefault="006B3B31" w:rsidP="006B3B31">
      <w:pPr>
        <w:ind w:left="708"/>
      </w:pPr>
      <w:r w:rsidRPr="00922D21">
        <w:lastRenderedPageBreak/>
        <w:t>d) přestane-li provozovatel splňovat podmínky stanovené tímto zákonem pro</w:t>
      </w:r>
      <w:r w:rsidR="007617AC">
        <w:t> </w:t>
      </w:r>
      <w:r w:rsidRPr="00922D21">
        <w:t>vydání základního povolení a nelze-li postupovat podle § 95 odst. 1 zákona o</w:t>
      </w:r>
      <w:r>
        <w:t> </w:t>
      </w:r>
      <w:r w:rsidRPr="00922D21">
        <w:t>hazardních hrách.</w:t>
      </w:r>
    </w:p>
    <w:p w14:paraId="38B044FB" w14:textId="50FDB3BE" w:rsidR="006B3B31" w:rsidRDefault="006B3B31" w:rsidP="00ED74E9">
      <w:r w:rsidRPr="00922D21">
        <w:t>Vzhledem k tomu, že po dobu účinnosti zákona o hazardních hrách nastalo minimum situací, ve kterých Ministerstvo financí přistoupilo k postupu zrušení základního povolení z moci úřední, je nezbytné v tomto ohledu sl</w:t>
      </w:r>
      <w:r w:rsidR="00205047">
        <w:t>edovat ještě další vývoj, který </w:t>
      </w:r>
      <w:r w:rsidRPr="00922D21">
        <w:t>s sebou přinese ukotvení správní praxe. Zejména bude nezbytné s</w:t>
      </w:r>
      <w:r>
        <w:t>e nadále zaměřit na výklad důvodu pro zrušení</w:t>
      </w:r>
      <w:r w:rsidRPr="00922D21">
        <w:t xml:space="preserve"> </w:t>
      </w:r>
      <w:r>
        <w:t>„</w:t>
      </w:r>
      <w:r w:rsidRPr="00922D21">
        <w:rPr>
          <w:i/>
        </w:rPr>
        <w:t>opakov</w:t>
      </w:r>
      <w:r w:rsidR="00205047">
        <w:rPr>
          <w:i/>
        </w:rPr>
        <w:t>ané a závažné porušení zákona o </w:t>
      </w:r>
      <w:r w:rsidRPr="00922D21">
        <w:rPr>
          <w:i/>
        </w:rPr>
        <w:t>hazardních hrách, zákona o dani z hazardních her nebo základního povolení</w:t>
      </w:r>
      <w:r>
        <w:rPr>
          <w:i/>
        </w:rPr>
        <w:t>“,</w:t>
      </w:r>
      <w:r w:rsidRPr="00922D21">
        <w:rPr>
          <w:i/>
        </w:rPr>
        <w:t xml:space="preserve"> </w:t>
      </w:r>
      <w:r w:rsidR="00205047">
        <w:t>a to </w:t>
      </w:r>
      <w:r w:rsidRPr="00922D21">
        <w:t>i s ohledem</w:t>
      </w:r>
      <w:r w:rsidRPr="00922D21">
        <w:rPr>
          <w:i/>
        </w:rPr>
        <w:t xml:space="preserve"> </w:t>
      </w:r>
      <w:r w:rsidRPr="00922D21">
        <w:t xml:space="preserve">na postupný vývoj </w:t>
      </w:r>
      <w:r w:rsidRPr="00C75CB6">
        <w:t xml:space="preserve">dozorových aktivit </w:t>
      </w:r>
      <w:r w:rsidR="00974E31">
        <w:t>C</w:t>
      </w:r>
      <w:r w:rsidRPr="00C75CB6">
        <w:t>elní správy a následného vedení přestupkového řízení. Cílem zákonodárce totiž zcela jistě bylo uplatňovat tento postup jako krajní řešení vzniklé situace.</w:t>
      </w:r>
    </w:p>
    <w:p w14:paraId="5D531DE9" w14:textId="77777777" w:rsidR="006B3B31" w:rsidRDefault="006B3B31" w:rsidP="006B3B31">
      <w:pPr>
        <w:rPr>
          <w:b/>
        </w:rPr>
      </w:pPr>
      <w:bookmarkStart w:id="20" w:name="_Toc69373774"/>
      <w:r w:rsidRPr="006E1508">
        <w:rPr>
          <w:b/>
        </w:rPr>
        <w:t>Dodržování podmínek pro vydání základního povolení v průběhu jeho platnosti, oznamování změn skutečností, na základě kterých bylo základní povolení vydáno</w:t>
      </w:r>
      <w:bookmarkEnd w:id="20"/>
    </w:p>
    <w:p w14:paraId="58AF4D7B" w14:textId="7BA71466" w:rsidR="006B3B31" w:rsidRPr="00784109" w:rsidRDefault="006B3B31" w:rsidP="00ED74E9">
      <w:r w:rsidRPr="00784109">
        <w:t>Ačkoliv zákonná úprava výslovně nestanovuje povinnost dodržovat podmínky pro</w:t>
      </w:r>
      <w:r w:rsidR="007617AC">
        <w:t> </w:t>
      </w:r>
      <w:r w:rsidRPr="00784109">
        <w:t>vydání základního povolení po celou dobu jeho platnosti, je tuto nez</w:t>
      </w:r>
      <w:r>
        <w:t>bytnost možné dovodit zejména z</w:t>
      </w:r>
      <w:r w:rsidRPr="00784109">
        <w:t xml:space="preserve"> § 95 zákona o hazard</w:t>
      </w:r>
      <w:r>
        <w:t>ních hrách, částečně pak také z</w:t>
      </w:r>
      <w:r w:rsidR="007617AC">
        <w:t> </w:t>
      </w:r>
      <w:r w:rsidRPr="00784109">
        <w:t>§</w:t>
      </w:r>
      <w:r w:rsidR="00D554E8">
        <w:t> </w:t>
      </w:r>
      <w:r w:rsidRPr="00784109">
        <w:t>94</w:t>
      </w:r>
      <w:r w:rsidR="00D554E8">
        <w:t> </w:t>
      </w:r>
      <w:r w:rsidRPr="00784109">
        <w:t>odst.</w:t>
      </w:r>
      <w:r w:rsidR="00D554E8">
        <w:t> </w:t>
      </w:r>
      <w:r w:rsidRPr="00784109">
        <w:t>3 zákona o hazardních hrách a § 93 zákona o hazardních hrách. Rovněž §</w:t>
      </w:r>
      <w:r w:rsidR="00D554E8">
        <w:t> </w:t>
      </w:r>
      <w:r w:rsidRPr="00784109">
        <w:t>6</w:t>
      </w:r>
      <w:r w:rsidR="00D554E8">
        <w:t> </w:t>
      </w:r>
      <w:r w:rsidRPr="00784109">
        <w:t>zákona o</w:t>
      </w:r>
      <w:r>
        <w:t> </w:t>
      </w:r>
      <w:r w:rsidRPr="00784109">
        <w:t>hazardních hrách klade podmínky na provozovatele hazardních her jako takového, nikoliv pouze na osobu v okamžiku podání žádosti, tj. žadatele. Nejvíce explicitní úpravu má v tomto ohledu právě § 95 odst. 1 a 2 zákona o</w:t>
      </w:r>
      <w:r w:rsidR="007617AC">
        <w:t> </w:t>
      </w:r>
      <w:r>
        <w:t>hazardních hrách, který</w:t>
      </w:r>
      <w:r w:rsidRPr="00784109">
        <w:t xml:space="preserve"> předvídá postup v podobě zrušení základ</w:t>
      </w:r>
      <w:r>
        <w:t>ního povolení v případech, kdy M</w:t>
      </w:r>
      <w:r w:rsidRPr="00784109">
        <w:t xml:space="preserve">inisterstvo </w:t>
      </w:r>
      <w:r>
        <w:t xml:space="preserve">financí </w:t>
      </w:r>
      <w:r w:rsidRPr="00784109">
        <w:t>zjistí, že provozovatel přestal splňovat podmínky stanovené pro vydání základního povolení.</w:t>
      </w:r>
    </w:p>
    <w:p w14:paraId="583C5FB8" w14:textId="5DD02424" w:rsidR="006B3B31" w:rsidRDefault="006B3B31" w:rsidP="00ED74E9">
      <w:r w:rsidRPr="00784109">
        <w:t xml:space="preserve">Ministerstvo financí je povinno ve spolupráci s dalšími </w:t>
      </w:r>
      <w:r w:rsidR="0064721A">
        <w:t>dozorujícími orány</w:t>
      </w:r>
      <w:r w:rsidRPr="00784109">
        <w:t xml:space="preserve"> </w:t>
      </w:r>
      <w:r>
        <w:t xml:space="preserve">průběžně </w:t>
      </w:r>
      <w:r w:rsidRPr="00784109">
        <w:t>„monitorovat“, zda se u provozovatele hazardních her nevyskytují překážky, které by bránily ve vydání základního povolení, jejichž výskyt by zahájil proces odnětí licence ve smyslu § 95 zákona o hazardních hrách. V ideálním scénáři by tedy d</w:t>
      </w:r>
      <w:r w:rsidR="0064721A">
        <w:t>ozorující</w:t>
      </w:r>
      <w:r w:rsidRPr="00784109">
        <w:t xml:space="preserve"> orgány včetně Ministerstva financí, které základní povolení vydalo, měly každým dnem podrobovat monitoringu všechny licencované subjekty co do splnění všech podmínek kladených zákonem o hazardních hrách a v případě zjištění pochybení neprodleně vyžadovat zjednání nápravy. Možnosti uvedeného monitoringu jsou do</w:t>
      </w:r>
      <w:r w:rsidR="007617AC">
        <w:t> </w:t>
      </w:r>
      <w:r w:rsidRPr="00784109">
        <w:t>značné míry ovlivněny zejména dostupností informací, které má Ministerstvo financí k dispozici, a to jednak z pohledu jejich veřejnosti (některé informace mohou být pouze ve sféře dispozice daného provozovatele, který nebude mít zájem na jejich odhalení,</w:t>
      </w:r>
      <w:r>
        <w:t xml:space="preserve"> </w:t>
      </w:r>
      <w:r w:rsidRPr="00784109">
        <w:t xml:space="preserve">a informace nemusí být žádné třetí straně dostupné nebo jen ve velmi omezené míře) a také z pohledu limitace přístupu k nim od třetích subjektů (například zdravotní pojišťovny nemají povinnost oznamovat Ministerstvu financí nedoplatky provozovatelů hazardních her na veřejném zdravotním pojištění). </w:t>
      </w:r>
      <w:r w:rsidRPr="006D0AAB">
        <w:t xml:space="preserve">Ministerstvo financí ve spolupráci s dalšími </w:t>
      </w:r>
      <w:r w:rsidR="0064721A">
        <w:t>dozorujícími</w:t>
      </w:r>
      <w:r w:rsidRPr="006D0AAB">
        <w:t xml:space="preserve"> orgány namátkově reviduje plnění zákonných povinností kladených právní úpravou na žadatele o vydání základního povolení, resp. provozovatele a v případě pochybností při jejich plnění vyzývá provozovatele k prokázání neustálého plnění uvedených podmínek. V budoucnu by bylo vhodné zajištění automatizovaného předávání alespoň některých těchto informací jako je např. ověření podmínek bezdlužnosti byť částečně, bezúhonnosti.</w:t>
      </w:r>
    </w:p>
    <w:p w14:paraId="1F30EF3C" w14:textId="732C06CE" w:rsidR="006B3B31" w:rsidRPr="00383C89" w:rsidRDefault="006B3B31" w:rsidP="00ED74E9">
      <w:r w:rsidRPr="00383C89">
        <w:lastRenderedPageBreak/>
        <w:t>Uvedenému „monitoringu“ pomáhá i provozovatelům daná povinnost podle §</w:t>
      </w:r>
      <w:r w:rsidR="00D554E8">
        <w:t> </w:t>
      </w:r>
      <w:r w:rsidRPr="00383C89">
        <w:t xml:space="preserve">93 zákona o hazardních hrách, dle které je provozovatel povinen oznámit Ministerstvu financí bez zbytečného odkladu všechny změny skutečností, na základě kterých bylo vydáno základní povolení, a předložit o nich doklady do </w:t>
      </w:r>
      <w:r w:rsidR="00205047">
        <w:t>30 dnů ode dne, kdy </w:t>
      </w:r>
      <w:r w:rsidR="00304091">
        <w:t>ke </w:t>
      </w:r>
      <w:r w:rsidRPr="00383C89">
        <w:t>změně došlo. Uvedené ustanovení rovněž předpokládá, že Ministerstvo financí může zveřejnit na svých internetových stránkách okruh údajů, která má k dispozici, nebo jejich změnu může automatizovaným způsobem zji</w:t>
      </w:r>
      <w:r w:rsidR="00205047">
        <w:t>stit z rejstříků a </w:t>
      </w:r>
      <w:r w:rsidR="00304091">
        <w:t>evidencí, do </w:t>
      </w:r>
      <w:r w:rsidRPr="00383C89">
        <w:t>nichž má</w:t>
      </w:r>
      <w:r w:rsidR="00304091">
        <w:t xml:space="preserve"> zřízen automatizovaný přístup, a </w:t>
      </w:r>
      <w:r w:rsidRPr="00383C89">
        <w:t xml:space="preserve">které provozovatel nebude muset způsobem podle tohoto ustanovení oznamovat. Ke </w:t>
      </w:r>
      <w:r w:rsidR="00304091">
        <w:t>zveřejnění těchto údajů ze </w:t>
      </w:r>
      <w:r w:rsidRPr="00383C89">
        <w:t>strany Ministerstva financí nedošlo, tudíž prozatím platí oznamovací povinnost provozovatelů hazardních her ve smyslu § 93 zákona o hazardních hrách vůči všem změnám skutečností, na jejichž základě bylo vydáno základní povolení, a to po celou dobu platnosti vydaného základního povolení. V případě, že provozovatel tuto svou povinnost nesplní, vystavuje se riziku postihu v podobě pokuty za spáchaný přestupek podle §</w:t>
      </w:r>
      <w:r w:rsidR="00D554E8">
        <w:t> </w:t>
      </w:r>
      <w:r w:rsidRPr="00383C89">
        <w:t>123</w:t>
      </w:r>
      <w:r w:rsidR="00D554E8">
        <w:t> </w:t>
      </w:r>
      <w:r w:rsidRPr="00383C89">
        <w:t>odst.</w:t>
      </w:r>
      <w:r w:rsidR="00D554E8">
        <w:t> </w:t>
      </w:r>
      <w:r w:rsidRPr="00383C89">
        <w:t>4</w:t>
      </w:r>
      <w:r w:rsidR="00D554E8">
        <w:t> </w:t>
      </w:r>
      <w:r w:rsidRPr="00383C89">
        <w:t>písm.</w:t>
      </w:r>
      <w:r w:rsidR="00D554E8">
        <w:t> </w:t>
      </w:r>
      <w:r w:rsidRPr="00383C89">
        <w:t>c) zákona o hazardních hrách. Zároveň</w:t>
      </w:r>
      <w:r w:rsidR="00304091">
        <w:t>,</w:t>
      </w:r>
      <w:r w:rsidRPr="00383C89">
        <w:t xml:space="preserve"> nesplní</w:t>
      </w:r>
      <w:r w:rsidRPr="00383C89">
        <w:noBreakHyphen/>
        <w:t xml:space="preserve">li provozovatel danou povinnost a Ministerstvu financí bude změna skutečností známa, může Ministerstvo financí zahájit řízení o změně, resp. zrušení základního povolení z moci úřední. </w:t>
      </w:r>
    </w:p>
    <w:p w14:paraId="33569F06" w14:textId="32295ACC" w:rsidR="006B3B31" w:rsidRDefault="006B3B31" w:rsidP="00ED74E9">
      <w:r w:rsidRPr="006D0AAB">
        <w:t>Příkladem oznamovací povinnosti je například pravidelné dokládání účetních závěrek poté, co ze zákona uplyne lhůta obchodní společnosti pro povinnost takovou účetní závěrku sestavit. Vzhledem k tomu, že předložená účetní závěrka byla jedním z po</w:t>
      </w:r>
      <w:r w:rsidR="00E54387">
        <w:t>d</w:t>
      </w:r>
      <w:r w:rsidRPr="006D0AAB">
        <w:t>kladů, kterými žadatel prokazoval splněn</w:t>
      </w:r>
      <w:r w:rsidR="00304091">
        <w:t>í zákonem kladených podmínek na </w:t>
      </w:r>
      <w:r w:rsidRPr="006D0AAB">
        <w:t>provozovatele hazardních her (požadavek na vlastní zdroje v minimální výši a průhledný a nezávadný původ zdrojů), je nezbytné po sestavení nové účetní závěrky tento podklad Ministerstvu financí rovněž p</w:t>
      </w:r>
      <w:r w:rsidR="00304091">
        <w:t>oskytnout, zejména z důvodu, že </w:t>
      </w:r>
      <w:r w:rsidRPr="006D0AAB">
        <w:t>zaznamenané účetní operace v tomto dokladu je nutné považovat za změnu skutečností, na základě kterých bylo povol</w:t>
      </w:r>
      <w:r w:rsidR="00205047">
        <w:t>ení vydáno. V případě, že by po </w:t>
      </w:r>
      <w:r w:rsidRPr="006D0AAB">
        <w:t>přezkoumání doloženého podkladu Ministerstvo financí zjistilo, že provozovatel přestal splňovat podmínky na něj kladené, je oprávněno zah</w:t>
      </w:r>
      <w:r w:rsidR="00ED74E9">
        <w:t>ájit postup podle §</w:t>
      </w:r>
      <w:r w:rsidR="00D554E8">
        <w:t> </w:t>
      </w:r>
      <w:r w:rsidR="00ED74E9">
        <w:t>95 zákona o </w:t>
      </w:r>
      <w:r w:rsidRPr="006D0AAB">
        <w:t>hazardních hrách.</w:t>
      </w:r>
    </w:p>
    <w:p w14:paraId="1D1F74EF" w14:textId="77777777" w:rsidR="006B3B31" w:rsidRDefault="006B3B31" w:rsidP="00272E43">
      <w:pPr>
        <w:keepNext/>
        <w:rPr>
          <w:b/>
        </w:rPr>
      </w:pPr>
      <w:bookmarkStart w:id="21" w:name="_Toc69373775"/>
      <w:r w:rsidRPr="00383C89">
        <w:rPr>
          <w:b/>
        </w:rPr>
        <w:t>Zánik a přechod základního povolení</w:t>
      </w:r>
      <w:bookmarkEnd w:id="21"/>
    </w:p>
    <w:p w14:paraId="5AD5C0CD" w14:textId="6AD3D06C" w:rsidR="006B3B31" w:rsidRPr="00383C89" w:rsidRDefault="006B3B31" w:rsidP="00ED74E9">
      <w:r w:rsidRPr="00383C89">
        <w:t xml:space="preserve">Zákon o hazardních hrách oproti předchozí zákonné úpravě explicitně stanoví </w:t>
      </w:r>
      <w:r w:rsidRPr="00383C89">
        <w:rPr>
          <w:b/>
        </w:rPr>
        <w:t>podmínky zániku základního povolení</w:t>
      </w:r>
      <w:r w:rsidRPr="00383C89">
        <w:t>. Základní povolení zaniká uplynutím doby, na kterou bylo uděleno, nebo zánikem provozovatele, kterému bylo základní povolení uděleno. V těchto případech tedy základní povolení zaniká ex lege a není k této skutečnosti potřebný žádný další úkon správního orgánu, například v podobě rozhodnutí. Výjimkou z případu, kdy základní povolení zaniká zánikem provozovatele, je situace, kdy k zániku provozovatele dojde v důsledku přeměny a</w:t>
      </w:r>
      <w:r>
        <w:t> </w:t>
      </w:r>
      <w:r w:rsidRPr="00383C89">
        <w:t>Ministerstvo financí udělí k přeměně provozovatele předem souhlas. V takovém případě pak dochází k </w:t>
      </w:r>
      <w:r w:rsidRPr="00383C89">
        <w:rPr>
          <w:b/>
        </w:rPr>
        <w:t xml:space="preserve">přechodu základního povolení </w:t>
      </w:r>
      <w:r w:rsidRPr="00383C89">
        <w:t>na nástupnicko</w:t>
      </w:r>
      <w:r>
        <w:t>u právnickou osobu. V souladu s</w:t>
      </w:r>
      <w:r w:rsidR="00ED74E9">
        <w:t> § </w:t>
      </w:r>
      <w:r w:rsidRPr="00383C89">
        <w:t>89 odst. 4 zákona o hazardních hrách je sice povolení podle</w:t>
      </w:r>
      <w:r w:rsidR="00304091">
        <w:t> </w:t>
      </w:r>
      <w:r w:rsidRPr="00383C89">
        <w:t>tohoto zákona nepřevoditelné, nicméně situace popsaná výše je příkladem přechodu základního povolení na základě Ministerstvem financí uděleného souhlasu.</w:t>
      </w:r>
    </w:p>
    <w:p w14:paraId="5552595B" w14:textId="50E419C2" w:rsidR="006B3B31" w:rsidRDefault="006B3B31" w:rsidP="00ED74E9">
      <w:r w:rsidRPr="00383C89">
        <w:rPr>
          <w:b/>
        </w:rPr>
        <w:t>Přechod základního povolení</w:t>
      </w:r>
      <w:r w:rsidRPr="00383C89">
        <w:t xml:space="preserve"> je možný za dvou podmínek. První podmínkou je zánik provozovatele v důsledku přeměny, druhou pak předchozí souhlas Ministerstva financí s přeměnou. Přeměnou provozovatele se rozumí přeměn</w:t>
      </w:r>
      <w:r w:rsidR="00304091">
        <w:t>a</w:t>
      </w:r>
      <w:r w:rsidRPr="00383C89">
        <w:t xml:space="preserve"> podle zákona č. 125/2008</w:t>
      </w:r>
      <w:r w:rsidR="00D554E8">
        <w:t> </w:t>
      </w:r>
      <w:r w:rsidRPr="00383C89">
        <w:t xml:space="preserve">Sb., o přeměnách obchodních společností a družstev, ve znění pozdějších předpisů (dále jen „zákon o přeměnách“). Zákon o přeměnách rozlišuje </w:t>
      </w:r>
      <w:r w:rsidRPr="00383C89">
        <w:lastRenderedPageBreak/>
        <w:t>přeměny ve formě fúze, rozdělení, převodu jmění na společníka, změny právní formy a přeshraničního přemístění sídla.</w:t>
      </w:r>
    </w:p>
    <w:p w14:paraId="533ACC94" w14:textId="2ECCF64B" w:rsidR="006B3B31" w:rsidRPr="005151C2" w:rsidRDefault="006B3B31" w:rsidP="00ED74E9">
      <w:r w:rsidRPr="005151C2">
        <w:t xml:space="preserve">Ministerstvo financí v rámci své správní praxe za účinnosti zákona o hazardních hrách udělovalo souhlas k přeměně ve formě fúze sloučením </w:t>
      </w:r>
      <w:r>
        <w:t>po</w:t>
      </w:r>
      <w:r w:rsidR="00ED74E9">
        <w:t>dle §</w:t>
      </w:r>
      <w:r w:rsidR="00D554E8">
        <w:t> </w:t>
      </w:r>
      <w:r w:rsidR="00ED74E9">
        <w:t>61</w:t>
      </w:r>
      <w:r w:rsidR="00D554E8">
        <w:t> </w:t>
      </w:r>
      <w:r w:rsidR="00ED74E9">
        <w:t>odst.</w:t>
      </w:r>
      <w:r w:rsidR="00D554E8">
        <w:t> </w:t>
      </w:r>
      <w:r w:rsidR="00ED74E9">
        <w:t>1 zákona o </w:t>
      </w:r>
      <w:r w:rsidRPr="005151C2">
        <w:t>přeměnách. Při fúzi sloučením dochází k zániku jedné nebo více společností a jejich veškeré jmění přechází na jedinou nástupnickou společnost, která existovala již před fúzí. Jedná se o univerzální nástupnictví, kdy přechází veškerý majetek i závazky a je tak zajištěno, že v důsledku přeměny přechází také všechny závazky z nevyplacených výher, neuhrazených pokut a další skutečnosti vzniklé z provozu.</w:t>
      </w:r>
    </w:p>
    <w:p w14:paraId="11C71F69" w14:textId="4FE1C42D" w:rsidR="006B3B31" w:rsidRDefault="006B3B31" w:rsidP="00ED74E9">
      <w:r w:rsidRPr="005151C2">
        <w:t xml:space="preserve">Zákon o hazardních hrách výslovně nestanoví formu souhlasu s přeměnou. </w:t>
      </w:r>
      <w:r w:rsidR="00E54387">
        <w:t>P</w:t>
      </w:r>
      <w:r w:rsidRPr="005151C2">
        <w:t>řestože souhlas výslovně nezakládá, nemění ani neruší práva či povinnosti, ani neprohlašuje jejich existenci či neexistenci, nejedná se o úkon podle části čtvrté</w:t>
      </w:r>
      <w:r w:rsidR="00E54387">
        <w:t>,</w:t>
      </w:r>
      <w:r>
        <w:t xml:space="preserve"> a</w:t>
      </w:r>
      <w:r w:rsidR="00E54387">
        <w:t xml:space="preserve"> proto je podle závěrů Ministerstva financí</w:t>
      </w:r>
      <w:r>
        <w:t xml:space="preserve"> nezbytné jej vydat ve formě </w:t>
      </w:r>
      <w:r w:rsidRPr="005151C2">
        <w:t xml:space="preserve">rozhodnutí </w:t>
      </w:r>
      <w:r>
        <w:t>po</w:t>
      </w:r>
      <w:r w:rsidRPr="005151C2">
        <w:t>dle §</w:t>
      </w:r>
      <w:r w:rsidR="00461CDF">
        <w:t> </w:t>
      </w:r>
      <w:r w:rsidRPr="005151C2">
        <w:t>67</w:t>
      </w:r>
      <w:r w:rsidR="00D554E8">
        <w:t> </w:t>
      </w:r>
      <w:r w:rsidRPr="005151C2">
        <w:t>odst.</w:t>
      </w:r>
      <w:r w:rsidR="00D554E8">
        <w:t> </w:t>
      </w:r>
      <w:r w:rsidRPr="005151C2">
        <w:t xml:space="preserve">1 správního řádu. Uvedené vyplývá ze skutečnosti, že udělení souhlasu je rozhodující pro přechod povolení na nástupnickou společnost a jeho neudělení má značný dopad na podnikatelské aktivity provozovatele. Udělení souhlasu zakládá legitimní očekávání, že na nástupnickou společnost přejde základní povolení umožňující provozování hazardních her. Vzhledem k uvedenému vydalo Ministerstvo financí souhlas ve formě rozhodnutí </w:t>
      </w:r>
      <w:r>
        <w:t>po</w:t>
      </w:r>
      <w:r w:rsidRPr="005151C2">
        <w:t xml:space="preserve">dle § 67 odst. 1 správního řádu. </w:t>
      </w:r>
      <w:r w:rsidR="00E54387">
        <w:t xml:space="preserve">Tomuto postupu svědčí </w:t>
      </w:r>
      <w:r w:rsidR="00461CDF">
        <w:t xml:space="preserve">i </w:t>
      </w:r>
      <w:r w:rsidR="00E54387">
        <w:t>skutečnost, že</w:t>
      </w:r>
      <w:r w:rsidRPr="005151C2">
        <w:t xml:space="preserve"> by</w:t>
      </w:r>
      <w:r w:rsidR="00E54387">
        <w:t xml:space="preserve"> v případě vydání</w:t>
      </w:r>
      <w:r w:rsidRPr="005151C2">
        <w:t xml:space="preserve"> nesouhlas</w:t>
      </w:r>
      <w:r w:rsidR="00E54387">
        <w:t>u</w:t>
      </w:r>
      <w:r w:rsidRPr="005151C2">
        <w:t xml:space="preserve"> s přeměnou ve formě rozhodnutí </w:t>
      </w:r>
      <w:r>
        <w:t>po</w:t>
      </w:r>
      <w:r w:rsidRPr="005151C2">
        <w:t>dle § 67 odst. 1 správního řádu, zůstalo provozovateli zachováno právo na podání řádného opravného prostředku, případně následně žaloby u</w:t>
      </w:r>
      <w:r>
        <w:t> </w:t>
      </w:r>
      <w:r w:rsidRPr="005151C2">
        <w:t>správního soudu (u nesouhlasu vydaného formou úkonu podle části čtvrté správního řádu by nebylo přípustné odvolání, tedy rozklad).</w:t>
      </w:r>
    </w:p>
    <w:p w14:paraId="1F0CCA3A" w14:textId="577900A0" w:rsidR="006B3B31" w:rsidRDefault="006B3B31" w:rsidP="00ED74E9">
      <w:r w:rsidRPr="003B7DC9">
        <w:t>Ministerstvo financí při vydávání souhlasu musí respektovat pravidla nastavená právní úpravou</w:t>
      </w:r>
      <w:r w:rsidR="00C4677D">
        <w:t>. P</w:t>
      </w:r>
      <w:r w:rsidRPr="003B7DC9">
        <w:t xml:space="preserve">ři udělování souhlasu musí </w:t>
      </w:r>
      <w:r w:rsidR="00C4677D">
        <w:t xml:space="preserve">tedy </w:t>
      </w:r>
      <w:r w:rsidRPr="003B7DC9">
        <w:t>ověřit, že základní povolení v důsledku udělení souhlasu nepřejde na subjekt, který by nesplňoval podmínky kladené na žadatele o vydání základního povolení, respektive provozovatele hazardních her</w:t>
      </w:r>
      <w:r>
        <w:t>,</w:t>
      </w:r>
      <w:r w:rsidRPr="003B7DC9">
        <w:t xml:space="preserve"> a že bude zajištěn řádný provoz hazardní hry. Ministerstvo financí </w:t>
      </w:r>
      <w:r w:rsidR="00461CDF">
        <w:t xml:space="preserve">v praxi vždy </w:t>
      </w:r>
      <w:r w:rsidRPr="003B7DC9">
        <w:t>před samotným udělením souhlasu vyžadovalo doložení podkladů, z</w:t>
      </w:r>
      <w:r w:rsidR="00461CDF">
        <w:t> </w:t>
      </w:r>
      <w:r w:rsidRPr="003B7DC9">
        <w:t>kterých bylo zřejmé, že nástupnická společnost splňuje všechna kritéria nezbytná pro vydání základního povolení. Ačkoliv se jedná o přechod povolení, v praxi Ministerstvo financí posuzovalo, zda tato nástupnická společnost splňuje všechny p</w:t>
      </w:r>
      <w:r w:rsidR="00ED74E9">
        <w:t>odmínky jako ostatní žadatelé o </w:t>
      </w:r>
      <w:r w:rsidRPr="003B7DC9">
        <w:t xml:space="preserve">vydání základního povolení. </w:t>
      </w:r>
      <w:r w:rsidRPr="009C071B">
        <w:t>S ohledem na</w:t>
      </w:r>
      <w:r w:rsidR="00461CDF">
        <w:t> </w:t>
      </w:r>
      <w:r w:rsidRPr="009C071B">
        <w:t>uvedené musela nástupnická společnost doložit podklady prokazují</w:t>
      </w:r>
      <w:r>
        <w:t>cí splnění podmínek uvedených v </w:t>
      </w:r>
      <w:r w:rsidRPr="009C071B">
        <w:t>§ 6 odst. 1 písm. b), §</w:t>
      </w:r>
      <w:r w:rsidR="00D554E8">
        <w:t> </w:t>
      </w:r>
      <w:r w:rsidRPr="009C071B">
        <w:t>87</w:t>
      </w:r>
      <w:r w:rsidR="00D554E8">
        <w:t> </w:t>
      </w:r>
      <w:r w:rsidRPr="009C071B">
        <w:t>odst.</w:t>
      </w:r>
      <w:r w:rsidR="00D554E8">
        <w:t> </w:t>
      </w:r>
      <w:r w:rsidRPr="009C071B">
        <w:t>1, § 88, § 91, §</w:t>
      </w:r>
      <w:r>
        <w:t xml:space="preserve"> 92 zákona o</w:t>
      </w:r>
      <w:r w:rsidR="00461CDF">
        <w:t> </w:t>
      </w:r>
      <w:r>
        <w:t>hazardních hrách a </w:t>
      </w:r>
      <w:r w:rsidRPr="009C071B">
        <w:t xml:space="preserve">také </w:t>
      </w:r>
      <w:r>
        <w:t xml:space="preserve">doklad o oprávnění zastoupení </w:t>
      </w:r>
      <w:r w:rsidRPr="009C071B">
        <w:t>osoby, která měla nástupnickou právnickou osobu zastupovat. Součástí předložených podkladů musel být také projekt fúze z důvodu možnosti posouzení splnění všech zákonných podmínek. Ministerstvo financí vyžadovalo projekt fúze podepsaný za obě zúčas</w:t>
      </w:r>
      <w:r>
        <w:t>tněné společnosti (zanikající i </w:t>
      </w:r>
      <w:r w:rsidRPr="009C071B">
        <w:t>nástupnické)</w:t>
      </w:r>
      <w:r>
        <w:t xml:space="preserve"> jednajícími osobami</w:t>
      </w:r>
      <w:r w:rsidRPr="009C071B">
        <w:t>. Předložení projektu schváleného nejvyššími orgány společností nebylo vyžadováno, avšak</w:t>
      </w:r>
      <w:r w:rsidR="00205047">
        <w:t> </w:t>
      </w:r>
      <w:r w:rsidRPr="009C071B">
        <w:t>souhlas k přeměně byl udělen podmíněně s tím, že fúze musí být dokončena v souladu s předloženým projektem fúze Ministerstvu financí. T</w:t>
      </w:r>
      <w:r w:rsidR="00255450">
        <w:t>ato podmínka má za cíl zajistit</w:t>
      </w:r>
      <w:r w:rsidRPr="009C071B">
        <w:t>, že v</w:t>
      </w:r>
      <w:r w:rsidR="00D554E8">
        <w:t> </w:t>
      </w:r>
      <w:r w:rsidRPr="009C071B">
        <w:t>mezidobí od vydání souhlasu do okamžiku ukončení přeměny nedojde ke změnám, které by mohly mít vliv na splnění podmínek pro provozování hazardních her.</w:t>
      </w:r>
      <w:r>
        <w:t xml:space="preserve"> Pokud by projekt fúze byl schválen nejvyššími orgány společnosti v odlišném znění, než v kterém byl předložen, muselo by Ministerstvo financí k řádnému přechodu základního povolení udělit souhlas nový. Na základě již </w:t>
      </w:r>
      <w:r>
        <w:lastRenderedPageBreak/>
        <w:t>uděleného souhlasu by nemohlo platně dojít k přechodu základního povolení na</w:t>
      </w:r>
      <w:r w:rsidR="00461CDF">
        <w:t> </w:t>
      </w:r>
      <w:r>
        <w:t>nástupnickou společnost.</w:t>
      </w:r>
    </w:p>
    <w:p w14:paraId="48B6C6B2" w14:textId="00AC69AF" w:rsidR="006B3B31" w:rsidRPr="00014E95" w:rsidRDefault="006B3B31" w:rsidP="00ED74E9">
      <w:r w:rsidRPr="00014E95">
        <w:t>V souvislosti s přeměnou bylo nezbytné také posouzení vlivu této přeměny na kauce skládané v podle § 89 a § 100 zákona o hazardních hrách. V případě kaucí skládaných na zvláštní účet Ministerstva financí nevznikaly pochybnosti stran přechodu této kauce. V případě bankovní záruky dospělo Ministerstvo financí k závěru, že bankovní záruka přechází taktéž na nástupnickou společnost, avšak</w:t>
      </w:r>
      <w:r w:rsidR="00205047">
        <w:t> </w:t>
      </w:r>
      <w:r w:rsidRPr="00014E95">
        <w:t xml:space="preserve">s ohledem na právní jistotu, vyžadovalo Ministerstvo financí doložení dodatku k bankovní záruce. Z tohoto dodatku muselo vyplývat, že banka byla informována o přeměně provozovatele a bankovní záruka je platná i pro nástupnickou právnickou osobu. </w:t>
      </w:r>
    </w:p>
    <w:p w14:paraId="26F17A46" w14:textId="5701705A" w:rsidR="006B3B31" w:rsidRDefault="006B3B31" w:rsidP="00ED74E9">
      <w:r w:rsidRPr="00014E95">
        <w:t>Vzhledem k tomu, že s ohledem na obchodní rozhodnutí provozovatele nakonec k procesu přechodu povolení nebylo přistoupeno, nezaznamenala správní praxe prozatím zkušenosti se závěrečnou fází tohoto procesu, kterým by byla změna základního povolení. Dle názoru Ministerstva financí totiž po přechodu základního povolení musí dojít ke změně vydaného povolení a to minimálně v části týkající se subjektu, kterému je základní povolení uděleno a s</w:t>
      </w:r>
      <w:r w:rsidR="00C26BE6">
        <w:t>chváleného herního plánu, který </w:t>
      </w:r>
      <w:r w:rsidRPr="00014E95">
        <w:t xml:space="preserve">odkazuje účastníky hazardní hry na kontaktní údaje a název provozovatele hazardních her. K této změně by Ministerstvo financí </w:t>
      </w:r>
      <w:r w:rsidR="00C26BE6">
        <w:t>přistoupilo z moci úřední, a to </w:t>
      </w:r>
      <w:r w:rsidRPr="00014E95">
        <w:t>po účinnosti přeměny postupem podle</w:t>
      </w:r>
      <w:r w:rsidR="00C26BE6">
        <w:t xml:space="preserve"> § 94 odst. 1 písm. b) zákona o </w:t>
      </w:r>
      <w:r w:rsidRPr="00014E95">
        <w:t>hazardních hrách. Předmětem této změny základního povolení by tedy bylo uvedení nového označení provozovatele a jeho sídla, schválení nového herního p</w:t>
      </w:r>
      <w:r w:rsidR="00ED74E9">
        <w:t>lánu (který byl předložen již v </w:t>
      </w:r>
      <w:r w:rsidRPr="00014E95">
        <w:t>rámci žádosti o vydání souhlasu s přeměnou). Je otázkou, zda by v návaznosti na judikaturu Nejvyššího správního soudu</w:t>
      </w:r>
      <w:r w:rsidRPr="00014E95">
        <w:rPr>
          <w:vertAlign w:val="superscript"/>
        </w:rPr>
        <w:footnoteReference w:id="14"/>
      </w:r>
      <w:r w:rsidRPr="00014E95">
        <w:t xml:space="preserve"> mohlo být takové správní řízení sloučeno spolu s vedeným správním řízením o žádosti provozovatele, pokud by provozovatel požadoval změn</w:t>
      </w:r>
      <w:r w:rsidR="00C26BE6">
        <w:t>it ještě některé další údaje, k </w:t>
      </w:r>
      <w:r w:rsidRPr="00014E95">
        <w:t>jejichž změně by mohlo dojít ve smyslu § 94 odst. 1 písm. a) bod 1 zákon</w:t>
      </w:r>
      <w:r w:rsidR="00C26BE6">
        <w:t>a o </w:t>
      </w:r>
      <w:r w:rsidRPr="00014E95">
        <w:t>hazardních hrách až v důsledku změny základního povolení (např. přemístění serverů, změna místa slosování atp.) anebo by taková rozhodnutí měla být vydána postupně, tedy nejdříve rozhodnutí z moci úřední a pak jeho změna na základě žádosti provozovatele.</w:t>
      </w:r>
    </w:p>
    <w:p w14:paraId="18ECA094" w14:textId="77777777" w:rsidR="006B3B31" w:rsidRDefault="006B3B31" w:rsidP="00ED74E9">
      <w:r w:rsidRPr="00625BA6">
        <w:t>Podrobněji se některými aspekty tohoto tématu bude zabývat následující část věnovaná konkrétnímu popisu nástrojů, včetně oblastí úpravy de lege ferenda.</w:t>
      </w:r>
    </w:p>
    <w:p w14:paraId="48D91CBD" w14:textId="77777777" w:rsidR="006B3B31" w:rsidRPr="002504F3" w:rsidRDefault="006B3B31" w:rsidP="00AF112D">
      <w:pPr>
        <w:pStyle w:val="Nadpis5"/>
      </w:pPr>
      <w:bookmarkStart w:id="22" w:name="_Toc73529680"/>
      <w:bookmarkStart w:id="23" w:name="_Toc73608971"/>
      <w:r w:rsidRPr="002504F3">
        <w:t>Povolení k umístění herního prostoru</w:t>
      </w:r>
      <w:bookmarkEnd w:id="22"/>
      <w:bookmarkEnd w:id="23"/>
    </w:p>
    <w:p w14:paraId="4C3069BB" w14:textId="3AB84351" w:rsidR="006B3B31" w:rsidRDefault="006B3B31" w:rsidP="00ED74E9">
      <w:r w:rsidRPr="00B9191E">
        <w:t xml:space="preserve">Nová právní úprava podle </w:t>
      </w:r>
      <w:r>
        <w:t>zákona o hazardních hrách</w:t>
      </w:r>
      <w:r w:rsidRPr="00B9191E">
        <w:t xml:space="preserve"> decentralizuje rozhodovací proces a zavádí dvou stupňové povolovací řízení. V něm Ministerstvo financí vydá</w:t>
      </w:r>
      <w:r>
        <w:t>vá</w:t>
      </w:r>
      <w:r w:rsidRPr="00B9191E">
        <w:t xml:space="preserve"> základní povolení a obecní úřady v přenesené působnosti pak rozhodují o povolení k umístění herního prostoru. </w:t>
      </w:r>
      <w:r>
        <w:t>Podle důvodové zprávy k zákonu o hazardních hrách bylo cílem úpravy povolení k umístění herního prostoru (§ 97-</w:t>
      </w:r>
      <w:r w:rsidRPr="00375CA5">
        <w:t>104</w:t>
      </w:r>
      <w:r>
        <w:t xml:space="preserve"> zákona o hazardních hrách) decentralizovat rozhodovací proces, a přenést část pravomocí na obce, což mělo zaručit </w:t>
      </w:r>
      <w:r w:rsidRPr="00B1141A">
        <w:t>efektivnější formu regulace,</w:t>
      </w:r>
      <w:r w:rsidR="00C26BE6">
        <w:t xml:space="preserve"> neboť právě obce, na rozdíl od </w:t>
      </w:r>
      <w:r w:rsidRPr="00B1141A">
        <w:t>ústředního orgánu státní správy</w:t>
      </w:r>
      <w:r w:rsidR="00C26BE6">
        <w:t>,</w:t>
      </w:r>
      <w:r w:rsidRPr="00B1141A">
        <w:t xml:space="preserve"> znají nejlépe místní poměry, kterých se provoz herního prostoru a hazardní hry může dotknout</w:t>
      </w:r>
      <w:r>
        <w:t>.</w:t>
      </w:r>
    </w:p>
    <w:p w14:paraId="78551A6C" w14:textId="2EBBB83B" w:rsidR="006B3B31" w:rsidRDefault="006B3B31" w:rsidP="00ED74E9">
      <w:r w:rsidRPr="000F29DE">
        <w:t xml:space="preserve">Podle § 97 </w:t>
      </w:r>
      <w:r w:rsidR="00C4677D">
        <w:t xml:space="preserve">zákona o hazardních hrách </w:t>
      </w:r>
      <w:r w:rsidRPr="000F29DE">
        <w:t>se povolení</w:t>
      </w:r>
      <w:r>
        <w:t xml:space="preserve"> k umístění herního prostoru</w:t>
      </w:r>
      <w:r w:rsidRPr="000F29DE">
        <w:t xml:space="preserve"> vydává pouze pro bingo, technickou hru a živou hru provozované </w:t>
      </w:r>
      <w:r>
        <w:t>formou</w:t>
      </w:r>
      <w:r w:rsidRPr="000F29DE">
        <w:t xml:space="preserve"> land-based, tedy nikoliv hazardní hry provozované </w:t>
      </w:r>
      <w:r>
        <w:t>jako internetová hra</w:t>
      </w:r>
      <w:r w:rsidRPr="000F29DE">
        <w:t xml:space="preserve"> (jelikož to povaha internetové </w:t>
      </w:r>
      <w:r w:rsidRPr="000F29DE">
        <w:lastRenderedPageBreak/>
        <w:t>hry vylučuje). Povolení</w:t>
      </w:r>
      <w:r>
        <w:t xml:space="preserve"> k umístění herního prostoru</w:t>
      </w:r>
      <w:r w:rsidRPr="000F29DE">
        <w:t xml:space="preserve"> je vydáváno v přenesené působnosti obecními úřady obcí, na jejichž území má být určitý druh herního prostoru umístěn a</w:t>
      </w:r>
      <w:r>
        <w:t> </w:t>
      </w:r>
      <w:r w:rsidRPr="000F29DE">
        <w:t>provozována příslušná hazardní</w:t>
      </w:r>
      <w:r w:rsidR="00205047">
        <w:t xml:space="preserve"> hra. Provozovatel tak </w:t>
      </w:r>
      <w:r w:rsidRPr="000F29DE">
        <w:t>smí provozovat hazardní hru a herní prostor pouze na adrese herního prostoru, která je uvedena v</w:t>
      </w:r>
      <w:r w:rsidR="00D554E8">
        <w:t> </w:t>
      </w:r>
      <w:r w:rsidRPr="000F29DE">
        <w:t xml:space="preserve"> příslušném povolení k umístění </w:t>
      </w:r>
      <w:r>
        <w:t xml:space="preserve">hazardní </w:t>
      </w:r>
      <w:r w:rsidRPr="000F29DE">
        <w:t>hry</w:t>
      </w:r>
      <w:r>
        <w:t xml:space="preserve"> v konkrétní</w:t>
      </w:r>
      <w:r w:rsidR="00812239">
        <w:t>ch</w:t>
      </w:r>
      <w:r>
        <w:t xml:space="preserve"> prostorách, které byly povoleny</w:t>
      </w:r>
      <w:r w:rsidRPr="000F29DE">
        <w:t>.</w:t>
      </w:r>
      <w:r w:rsidR="00ED74E9">
        <w:t xml:space="preserve"> Žadatelem o udělení povolení k </w:t>
      </w:r>
      <w:r w:rsidRPr="000F29DE">
        <w:t>umístění herního prostoru může být pouze provozovatel, kterému bylo uděleno základní povolení k</w:t>
      </w:r>
      <w:r>
        <w:t> </w:t>
      </w:r>
      <w:r w:rsidRPr="000F29DE">
        <w:t>provozování příslušné</w:t>
      </w:r>
      <w:r>
        <w:t>ho druhu</w:t>
      </w:r>
      <w:r w:rsidRPr="000F29DE">
        <w:t xml:space="preserve"> hazardní hry, které </w:t>
      </w:r>
      <w:r w:rsidR="00205047">
        <w:t>uděluje Ministerstvo financí na </w:t>
      </w:r>
      <w:r w:rsidRPr="000F29DE">
        <w:t xml:space="preserve">základě </w:t>
      </w:r>
      <w:r>
        <w:t>§ 85-</w:t>
      </w:r>
      <w:r w:rsidRPr="000F29DE">
        <w:t xml:space="preserve">96 </w:t>
      </w:r>
      <w:r>
        <w:t>zákona o hazardních hrách</w:t>
      </w:r>
      <w:r w:rsidRPr="000F29DE">
        <w:t>.</w:t>
      </w:r>
    </w:p>
    <w:p w14:paraId="73E3AC39" w14:textId="77777777" w:rsidR="006B3B31" w:rsidRPr="00B9191E" w:rsidRDefault="006B3B31" w:rsidP="00ED74E9">
      <w:r w:rsidRPr="00B9191E">
        <w:t>Obecní úřad nezkoumá podmínky, které byly již přezkoumány v základním povolení, tedy podmínky odborného charakteru a</w:t>
      </w:r>
      <w:r>
        <w:t> </w:t>
      </w:r>
      <w:r w:rsidRPr="00B9191E">
        <w:t xml:space="preserve">vztahující se výhradně k danému typu hazardní hry. V rámci </w:t>
      </w:r>
      <w:r>
        <w:t xml:space="preserve">správního řízení o </w:t>
      </w:r>
      <w:r w:rsidRPr="00B9191E">
        <w:t xml:space="preserve">povolení k umístění herního prostoru obecní úřad </w:t>
      </w:r>
      <w:r>
        <w:t xml:space="preserve">povoluje </w:t>
      </w:r>
      <w:r w:rsidRPr="00B9191E">
        <w:t>provozováním hazardní hry v uvedeném herním prostoru, případně</w:t>
      </w:r>
      <w:r>
        <w:t xml:space="preserve"> současně i umístění technických </w:t>
      </w:r>
      <w:r w:rsidRPr="00B9191E">
        <w:t>zařízení</w:t>
      </w:r>
      <w:r>
        <w:t>, hracích stolů živé hry či generátorů náhodných čísel pro provozování binga</w:t>
      </w:r>
      <w:r w:rsidRPr="00B9191E">
        <w:t>, jejichž prostřednictvím bude hazardní hra provozována, včetně jejich identifikace.</w:t>
      </w:r>
    </w:p>
    <w:p w14:paraId="005304D1" w14:textId="7AEAE0EA" w:rsidR="006B3B31" w:rsidRDefault="006B3B31" w:rsidP="00ED74E9">
      <w:r w:rsidRPr="006878D9">
        <w:t xml:space="preserve">Podle </w:t>
      </w:r>
      <w:r>
        <w:t xml:space="preserve">§ 98 </w:t>
      </w:r>
      <w:r w:rsidR="00812239">
        <w:t xml:space="preserve">zákona o hazardních hrách </w:t>
      </w:r>
      <w:r>
        <w:t xml:space="preserve">vydá obecní úřad povolení k umístění herního prostoru pokud: a) žadateli bylo Ministerstvem financí vydáno základní povolení k provozování příslušné hry, b) žadatel poskytl kauci podle </w:t>
      </w:r>
      <w:r w:rsidRPr="008F096D">
        <w:t>§ 100</w:t>
      </w:r>
      <w:r w:rsidR="00C26BE6">
        <w:t xml:space="preserve"> zákona o </w:t>
      </w:r>
      <w:r w:rsidR="00812239">
        <w:t>hazardních hrách</w:t>
      </w:r>
      <w:r>
        <w:t>, c) nebude</w:t>
      </w:r>
      <w:r w:rsidRPr="008F096D">
        <w:t>-li umístění herního prostoru v</w:t>
      </w:r>
      <w:r>
        <w:t> </w:t>
      </w:r>
      <w:r w:rsidRPr="008F096D">
        <w:t>rozporu s obecně závaznou vyhláškou obce</w:t>
      </w:r>
      <w:r>
        <w:t xml:space="preserve">. </w:t>
      </w:r>
      <w:r w:rsidRPr="00B875AA">
        <w:t>V povolení k umístění herního prostoru obecní úřad povolí umístění herny nebo kasina, provozování příslušné</w:t>
      </w:r>
      <w:r>
        <w:t>ho druhu</w:t>
      </w:r>
      <w:r w:rsidRPr="00B875AA">
        <w:t xml:space="preserve"> hazardní hry, provozní dobu herního prostoru a počet koncových zařízení, jejichž prostřednictvím bude hazardní hra provozována, včetně uvedení jejich typu, výro</w:t>
      </w:r>
      <w:r w:rsidR="00ED74E9">
        <w:t>bního čísla a </w:t>
      </w:r>
      <w:r w:rsidRPr="00B875AA">
        <w:t>přesného počtu herních pozic.</w:t>
      </w:r>
      <w:r>
        <w:t xml:space="preserve"> </w:t>
      </w:r>
      <w:r w:rsidRPr="00B875AA">
        <w:t>Povolení k umístění herního prostoru se vydává na dobu trvání právních účinků základního povolení, nejdéle však na dobu 3 let.</w:t>
      </w:r>
    </w:p>
    <w:p w14:paraId="0BEC6E04" w14:textId="1FC361B4" w:rsidR="006B3B31" w:rsidRDefault="00C26BE6" w:rsidP="00ED74E9">
      <w:r>
        <w:t xml:space="preserve">V </w:t>
      </w:r>
      <w:r w:rsidR="006B3B31" w:rsidRPr="00C86359">
        <w:t>§ 99</w:t>
      </w:r>
      <w:r w:rsidR="006B3B31">
        <w:t xml:space="preserve"> zákona o hazardních hrách </w:t>
      </w:r>
      <w:r>
        <w:t xml:space="preserve">se </w:t>
      </w:r>
      <w:r w:rsidR="006B3B31">
        <w:t>stanovuj</w:t>
      </w:r>
      <w:r>
        <w:t>í</w:t>
      </w:r>
      <w:r w:rsidR="006B3B31">
        <w:t xml:space="preserve"> náležitosti žádosti, které vedle obecných náležitostí podání podle správního řádu musí žadatel uvést. </w:t>
      </w:r>
      <w:r w:rsidR="00ED74E9">
        <w:t>Jedná se o </w:t>
      </w:r>
      <w:r w:rsidR="006B3B31" w:rsidRPr="003529B5">
        <w:t>náležitosti,</w:t>
      </w:r>
      <w:r w:rsidR="006B3B31">
        <w:t xml:space="preserve"> které</w:t>
      </w:r>
      <w:r w:rsidR="006B3B31" w:rsidRPr="003529B5">
        <w:t xml:space="preserve"> mají zajistit řádnou identifikaci dané hazardní hry a příslušného herního prostoru</w:t>
      </w:r>
      <w:r w:rsidR="006B3B31">
        <w:t xml:space="preserve">. Žadatel musí </w:t>
      </w:r>
      <w:r w:rsidR="006B3B31" w:rsidRPr="00B06C32">
        <w:t xml:space="preserve">uvést druh, adresu a provozní dobu herního prostoru, druh hazardní hry, která má být v daném herním prostoru provozována, typ, výrobní číslo a počet herních pozic koncového zařízení, jejichž prostřednictvím bude </w:t>
      </w:r>
      <w:r w:rsidR="006B3B31">
        <w:t>technická</w:t>
      </w:r>
      <w:r w:rsidR="006B3B31" w:rsidRPr="00B06C32">
        <w:t xml:space="preserve"> hra provozována, a</w:t>
      </w:r>
      <w:r w:rsidR="00D554E8">
        <w:t> </w:t>
      </w:r>
      <w:r w:rsidR="006B3B31" w:rsidRPr="00B06C32">
        <w:t xml:space="preserve"> přiložit k ní zákonem stanovené dokumenty. K žádosti žadatel přiloží</w:t>
      </w:r>
      <w:r w:rsidR="006B3B31">
        <w:t xml:space="preserve"> </w:t>
      </w:r>
      <w:r w:rsidR="006B3B31" w:rsidRPr="00B06C32">
        <w:t>základní povolení k provozování hazardní hry</w:t>
      </w:r>
      <w:r w:rsidR="006B3B31">
        <w:t xml:space="preserve">, </w:t>
      </w:r>
      <w:r w:rsidR="006B3B31" w:rsidRPr="00B06C32">
        <w:t>doklad o</w:t>
      </w:r>
      <w:r w:rsidR="006B3B31">
        <w:t> </w:t>
      </w:r>
      <w:r w:rsidR="006B3B31" w:rsidRPr="00B06C32">
        <w:t>složení kauce,</w:t>
      </w:r>
      <w:r w:rsidR="006B3B31">
        <w:t xml:space="preserve"> </w:t>
      </w:r>
      <w:r w:rsidR="006B3B31" w:rsidRPr="00B06C32">
        <w:t>osvědčení o</w:t>
      </w:r>
      <w:r w:rsidR="006B3B31">
        <w:t> </w:t>
      </w:r>
      <w:r w:rsidR="006B3B31" w:rsidRPr="00B06C32">
        <w:t>provozuschopnosti p</w:t>
      </w:r>
      <w:r w:rsidR="006B3B31">
        <w:t xml:space="preserve">ro každé koncové zařízení, </w:t>
      </w:r>
      <w:r w:rsidR="006B3B31" w:rsidRPr="00B06C32">
        <w:t>doklad o právním důvodu užívání prostor</w:t>
      </w:r>
      <w:r w:rsidR="006B3B31">
        <w:t xml:space="preserve">, </w:t>
      </w:r>
      <w:r w:rsidR="006B3B31" w:rsidRPr="00B06C32">
        <w:t>schéma kamerového systému</w:t>
      </w:r>
      <w:r w:rsidR="006B3B31">
        <w:t>.</w:t>
      </w:r>
      <w:r w:rsidR="006B3B31" w:rsidRPr="00DA099D">
        <w:t xml:space="preserve"> </w:t>
      </w:r>
      <w:r w:rsidR="006B3B31">
        <w:t>Dokumenty nesmějí být v </w:t>
      </w:r>
      <w:r w:rsidR="006B3B31" w:rsidRPr="00B06C32">
        <w:t>době podání žádosti starší 3 měsíců</w:t>
      </w:r>
      <w:r w:rsidR="006B3B31">
        <w:t xml:space="preserve"> vyjma základního povolení a osvědčení o provozuschopnosti</w:t>
      </w:r>
      <w:r w:rsidR="006B3B31" w:rsidRPr="00B06C32">
        <w:t>.</w:t>
      </w:r>
    </w:p>
    <w:p w14:paraId="084549C1" w14:textId="5DD35DCD" w:rsidR="006B3B31" w:rsidRDefault="00812239" w:rsidP="00ED74E9">
      <w:r>
        <w:t xml:space="preserve">V </w:t>
      </w:r>
      <w:r w:rsidR="006B3B31" w:rsidRPr="00C86359">
        <w:t xml:space="preserve">§ </w:t>
      </w:r>
      <w:r w:rsidR="006B3B31">
        <w:t xml:space="preserve">100 zákona o hazardních hrách </w:t>
      </w:r>
      <w:r>
        <w:t xml:space="preserve">se </w:t>
      </w:r>
      <w:r w:rsidR="006B3B31">
        <w:t xml:space="preserve">upravuje institut kauce. Kauce v zákoně o hazardních hrách v podstatě navazuje na institut, který byl používán podle předchozí právní úpravy dle zákona o loteriích, tedy na institut </w:t>
      </w:r>
      <w:r w:rsidR="006B3B31" w:rsidRPr="00915498">
        <w:t>jistoty k zajištění pohledávek státu a výplat výher sázejícím</w:t>
      </w:r>
      <w:r w:rsidR="006B3B31">
        <w:t>. Kauce slouží k zajištění pohledávek státu ve formě daně z hazardní hry či pokuty uložené za přestupek a výplat výher sázejícím splňující podmínky dané zákonem.</w:t>
      </w:r>
      <w:r w:rsidR="006B3B31" w:rsidRPr="00926E3B">
        <w:t xml:space="preserve"> Žadatel o vydání povolení</w:t>
      </w:r>
      <w:r w:rsidR="006B3B31">
        <w:t xml:space="preserve"> k umístění herního prostoru</w:t>
      </w:r>
      <w:r w:rsidR="006B3B31" w:rsidRPr="00926E3B">
        <w:t xml:space="preserve"> je povinen poskytnout kauci buď s</w:t>
      </w:r>
      <w:r w:rsidR="00C26BE6">
        <w:t>ložením peněžních prostředků na </w:t>
      </w:r>
      <w:r w:rsidR="006B3B31" w:rsidRPr="00926E3B">
        <w:t>zvláštní účet Ministerstva financí ved</w:t>
      </w:r>
      <w:r w:rsidR="00C26BE6">
        <w:t>ený u České národní banky, nebo </w:t>
      </w:r>
      <w:r w:rsidR="006B3B31">
        <w:t>poskytnutím</w:t>
      </w:r>
      <w:r w:rsidR="006B3B31" w:rsidRPr="00926E3B">
        <w:t xml:space="preserve"> bankovní záruky ve prospěch Ministerstva financí, kdy bankovní záruka musí být poskytnuta na dobu určitou, a to nej</w:t>
      </w:r>
      <w:r w:rsidR="00C26BE6">
        <w:t>méně na dobu o 1 rok delší, než </w:t>
      </w:r>
      <w:r w:rsidR="006B3B31" w:rsidRPr="00926E3B">
        <w:t>je žádaná doba provozování.</w:t>
      </w:r>
      <w:r w:rsidR="006B3B31">
        <w:t xml:space="preserve"> Výše kauce je odlišná v závislosti na typu herního prostoru. V případě herny činí </w:t>
      </w:r>
      <w:r w:rsidR="006B3B31" w:rsidRPr="007B4D8A">
        <w:lastRenderedPageBreak/>
        <w:t>1</w:t>
      </w:r>
      <w:r w:rsidR="006B3B31">
        <w:t> mil.</w:t>
      </w:r>
      <w:r w:rsidR="00C54BD1">
        <w:t> </w:t>
      </w:r>
      <w:r w:rsidR="006B3B31" w:rsidRPr="007B4D8A">
        <w:t>Kč za každou hernu, nejméně však 10</w:t>
      </w:r>
      <w:r w:rsidR="006B3B31">
        <w:t> mil.</w:t>
      </w:r>
      <w:r w:rsidR="00C26BE6">
        <w:t xml:space="preserve"> Kč a </w:t>
      </w:r>
      <w:r w:rsidR="006B3B31" w:rsidRPr="007B4D8A">
        <w:t>nejvýše 50</w:t>
      </w:r>
      <w:r w:rsidR="006B3B31">
        <w:t> mil.</w:t>
      </w:r>
      <w:r w:rsidR="006B3B31" w:rsidRPr="007B4D8A">
        <w:t xml:space="preserve"> Kč za všec</w:t>
      </w:r>
      <w:r w:rsidR="006B3B31">
        <w:t xml:space="preserve">hny herny jednoho provozovatele. V případě kasin </w:t>
      </w:r>
      <w:r w:rsidR="006B3B31" w:rsidRPr="007B4D8A">
        <w:t>10</w:t>
      </w:r>
      <w:r w:rsidR="006B3B31">
        <w:t> mil.</w:t>
      </w:r>
      <w:r w:rsidR="006B3B31" w:rsidRPr="007B4D8A">
        <w:t xml:space="preserve"> Kč za každé kasino, nejméně však 20</w:t>
      </w:r>
      <w:r w:rsidR="006B3B31">
        <w:t> mil.</w:t>
      </w:r>
      <w:r w:rsidR="006B3B31" w:rsidRPr="007B4D8A">
        <w:t xml:space="preserve"> Kč </w:t>
      </w:r>
      <w:r w:rsidR="006B3B31" w:rsidRPr="00B078F9">
        <w:t xml:space="preserve">a nejvýše 50 mil. Kč za všechna kasina jednoho provozovatele. </w:t>
      </w:r>
      <w:r w:rsidR="006B3B31">
        <w:t>Blíže</w:t>
      </w:r>
      <w:r w:rsidR="006B3B31" w:rsidRPr="00B078F9">
        <w:t xml:space="preserve"> </w:t>
      </w:r>
      <w:r w:rsidR="006730E7">
        <w:t>v P</w:t>
      </w:r>
      <w:r w:rsidR="00B434AF">
        <w:t>říloze č. 10</w:t>
      </w:r>
      <w:r w:rsidR="006B3B31" w:rsidRPr="00B078F9">
        <w:t xml:space="preserve"> Kauce.</w:t>
      </w:r>
    </w:p>
    <w:p w14:paraId="739B7738" w14:textId="08880838" w:rsidR="00ED74E9" w:rsidRDefault="00ED74E9" w:rsidP="00ED74E9">
      <w:pPr>
        <w:pStyle w:val="Titulek"/>
        <w:keepNext/>
      </w:pPr>
      <w:bookmarkStart w:id="24" w:name="_Toc71631134"/>
      <w:bookmarkStart w:id="25" w:name="_Toc73529535"/>
      <w:r>
        <w:t xml:space="preserve">Tabulka č. </w:t>
      </w:r>
      <w:r w:rsidR="00F32808">
        <w:fldChar w:fldCharType="begin"/>
      </w:r>
      <w:r w:rsidR="00F32808">
        <w:instrText xml:space="preserve"> SEQ Tabulka_č. \* ARABIC </w:instrText>
      </w:r>
      <w:r w:rsidR="00F32808">
        <w:fldChar w:fldCharType="separate"/>
      </w:r>
      <w:r w:rsidR="0011442F">
        <w:rPr>
          <w:noProof/>
        </w:rPr>
        <w:t>1</w:t>
      </w:r>
      <w:r w:rsidR="00F32808">
        <w:rPr>
          <w:noProof/>
        </w:rPr>
        <w:fldChar w:fldCharType="end"/>
      </w:r>
      <w:r>
        <w:t xml:space="preserve">: </w:t>
      </w:r>
      <w:r w:rsidRPr="00974A63">
        <w:t>Výše kauce dle druhu hazardní hry</w:t>
      </w:r>
      <w:bookmarkEnd w:id="24"/>
      <w:bookmarkEnd w:id="25"/>
    </w:p>
    <w:p w14:paraId="4160FEFA" w14:textId="77777777" w:rsidR="006B3B31" w:rsidRDefault="006B3B31" w:rsidP="006B3B31">
      <w:r w:rsidRPr="006E42C4">
        <w:rPr>
          <w:rFonts w:cs="Arial"/>
          <w:b/>
          <w:noProof/>
          <w:color w:val="C00000"/>
          <w:lang w:eastAsia="cs-CZ"/>
        </w:rPr>
        <w:drawing>
          <wp:inline distT="0" distB="0" distL="0" distR="0" wp14:anchorId="681AC4A8" wp14:editId="65F74F2D">
            <wp:extent cx="5760720" cy="2492375"/>
            <wp:effectExtent l="0" t="0" r="0" b="3175"/>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2492375"/>
                    </a:xfrm>
                    <a:prstGeom prst="rect">
                      <a:avLst/>
                    </a:prstGeom>
                  </pic:spPr>
                </pic:pic>
              </a:graphicData>
            </a:graphic>
          </wp:inline>
        </w:drawing>
      </w:r>
    </w:p>
    <w:p w14:paraId="41229A7B" w14:textId="77777777" w:rsidR="006B3B31" w:rsidRDefault="006B3B31" w:rsidP="006B3B31">
      <w:pPr>
        <w:rPr>
          <w:i/>
          <w:sz w:val="20"/>
        </w:rPr>
      </w:pPr>
      <w:r>
        <w:rPr>
          <w:i/>
          <w:sz w:val="20"/>
        </w:rPr>
        <w:t>Zdroj: Zákon o hazardních hrách.</w:t>
      </w:r>
    </w:p>
    <w:p w14:paraId="678D3C78" w14:textId="77777777" w:rsidR="006B3B31" w:rsidRPr="00C17E84" w:rsidRDefault="006B3B31" w:rsidP="006B3B31">
      <w:pPr>
        <w:rPr>
          <w:rFonts w:cs="Arial"/>
          <w:b/>
        </w:rPr>
      </w:pPr>
      <w:r>
        <w:rPr>
          <w:rFonts w:cs="Arial"/>
          <w:b/>
        </w:rPr>
        <w:t>Změna povolení k umístění herního prostoru</w:t>
      </w:r>
    </w:p>
    <w:p w14:paraId="3055B4FE" w14:textId="41B7C69C" w:rsidR="006B3B31" w:rsidRDefault="00812239" w:rsidP="00ED74E9">
      <w:r>
        <w:t xml:space="preserve">V </w:t>
      </w:r>
      <w:r w:rsidR="006B3B31">
        <w:t xml:space="preserve">§ 102 zákona o hazardních hrách </w:t>
      </w:r>
      <w:r>
        <w:t xml:space="preserve">se </w:t>
      </w:r>
      <w:r w:rsidR="006B3B31">
        <w:t xml:space="preserve">upravuje institut změny povolení k umístění herního prostoru. Oproti předchozí právní úpravě došlo ke změně v tom, že podle zákona o hazardních hrách se dosavadní povolení vždy nahrazuje povolením novým. Cílem této úpravy je zajistit aktuálnost a přehlednost informací uvedených v povolení. </w:t>
      </w:r>
    </w:p>
    <w:p w14:paraId="630D2F3D" w14:textId="39051C6F" w:rsidR="006B3B31" w:rsidRDefault="006B3B31" w:rsidP="00ED74E9">
      <w:r w:rsidRPr="0048608E">
        <w:t>Ke z</w:t>
      </w:r>
      <w:r>
        <w:t>měně povolení může dojít buď</w:t>
      </w:r>
      <w:r w:rsidRPr="0048608E">
        <w:t xml:space="preserve"> na základě </w:t>
      </w:r>
      <w:r w:rsidR="00205047">
        <w:t>žádosti provozovatele, ve které </w:t>
      </w:r>
      <w:r w:rsidRPr="0048608E">
        <w:t>navrhne změnu údajů, k jejichž změně může dojít až na základě změny povolení k</w:t>
      </w:r>
      <w:r>
        <w:t> umístění herního prostoru, nebo z moci úřední,</w:t>
      </w:r>
      <w:r w:rsidRPr="0048608E">
        <w:t xml:space="preserve"> dojde-li ke změně údajů</w:t>
      </w:r>
      <w:r>
        <w:t>, které jsou uvedeny v povolení, a to bez ohledu</w:t>
      </w:r>
      <w:r w:rsidRPr="00D16F7C">
        <w:t>, zda provozovatel oznámil změnu těchto údajů nebo zda obecní úřad tuto informaci zjistil v rámci své činnosti</w:t>
      </w:r>
      <w:r>
        <w:t xml:space="preserve">. </w:t>
      </w:r>
      <w:r w:rsidRPr="004632E2">
        <w:t xml:space="preserve">Aby bylo možno nahradit stávající povolení novým, </w:t>
      </w:r>
      <w:r>
        <w:t xml:space="preserve">je </w:t>
      </w:r>
      <w:r w:rsidRPr="004632E2">
        <w:t xml:space="preserve">explicitně </w:t>
      </w:r>
      <w:r>
        <w:t>stanoveno</w:t>
      </w:r>
      <w:r w:rsidRPr="004632E2">
        <w:t xml:space="preserve">, že i nadále musí být splněny </w:t>
      </w:r>
      <w:r>
        <w:t xml:space="preserve">všechny </w:t>
      </w:r>
      <w:r w:rsidRPr="004632E2">
        <w:t xml:space="preserve">podmínky pro vydání </w:t>
      </w:r>
      <w:r>
        <w:t xml:space="preserve">povolení. </w:t>
      </w:r>
      <w:r w:rsidRPr="004632E2">
        <w:t>Nov</w:t>
      </w:r>
      <w:r w:rsidR="00C26BE6">
        <w:t>é povolení se vydává nejdéle na </w:t>
      </w:r>
      <w:r w:rsidRPr="004632E2">
        <w:t>dobu trvání prá</w:t>
      </w:r>
      <w:r>
        <w:t>vních účinků původního povolení k umístění herního prostoru. V </w:t>
      </w:r>
      <w:r w:rsidRPr="00DF2084">
        <w:t>odůvodnění nového povolení k umístění herního prostoru, jež nahradilo povolení dosavadní, se odůvodňují pouze změny oproti dosavadnímu povolení.</w:t>
      </w:r>
      <w:r>
        <w:t xml:space="preserve"> V případě změny povolení k umístění herního prostoru se v obecné rovině aplikují shodné principy jako v případě změny základního povolení, v dalším lze tedy odkázat na text u změny základního povolení uvedený výše (např. otázka poučení o možnosti podat opravný prostředek). </w:t>
      </w:r>
    </w:p>
    <w:p w14:paraId="0BDA357E" w14:textId="6EA0D7A1" w:rsidR="006B3B31" w:rsidRDefault="00812239" w:rsidP="00ED74E9">
      <w:r>
        <w:t xml:space="preserve">V </w:t>
      </w:r>
      <w:r w:rsidR="006B3B31" w:rsidRPr="00D902E5">
        <w:t>§ 101</w:t>
      </w:r>
      <w:r w:rsidR="006B3B31">
        <w:t xml:space="preserve"> zákona o hazardních hrách</w:t>
      </w:r>
      <w:r w:rsidR="006B3B31" w:rsidRPr="00D902E5">
        <w:t xml:space="preserve"> s cílem zajistit úplnou informovanost obecního úřadu </w:t>
      </w:r>
      <w:r>
        <w:t xml:space="preserve">se </w:t>
      </w:r>
      <w:r w:rsidR="006B3B31" w:rsidRPr="00D902E5">
        <w:t>stanovuje povinnost provozovateli oznámit bez zbytečného odkladu obecnímu úřadu všechny změny skutečností, na základě kterých bylo vydáno povolení k</w:t>
      </w:r>
      <w:r w:rsidR="006B3B31">
        <w:t> </w:t>
      </w:r>
      <w:r w:rsidR="006B3B31" w:rsidRPr="00D902E5">
        <w:t>umístění herního prostoru, a předložit o nich doklady do 30 dnů ode dne, kdy ke změně došlo. V zájmu dobré správy a hospodárnosti řízení zákon současně stanovuje, že tato povinnost se nevztahuje na údaje, které má obecní úřad k</w:t>
      </w:r>
      <w:r w:rsidR="006B3B31">
        <w:t> </w:t>
      </w:r>
      <w:r w:rsidR="006B3B31" w:rsidRPr="00D902E5">
        <w:t xml:space="preserve">dispozici nebo které může automatizovaným způsobem zjistit z jemu dostupných rejstříků a evidencí. </w:t>
      </w:r>
      <w:r w:rsidR="006B3B31" w:rsidRPr="00D902E5">
        <w:lastRenderedPageBreak/>
        <w:t xml:space="preserve">Okruh těchto údajů pak Ministerstvo financí </w:t>
      </w:r>
      <w:r w:rsidR="006B3B31">
        <w:t xml:space="preserve">zveřejní </w:t>
      </w:r>
      <w:r w:rsidR="006B3B31" w:rsidRPr="00D902E5">
        <w:t>n</w:t>
      </w:r>
      <w:r w:rsidR="006B3B31">
        <w:t>a svých internetových stránkách. V tomto kontextu lze uvést, že shodně jako v případě ověřování v souvislosti se základním povolením, ani v tomto případě Ministerstvo financí okruh těchto údajů dosud nezveřejnilo. Bylo by však možné uvažovat, o možnosti obecního úřadu obstarat si podklady dokládané k žádostem o vydání povolení k umístění herního prostoru, jako jsou základní povolení, doklad o složení kauce, což jsou dokumenty, které vydává Ministerstvo financí.</w:t>
      </w:r>
    </w:p>
    <w:p w14:paraId="4D42DFB1" w14:textId="77777777" w:rsidR="006B3B31" w:rsidRPr="00C17E84" w:rsidRDefault="006B3B31" w:rsidP="006B3B31">
      <w:pPr>
        <w:rPr>
          <w:rFonts w:cs="Arial"/>
          <w:b/>
        </w:rPr>
      </w:pPr>
      <w:r>
        <w:rPr>
          <w:rFonts w:cs="Arial"/>
          <w:b/>
        </w:rPr>
        <w:t>Zrušení povolení k umístění herního prostoru</w:t>
      </w:r>
    </w:p>
    <w:p w14:paraId="198C56A1" w14:textId="02DB6043" w:rsidR="006B3B31" w:rsidRDefault="00812239" w:rsidP="00ED74E9">
      <w:r>
        <w:t xml:space="preserve">Postup zrušení povolení k umístění herního prostoru upravuje </w:t>
      </w:r>
      <w:r w:rsidR="006B3B31">
        <w:t>§</w:t>
      </w:r>
      <w:r w:rsidR="00D554E8">
        <w:t> </w:t>
      </w:r>
      <w:r w:rsidR="006B3B31">
        <w:t>103 zákona o</w:t>
      </w:r>
      <w:r w:rsidR="00D554E8">
        <w:t> </w:t>
      </w:r>
      <w:r w:rsidR="00D82C69">
        <w:t xml:space="preserve"> hazardních hrách</w:t>
      </w:r>
      <w:r w:rsidR="006B3B31">
        <w:t xml:space="preserve">. Zrušit povolení lze buď z moci úřední, nebo na základě žádosti provozovatele. </w:t>
      </w:r>
      <w:r w:rsidR="006B3B31" w:rsidRPr="005D3F51">
        <w:t>Obecní úřad</w:t>
      </w:r>
      <w:r w:rsidR="006B3B31">
        <w:t xml:space="preserve"> z moci úřední z</w:t>
      </w:r>
      <w:r w:rsidR="006B3B31" w:rsidRPr="005D3F51">
        <w:t xml:space="preserve">ruší povolení </w:t>
      </w:r>
      <w:r w:rsidR="006B3B31">
        <w:t>pokud: a) provozovatel</w:t>
      </w:r>
      <w:r w:rsidR="006B3B31" w:rsidRPr="005D3F51">
        <w:t xml:space="preserve"> </w:t>
      </w:r>
      <w:r w:rsidR="006B3B31">
        <w:t xml:space="preserve">opakovaně </w:t>
      </w:r>
      <w:r w:rsidR="006B3B31" w:rsidRPr="005D3F51">
        <w:t>nebo závažným způsobem</w:t>
      </w:r>
      <w:r w:rsidR="006B3B31">
        <w:t xml:space="preserve"> poruší</w:t>
      </w:r>
      <w:r w:rsidR="006B3B31" w:rsidRPr="005D3F51">
        <w:t xml:space="preserve"> povinnosti stanovené </w:t>
      </w:r>
      <w:r w:rsidR="006B3B31">
        <w:t>zákonem o hazardních hrách</w:t>
      </w:r>
      <w:r w:rsidR="006B3B31" w:rsidRPr="005D3F51">
        <w:t xml:space="preserve">, zákonem </w:t>
      </w:r>
      <w:r w:rsidR="006B3B31">
        <w:t>o dani</w:t>
      </w:r>
      <w:r w:rsidR="006B3B31" w:rsidRPr="005D3F51">
        <w:t xml:space="preserve"> z hazardních her nebo základním povolením</w:t>
      </w:r>
      <w:r w:rsidR="006B3B31">
        <w:t xml:space="preserve">; b) provozovatel přestane </w:t>
      </w:r>
      <w:r w:rsidR="006B3B31" w:rsidRPr="005D3F51">
        <w:t>splňovat podmínky stanovené tímto zákonem pro vydání povolení k umístění herního prostoru.</w:t>
      </w:r>
      <w:r w:rsidR="006B3B31">
        <w:t xml:space="preserve"> Aby </w:t>
      </w:r>
      <w:r w:rsidR="006B3B31" w:rsidRPr="005D3F51">
        <w:t>úprava nebyla příliš restriktivní, umožňuje</w:t>
      </w:r>
      <w:r w:rsidR="00D82C69">
        <w:t xml:space="preserve"> </w:t>
      </w:r>
      <w:r w:rsidR="006B3B31" w:rsidRPr="005D3F51">
        <w:t>obecní</w:t>
      </w:r>
      <w:r w:rsidR="00D82C69">
        <w:t>mu</w:t>
      </w:r>
      <w:r w:rsidR="006B3B31" w:rsidRPr="005D3F51">
        <w:t xml:space="preserve"> úřad</w:t>
      </w:r>
      <w:r w:rsidR="00D82C69">
        <w:t>u</w:t>
      </w:r>
      <w:r w:rsidR="006B3B31" w:rsidRPr="005D3F51">
        <w:t xml:space="preserve"> </w:t>
      </w:r>
      <w:r w:rsidR="00D82C69">
        <w:t xml:space="preserve">v případě, že </w:t>
      </w:r>
      <w:r w:rsidR="006B3B31" w:rsidRPr="005D3F51">
        <w:t>zjistí, že nejsou</w:t>
      </w:r>
      <w:r w:rsidR="00D82C69">
        <w:t xml:space="preserve"> splněny podmínky stanovené pro </w:t>
      </w:r>
      <w:r w:rsidR="006B3B31" w:rsidRPr="005D3F51">
        <w:t>vydání povolení</w:t>
      </w:r>
      <w:r w:rsidR="006B3B31">
        <w:t xml:space="preserve"> k umístění herního prostoru, vyzvat</w:t>
      </w:r>
      <w:r w:rsidR="006B3B31" w:rsidRPr="005D3F51">
        <w:t xml:space="preserve"> provozovate</w:t>
      </w:r>
      <w:r w:rsidR="006B3B31">
        <w:t>le k jejich splnění ve</w:t>
      </w:r>
      <w:r w:rsidR="006B3B31" w:rsidRPr="005D3F51">
        <w:t xml:space="preserve"> stanovené lhůtě, pokud </w:t>
      </w:r>
      <w:r w:rsidR="006B3B31">
        <w:t xml:space="preserve">to </w:t>
      </w:r>
      <w:r w:rsidR="006B3B31" w:rsidRPr="005D3F51">
        <w:t>pov</w:t>
      </w:r>
      <w:r w:rsidR="006B3B31">
        <w:t>aha těchto podmínek připouští a </w:t>
      </w:r>
      <w:r w:rsidR="006B3B31" w:rsidRPr="005D3F51">
        <w:t>nehrozí nebezpečí z</w:t>
      </w:r>
      <w:r w:rsidR="006B3B31">
        <w:t> </w:t>
      </w:r>
      <w:r w:rsidR="006B3B31" w:rsidRPr="005D3F51">
        <w:t>prodlení.</w:t>
      </w:r>
      <w:r w:rsidR="006B3B31">
        <w:t xml:space="preserve"> Ministerstvo financí nedisponuje informacemi, že by se v praxi neobjevily problémy s rušením povolení k umístění herního prostoru, jelikož obecní úřad nemá oprávnění v povolení stanovit podmínky řádného provozování.</w:t>
      </w:r>
    </w:p>
    <w:p w14:paraId="37E42359" w14:textId="51FE4E1C" w:rsidR="006B3B31" w:rsidRDefault="006B3B31" w:rsidP="00ED74E9">
      <w:r>
        <w:t xml:space="preserve">Ve srovnání s předchozí právní úpravou nedochází dle </w:t>
      </w:r>
      <w:r w:rsidR="000A2846">
        <w:t>Ministerstva</w:t>
      </w:r>
      <w:r>
        <w:t xml:space="preserve"> financí dostupných informací ve velké míře k rušení povolení k umístění herního prostoru z moci úřední. Hlavním důvodem je zřejmě ustálení podmínek provozování v herních prostorech a především skutečnost, že se tato povolení nedostávají po jejich vydání do rozporu s obecně závaznými vyhláškami obcí a obecní úřady nejsou následně povinny přistoupit k zahájení správního řízení z moci úřední o zrušení takového povolení. </w:t>
      </w:r>
      <w:r w:rsidR="00D82C69">
        <w:t xml:space="preserve">To </w:t>
      </w:r>
      <w:r>
        <w:t xml:space="preserve">bylo </w:t>
      </w:r>
      <w:r w:rsidR="00D82C69">
        <w:t xml:space="preserve">zpravidla </w:t>
      </w:r>
      <w:r>
        <w:t>i hlavním důvodem</w:t>
      </w:r>
      <w:r w:rsidR="00D82C69">
        <w:t xml:space="preserve"> </w:t>
      </w:r>
      <w:r>
        <w:t xml:space="preserve">k rušení vydaných povolení podle zákona o loteriích </w:t>
      </w:r>
      <w:r w:rsidR="00D82C69">
        <w:t xml:space="preserve">ze strany </w:t>
      </w:r>
      <w:r>
        <w:t>Ministerstv</w:t>
      </w:r>
      <w:r w:rsidR="000B2632">
        <w:t>a</w:t>
      </w:r>
      <w:r>
        <w:t xml:space="preserve"> financí. </w:t>
      </w:r>
      <w:r w:rsidR="00D82C69">
        <w:t>T</w:t>
      </w:r>
      <w:r>
        <w:t>rendem může také být následování metodického doporučení Ministerstva vnitra ohledně úpravy přechodných ustanovení při přijímání obecně závazných vyhlášek regulujícíc</w:t>
      </w:r>
      <w:r w:rsidR="00205047">
        <w:t>h provozování hazardních her na </w:t>
      </w:r>
      <w:r>
        <w:t>území obce.</w:t>
      </w:r>
    </w:p>
    <w:p w14:paraId="462CE466" w14:textId="77777777" w:rsidR="006B3B31" w:rsidRDefault="006B3B31" w:rsidP="00ED74E9">
      <w:r>
        <w:t>Podle § 104 zákona o hazardních hrách dochází k zániku povolení ex lege uplynutím doby</w:t>
      </w:r>
      <w:r w:rsidRPr="00B233CD">
        <w:t xml:space="preserve">, na kterou bylo uděleno, </w:t>
      </w:r>
      <w:r>
        <w:t xml:space="preserve">nebo </w:t>
      </w:r>
      <w:r w:rsidRPr="00B233CD">
        <w:t>zrušením nebo zánikem základního povolení</w:t>
      </w:r>
      <w:r>
        <w:t>.</w:t>
      </w:r>
    </w:p>
    <w:p w14:paraId="7B683C76" w14:textId="77777777" w:rsidR="006B3B31" w:rsidRDefault="006B3B31" w:rsidP="00ED74E9">
      <w:r w:rsidRPr="00B9191E">
        <w:t xml:space="preserve">Za dobu účinnosti </w:t>
      </w:r>
      <w:r>
        <w:t>zákona o hazardních hrách</w:t>
      </w:r>
      <w:r w:rsidRPr="00B9191E">
        <w:t xml:space="preserve"> </w:t>
      </w:r>
      <w:r>
        <w:t>lze</w:t>
      </w:r>
      <w:r w:rsidRPr="00B9191E">
        <w:t xml:space="preserve"> konstatovat, že dvoustupňové povolovací řízení, v rámci něhož Ministerstvo financí vydá základní povolení a obecní úřad v přenesené působnosti pak povolení o umístění herního prostoru, v praxi funguje. Obecní úřady vydaly 8</w:t>
      </w:r>
      <w:r>
        <w:t> 800 (stav k 26. 4. 2021)</w:t>
      </w:r>
      <w:r w:rsidRPr="00B9191E">
        <w:t xml:space="preserve"> rozhodnutí o povolení k umístění herního prostoru</w:t>
      </w:r>
      <w:r>
        <w:t xml:space="preserve"> či jeho změně</w:t>
      </w:r>
      <w:r w:rsidRPr="00B9191E">
        <w:t>.</w:t>
      </w:r>
    </w:p>
    <w:p w14:paraId="68E487F4" w14:textId="510717A1" w:rsidR="006B3B31" w:rsidRDefault="006B3B31" w:rsidP="00AF112D">
      <w:pPr>
        <w:pStyle w:val="Nadpis5"/>
      </w:pPr>
      <w:bookmarkStart w:id="26" w:name="_Toc73529681"/>
      <w:bookmarkStart w:id="27" w:name="_Toc73608972"/>
      <w:r w:rsidRPr="008539B2">
        <w:t>Ohlášení hazardní hry</w:t>
      </w:r>
      <w:bookmarkEnd w:id="26"/>
      <w:bookmarkEnd w:id="27"/>
    </w:p>
    <w:p w14:paraId="22409D0B" w14:textId="77777777" w:rsidR="006B3B31" w:rsidRDefault="006B3B31" w:rsidP="00ED74E9">
      <w:r w:rsidRPr="00C12EC3">
        <w:t>Na základě § 7 odst. 2 písm. b)</w:t>
      </w:r>
      <w:r>
        <w:t xml:space="preserve"> zákona o hazardních hrách se zakazuje provozovat hazardní hru</w:t>
      </w:r>
      <w:r w:rsidRPr="00C12EC3">
        <w:t>, ke které nebylo uděleno povolení, nebo která nebyla řádně ohlášena.</w:t>
      </w:r>
    </w:p>
    <w:p w14:paraId="23D57D13" w14:textId="0F000982" w:rsidR="006B3B31" w:rsidRDefault="006B3B31" w:rsidP="00ED74E9">
      <w:r>
        <w:t>Ohlášení podléh</w:t>
      </w:r>
      <w:r w:rsidR="00812239">
        <w:t>á</w:t>
      </w:r>
      <w:r>
        <w:t xml:space="preserve"> </w:t>
      </w:r>
      <w:r w:rsidRPr="00C12EC3">
        <w:t>tombola, u níž výše herní jistiny činí více než 100 000 Kč a turnaj malého rozsahu.</w:t>
      </w:r>
      <w:r>
        <w:t xml:space="preserve"> Podle důvodové zprávy k zákonu o hazardních hrách tombola a turnaj malého rozsahu mají nižší riziko vzniku závislosti, a proto byl pro ně zákonem </w:t>
      </w:r>
      <w:r>
        <w:lastRenderedPageBreak/>
        <w:t xml:space="preserve">o hazardních hrách zaveden administrativně jednodušší postup, </w:t>
      </w:r>
      <w:r w:rsidRPr="00251EBA">
        <w:t>na jehož základě bude možné dané hry</w:t>
      </w:r>
      <w:r>
        <w:t xml:space="preserve"> </w:t>
      </w:r>
      <w:r w:rsidRPr="00251EBA">
        <w:t>legálně provozovat.</w:t>
      </w:r>
      <w:r>
        <w:t xml:space="preserve"> Navíc o</w:t>
      </w:r>
      <w:r w:rsidRPr="00251EBA">
        <w:t>hlašovacímu režimu podléhá až tombola, u níž výše herní jistiny činí ví</w:t>
      </w:r>
      <w:r>
        <w:t>ce než 100 000 Kč v souladu s § </w:t>
      </w:r>
      <w:r w:rsidRPr="00251EBA">
        <w:t>62</w:t>
      </w:r>
      <w:r>
        <w:t xml:space="preserve"> odst. 2 zákona o hazardních hrách (h</w:t>
      </w:r>
      <w:r w:rsidRPr="00251EBA">
        <w:t>erní jistinou je součin počtu prodaných sázkových tiketů v jedné hře a prodejní ceny za jeden sázkový tiket</w:t>
      </w:r>
      <w:r>
        <w:t>). U tombol s </w:t>
      </w:r>
      <w:r w:rsidRPr="00251EBA">
        <w:t>herní jistinou pod uvedenou částku tak není potřeba žádné povolení či ohlášení.</w:t>
      </w:r>
    </w:p>
    <w:p w14:paraId="502BFFB8" w14:textId="66AA7C56" w:rsidR="006B3B31" w:rsidRDefault="006B3B31" w:rsidP="00ED74E9">
      <w:r>
        <w:t xml:space="preserve">Ohlašované </w:t>
      </w:r>
      <w:r w:rsidRPr="00C12EC3">
        <w:t xml:space="preserve">hazardní hry </w:t>
      </w:r>
      <w:r>
        <w:t xml:space="preserve">se </w:t>
      </w:r>
      <w:r w:rsidRPr="00C12EC3">
        <w:t xml:space="preserve">ohlašují obecnímu úřadu obce, na jejímž území má být </w:t>
      </w:r>
      <w:r>
        <w:t xml:space="preserve">tato </w:t>
      </w:r>
      <w:r w:rsidRPr="00C12EC3">
        <w:t>hazardní hra provozována, a to nejméně 30 dní přede dnem předpokládaného zahájení provozování hazardní hry.</w:t>
      </w:r>
      <w:r>
        <w:t xml:space="preserve"> Podle důvodové zprávy je smyslem tohoto ustanovení zajistit informovanost</w:t>
      </w:r>
      <w:r w:rsidRPr="000F327E">
        <w:t xml:space="preserve"> obce o</w:t>
      </w:r>
      <w:r>
        <w:t> </w:t>
      </w:r>
      <w:r w:rsidRPr="000F327E">
        <w:t>konání hazardní hry na jejím území, aby ji mohl obecní úřad v případě nesplnění zákonných podmínek zakázat</w:t>
      </w:r>
      <w:r>
        <w:t>.</w:t>
      </w:r>
    </w:p>
    <w:p w14:paraId="42FE0A10" w14:textId="101F9F3C" w:rsidR="006B3B31" w:rsidRDefault="006B3B31" w:rsidP="00ED74E9">
      <w:r w:rsidRPr="00C12EC3">
        <w:t xml:space="preserve">V § 107 odst. 1 </w:t>
      </w:r>
      <w:r>
        <w:t>zákona o hazardních hrách</w:t>
      </w:r>
      <w:r w:rsidRPr="00C12EC3">
        <w:t xml:space="preserve"> jsou vyjmenovány náležitosti, které vedle obecných náležitostí podání podle správníh</w:t>
      </w:r>
      <w:r>
        <w:t>o řádu musí ohlášení obsahovat</w:t>
      </w:r>
      <w:r w:rsidRPr="00C12EC3">
        <w:t>:</w:t>
      </w:r>
      <w:r>
        <w:t xml:space="preserve"> </w:t>
      </w:r>
      <w:r w:rsidR="00205047">
        <w:t>a) </w:t>
      </w:r>
      <w:r w:rsidRPr="00C12EC3">
        <w:t>název a popis ohlašované hazardní hry, b) adresa místa, kde bude ohlašovaná hazardní hra provozována, c) doba, po kterou bude ohlašovaná hazardní hra provozována, stanovená přesným dnem jejího zahájení a ukončení, d) určení osoby, která bude zajišťovat řádný průběh hazardní hry a dodržování podmínek stanovených tímto zákonem, e) herní plán, f) v případě tomboly identifikační údaje notáře, k</w:t>
      </w:r>
      <w:r>
        <w:t>terý osvědčí průběh slosování. Z</w:t>
      </w:r>
      <w:r w:rsidRPr="00C12EC3">
        <w:t>a každou jednotlivou hazardní hru se podává samostatné ohlášení.</w:t>
      </w:r>
    </w:p>
    <w:p w14:paraId="26D4E7F3" w14:textId="77777777" w:rsidR="006B3B31" w:rsidRDefault="006B3B31" w:rsidP="00ED74E9">
      <w:r>
        <w:t>Na základě</w:t>
      </w:r>
      <w:r w:rsidRPr="00C12EC3">
        <w:t xml:space="preserve"> § 108 odst. 1 </w:t>
      </w:r>
      <w:r>
        <w:t>zákona o hazardních hrách</w:t>
      </w:r>
      <w:r w:rsidRPr="00C12EC3">
        <w:t xml:space="preserve"> obecní úřad zakáže provozování ohlašované hazardní hry, nesplňuje-li podmínky stanovené tímto zákonem.</w:t>
      </w:r>
      <w:r>
        <w:t xml:space="preserve"> </w:t>
      </w:r>
      <w:r w:rsidRPr="00905925">
        <w:t>Rozhodnutí podle věty první je prvním úkonem v řízení.</w:t>
      </w:r>
      <w:r>
        <w:t xml:space="preserve"> Podle důvodové zprávy k zákonu o hazardních hrách je záměrem tohoto ustanovení dosáhnutí </w:t>
      </w:r>
      <w:r w:rsidRPr="00905925">
        <w:t>co nejnižší</w:t>
      </w:r>
      <w:r>
        <w:t>ho</w:t>
      </w:r>
      <w:r w:rsidRPr="00905925">
        <w:t xml:space="preserve"> administrativní</w:t>
      </w:r>
      <w:r>
        <w:t>ho</w:t>
      </w:r>
      <w:r w:rsidRPr="00905925">
        <w:t xml:space="preserve"> zatížení</w:t>
      </w:r>
      <w:r>
        <w:t>, proto</w:t>
      </w:r>
      <w:r w:rsidRPr="00905925">
        <w:t xml:space="preserve"> rozhodnutí, kterým vysloví obecní úřad svůj zákaz,</w:t>
      </w:r>
      <w:r>
        <w:t xml:space="preserve"> je</w:t>
      </w:r>
      <w:r w:rsidRPr="00905925">
        <w:t xml:space="preserve"> první úkonem v řízení. V opačném případě by byl obecní úřad nucen zahájit klasické správní řízení, které by v daném případě neumožňovalo obecnímu úřadu operativně jednat a díky lhůtám a postupům stanovených zákonem by ne</w:t>
      </w:r>
      <w:r>
        <w:t>muselo</w:t>
      </w:r>
      <w:r w:rsidRPr="00905925">
        <w:t xml:space="preserve"> dojít k vydání rozhodnutí o zákazu ohlašované hry před jejím plánovaným konáním.</w:t>
      </w:r>
    </w:p>
    <w:p w14:paraId="50D30A7A" w14:textId="15BAEE65" w:rsidR="006B3B31" w:rsidRDefault="006B3B31" w:rsidP="00ED74E9">
      <w:r w:rsidRPr="00C12EC3">
        <w:t xml:space="preserve">Podle § 108 odst. 2 </w:t>
      </w:r>
      <w:r>
        <w:t>zákona o hazardních hrách</w:t>
      </w:r>
      <w:r w:rsidRPr="00C12EC3">
        <w:t xml:space="preserve"> obecní úřad o zákazu provozování ohlašované hazardní hry rozhodne bezodkladně, nejpozději do 15 dnů ode dne ohlášení se všemi náležitostmi stanovenými v § 107</w:t>
      </w:r>
      <w:r w:rsidR="00812239">
        <w:t xml:space="preserve"> zákona o hazardních hrách</w:t>
      </w:r>
      <w:r w:rsidRPr="00C12EC3">
        <w:t>.</w:t>
      </w:r>
      <w:r>
        <w:t xml:space="preserve"> </w:t>
      </w:r>
      <w:r w:rsidRPr="00C12EC3">
        <w:t xml:space="preserve">Podle § 108 odst. 3 </w:t>
      </w:r>
      <w:r>
        <w:t>zákona o hazardních hrách se</w:t>
      </w:r>
      <w:r w:rsidRPr="00C12EC3">
        <w:t xml:space="preserve"> rozhodnutí o zákazu provoz</w:t>
      </w:r>
      <w:r>
        <w:t>ování ohlašované hazardní hry</w:t>
      </w:r>
      <w:r w:rsidRPr="00C12EC3">
        <w:t xml:space="preserve"> oznamuje vyvěšením na úřední desce obecního úřadu a</w:t>
      </w:r>
      <w:r w:rsidR="00D554E8">
        <w:t> </w:t>
      </w:r>
      <w:r w:rsidRPr="00C12EC3">
        <w:t xml:space="preserve"> současně jej obecní úřad zašle ohlašovateli na vědomí.</w:t>
      </w:r>
    </w:p>
    <w:p w14:paraId="4B45C2CF" w14:textId="29E116C8" w:rsidR="006B3B31" w:rsidRPr="00127066" w:rsidRDefault="006B3B31" w:rsidP="00ED74E9">
      <w:r w:rsidRPr="001911A4">
        <w:rPr>
          <w:rFonts w:cs="Arial"/>
          <w:szCs w:val="24"/>
        </w:rPr>
        <w:t>Změnou právní úpravy došlo k významnému zjed</w:t>
      </w:r>
      <w:r>
        <w:rPr>
          <w:rFonts w:cs="Arial"/>
          <w:szCs w:val="24"/>
        </w:rPr>
        <w:t>nodušení povolovacího procesu v </w:t>
      </w:r>
      <w:r w:rsidRPr="001911A4">
        <w:rPr>
          <w:rFonts w:cs="Arial"/>
          <w:szCs w:val="24"/>
        </w:rPr>
        <w:t>případě provozování tombol, kdy</w:t>
      </w:r>
      <w:r w:rsidRPr="00B41B2B">
        <w:rPr>
          <w:rFonts w:cs="Arial"/>
          <w:szCs w:val="24"/>
        </w:rPr>
        <w:t xml:space="preserve"> zákon o loteriích umožňoval provozování tombol pouze na základě povolení vydaného obecním úřadem, popř. Ministerstvem financí. </w:t>
      </w:r>
      <w:r w:rsidRPr="00127066">
        <w:t>Právní úprava pro ohlášení</w:t>
      </w:r>
      <w:r>
        <w:t xml:space="preserve"> hazardní hry</w:t>
      </w:r>
      <w:r w:rsidRPr="00127066">
        <w:t xml:space="preserve"> vytváří administrativně nenáročný proces, což byl záměr </w:t>
      </w:r>
      <w:r>
        <w:t>zákona o hazardních hrách</w:t>
      </w:r>
      <w:r w:rsidRPr="00127066">
        <w:t>. Vedle standardního povolovacího procesu vznikl zjednodušený režim, v rámci něhož mohou být hazardní hry (turnaj malého rozsahu a tombola s jistinou vyšší než 100</w:t>
      </w:r>
      <w:r>
        <w:t xml:space="preserve"> </w:t>
      </w:r>
      <w:r w:rsidRPr="00127066">
        <w:t>000 Kč) provozovány</w:t>
      </w:r>
      <w:r w:rsidR="00160092">
        <w:t>,</w:t>
      </w:r>
      <w:r w:rsidRPr="00127066">
        <w:t xml:space="preserve"> pokud jsou řádně ohlášeny a nejsou přís</w:t>
      </w:r>
      <w:r>
        <w:t xml:space="preserve">lušným obecním úřadem zakázány. </w:t>
      </w:r>
      <w:r w:rsidR="00ED74E9">
        <w:t>Tomboly s jistinou 100 000 </w:t>
      </w:r>
      <w:r w:rsidRPr="00127066">
        <w:t>Kč nebo nižší dokonce nemusí být ohlašovány vůbec.</w:t>
      </w:r>
    </w:p>
    <w:p w14:paraId="4E4F6CE5" w14:textId="43A64E3A" w:rsidR="006B3B31" w:rsidRPr="007F08A8" w:rsidRDefault="007F08A8" w:rsidP="00ED74E9">
      <w:r>
        <w:t xml:space="preserve">Zjednodušený režim pro provozování hazardních her s nízkou společenskou škodlivostí v podobě, v jaké je upraven v ustanoveních v zákonu o hazardních hrách, jistě naplnil cíl zákona o hazardních hrách a vedl ke snížení administrativní zátěže provozovatelů i správních orgánů. Zákonná úprava ohlášení je jednoznačná, </w:t>
      </w:r>
      <w:r>
        <w:lastRenderedPageBreak/>
        <w:t xml:space="preserve">srozumitelná a v praxi jednoduše proveditelná. </w:t>
      </w:r>
      <w:r w:rsidR="006B3B31">
        <w:rPr>
          <w:rFonts w:cs="Arial"/>
        </w:rPr>
        <w:t>O správnosti výše uvedené změny v kontextu snížení administrativní zátěže svědčí skutečnost, že Ministerstvo financí nemá informace o žádném podaném ohlášení k provozování tomboly</w:t>
      </w:r>
      <w:r w:rsidR="003F3C0C">
        <w:rPr>
          <w:rFonts w:cs="Arial"/>
        </w:rPr>
        <w:t>. D</w:t>
      </w:r>
      <w:r w:rsidR="006B3B31">
        <w:rPr>
          <w:rFonts w:cs="Arial"/>
        </w:rPr>
        <w:t>ošlo tedy k předvídanému snížení administrativní zátěže. Od účinnosti zákona o hazardních hrách bylo podáno cel</w:t>
      </w:r>
      <w:r w:rsidR="00C54BD1">
        <w:rPr>
          <w:rFonts w:cs="Arial"/>
        </w:rPr>
        <w:t>kem 139 ohlášení (stav k 15. 4. </w:t>
      </w:r>
      <w:r w:rsidR="006B3B31">
        <w:rPr>
          <w:rFonts w:cs="Arial"/>
        </w:rPr>
        <w:t>2021). Tato podání však podali pouze 4 ohlašovatelé v 5 obcích. Ve všech případech byl ohlašován turnaj malého rozsahu. K zákazu konání ohlášené hazardní hry došlo ve 4 případech. Ve všech případech bylo důvodem pro zákaz plánované konání turnaje malého rozsahu v prostorách herny.</w:t>
      </w:r>
    </w:p>
    <w:p w14:paraId="52FC0EA5" w14:textId="77777777" w:rsidR="007029FF" w:rsidRPr="00DC4D0E" w:rsidRDefault="007029FF" w:rsidP="0009229E">
      <w:pPr>
        <w:pStyle w:val="Nadpis3"/>
      </w:pPr>
      <w:bookmarkStart w:id="28" w:name="_Toc73529682"/>
      <w:bookmarkStart w:id="29" w:name="_Toc73608973"/>
      <w:r>
        <w:t>Konkrétní popis nástrojů, včetně oblastí, na které by bylo vhodné se v budoucnu zaměřit, a návrh doporučení či možných variant řešení</w:t>
      </w:r>
      <w:bookmarkEnd w:id="28"/>
      <w:bookmarkEnd w:id="29"/>
    </w:p>
    <w:p w14:paraId="2E3774C1" w14:textId="77777777" w:rsidR="006B3B31" w:rsidRPr="00AF112D" w:rsidRDefault="006B3B31" w:rsidP="00AF112D">
      <w:pPr>
        <w:pStyle w:val="Nadpis5"/>
        <w:numPr>
          <w:ilvl w:val="0"/>
          <w:numId w:val="25"/>
        </w:numPr>
      </w:pPr>
      <w:bookmarkStart w:id="30" w:name="_Toc73529683"/>
      <w:bookmarkStart w:id="31" w:name="_Toc73608974"/>
      <w:r w:rsidRPr="00AF112D">
        <w:t>Základní povolení</w:t>
      </w:r>
      <w:bookmarkEnd w:id="30"/>
      <w:bookmarkEnd w:id="31"/>
    </w:p>
    <w:p w14:paraId="2086CE88" w14:textId="77777777" w:rsidR="006B3B31" w:rsidRDefault="006B3B31" w:rsidP="00AF112D">
      <w:pPr>
        <w:pStyle w:val="Nadpis6"/>
        <w:numPr>
          <w:ilvl w:val="0"/>
          <w:numId w:val="24"/>
        </w:numPr>
      </w:pPr>
      <w:bookmarkStart w:id="32" w:name="_Toc73529684"/>
      <w:bookmarkStart w:id="33" w:name="_Toc73608975"/>
      <w:r>
        <w:t>Požadavek na zřízení kontrolního orgánu</w:t>
      </w:r>
      <w:bookmarkEnd w:id="32"/>
      <w:bookmarkEnd w:id="33"/>
    </w:p>
    <w:p w14:paraId="6EADF6A5" w14:textId="5033DEAC" w:rsidR="006B3B31" w:rsidRDefault="003F3C0C" w:rsidP="00C54BD1">
      <w:r>
        <w:t xml:space="preserve">V </w:t>
      </w:r>
      <w:r w:rsidR="006B3B31">
        <w:t xml:space="preserve">§ 6 odst. 1 písm. b) bod 3 zákona o hazardních hrách </w:t>
      </w:r>
      <w:r>
        <w:t xml:space="preserve">se </w:t>
      </w:r>
      <w:r w:rsidR="006B3B31">
        <w:t xml:space="preserve">stanoví požadavek kladený na provozovatele hazardních her v podobě zřízení </w:t>
      </w:r>
      <w:r w:rsidR="006B3B31" w:rsidRPr="00AF30D2">
        <w:t>dozorčí rad</w:t>
      </w:r>
      <w:r w:rsidR="006B3B31">
        <w:t>y, správní rady nebo jiného obdobného</w:t>
      </w:r>
      <w:r w:rsidR="006B3B31" w:rsidRPr="00AF30D2">
        <w:t xml:space="preserve"> kontrolní</w:t>
      </w:r>
      <w:r w:rsidR="006B3B31">
        <w:t>ho</w:t>
      </w:r>
      <w:r w:rsidR="006B3B31" w:rsidRPr="00AF30D2">
        <w:t xml:space="preserve"> orgán</w:t>
      </w:r>
      <w:r w:rsidR="006B3B31">
        <w:t>u. Právní úprava přešla od původního požadavku v zákoně o loteriích kladeného na formu provozovatele v podobě akciové společnosti, ke stanovení konkrétních požadavků bez ohledu na formu právnické osoby. Důvodová zpráva pak k tomuto požadavku doplňuje</w:t>
      </w:r>
      <w:r w:rsidR="00160092">
        <w:t>:</w:t>
      </w:r>
      <w:r w:rsidR="006B3B31">
        <w:t xml:space="preserve"> </w:t>
      </w:r>
      <w:r w:rsidR="006B3B31" w:rsidRPr="00AD41BD">
        <w:t>„</w:t>
      </w:r>
      <w:r w:rsidR="006B3B31" w:rsidRPr="00AD41BD">
        <w:rPr>
          <w:i/>
        </w:rPr>
        <w:t>Forma organizační struktury s řádným, průhledným a uceleným vymezením působ</w:t>
      </w:r>
      <w:r w:rsidR="00253244">
        <w:rPr>
          <w:i/>
        </w:rPr>
        <w:t>ností a </w:t>
      </w:r>
      <w:r w:rsidR="006B3B31">
        <w:rPr>
          <w:i/>
        </w:rPr>
        <w:t xml:space="preserve">rozhodovacích pravomocí </w:t>
      </w:r>
      <w:r w:rsidR="006B3B31" w:rsidRPr="00AD41BD">
        <w:rPr>
          <w:i/>
        </w:rPr>
        <w:t>(např. právnická osoba řízena profesionálním managementem), představuje výrazně nižší riziko ovlivnění obchodního vedení společnosti za účelem pou</w:t>
      </w:r>
      <w:r w:rsidR="00D55EFF">
        <w:rPr>
          <w:i/>
        </w:rPr>
        <w:t xml:space="preserve">hého zisku skutečnými majiteli. </w:t>
      </w:r>
      <w:r w:rsidR="006B3B31" w:rsidRPr="00AD41BD">
        <w:rPr>
          <w:i/>
        </w:rPr>
        <w:t>Důsledkem tohoto oddělení je i požadovaná struktura řízení právnické osoby, kdy je kromě řídíc</w:t>
      </w:r>
      <w:r w:rsidR="006B3B31">
        <w:rPr>
          <w:i/>
        </w:rPr>
        <w:t>ího orgánu vyžadováno zřízení i </w:t>
      </w:r>
      <w:r w:rsidR="006B3B31" w:rsidRPr="00AD41BD">
        <w:rPr>
          <w:i/>
        </w:rPr>
        <w:t>orgánu kontrolního. Členy tohoto kontrolního orgánu volí přímo valná hromada, společníci či jiná forma majitelů právnické osoby. Pro zajištění důsledné kontroly a</w:t>
      </w:r>
      <w:r w:rsidR="006B3B31">
        <w:rPr>
          <w:i/>
        </w:rPr>
        <w:t> </w:t>
      </w:r>
      <w:r w:rsidR="006B3B31" w:rsidRPr="00AD41BD">
        <w:rPr>
          <w:i/>
        </w:rPr>
        <w:t xml:space="preserve">objektivnosti výkonu této funkce je členství v daném kontrolním orgánu většinou neslučitelné s funkcí člena představenstva, likvidátora, nuceného správce, vedoucího odštěpného závodu, prokuristy a všech dalších osob oprávněných podle zákona nebo zápisu v obchodním rejstříku jednat jménem dané právnické osoby. Existence kontrolního orgánu zajišťuje nejvyšší možnou míru dozoru a kontroly uvnitř společnosti. Například v případě akciové společnosti jsou členové kontrolního orgánu oprávněni nahlížet do všech dokladů a záznamů týkajících se činnosti společnosti, kontrolují řádné vedení účetních zápisů, a zda je uskutečňovaná podnikatelská či jiná činnost </w:t>
      </w:r>
      <w:r w:rsidR="00253244">
        <w:rPr>
          <w:i/>
        </w:rPr>
        <w:t>v souladu s právními předpisy a </w:t>
      </w:r>
      <w:r w:rsidR="006B3B31" w:rsidRPr="00AD41BD">
        <w:rPr>
          <w:i/>
        </w:rPr>
        <w:t>stanovami apod. Dále přezkoumávají účetní závěrky a návrh na rozdělení zisku nebo úhradu ztráty, po přezkoumání předkládá své vyjádření valné hromadě.</w:t>
      </w:r>
      <w:r w:rsidR="006B3B31" w:rsidRPr="00AD41BD">
        <w:t>“</w:t>
      </w:r>
    </w:p>
    <w:p w14:paraId="22DBFD79" w14:textId="79445D0E" w:rsidR="006B3B31" w:rsidRDefault="006B3B31" w:rsidP="00C54BD1">
      <w:r>
        <w:t>Při uvádění tohoto požadavku do praxe však vznikly výkladové problémy zejména v případech forem monistických akciových společností, případně u jiných forem právnických osob, které nemají povinně zřizovaný kontrolní orgán neslučitelný s výkonem funkce ve výkonných orgánech (např. společnost s ručením omezeným nebo jiné zahraniční formy právnických osob). Z textace zákonné úpravy je explicitní požadavek na zřízení kontrolního orgánu, nicméně požadavek neslučitelnosti s výkonem funkce ve výkonném orgánu z tohoto ustanovení výslovně neplyne. Poměrně stěží lze tento požadavek dovodit z textace důvodové zpr</w:t>
      </w:r>
      <w:r w:rsidR="00F1184C">
        <w:t xml:space="preserve">ávy, </w:t>
      </w:r>
      <w:r w:rsidR="00F1184C">
        <w:lastRenderedPageBreak/>
        <w:t>ačkoliv </w:t>
      </w:r>
      <w:r>
        <w:t>zákonodárce patrně účel oddělenosti výkonných a kontrolních složek právnické osoby sledoval.</w:t>
      </w:r>
    </w:p>
    <w:p w14:paraId="6C97C33A" w14:textId="77777777" w:rsidR="006B3B31" w:rsidRDefault="006B3B31" w:rsidP="006B3B31">
      <w:pPr>
        <w:pStyle w:val="Nadpis7"/>
      </w:pPr>
      <w:r>
        <w:t>Varianta I. – Zachování současného stavu</w:t>
      </w:r>
    </w:p>
    <w:p w14:paraId="152971B9" w14:textId="2DDD9A48" w:rsidR="006B3B31" w:rsidRDefault="006B3B31" w:rsidP="0067013C">
      <w:r>
        <w:t>Ponechání současného požadavku na formální</w:t>
      </w:r>
      <w:r w:rsidR="00F1184C">
        <w:t xml:space="preserve"> zřízení kontrolního orgánu bez </w:t>
      </w:r>
      <w:r>
        <w:t>ohledu na možnost souběžného výkonu funkce ve výkonném orgánu.</w:t>
      </w:r>
    </w:p>
    <w:p w14:paraId="71FC7E2D" w14:textId="77777777" w:rsidR="006B3B31" w:rsidRDefault="006B3B31" w:rsidP="0067013C">
      <w:r>
        <w:t>Výhody:</w:t>
      </w:r>
    </w:p>
    <w:p w14:paraId="7E81787C" w14:textId="063B0D35" w:rsidR="006B3B31" w:rsidRDefault="006B3B31" w:rsidP="0067013C">
      <w:r>
        <w:t>Výhodou současné právní úpravy je možnost p</w:t>
      </w:r>
      <w:r w:rsidR="00F1184C">
        <w:t>rovozování právnickou osobou ve </w:t>
      </w:r>
      <w:r>
        <w:t>formě monistické akciové společnosti, bez ohled</w:t>
      </w:r>
      <w:r w:rsidR="00205047">
        <w:t>u na nutnost dalších úprav. P</w:t>
      </w:r>
      <w:r>
        <w:t>rovozující subjekty nebudou muset přijímat opatření v podobě úprav struktur vedení obchodní společnosti, neboť bude zachován současný stav.</w:t>
      </w:r>
    </w:p>
    <w:p w14:paraId="47F81BDE" w14:textId="77777777" w:rsidR="006B3B31" w:rsidRDefault="006B3B31" w:rsidP="0067013C">
      <w:r>
        <w:t>Nevýhody:</w:t>
      </w:r>
    </w:p>
    <w:p w14:paraId="1451E001" w14:textId="77777777" w:rsidR="006B3B31" w:rsidRDefault="006B3B31" w:rsidP="0067013C">
      <w:r w:rsidRPr="00B47D2A">
        <w:t>Nevýhodou právní úpravy je, že zákonná textace nereflektuje účel, který zákonodárce sledoval a vyjádřil mimo jiné v důvodové zprávě, tj. vydat povolení pouze subjektům, kteří mají zajištěnou důslednou kontrolu a objektivnost výkonu funkce v kontrolním orgánu, čímž má být zajištěno nižší riziko ovlivnění obchodního vedení společnosti za účelem pouhého zisku skutečnými majiteli.</w:t>
      </w:r>
    </w:p>
    <w:p w14:paraId="240B3D5D" w14:textId="77777777" w:rsidR="006B3B31" w:rsidRDefault="006B3B31" w:rsidP="006B3B31">
      <w:pPr>
        <w:pStyle w:val="Nadpis7"/>
      </w:pPr>
      <w:r>
        <w:t>Varianta II. – N</w:t>
      </w:r>
      <w:r w:rsidRPr="00130261">
        <w:t>emožnost slučitelnosti výkonu funkce v kontrolním orgánu a</w:t>
      </w:r>
      <w:r>
        <w:t> </w:t>
      </w:r>
      <w:r w:rsidRPr="00130261">
        <w:t>výkonném orgánu právnické osoby</w:t>
      </w:r>
    </w:p>
    <w:p w14:paraId="5E3DD8B3" w14:textId="77777777" w:rsidR="006B3B31" w:rsidRDefault="006B3B31" w:rsidP="0067013C">
      <w:r>
        <w:t>Úprava legislativního požadavku v podobě jeho rozšíření o nemožnost slučitelnosti výkonu funkce v kontrolním orgánu a výkonném orgánu právnické osoby.</w:t>
      </w:r>
    </w:p>
    <w:p w14:paraId="05AF228C" w14:textId="77777777" w:rsidR="006B3B31" w:rsidRDefault="006B3B31" w:rsidP="0067013C">
      <w:r>
        <w:t>Výhody:</w:t>
      </w:r>
    </w:p>
    <w:p w14:paraId="2ACD0E55" w14:textId="527C79F3" w:rsidR="006B3B31" w:rsidRDefault="006B3B31" w:rsidP="0067013C">
      <w:r>
        <w:t>Výhodou varianty je, že</w:t>
      </w:r>
      <w:r w:rsidR="003F3C0C">
        <w:t xml:space="preserve"> by</w:t>
      </w:r>
      <w:r>
        <w:t xml:space="preserve"> úprava více reflektovala účel, který zákonodárce sledoval, tj. vydat povolení pouze subjektům, kteří mají zajištěnou důslednou kontrolu a objektivnost výkonu funkce v kontrolním orgánu, čímž má být zajištěno </w:t>
      </w:r>
      <w:r w:rsidRPr="000F54AF">
        <w:t>nižší riziko ovlivnění obchodního vedení společnosti za účelem pouhého zisku skutečnými majiteli.</w:t>
      </w:r>
    </w:p>
    <w:p w14:paraId="17AB9292" w14:textId="77777777" w:rsidR="006B3B31" w:rsidRDefault="006B3B31" w:rsidP="0067013C">
      <w:r>
        <w:t>Nevýhody:</w:t>
      </w:r>
    </w:p>
    <w:p w14:paraId="2C22ADA7" w14:textId="38605DA1" w:rsidR="006B3B31" w:rsidRDefault="006B3B31" w:rsidP="0067013C">
      <w:r>
        <w:t>Nevýhodou uvedeného postupu je dopad na provozující subjekty, které budou muset přijímat opatření v podobě úprav struktur vedení obchodní společnosti. Zároveň by právní úprava neumožňovala provozování haza</w:t>
      </w:r>
      <w:r w:rsidR="00F1184C">
        <w:t>rdních her právnickou osobou ve </w:t>
      </w:r>
      <w:r>
        <w:t>formě monistické akciové společnosti, protože správní rada by tento požadavek nenaplňovala (</w:t>
      </w:r>
      <w:r w:rsidR="00F1184C">
        <w:t xml:space="preserve">správní rada </w:t>
      </w:r>
      <w:r>
        <w:t xml:space="preserve">ze zákona zastává jak </w:t>
      </w:r>
      <w:r w:rsidR="00205047">
        <w:t>obchodní vedení společnosti tak </w:t>
      </w:r>
      <w:r>
        <w:t>kontrolní funkce</w:t>
      </w:r>
      <w:r>
        <w:rPr>
          <w:rStyle w:val="Znakapoznpodarou"/>
        </w:rPr>
        <w:footnoteReference w:id="15"/>
      </w:r>
      <w:r>
        <w:t>).</w:t>
      </w:r>
    </w:p>
    <w:p w14:paraId="496CA580" w14:textId="77777777" w:rsidR="006B3B31" w:rsidRDefault="006B3B31" w:rsidP="006B3B31">
      <w:pPr>
        <w:pStyle w:val="Nadpis7"/>
      </w:pPr>
      <w:r>
        <w:t>Varianta III. – Z</w:t>
      </w:r>
      <w:r w:rsidRPr="000E42D4">
        <w:t>avedení jiných vnitřních kontrolních mechanismů</w:t>
      </w:r>
    </w:p>
    <w:p w14:paraId="6816046D" w14:textId="77777777" w:rsidR="006B3B31" w:rsidRDefault="006B3B31" w:rsidP="0067013C">
      <w:r w:rsidRPr="000E42D4">
        <w:t>Úprava legislativního požadavku v podobě zavedení jiných vnitřních kontrolních mechanismů, které by zajišťovaly více sledovaný účel, tj. nižší riziko ovlivnění obchodního vedení společnosti za účelem pouhého zisku skutečnými majiteli, např.</w:t>
      </w:r>
      <w:r>
        <w:t> </w:t>
      </w:r>
      <w:r w:rsidRPr="000E42D4">
        <w:t xml:space="preserve">v podobě požadavku na minimální počet osob obsazených v kontrolním orgánu, </w:t>
      </w:r>
      <w:r w:rsidRPr="000E42D4">
        <w:lastRenderedPageBreak/>
        <w:t>spolu se stanovením specifických kontrolních oprávnění jednotlivých členů, případně požadavek na zřízení vnitřního systému řízení rizik a systému vnitřních kontrolních mechanismů. Úprava konkrétních mechanismů by vyžadovalo podrobnější analýzu daného tématu.</w:t>
      </w:r>
    </w:p>
    <w:p w14:paraId="2FB4BD23" w14:textId="77777777" w:rsidR="006B3B31" w:rsidRDefault="006B3B31" w:rsidP="0067013C">
      <w:r>
        <w:t>Výhody:</w:t>
      </w:r>
    </w:p>
    <w:p w14:paraId="43C8C500" w14:textId="4F0FCE5D" w:rsidR="006B3B31" w:rsidRDefault="006B3B31" w:rsidP="0067013C">
      <w:r w:rsidRPr="000E42D4">
        <w:t>Výhodou by bylo reflektování účelu, který zákonodárce sledoval, tj. vydat povolení pouze subjektům, kteří mají zajištěnou důslednou kontrolu a objektivnost výkonu funkce v kontrolním orgánu, čímž má být zajištěno nižší riziko ovlivnění obchodního vedení společnosti za účelem pouhého zisku skutečnými majiteli a promítnutí tohoto požadavku explicitně do legislativní úpravy. Zvolené řešení by se více zaměřovalo n</w:t>
      </w:r>
      <w:r w:rsidR="00F1184C">
        <w:t>a </w:t>
      </w:r>
      <w:r w:rsidRPr="000E42D4">
        <w:t>faktickou kontrolu uvnitř společnosti a umožňovalo by provozování hazardních her právnickou osobou ve formě monistické akciové společnosti, případně dalších zahraničních forem obchodních společností, pokud splní požadavky kladené právní úpravou.</w:t>
      </w:r>
    </w:p>
    <w:p w14:paraId="083A7050" w14:textId="77777777" w:rsidR="006B3B31" w:rsidRDefault="006B3B31" w:rsidP="0067013C">
      <w:r>
        <w:t>Nevýhody:</w:t>
      </w:r>
    </w:p>
    <w:p w14:paraId="44F36256" w14:textId="6B08B6F0" w:rsidR="006B3B31" w:rsidRDefault="006B3B31" w:rsidP="0067013C">
      <w:r>
        <w:t xml:space="preserve">Nevýhodou je dopad na provozující subjekty, které budou muset přijímat opatření v podobě úprav struktur vedení obchodní společnosti, případně v podobě stanovení systémů vnitřních kontrolních mechanismů. Rovněž tato varianta s sebou nese vyšší zátěž </w:t>
      </w:r>
      <w:r w:rsidR="0064721A">
        <w:t>dozorujících</w:t>
      </w:r>
      <w:r>
        <w:t xml:space="preserve"> orgánů v podobě dozoru nad dodržováním stanovených kontrolních mechanismů uvnitř řízení společnosti.</w:t>
      </w:r>
    </w:p>
    <w:p w14:paraId="50BB9578" w14:textId="77777777" w:rsidR="002325D6" w:rsidRDefault="002325D6" w:rsidP="00C1553D">
      <w:pPr>
        <w:pStyle w:val="Nadpis7"/>
      </w:pPr>
      <w:r>
        <w:t>Varianta IV. - Zrušení požadavku na zvláštní kontrolní orgán</w:t>
      </w:r>
    </w:p>
    <w:p w14:paraId="47620A10" w14:textId="77777777" w:rsidR="002325D6" w:rsidRDefault="002325D6" w:rsidP="002325D6">
      <w:r>
        <w:t>Pokud by současný stav představoval toliko formální uchopení daného institutu bez výrazného věcného přínosu, tak se u většiny subjektů zásadně nesníží míra regulace v případě, že dojde k jeho zrušení. Zrušením tedy dojde pouze k odbourání jedné z administrativních povinností, neboť zřizování takového orgánu vyžaduje určité náklady.</w:t>
      </w:r>
    </w:p>
    <w:p w14:paraId="1728F01E" w14:textId="77777777" w:rsidR="002325D6" w:rsidRDefault="002325D6" w:rsidP="002325D6">
      <w:r>
        <w:t>Výhody:</w:t>
      </w:r>
    </w:p>
    <w:p w14:paraId="18905C62" w14:textId="77777777" w:rsidR="002325D6" w:rsidRDefault="002325D6" w:rsidP="002325D6">
      <w:r>
        <w:t>Nižší administrativní náklady.</w:t>
      </w:r>
    </w:p>
    <w:p w14:paraId="7534D8E4" w14:textId="77777777" w:rsidR="002325D6" w:rsidRDefault="002325D6" w:rsidP="002325D6">
      <w:r>
        <w:t>Nevýhody:</w:t>
      </w:r>
    </w:p>
    <w:p w14:paraId="07719300" w14:textId="77777777" w:rsidR="002325D6" w:rsidRDefault="002325D6" w:rsidP="002325D6">
      <w:r>
        <w:t xml:space="preserve">Menší míra kontrolních mechanismů. </w:t>
      </w:r>
    </w:p>
    <w:p w14:paraId="48105CB3" w14:textId="77777777" w:rsidR="006B3B31" w:rsidRDefault="006B3B31" w:rsidP="006B3B31">
      <w:pPr>
        <w:pStyle w:val="Nadpis7"/>
      </w:pPr>
      <w:r>
        <w:t>Hodnocení variant</w:t>
      </w:r>
    </w:p>
    <w:p w14:paraId="36C1289A" w14:textId="5DDD54D0" w:rsidR="006B3B31" w:rsidRDefault="006B3B31" w:rsidP="00806EFA">
      <w:r>
        <w:t>Doporučuje se přist</w:t>
      </w:r>
      <w:r w:rsidR="0067013C">
        <w:t>oupit k v</w:t>
      </w:r>
      <w:r>
        <w:t xml:space="preserve">ariantě III., tedy </w:t>
      </w:r>
      <w:r w:rsidRPr="000E42D4">
        <w:t>zavedení jiných vnitřních kontrolních mechanismů, které by zajišťovaly více sledovaný účel, tj. nižší riziko ovlivnění obchodního vedení společnosti za účelem pouhého zisku skutečnými majiteli</w:t>
      </w:r>
      <w:r>
        <w:t>, a v návaznosti na podrobnější analýzu stanovit konkrétnější požadavky na kontrolní mechanismy uvnitř právnické osoby. Předpokladem by rovněž mělo být dostatečné přechodné období k provedení navrhovaných změn do struktury dotčených subjektů.</w:t>
      </w:r>
    </w:p>
    <w:p w14:paraId="2B3F732A" w14:textId="77777777" w:rsidR="006B3B31" w:rsidRDefault="006B3B31" w:rsidP="00AF112D">
      <w:pPr>
        <w:pStyle w:val="Nadpis6"/>
      </w:pPr>
      <w:bookmarkStart w:id="34" w:name="_Toc73529685"/>
      <w:bookmarkStart w:id="35" w:name="_Toc73608976"/>
      <w:r>
        <w:t>Definice bezdlužnosti žadatele, resp. provozovatele</w:t>
      </w:r>
      <w:bookmarkEnd w:id="34"/>
      <w:bookmarkEnd w:id="35"/>
    </w:p>
    <w:p w14:paraId="3C31D638" w14:textId="5D688DD5" w:rsidR="006B3B31" w:rsidRDefault="003F3C0C" w:rsidP="00806EFA">
      <w:r>
        <w:t xml:space="preserve">Podle </w:t>
      </w:r>
      <w:r w:rsidR="006B3B31">
        <w:t xml:space="preserve">§ 91 odst. 2 zákona o hazardních hrách </w:t>
      </w:r>
      <w:r>
        <w:t>se</w:t>
      </w:r>
      <w:r w:rsidR="006B3B31">
        <w:t xml:space="preserve"> za bezdlužnou považuje osoba, </w:t>
      </w:r>
      <w:r w:rsidR="00F1184C">
        <w:t>která</w:t>
      </w:r>
      <w:r w:rsidR="006B3B31">
        <w:t xml:space="preserve"> nemá evidován nedoplatek a) u orgánů Finanční správy České republiky a</w:t>
      </w:r>
      <w:r w:rsidR="00205047">
        <w:t> </w:t>
      </w:r>
      <w:r w:rsidR="006B3B31">
        <w:t xml:space="preserve">orgánů Celní správy České republiky, s výjimkou nedoplatku, u kterého je povoleno posečkání </w:t>
      </w:r>
      <w:r w:rsidR="006B3B31">
        <w:lastRenderedPageBreak/>
        <w:t>jeho úhrady nebo rozložen</w:t>
      </w:r>
      <w:r w:rsidR="00F1184C">
        <w:t>í jeho úhrady na splátky, b) na </w:t>
      </w:r>
      <w:r w:rsidR="00205047">
        <w:t>pojistném a na </w:t>
      </w:r>
      <w:r w:rsidR="006B3B31">
        <w:t xml:space="preserve">penále na veřejném zdravotním </w:t>
      </w:r>
      <w:r w:rsidR="00F1184C">
        <w:t>pojištění, c) na pojistném a na </w:t>
      </w:r>
      <w:r w:rsidR="00205047">
        <w:t>penále na </w:t>
      </w:r>
      <w:r w:rsidR="006B3B31">
        <w:t>sociální zabezpečení a příspěvku na s</w:t>
      </w:r>
      <w:r w:rsidR="00F1184C">
        <w:t>tátní politiku zaměstnanosti, s </w:t>
      </w:r>
      <w:r w:rsidR="006B3B31">
        <w:t xml:space="preserve">výjimkou nedoplatku, u kterého bylo povoleno </w:t>
      </w:r>
      <w:r w:rsidR="00F1184C">
        <w:t>splácení ve splátkách, a není v </w:t>
      </w:r>
      <w:r w:rsidR="00205047">
        <w:t>prodlení se </w:t>
      </w:r>
      <w:r w:rsidR="006B3B31">
        <w:t>splácením splátek, d) na peněžitých plnění</w:t>
      </w:r>
      <w:r w:rsidR="00205047">
        <w:t>ch obdobných plněním uvedeným v </w:t>
      </w:r>
      <w:r w:rsidR="006B3B31">
        <w:t>písmenech a) až c) ve státě, ve kterém má tato osoba sídlo, místo podnikání nebo bydliště, nebo ve státě, ve kterém se zdržo</w:t>
      </w:r>
      <w:r w:rsidR="00F1184C">
        <w:t>vala a působila déle než </w:t>
      </w:r>
      <w:r w:rsidR="00806EFA">
        <w:t>3 </w:t>
      </w:r>
      <w:r w:rsidR="00205047">
        <w:t>měsíce v </w:t>
      </w:r>
      <w:r w:rsidR="006B3B31">
        <w:t>posledních 5 letech přede dnem podání žádosti o vydání povolení. Definice zohledňuje odlišnou množinu nedoplatků evidovaných u Finanční správy České republiky a orgánů Celní správy České republiky, než které je možné následně hradit z kauce z hazardních her ve smyslu §</w:t>
      </w:r>
      <w:r w:rsidR="00021A93">
        <w:t> </w:t>
      </w:r>
      <w:r w:rsidR="006B3B31">
        <w:t>89</w:t>
      </w:r>
      <w:r w:rsidR="00021A93">
        <w:t> </w:t>
      </w:r>
      <w:r w:rsidR="006B3B31">
        <w:t>odst.</w:t>
      </w:r>
      <w:r w:rsidR="00021A93">
        <w:t> </w:t>
      </w:r>
      <w:r w:rsidR="006B3B31">
        <w:t xml:space="preserve">4 zákona o hazardních hrách, </w:t>
      </w:r>
      <w:r w:rsidR="00F1184C">
        <w:t>pokud</w:t>
      </w:r>
      <w:r w:rsidR="006B3B31">
        <w:t xml:space="preserve"> tyto nedoplatky vznikly z provozu hazardních her.</w:t>
      </w:r>
      <w:r w:rsidR="00205047">
        <w:t xml:space="preserve"> Nekoncepčnost této definice se </w:t>
      </w:r>
      <w:r w:rsidR="006B3B31">
        <w:t>projevila v návaznosti na legislativní úpr</w:t>
      </w:r>
      <w:r w:rsidR="00205047">
        <w:t>avu způsobenou novelou zákona o </w:t>
      </w:r>
      <w:r w:rsidR="006B3B31">
        <w:t>hazardních hrách zákonem č.</w:t>
      </w:r>
      <w:r w:rsidR="00021A93">
        <w:t> </w:t>
      </w:r>
      <w:r w:rsidR="006B3B31">
        <w:t xml:space="preserve"> 527/2020 Sb., v jejímž důsledku jsou nevyplacené výhry sázejícímu, o kterých</w:t>
      </w:r>
      <w:r w:rsidR="006B3B31" w:rsidRPr="0079053F">
        <w:t xml:space="preserve"> bylo příslušným orgánem veřejné m</w:t>
      </w:r>
      <w:r w:rsidR="006B3B31">
        <w:t>oci pravomocně rozhodnuto, že mají být vyplaceny</w:t>
      </w:r>
      <w:r w:rsidR="006B3B31" w:rsidRPr="0079053F">
        <w:t>, a</w:t>
      </w:r>
      <w:r w:rsidR="00021A93">
        <w:t> </w:t>
      </w:r>
      <w:r w:rsidR="006B3B31" w:rsidRPr="0079053F">
        <w:t xml:space="preserve"> k</w:t>
      </w:r>
      <w:r w:rsidR="006B3B31">
        <w:t>teré byly sázejícím přihlášeny u M</w:t>
      </w:r>
      <w:r w:rsidR="006B3B31" w:rsidRPr="0079053F">
        <w:t>inisterstva</w:t>
      </w:r>
      <w:r w:rsidR="006B3B31">
        <w:t xml:space="preserve"> financí k uhrazení z kauce, považovány za nedoplatek provozovatele evidovaný Ministerstvem financí. Ačkoliv takový nedoplatek může vzniknout v průběhu provozování hazardní hry, nezpůsobuje jeho evidence porušení podmínky bezdlužnosti provozovatele, neboť tento nedoplatek není zahrnut v rámci výčtu § 91 odst. 2 zákona o hazardních hrách. V případě z</w:t>
      </w:r>
      <w:r w:rsidR="00256B59">
        <w:t>jištění této skutečnosti se pak </w:t>
      </w:r>
      <w:r w:rsidR="006B3B31">
        <w:t>Ministerstvu financí nabízí jako cesta vyhodnotit toto zjištění jako závažné, případně opakované porušení zákona o hazardních hrách, v jehož důsledku je oprávněno zahájit s příslušným provozovatelem odebrání udělené licence postupem podle § 95 odst. 2 písm. c) zákona o hazardních hrách.</w:t>
      </w:r>
    </w:p>
    <w:p w14:paraId="5EF3F284" w14:textId="77777777" w:rsidR="006B3B31" w:rsidRDefault="006B3B31" w:rsidP="0067013C">
      <w:pPr>
        <w:pStyle w:val="Nadpis7"/>
      </w:pPr>
      <w:r>
        <w:t>Varianta I. – Zachování současného stavu</w:t>
      </w:r>
    </w:p>
    <w:p w14:paraId="4FAB996E" w14:textId="41F7AF6C" w:rsidR="006B3B31" w:rsidRDefault="006B3B31" w:rsidP="0067013C">
      <w:r>
        <w:t>Ponechání současné právní úpravy a nezahrnovat do definice bezdlužnosti nedoplatek evidovaný u Ministerstva financí na nevyplacených výhrách ve smyslu § 89</w:t>
      </w:r>
      <w:r w:rsidR="00021A93">
        <w:t> </w:t>
      </w:r>
      <w:r>
        <w:t>odst.</w:t>
      </w:r>
      <w:r w:rsidR="00021A93">
        <w:t> </w:t>
      </w:r>
      <w:r>
        <w:t>4</w:t>
      </w:r>
      <w:r w:rsidR="00021A93">
        <w:t> </w:t>
      </w:r>
      <w:r>
        <w:t>písm.</w:t>
      </w:r>
      <w:r w:rsidR="00021A93">
        <w:t> </w:t>
      </w:r>
      <w:r>
        <w:t>c) zákona o hazardních hrách.</w:t>
      </w:r>
    </w:p>
    <w:p w14:paraId="0529E4E2" w14:textId="77777777" w:rsidR="006B3B31" w:rsidRDefault="006B3B31" w:rsidP="0067013C">
      <w:r>
        <w:t>Výhody:</w:t>
      </w:r>
    </w:p>
    <w:p w14:paraId="333E765D" w14:textId="71303F65" w:rsidR="006B3B31" w:rsidRDefault="006B3B31" w:rsidP="0067013C">
      <w:r w:rsidRPr="0048496C">
        <w:t>Výhodou současné právní úpravy může být shledáno z pohledu provozujících subjektů, že nevyplacená výhra splňující podmínky § 89</w:t>
      </w:r>
      <w:r w:rsidR="00021A93">
        <w:t> </w:t>
      </w:r>
      <w:r w:rsidRPr="0048496C">
        <w:t>odst.</w:t>
      </w:r>
      <w:r w:rsidR="00021A93">
        <w:t> </w:t>
      </w:r>
      <w:r w:rsidRPr="0048496C">
        <w:t>4</w:t>
      </w:r>
      <w:r w:rsidR="00021A93">
        <w:t> </w:t>
      </w:r>
      <w:r w:rsidRPr="0048496C">
        <w:t>písm.</w:t>
      </w:r>
      <w:r w:rsidR="00021A93">
        <w:t> </w:t>
      </w:r>
      <w:r w:rsidRPr="0048496C">
        <w:t>c) zákona o hazardních hrách nízké hodnoty nezpůsobí porušení povinnosti stanovené v</w:t>
      </w:r>
      <w:r w:rsidR="007738BF">
        <w:t> </w:t>
      </w:r>
      <w:r>
        <w:t>§</w:t>
      </w:r>
      <w:r w:rsidR="00021A93">
        <w:t> </w:t>
      </w:r>
      <w:r w:rsidRPr="0048496C">
        <w:t>91</w:t>
      </w:r>
      <w:r w:rsidR="00021A93">
        <w:t> </w:t>
      </w:r>
      <w:r w:rsidRPr="0048496C">
        <w:t>odst.</w:t>
      </w:r>
      <w:r w:rsidR="00021A93">
        <w:t> </w:t>
      </w:r>
      <w:r w:rsidRPr="0048496C">
        <w:t xml:space="preserve">2 zákona o hazardních hrách spočívající v bezdlužnosti a povede k řešení problému soukromoprávní cestou. </w:t>
      </w:r>
    </w:p>
    <w:p w14:paraId="7E4F9377" w14:textId="77777777" w:rsidR="006B3B31" w:rsidRDefault="006B3B31" w:rsidP="0067013C">
      <w:r>
        <w:t>Nevýhody:</w:t>
      </w:r>
    </w:p>
    <w:p w14:paraId="4DD93996" w14:textId="152DAED9" w:rsidR="006B3B31" w:rsidRDefault="006B3B31" w:rsidP="0067013C">
      <w:r>
        <w:t xml:space="preserve">Současná právní úprava nereflektuje skutečnost, že zákonodárce přiznal nevyplaceným výhrám ve smyslu § 89 odst. 4 písm. c) zákona o hazardních hrách postavení nedoplatku, jehož existence narušuje základní princip sledovaný právní úpravou, kterým je ochrana </w:t>
      </w:r>
      <w:r w:rsidR="005A53A9">
        <w:t>účastníků hazardní hry</w:t>
      </w:r>
      <w:r>
        <w:t xml:space="preserve"> a řádné provozování hazardní hry. Ačkoliv je možnost zahájit proces zrušení základního povolení z jiných důvodů, vynechání toho „druhu“ nedoplatku z definice bezdlužnosti nelze považovat za koncepční. </w:t>
      </w:r>
      <w:r w:rsidR="007738BF">
        <w:t>N</w:t>
      </w:r>
      <w:r>
        <w:t>evýhodou rovněž může být nižší motivace provozovatele k úhradě takto přiznané částky.</w:t>
      </w:r>
    </w:p>
    <w:p w14:paraId="218304FD" w14:textId="61D151BA" w:rsidR="006B3B31" w:rsidRDefault="00D55EFF" w:rsidP="006B3B31">
      <w:pPr>
        <w:pStyle w:val="Nadpis7"/>
      </w:pPr>
      <w:r>
        <w:lastRenderedPageBreak/>
        <w:t xml:space="preserve">Varianta II. – </w:t>
      </w:r>
      <w:r w:rsidR="006B3B31">
        <w:t>Rozšíření definice bezdlužnosti o nedoplatek v podobě nevyplacených výher</w:t>
      </w:r>
    </w:p>
    <w:p w14:paraId="3A631B0D" w14:textId="00DC7070" w:rsidR="006B3B31" w:rsidRDefault="006B3B31" w:rsidP="00806EFA">
      <w:r w:rsidRPr="00193E14">
        <w:t>Rozšířit definici bezdlužnosti o nedoplatek evid</w:t>
      </w:r>
      <w:r w:rsidR="007738BF">
        <w:t>ovaný u Ministerstva financí na </w:t>
      </w:r>
      <w:r w:rsidRPr="00193E14">
        <w:t>nevyplacených výhrách ve smyslu § 89 odst. 4 písm. c) zákona o hazardních hrách.</w:t>
      </w:r>
    </w:p>
    <w:p w14:paraId="0711A3F5" w14:textId="77777777" w:rsidR="006B3B31" w:rsidRDefault="006B3B31" w:rsidP="00806EFA">
      <w:r>
        <w:t>Výhody:</w:t>
      </w:r>
    </w:p>
    <w:p w14:paraId="4ACBA680" w14:textId="5F546569" w:rsidR="006B3B31" w:rsidRDefault="006B3B31" w:rsidP="00806EFA">
      <w:r>
        <w:t>Tato varianta sleduje základní princip právní úp</w:t>
      </w:r>
      <w:r w:rsidR="00253244">
        <w:t xml:space="preserve">ravy, kterým je ochrana </w:t>
      </w:r>
      <w:r w:rsidR="005A53A9">
        <w:t>účastníků hazardní hry</w:t>
      </w:r>
      <w:r w:rsidR="00253244">
        <w:t xml:space="preserve"> a </w:t>
      </w:r>
      <w:r>
        <w:t>řádné provozování hazardní hry, což lze považovat za podstatnou výhodu. Zároveň více motivuje provozovatele k úhradě přiznané částky z důvodu rizika vedení správního řízení o odnětí udělené licence pro celý provoz.</w:t>
      </w:r>
    </w:p>
    <w:p w14:paraId="01BF54B2" w14:textId="77777777" w:rsidR="006B3B31" w:rsidRDefault="006B3B31" w:rsidP="00806EFA">
      <w:r>
        <w:t>Nevýhody:</w:t>
      </w:r>
    </w:p>
    <w:p w14:paraId="2420DC20" w14:textId="3DCB6907" w:rsidR="006B3B31" w:rsidRDefault="006B3B31" w:rsidP="00806EFA">
      <w:r>
        <w:t>Nevýhodou varianty může být, že nevyplacená výhra splňující podmínky § 89</w:t>
      </w:r>
      <w:r w:rsidR="00021A93">
        <w:t> </w:t>
      </w:r>
      <w:r>
        <w:t>odst.</w:t>
      </w:r>
      <w:r w:rsidR="00021A93">
        <w:t> </w:t>
      </w:r>
      <w:r>
        <w:t>4</w:t>
      </w:r>
      <w:r w:rsidR="00021A93">
        <w:t> </w:t>
      </w:r>
      <w:r>
        <w:t>písm.</w:t>
      </w:r>
      <w:r w:rsidR="00021A93">
        <w:t> </w:t>
      </w:r>
      <w:r>
        <w:t>c) zákona o hazardních hrách nízké hodnoty způsobí p</w:t>
      </w:r>
      <w:r w:rsidRPr="005F01AC">
        <w:t>orušení povinnosti stanovené v</w:t>
      </w:r>
      <w:r>
        <w:t xml:space="preserve"> §</w:t>
      </w:r>
      <w:r w:rsidRPr="005F01AC">
        <w:t xml:space="preserve"> 91 odst. 2 zákona o hazardních hrách spočívající v</w:t>
      </w:r>
      <w:r w:rsidR="00021A93">
        <w:t> </w:t>
      </w:r>
      <w:r w:rsidRPr="005F01AC">
        <w:t xml:space="preserve"> bezdlužnosti</w:t>
      </w:r>
      <w:r>
        <w:t xml:space="preserve"> a povede k řešení situace ve veřejnoprávní rovině na náklady státu i v důsledku jediného opomenutí. </w:t>
      </w:r>
      <w:r w:rsidR="00BE7F81">
        <w:t xml:space="preserve">Navíc se nemusí jednat ani o opomenutí, ale např. pouze dílčí spor byť s jediným </w:t>
      </w:r>
      <w:r w:rsidR="00302FDF">
        <w:t>účastníkem hazardní hry</w:t>
      </w:r>
      <w:r w:rsidR="00272E43">
        <w:t>, jehož následkem může být i </w:t>
      </w:r>
      <w:r w:rsidR="00BE7F81">
        <w:t xml:space="preserve">pro jinak pečlivého provozovatele ztráta statutu bezdlužnosti. </w:t>
      </w:r>
      <w:r>
        <w:t>Zároveň pokud by takový subjekt žádal o vydání jiného základního povolení, nebylo by možné mu takové povolení pro nesplnění podmínek vydat. Byť je výše uvedené zde popsáno jako ne</w:t>
      </w:r>
      <w:r w:rsidR="00253244">
        <w:t>výhoda, lze v tomto spatřovat i </w:t>
      </w:r>
      <w:r>
        <w:t xml:space="preserve">určitou výhodu </w:t>
      </w:r>
      <w:r w:rsidR="00BE7F81">
        <w:t>z hlediska ochrany sázejících a </w:t>
      </w:r>
      <w:r>
        <w:t>zabezpečení stability a</w:t>
      </w:r>
      <w:r w:rsidR="00021A93">
        <w:t> </w:t>
      </w:r>
      <w:r>
        <w:t xml:space="preserve"> odpovědnosti provozovatelů hazardních her.</w:t>
      </w:r>
    </w:p>
    <w:p w14:paraId="7ECB021D" w14:textId="77777777" w:rsidR="006B3B31" w:rsidRDefault="006B3B31" w:rsidP="006B3B31">
      <w:pPr>
        <w:pStyle w:val="Nadpis7"/>
      </w:pPr>
      <w:r>
        <w:t>Hodnocení variant</w:t>
      </w:r>
    </w:p>
    <w:p w14:paraId="4D1D02C7" w14:textId="186B6093" w:rsidR="006B3B31" w:rsidRDefault="00806EFA" w:rsidP="0067013C">
      <w:r>
        <w:t>Doporučuje se přistoupit k v</w:t>
      </w:r>
      <w:r w:rsidR="00BE7F81">
        <w:t>ariantě II., nicméně vybrané řešení je podmíněno zachování možnosti</w:t>
      </w:r>
      <w:r w:rsidR="006B3B31">
        <w:t xml:space="preserve"> úhrad</w:t>
      </w:r>
      <w:r w:rsidR="00BE7F81">
        <w:t>y</w:t>
      </w:r>
      <w:r w:rsidR="006B3B31">
        <w:t xml:space="preserve"> nevyplacených výher z</w:t>
      </w:r>
      <w:r w:rsidR="00BE7F81">
        <w:t> </w:t>
      </w:r>
      <w:r w:rsidR="006B3B31">
        <w:t>kauce</w:t>
      </w:r>
      <w:r w:rsidR="00BE7F81">
        <w:t xml:space="preserve"> (k tomu blíže </w:t>
      </w:r>
      <w:r w:rsidR="006730E7">
        <w:t>Příloha č. 10</w:t>
      </w:r>
      <w:r w:rsidR="00696215">
        <w:t> </w:t>
      </w:r>
      <w:r w:rsidR="00BE7F81">
        <w:t>Kauce)</w:t>
      </w:r>
      <w:r w:rsidR="006B3B31">
        <w:t>.</w:t>
      </w:r>
    </w:p>
    <w:p w14:paraId="6D006A07" w14:textId="1E24346D" w:rsidR="006B3B31" w:rsidRDefault="006B3B31" w:rsidP="00AF112D">
      <w:pPr>
        <w:pStyle w:val="Nadpis6"/>
      </w:pPr>
      <w:bookmarkStart w:id="36" w:name="_Toc73529686"/>
      <w:bookmarkStart w:id="37" w:name="_Toc73608977"/>
      <w:r>
        <w:t>Potvrzení o bezdlužnosti a bezúhonnosti podle § 91 odst. 4 a §</w:t>
      </w:r>
      <w:r w:rsidR="00021A93">
        <w:t> </w:t>
      </w:r>
      <w:r>
        <w:t>92</w:t>
      </w:r>
      <w:r w:rsidR="00021A93">
        <w:t> </w:t>
      </w:r>
      <w:r>
        <w:t>odst.</w:t>
      </w:r>
      <w:r w:rsidR="00021A93">
        <w:t> </w:t>
      </w:r>
      <w:r>
        <w:t>4 zákona o hazardních hrách</w:t>
      </w:r>
      <w:bookmarkEnd w:id="36"/>
      <w:bookmarkEnd w:id="37"/>
    </w:p>
    <w:p w14:paraId="43F0714C" w14:textId="52E414F6" w:rsidR="006B3B31" w:rsidRDefault="006B3B31" w:rsidP="0067013C">
      <w:r w:rsidRPr="002F2B13">
        <w:t xml:space="preserve">Zákon o hazardních hrách stanovuje jako podmínku </w:t>
      </w:r>
      <w:r w:rsidRPr="00753ABA">
        <w:rPr>
          <w:b/>
        </w:rPr>
        <w:t>prokázání bezdlužnosti</w:t>
      </w:r>
      <w:r w:rsidR="00253244">
        <w:t xml:space="preserve"> u </w:t>
      </w:r>
      <w:r w:rsidRPr="002F2B13">
        <w:t xml:space="preserve">osob, které mají na území jiného státu sídlo, místo podnikání nebo </w:t>
      </w:r>
      <w:r w:rsidRPr="002F2B13">
        <w:rPr>
          <w:b/>
        </w:rPr>
        <w:t>bydliště</w:t>
      </w:r>
      <w:r w:rsidR="00256B59">
        <w:t>, nebo </w:t>
      </w:r>
      <w:r w:rsidRPr="002F2B13">
        <w:t>se v jiném státě zdržovaly a působily déle než 3 měsíce v posledních 5 letech přede dnem podání žádosti o vydání základního povolení</w:t>
      </w:r>
      <w:r w:rsidR="00B54E2E">
        <w:t>. Tato osoba musí</w:t>
      </w:r>
      <w:r w:rsidRPr="002F2B13">
        <w:t xml:space="preserve"> doložit absenci nedoplatků ve</w:t>
      </w:r>
      <w:r w:rsidR="00B54E2E">
        <w:t> </w:t>
      </w:r>
      <w:r w:rsidRPr="002F2B13">
        <w:t>smyslu §</w:t>
      </w:r>
      <w:r w:rsidR="00021A93">
        <w:t> </w:t>
      </w:r>
      <w:r w:rsidRPr="002F2B13">
        <w:t>91</w:t>
      </w:r>
      <w:r w:rsidR="00021A93">
        <w:t> </w:t>
      </w:r>
      <w:r w:rsidRPr="002F2B13">
        <w:t>odst.</w:t>
      </w:r>
      <w:r w:rsidR="00021A93">
        <w:t> </w:t>
      </w:r>
      <w:r w:rsidRPr="002F2B13">
        <w:t>2 písm.</w:t>
      </w:r>
      <w:r w:rsidR="00021A93">
        <w:t> </w:t>
      </w:r>
      <w:r w:rsidRPr="002F2B13">
        <w:t>d) zákona o hazardních hrách potvrzením o</w:t>
      </w:r>
      <w:r w:rsidR="00B54E2E">
        <w:t> </w:t>
      </w:r>
      <w:r w:rsidRPr="002F2B13">
        <w:t>bezdlužnosti, popřípadě obdobným zahraničním dokladem vydaným orgánem státu, jehož je osoba občanem nebo v němž</w:t>
      </w:r>
      <w:r w:rsidR="00256B59">
        <w:t xml:space="preserve"> má trvalý pobyt anebo sídlo, a </w:t>
      </w:r>
      <w:r w:rsidRPr="002F2B13">
        <w:t>rovněž obdobným zahraničním dokladem vydaným orgánem státu, v němž se zdržovala a</w:t>
      </w:r>
      <w:r w:rsidR="00B54E2E">
        <w:t> </w:t>
      </w:r>
      <w:r w:rsidRPr="002F2B13">
        <w:t>působila déle než 3</w:t>
      </w:r>
      <w:r>
        <w:t> </w:t>
      </w:r>
      <w:r w:rsidR="00A42B7C">
        <w:t>měsíce v </w:t>
      </w:r>
      <w:r w:rsidRPr="002F2B13">
        <w:t>posledních 5 letech přede dnem podání žádosti o</w:t>
      </w:r>
      <w:r w:rsidR="00B54E2E">
        <w:t> </w:t>
      </w:r>
      <w:r w:rsidRPr="002F2B13">
        <w:t>vydání povolení. Uvedená fyzická osoba si tedy může vybrat, zda doklad doloží ze</w:t>
      </w:r>
      <w:r w:rsidR="00B54E2E">
        <w:t> </w:t>
      </w:r>
      <w:r w:rsidRPr="002F2B13">
        <w:t xml:space="preserve">státu, kde je </w:t>
      </w:r>
      <w:r w:rsidRPr="002F2B13">
        <w:rPr>
          <w:b/>
        </w:rPr>
        <w:t>občanem</w:t>
      </w:r>
      <w:r w:rsidRPr="002F2B13">
        <w:t xml:space="preserve"> nebo v němž má </w:t>
      </w:r>
      <w:r w:rsidRPr="002F2B13">
        <w:rPr>
          <w:b/>
        </w:rPr>
        <w:t>trvalý pobyt</w:t>
      </w:r>
      <w:r w:rsidR="00B54E2E">
        <w:t>, právnická osoba vždy ze </w:t>
      </w:r>
      <w:r w:rsidRPr="002F2B13">
        <w:t>státu, kde má sídlo</w:t>
      </w:r>
      <w:r w:rsidR="006B6038">
        <w:t>.</w:t>
      </w:r>
      <w:r w:rsidRPr="002F2B13">
        <w:t xml:space="preserve"> </w:t>
      </w:r>
      <w:r w:rsidR="006B6038">
        <w:t>J</w:t>
      </w:r>
      <w:r w:rsidRPr="002F2B13">
        <w:t>ak fyzická</w:t>
      </w:r>
      <w:r w:rsidR="006B6038">
        <w:t>,</w:t>
      </w:r>
      <w:r w:rsidRPr="002F2B13">
        <w:t xml:space="preserve"> tak pr</w:t>
      </w:r>
      <w:r w:rsidR="00256B59">
        <w:t>ávnická osoba doklad dokládá ze </w:t>
      </w:r>
      <w:r w:rsidR="00A42B7C">
        <w:t>všech států, kde se zdržovala a </w:t>
      </w:r>
      <w:r w:rsidRPr="002F2B13">
        <w:t>působila déle než 3 měsíce v posledních 5 let</w:t>
      </w:r>
      <w:r w:rsidR="006B6038">
        <w:t>ech přede </w:t>
      </w:r>
      <w:r w:rsidR="00A42B7C">
        <w:t>dnem podání žádosti o </w:t>
      </w:r>
      <w:r w:rsidRPr="002F2B13">
        <w:t>vydání základního povolení.</w:t>
      </w:r>
    </w:p>
    <w:p w14:paraId="7A375A08" w14:textId="4E3B6A74" w:rsidR="006B3B31" w:rsidRDefault="006B3B31" w:rsidP="0067013C">
      <w:r w:rsidRPr="002F2B13">
        <w:t xml:space="preserve">Oproti tomu v případě </w:t>
      </w:r>
      <w:r w:rsidRPr="00753ABA">
        <w:rPr>
          <w:b/>
        </w:rPr>
        <w:t xml:space="preserve">bezúhonnosti </w:t>
      </w:r>
      <w:r w:rsidRPr="002F2B13">
        <w:t xml:space="preserve">osoby se stanoví, že bezúhonnost cizích státních příslušníků se prokazuje výpisem z Rejstříku trestů, popřípadě obdobným zahraničním dokladem vydaným státem, jehož je osoba </w:t>
      </w:r>
      <w:r w:rsidRPr="002F2B13">
        <w:rPr>
          <w:i/>
        </w:rPr>
        <w:t>občanem</w:t>
      </w:r>
      <w:r w:rsidRPr="002F2B13">
        <w:t xml:space="preserve">, nebo v němž má </w:t>
      </w:r>
      <w:r w:rsidRPr="002F2B13">
        <w:rPr>
          <w:i/>
        </w:rPr>
        <w:t>trvalý pobyt</w:t>
      </w:r>
      <w:r w:rsidRPr="002F2B13">
        <w:t xml:space="preserve"> </w:t>
      </w:r>
      <w:r w:rsidRPr="002F2B13">
        <w:lastRenderedPageBreak/>
        <w:t xml:space="preserve">anebo </w:t>
      </w:r>
      <w:r w:rsidRPr="002F2B13">
        <w:rPr>
          <w:i/>
        </w:rPr>
        <w:t xml:space="preserve">sídlo, </w:t>
      </w:r>
      <w:r w:rsidRPr="002F2B13">
        <w:t>nebo obdobným zahraničním dokladem vydaným orgánem státu, v němž se</w:t>
      </w:r>
      <w:r w:rsidRPr="002F2B13">
        <w:rPr>
          <w:i/>
        </w:rPr>
        <w:t xml:space="preserve"> zdržovala nebo působila nepřetržitě déle než 3 měsíce v posledních 5 letech přede dnem podání žádosti o základní povolení. </w:t>
      </w:r>
      <w:r w:rsidRPr="002F2B13">
        <w:t>Oproti bezdlužnosti si v případě prokazování bezúhonnosti mohou osoby vybrat, z kterého státu uvedeného</w:t>
      </w:r>
      <w:r w:rsidR="00A42B7C">
        <w:t xml:space="preserve"> shora si doklad o </w:t>
      </w:r>
      <w:r w:rsidRPr="002F2B13">
        <w:t>bezúhonnosti zvolí.</w:t>
      </w:r>
    </w:p>
    <w:p w14:paraId="3885D48D" w14:textId="2646B1AF" w:rsidR="006B3B31" w:rsidRPr="002F2B13" w:rsidRDefault="006B3B31" w:rsidP="0067013C">
      <w:r w:rsidRPr="002F2B13">
        <w:t>Uvedená úprava tak s sebou nese v praxi několik úskalí. Jedním z nich je fakt, že správní orgán je v případě „zahraničních“ osob do velké míry odkázán na důvěru v pravdivost tvrzení osob zejména co do skutečností, ve kterých státech se daná osoba v posledních 5 letech déle než 3 měsíce zdržovala a působila. Uvedenou skutečnost lze velmi těžko ověřit, stejně jako faktické bydliště</w:t>
      </w:r>
      <w:r w:rsidRPr="002F2B13">
        <w:rPr>
          <w:vertAlign w:val="superscript"/>
        </w:rPr>
        <w:footnoteReference w:id="16"/>
      </w:r>
      <w:r w:rsidRPr="002F2B13">
        <w:t xml:space="preserve"> dané osoby. Dalším z </w:t>
      </w:r>
      <w:r w:rsidR="003F3C0C">
        <w:t>úskalí</w:t>
      </w:r>
      <w:r w:rsidR="006B6038">
        <w:t xml:space="preserve"> </w:t>
      </w:r>
      <w:r w:rsidRPr="002F2B13">
        <w:t>je jak u bezdlužnosti, tak bezúhonnosti možnost volby</w:t>
      </w:r>
      <w:r w:rsidR="003F3C0C">
        <w:t xml:space="preserve"> dotčené osoby</w:t>
      </w:r>
      <w:r w:rsidRPr="002F2B13">
        <w:t>, z jakého státu si doklad vybere. Pokud tedy osoba bude občanem státu A, avšak</w:t>
      </w:r>
      <w:r w:rsidR="006B6038">
        <w:t> </w:t>
      </w:r>
      <w:r w:rsidRPr="002F2B13">
        <w:t>trvalý pobyt bude mít ve státě B a ve státě A bude mít evidované nedoplatky, které tvoří překážku její bezdlužnosti, vybere si doložení dokladu pouze ze státu, který ji bude vyhovovat, tedy v tomto případě ze státu trvalého pobytu. K obdobnému může docházet v případě bezúhonnosti. V případě bezdlužnosti § 91 odst. 2 písm. d) a</w:t>
      </w:r>
      <w:r>
        <w:t> </w:t>
      </w:r>
      <w:r w:rsidR="006B6038">
        <w:t xml:space="preserve">§ 91 </w:t>
      </w:r>
      <w:r w:rsidR="00A42B7C">
        <w:t>odst. 4 zákona o </w:t>
      </w:r>
      <w:r w:rsidRPr="002F2B13">
        <w:t xml:space="preserve">hazardních hrách spolu nekorespondují, co do uvedených kategorií. </w:t>
      </w:r>
      <w:r w:rsidR="006B6038">
        <w:t xml:space="preserve">Podle </w:t>
      </w:r>
      <w:r w:rsidR="006B6038" w:rsidRPr="002F2B13">
        <w:t xml:space="preserve">§ 91 odst. 2 písm. d) </w:t>
      </w:r>
      <w:r w:rsidR="006B6038">
        <w:t xml:space="preserve">zákona o hazardních hrách </w:t>
      </w:r>
      <w:r w:rsidRPr="002F2B13">
        <w:t xml:space="preserve"> </w:t>
      </w:r>
      <w:r w:rsidR="006B6038">
        <w:t xml:space="preserve">se </w:t>
      </w:r>
      <w:r w:rsidRPr="002F2B13">
        <w:t>uvádí sídlo osoby, místo podnikání nebo bydliště, nebo stát, ve kterém se osoba zdržovala a</w:t>
      </w:r>
      <w:r w:rsidR="00256B59">
        <w:t> </w:t>
      </w:r>
      <w:r w:rsidRPr="002F2B13">
        <w:t>působila déle než 3 měsíce v posledních 5 let</w:t>
      </w:r>
      <w:r w:rsidR="00256B59">
        <w:t>ech přede dnem podání žádosti o </w:t>
      </w:r>
      <w:r w:rsidRPr="002F2B13">
        <w:t xml:space="preserve">vydání základního povolení. Oproti tomu </w:t>
      </w:r>
      <w:r w:rsidR="006B6038">
        <w:t>§ 91 odst. 4 zákona o hazardních hrách</w:t>
      </w:r>
      <w:r w:rsidRPr="002F2B13">
        <w:t xml:space="preserve"> uvádí kategorie, občanství, trvalý pobyt, sídlo a zdržování se a</w:t>
      </w:r>
      <w:r>
        <w:t> </w:t>
      </w:r>
      <w:r w:rsidRPr="002F2B13">
        <w:t>působení déle</w:t>
      </w:r>
      <w:r w:rsidR="00256B59">
        <w:t xml:space="preserve"> než 3 </w:t>
      </w:r>
      <w:r w:rsidRPr="002F2B13">
        <w:t xml:space="preserve">měsíce v posledních 5 letech přede dnem podání žádosti o vydání základního povolení. </w:t>
      </w:r>
    </w:p>
    <w:p w14:paraId="0137F194" w14:textId="64B5EB3E" w:rsidR="006B3B31" w:rsidRDefault="006B3B31" w:rsidP="0067013C">
      <w:r w:rsidRPr="002F2B13">
        <w:t xml:space="preserve">U potvrzení bezdlužnosti podle § 92 odst. 4 zákona o hazardních hrách navíc zákon obsahuje legislativně technickou chybu v tom smyslu, že do definice cizího státního příslušníka zahrnuje i právnickou osobou. </w:t>
      </w:r>
      <w:r w:rsidR="00186C25">
        <w:t>Není vhodné používat tuto definici; namísto toho by měly být přímo v zákoně stanoveny osoby, které mají povinnost předložit potvrzení o bezdlužnosti</w:t>
      </w:r>
      <w:r w:rsidRPr="002F2B13">
        <w:t>.</w:t>
      </w:r>
    </w:p>
    <w:p w14:paraId="5A3B71C3" w14:textId="77777777" w:rsidR="006B3B31" w:rsidRDefault="006B3B31" w:rsidP="006B3B31">
      <w:pPr>
        <w:pStyle w:val="Nadpis7"/>
      </w:pPr>
      <w:r>
        <w:t>Varianta I. – Zachování současného stavu</w:t>
      </w:r>
    </w:p>
    <w:p w14:paraId="35882C1E" w14:textId="77777777" w:rsidR="006B3B31" w:rsidRDefault="006B3B31" w:rsidP="00A42B7C">
      <w:r>
        <w:t>Výhody:</w:t>
      </w:r>
    </w:p>
    <w:p w14:paraId="44115DE1" w14:textId="77777777" w:rsidR="006B3B31" w:rsidRDefault="006B3B31" w:rsidP="00A42B7C">
      <w:r w:rsidRPr="00F602E7">
        <w:t>Ponechání stávající úpravy nepovede k další administrativní zátěži navíc současně licencovaných subjektů.</w:t>
      </w:r>
    </w:p>
    <w:p w14:paraId="694B588D" w14:textId="77777777" w:rsidR="006B3B31" w:rsidRDefault="006B3B31" w:rsidP="00A42B7C">
      <w:r>
        <w:t>Nevýhody:</w:t>
      </w:r>
    </w:p>
    <w:p w14:paraId="0A9114EF" w14:textId="77777777" w:rsidR="006B3B31" w:rsidRDefault="006B3B31" w:rsidP="00A42B7C">
      <w:r>
        <w:t>Zvolený způsob řešení má významně omezenou vypovídající hodnotu co do skutečné bezdlužnosti/bezúhonnosti subjektu. Zároveň je úprava bezdlužnosti a bezúhonnosti nejednotná.</w:t>
      </w:r>
    </w:p>
    <w:p w14:paraId="7ADCC407" w14:textId="77777777" w:rsidR="006B3B31" w:rsidRDefault="006B3B31" w:rsidP="006B3B31">
      <w:pPr>
        <w:pStyle w:val="Nadpis7"/>
      </w:pPr>
      <w:r>
        <w:t xml:space="preserve">Varianta II. – </w:t>
      </w:r>
      <w:r w:rsidRPr="00786E5A">
        <w:t>Sjednocení povinnosti dokládat doklady o bezdlužnosti ze všech států</w:t>
      </w:r>
    </w:p>
    <w:p w14:paraId="02592B05" w14:textId="77777777" w:rsidR="006B3B31" w:rsidRDefault="006B3B31" w:rsidP="00A42B7C">
      <w:r w:rsidRPr="00786E5A">
        <w:t>Sjednocení povinnosti dokládat doklady o bezdlužnosti ze všech států, ve kterých má „zahraniční“ osoba občanství, bydliště, trvalý pobyt, sídlo nebo ve kterých se v posledních 5 letech déle než 3 měsíce zdržovala a působila.</w:t>
      </w:r>
    </w:p>
    <w:p w14:paraId="31D416A4" w14:textId="77777777" w:rsidR="006B3B31" w:rsidRDefault="006B3B31" w:rsidP="00A42B7C">
      <w:r>
        <w:lastRenderedPageBreak/>
        <w:t>Výhody:</w:t>
      </w:r>
    </w:p>
    <w:p w14:paraId="3075516C" w14:textId="77777777" w:rsidR="006B3B31" w:rsidRDefault="006B3B31" w:rsidP="00A42B7C">
      <w:r w:rsidRPr="00786E5A">
        <w:t>Varianta přináší sjednocení úpravy bezdlužnosti a bezúhonnosti a zvýšení vypovídající hodnoty co do skutečné bezdlužnosti/bezúhonnosti subjektu, včetně omezení možnosti volby dokladů pouze ze států, které jsou pro osobu přívětivé.</w:t>
      </w:r>
    </w:p>
    <w:p w14:paraId="1FC15D6D" w14:textId="77777777" w:rsidR="006B3B31" w:rsidRDefault="006B3B31" w:rsidP="00A42B7C">
      <w:r>
        <w:t>Nevýhody:</w:t>
      </w:r>
    </w:p>
    <w:p w14:paraId="5829D31F" w14:textId="77777777" w:rsidR="006B3B31" w:rsidRDefault="006B3B31" w:rsidP="00A42B7C">
      <w:r>
        <w:t>Tato varianta s sebou však nese administrativní zátěž licencovaných subjektů (bylo by odvislé od stanovení přechodného ustanovení, které by tuto zátěž mohlo rozložit/odložit do určitého časového úseku). Zároveň ani tímto řešením nelze zcela eliminovat omezenou vypovídající hodnotu, co do spolehlivosti poskytnutých tvrzení.</w:t>
      </w:r>
    </w:p>
    <w:p w14:paraId="579532C3" w14:textId="77777777" w:rsidR="006B3B31" w:rsidRDefault="006B3B31" w:rsidP="006B3B31">
      <w:pPr>
        <w:pStyle w:val="Nadpis7"/>
      </w:pPr>
      <w:r>
        <w:t>Hodnocení variant</w:t>
      </w:r>
    </w:p>
    <w:p w14:paraId="11C94F44" w14:textId="7925C1DB" w:rsidR="006B3B31" w:rsidRDefault="006B3B31" w:rsidP="006B3B31">
      <w:r>
        <w:t>S ohledem na výhody a nevýhody variant se doporučuje přistoupit k </w:t>
      </w:r>
      <w:r w:rsidR="00A42B7C">
        <w:t>v</w:t>
      </w:r>
      <w:r>
        <w:t>ariantě II.</w:t>
      </w:r>
    </w:p>
    <w:p w14:paraId="72F290CF" w14:textId="77777777" w:rsidR="006B3B31" w:rsidRDefault="006B3B31" w:rsidP="00AF112D">
      <w:pPr>
        <w:pStyle w:val="Nadpis6"/>
      </w:pPr>
      <w:bookmarkStart w:id="38" w:name="_Toc73529687"/>
      <w:bookmarkStart w:id="39" w:name="_Toc73608978"/>
      <w:r w:rsidRPr="00F45D0F">
        <w:t>Herní plán a jeho dokládání</w:t>
      </w:r>
      <w:bookmarkEnd w:id="38"/>
      <w:bookmarkEnd w:id="39"/>
    </w:p>
    <w:p w14:paraId="5EAA3C60" w14:textId="405DFE89" w:rsidR="006B3B31" w:rsidRDefault="006B3B31" w:rsidP="0067013C">
      <w:r>
        <w:t xml:space="preserve">Žadatel, resp. provozovatel, má povinnost k žádosti o základní povolení, případně k žádosti o změnu základního povolení, přiložit herní plán v souladu s ustanovením § 88 odst. 2 písm. e) zákona o hazardních hrách. Podle § 88 odst. 1 zákona o hazardních hrách nesmí být dokument starší 3 měsíců v době podání žádosti. Možnost provozovatele odkazovat </w:t>
      </w:r>
      <w:r w:rsidR="00826453">
        <w:t>se na</w:t>
      </w:r>
      <w:r>
        <w:t xml:space="preserve"> využití tohoto podkladu v rámci předchozího vedeného správního řízení je do značné míry ovlivněna právě podmínkou stáří dokumentu.</w:t>
      </w:r>
    </w:p>
    <w:p w14:paraId="43DB0D5C" w14:textId="77777777" w:rsidR="006B3B31" w:rsidRDefault="006B3B31" w:rsidP="0067013C">
      <w:r>
        <w:t>V rámci správní praxe je posuzování předloženého herního plánu jedním z nejnáročnějších procesů v rámci posuzování žádosti. Ačkoliv zákonná úprava počítá s jedním dokumentem herního plánu, je prakticky tento dokument tvořen zpravidla dvěma částmi, a to částí obecnou a částí zvláštní. Část obecná upravuje zejména obecná pravidla provozu konkrétního druhu hazardní hry, registrace a zřizování uživatelských kont (pokud jsou pro hazardní hru vyžadována), pravidla obecné účasti na hazardní hře, proces zrušení uživatelského konta, základní údaje o reklamaci atp. Zvláštní část se pak zaměřuje na konkrétní pravidla jednotlivých her, které jsou předmětem žádosti.</w:t>
      </w:r>
    </w:p>
    <w:p w14:paraId="459C5E22" w14:textId="77777777" w:rsidR="006B3B31" w:rsidRDefault="006B3B31" w:rsidP="0067013C">
      <w:r>
        <w:t>Vzhledem k tomu, že v rámci jednoho základního povolení se povolují všechny konkrétní hry daného druhu hazardní hry, musí i herní plán pravidla všech těchto jednotlivých her obsahovat. Zpravidla pak u loterií, technických her a živých her, čítá tento podklad stovky až tisíce stran, které je nezbytné neustále opětovně s každou další změnou kontrolovat, neboť herní plán musí být vždy znovu schválen jako jeden celistvý dokument a nelze se spolehnout, že ze strany žadatele nebyly v dokumentu provedeny žádné změny.</w:t>
      </w:r>
    </w:p>
    <w:p w14:paraId="1AD424C8" w14:textId="0BF8D4A0" w:rsidR="006B3B31" w:rsidRDefault="006B3B31" w:rsidP="0067013C">
      <w:r>
        <w:t xml:space="preserve">V praxi </w:t>
      </w:r>
      <w:r w:rsidR="00B374CB">
        <w:t xml:space="preserve">provozovatelé při změně základního povolení </w:t>
      </w:r>
      <w:r w:rsidR="00F63AFC">
        <w:t>pro účely</w:t>
      </w:r>
      <w:r>
        <w:t xml:space="preserve"> zjednodušení vždy dokládají aktuální obecnou část herního plánu (tak, aby byla splněna podmínka stáří dokumentu), a ve zvláštních částech mohou dokládat pouze ty dílč</w:t>
      </w:r>
      <w:r w:rsidR="00256B59">
        <w:t>í části, které </w:t>
      </w:r>
      <w:r w:rsidR="00B374CB">
        <w:t>doznaly změn. Ve </w:t>
      </w:r>
      <w:r>
        <w:t xml:space="preserve">zbytku se provozovatel odkazuje na již doložené části herního plánu v předchozích správních řízeních. Na straně správního orgánu je pak tedy finální dokument kompletován, jak z částí nově doložených, tak z částí předchozích. Podmínka kladená na stáří dokumentu je vždy zajišťována právě doložením obecné části herního plánu aktuálního data. Ačkoliv tuto správní praxi přinesla snaha o zjednodušení procesu, explicitní zákonná opora není v zákoně obsažena, neboť </w:t>
      </w:r>
      <w:r>
        <w:lastRenderedPageBreak/>
        <w:t>podle doslovné textace by provozovatel vždy měl doložit aktuální celý herní plán jako jeden celistvý dokument, bez ohledu na jeho části, reflektující požadované stáří přílohy, tj.</w:t>
      </w:r>
      <w:r w:rsidR="00021A93">
        <w:t> </w:t>
      </w:r>
      <w:r>
        <w:t xml:space="preserve"> nesmí být starší než 3 měsíce od podané žádosti.</w:t>
      </w:r>
    </w:p>
    <w:p w14:paraId="5793CBBF" w14:textId="533B6475" w:rsidR="006B3B31" w:rsidRDefault="006B3B31" w:rsidP="0067013C">
      <w:r>
        <w:t xml:space="preserve">Ačkoliv je </w:t>
      </w:r>
      <w:r w:rsidR="00B374CB">
        <w:t xml:space="preserve">zejména z hlediska dozorových aktivit </w:t>
      </w:r>
      <w:r>
        <w:t>vhodná koncepce jednoho aktuálního základního povolení a jednoho schváleného aktuálního herního plánu, bylo by vhodné podrobněji analyzovat budoucí možné změny v legislativní úpravě nebo nastavené správní praxi, tak aby bylo dokládání a posuzování tohoto dokumentu co nejméně administrativně zatěžující jak pro žadatele, tak pro správní orgán.</w:t>
      </w:r>
    </w:p>
    <w:p w14:paraId="5BFC35FA" w14:textId="77777777" w:rsidR="006B3B31" w:rsidRDefault="006B3B31" w:rsidP="006B3B31">
      <w:pPr>
        <w:pStyle w:val="Nadpis7"/>
      </w:pPr>
      <w:r>
        <w:t>Varianta I. – Zachování současného stavu</w:t>
      </w:r>
    </w:p>
    <w:p w14:paraId="75AF9E9E" w14:textId="77777777" w:rsidR="006B3B31" w:rsidRDefault="006B3B31" w:rsidP="00A42B7C">
      <w:r>
        <w:t>Výhody:</w:t>
      </w:r>
    </w:p>
    <w:p w14:paraId="6D651BB1" w14:textId="77777777" w:rsidR="006B3B31" w:rsidRDefault="006B3B31" w:rsidP="00A42B7C">
      <w:r>
        <w:t>Výhodou je absence nutnosti změny zavedené praxe.</w:t>
      </w:r>
    </w:p>
    <w:p w14:paraId="5AE43EB9" w14:textId="77777777" w:rsidR="006B3B31" w:rsidRDefault="006B3B31" w:rsidP="00A42B7C">
      <w:r>
        <w:t>Nevýhody:</w:t>
      </w:r>
    </w:p>
    <w:p w14:paraId="01472EEE" w14:textId="77777777" w:rsidR="006B3B31" w:rsidRDefault="006B3B31" w:rsidP="00A42B7C">
      <w:r>
        <w:t>Nevýhodou současného řešení je výrazná administrativní zátěž v podobě dokládání celého aktuálního herního plánu i v těch případech, kdy dochází ke změně pouze jednoho odstavce v několika set stránkovém dokumentu. Zároveň podmínka kladená na stáří dokumentu postrádá svou odůvodněnost.</w:t>
      </w:r>
    </w:p>
    <w:p w14:paraId="22E00D45" w14:textId="77777777" w:rsidR="006B3B31" w:rsidRDefault="006B3B31" w:rsidP="006B3B31">
      <w:pPr>
        <w:pStyle w:val="Nadpis7"/>
      </w:pPr>
      <w:r>
        <w:t>Varianta II. – Zrušení podmínky stáří herního plánu či zavedení možnosti předložit herní plán ve více částech</w:t>
      </w:r>
    </w:p>
    <w:p w14:paraId="0869DB60" w14:textId="77777777" w:rsidR="006B3B31" w:rsidRDefault="006B3B31" w:rsidP="00A42B7C">
      <w:r>
        <w:t>Změna právní úpravy v podobě vypuštění podmínky kladené na stáří dokumentu herního plánu, případně zavedení explicitní možnosti předložit dokument herního plánu v několika částech, případně oprávnění využívat nezměněné části z předchozích správních řízení.</w:t>
      </w:r>
    </w:p>
    <w:p w14:paraId="60119F8B" w14:textId="77777777" w:rsidR="006B3B31" w:rsidRDefault="006B3B31" w:rsidP="00A42B7C">
      <w:r>
        <w:t>Výhody:</w:t>
      </w:r>
    </w:p>
    <w:p w14:paraId="1F227964" w14:textId="77777777" w:rsidR="006B3B31" w:rsidRDefault="006B3B31" w:rsidP="00A42B7C">
      <w:r>
        <w:t>Tato varianta by zakotvila v právní úpravě praxi, která byla s ohledem na faktickou možnost výkonu již částečně přijata. Odstranění podmínky stáří dokumentu by umožnilo zjednodušit proces tak, že předmětem dokládání by mohly být pouze změněné části dokumentu, což by zajistilo nižší administrativní zátěž při posuzování změn v herním plánu a jeho samotného dokládání.</w:t>
      </w:r>
    </w:p>
    <w:p w14:paraId="0897C40D" w14:textId="77777777" w:rsidR="006B3B31" w:rsidRDefault="006B3B31" w:rsidP="00A42B7C">
      <w:r>
        <w:t>Nevýhody:</w:t>
      </w:r>
    </w:p>
    <w:p w14:paraId="4148EE94" w14:textId="6949DBEA" w:rsidR="006B3B31" w:rsidRDefault="006B3B31" w:rsidP="00A42B7C">
      <w:r>
        <w:t xml:space="preserve">Nevýhodou řešení je </w:t>
      </w:r>
      <w:r w:rsidR="00B374CB">
        <w:t>přenesení odpovědnosti za</w:t>
      </w:r>
      <w:r>
        <w:t xml:space="preserve"> vytv</w:t>
      </w:r>
      <w:r w:rsidR="00B374CB">
        <w:t>ořený</w:t>
      </w:r>
      <w:r>
        <w:t xml:space="preserve"> herní plán provozovatele</w:t>
      </w:r>
      <w:r w:rsidR="00AC21B5">
        <w:t xml:space="preserve"> na</w:t>
      </w:r>
      <w:r>
        <w:t xml:space="preserve"> Ministerstvo financí. Při kompletaci herního plánu mohou vznikat administrativní pochybení, která by při dokládání celistvého dokumentu provozovatelem byla částečně eliminována. Tento proces s sebou nese vyšší administrativní náročnost posuzování (zejména ve vztahu ke kompletaci aktuálního herního plánu) na straně Ministerstva financí.</w:t>
      </w:r>
    </w:p>
    <w:p w14:paraId="25F58506" w14:textId="77777777" w:rsidR="006B3B31" w:rsidRDefault="006B3B31" w:rsidP="006B3B31">
      <w:pPr>
        <w:pStyle w:val="Nadpis7"/>
      </w:pPr>
      <w:r>
        <w:t>Varianta III. – Zavedení povinnosti předkládat herní plán ve strojově čitelné podobě</w:t>
      </w:r>
    </w:p>
    <w:p w14:paraId="56FD082D" w14:textId="77777777" w:rsidR="006B3B31" w:rsidRDefault="006B3B31" w:rsidP="00A42B7C">
      <w:r w:rsidRPr="005A51C9">
        <w:t>Zavést povinnost provozovatele dokládat předložený herní plán ve strojově čitelné podobě tak, aby ze strany správního orgánu mohlo dojít ke snadnému porovnání oproti předchozí předložené verzi.</w:t>
      </w:r>
    </w:p>
    <w:p w14:paraId="442F8DC0" w14:textId="77777777" w:rsidR="006B3B31" w:rsidRDefault="006B3B31" w:rsidP="00A42B7C">
      <w:r>
        <w:t>Výhody:</w:t>
      </w:r>
    </w:p>
    <w:p w14:paraId="6F5DCBB3" w14:textId="71AFDD3E" w:rsidR="006B3B31" w:rsidRDefault="006B3B31" w:rsidP="00A42B7C">
      <w:r>
        <w:lastRenderedPageBreak/>
        <w:t>Výhodou varianty je nižší administrativní zátěž při posuzování změn v herním plánu. Původcem dokumentu stále zůstává žadatel</w:t>
      </w:r>
      <w:r w:rsidR="00AC21B5">
        <w:t>,</w:t>
      </w:r>
      <w:r>
        <w:t xml:space="preserve"> tak jak zákonná úprava předvídá. Varianta rovněž eliminuje pochybení při kompletaci finálního herního plánu správním orgánem. Řešení nabízí snadnější možnost automatizovaného vyhledávání v textu herního plánu.</w:t>
      </w:r>
    </w:p>
    <w:p w14:paraId="7C5C80C5" w14:textId="77777777" w:rsidR="006B3B31" w:rsidRDefault="006B3B31" w:rsidP="00A42B7C">
      <w:r>
        <w:t>Nevýhody:</w:t>
      </w:r>
    </w:p>
    <w:p w14:paraId="03C4F164" w14:textId="02C78113" w:rsidR="006B3B31" w:rsidRDefault="006B3B31" w:rsidP="00A42B7C">
      <w:r>
        <w:t>Potenciální nevýhodou řešení mohou být teoretické vyšší náklady na straně provozovatele v podobě pořízení a doložení dokumentu ve strojově čitelném formátu. V případech, kdy dojde ke kompletní proměně herního plánu</w:t>
      </w:r>
      <w:r w:rsidR="00AC21B5">
        <w:t>,</w:t>
      </w:r>
      <w:r>
        <w:t xml:space="preserve"> je stále omezená možnost prostého porovnání. Výhody řešení jsou také limitovány omezenou velikostí datové zprávy, kterou lze zaslat prostřednictvím datové schránky, a tedy nutností doložení dokumentu na datovém nosiči anebo v několika datových zprávách.</w:t>
      </w:r>
    </w:p>
    <w:p w14:paraId="356D4B7E" w14:textId="77777777" w:rsidR="006B3B31" w:rsidRDefault="006B3B31" w:rsidP="006B3B31">
      <w:pPr>
        <w:pStyle w:val="Nadpis7"/>
      </w:pPr>
      <w:r>
        <w:t>Hodnocení variant</w:t>
      </w:r>
    </w:p>
    <w:p w14:paraId="3CF5E329" w14:textId="5A7EF1FC" w:rsidR="006B3B31" w:rsidRPr="00DA1CC0" w:rsidRDefault="006B3B31" w:rsidP="00A42B7C">
      <w:r w:rsidRPr="00A42B7C">
        <w:t>Doporučuje se přistoupit k </w:t>
      </w:r>
      <w:r w:rsidR="00A42B7C">
        <w:t>v</w:t>
      </w:r>
      <w:r w:rsidRPr="00A42B7C">
        <w:t>ariantě II. nebo III. v návaznosti</w:t>
      </w:r>
      <w:r w:rsidRPr="003478A0">
        <w:t xml:space="preserve"> na bližší analýzu efektivity a technické možnosti konkrétního řešení.</w:t>
      </w:r>
    </w:p>
    <w:p w14:paraId="40187330" w14:textId="77777777" w:rsidR="006B3B31" w:rsidRDefault="006B3B31" w:rsidP="00AF112D">
      <w:pPr>
        <w:pStyle w:val="Nadpis6"/>
      </w:pPr>
      <w:bookmarkStart w:id="40" w:name="_Toc73529688"/>
      <w:bookmarkStart w:id="41" w:name="_Toc73608979"/>
      <w:r>
        <w:t>Dokládání herního plánu ve správním řízení z moci úřední</w:t>
      </w:r>
      <w:bookmarkEnd w:id="40"/>
      <w:bookmarkEnd w:id="41"/>
    </w:p>
    <w:p w14:paraId="0507C35F" w14:textId="4288C62B" w:rsidR="006B3B31" w:rsidRDefault="006B3B31" w:rsidP="00A42B7C">
      <w:r>
        <w:t>V souladu s § 94 odst. 1 písm. b) zákona o hazardních hrách nahradí Ministerstvo financí dosavadní základní povolení novým, pokud dojde ke změně dalších údajů, které jsou uvedeny v základním povolení. V praxi k této změně dochází zpravidla v situacích, kdy dojde ke změně sídla provozovatele, nebo jeho názvu. Dále by také tato možnost byla využívána v situaci přechodu základního pov</w:t>
      </w:r>
      <w:r w:rsidR="00AC21B5">
        <w:t>olení, kdy by po </w:t>
      </w:r>
      <w:r>
        <w:t xml:space="preserve">účinnosti přeměny následně z moci úřední došlo k aktualizaci vydaného základního povolení. Vzhledem k tomu, že změna základního povolení </w:t>
      </w:r>
      <w:r w:rsidR="00AC21B5">
        <w:t xml:space="preserve">s </w:t>
      </w:r>
      <w:r>
        <w:t>sebou nese i změnu ve schvalovaném herním plánu, je v tomto ohledu nezbytná součinnost provozovatele hazardních her právě v podobě doložení aktualizovaného dokumentu herního plánu.</w:t>
      </w:r>
    </w:p>
    <w:p w14:paraId="15DEB934" w14:textId="583C9D07" w:rsidR="006B3B31" w:rsidRDefault="006B3B31" w:rsidP="00A42B7C">
      <w:r>
        <w:t xml:space="preserve">Prozatím ve všech shora uvedených případech poskytoval provozovatel adekvátní součinnost, případně bylo využito podkladu doloženého v rámci povinnosti oznamování změn skutečnosti podle § 93 zákona o hazardních hrách. Problematickou může být situace, </w:t>
      </w:r>
      <w:r w:rsidR="00AC21B5">
        <w:t>kdy</w:t>
      </w:r>
      <w:r>
        <w:t xml:space="preserve"> provozovatel případnou součinnost neposkytne. Krajním řešením vzniklé situace je </w:t>
      </w:r>
      <w:r w:rsidR="00AC21B5">
        <w:t xml:space="preserve"> - </w:t>
      </w:r>
      <w:r>
        <w:t>v případě neposkytnutí součinnosti v </w:t>
      </w:r>
      <w:r w:rsidR="00AC21B5">
        <w:t xml:space="preserve">rámci vedeného správního řízení - </w:t>
      </w:r>
      <w:r>
        <w:t xml:space="preserve"> zahájení procesu zrušení základní</w:t>
      </w:r>
      <w:r w:rsidR="00A42B7C">
        <w:t>ho povolení podle §</w:t>
      </w:r>
      <w:r w:rsidR="00021A93">
        <w:t> </w:t>
      </w:r>
      <w:r w:rsidR="00A42B7C">
        <w:t>95 zákona o </w:t>
      </w:r>
      <w:r>
        <w:t>hazardních hrách</w:t>
      </w:r>
      <w:r w:rsidR="00AC21B5">
        <w:t>,</w:t>
      </w:r>
      <w:r>
        <w:t xml:space="preserve"> </w:t>
      </w:r>
      <w:r w:rsidR="00AC21B5">
        <w:t>neboť</w:t>
      </w:r>
      <w:r>
        <w:t xml:space="preserve"> provozovatel přesta</w:t>
      </w:r>
      <w:r w:rsidR="00AC21B5">
        <w:t>l</w:t>
      </w:r>
      <w:r>
        <w:t xml:space="preserve"> splňovat podmínky stanovené zákonem o hazardních hrách pro vydání základního povolení</w:t>
      </w:r>
      <w:r w:rsidR="00F63AFC">
        <w:t>;</w:t>
      </w:r>
      <w:r>
        <w:t xml:space="preserve"> v tomto konkrétním případě </w:t>
      </w:r>
      <w:r w:rsidR="00F63AFC">
        <w:t xml:space="preserve">totiž </w:t>
      </w:r>
      <w:r>
        <w:t>nedisponuje herním plánem, který by reflektoval aktuální údaje. Vedení předmětného správního řízení však může být na hraně přiměřenosti uvedeného postupu</w:t>
      </w:r>
      <w:r w:rsidR="00F63AFC">
        <w:t>. A</w:t>
      </w:r>
      <w:r>
        <w:t>čkoliv je informovanost účastníka hazardních her prostřednictvím herního plánu významná, údaje o názvu provozovate</w:t>
      </w:r>
      <w:r w:rsidR="00A42B7C">
        <w:t>le, případně o </w:t>
      </w:r>
      <w:r>
        <w:t xml:space="preserve">jeho sídle, je možné dohledat kromě herního plánu také ve veřejně dostupných rejstřících (vyjma zahraničních provozovatelů). Teoreticky potřeba vydat změnové povolení může přijít v úvahu i v dalších případech, </w:t>
      </w:r>
      <w:r w:rsidR="004F377E" w:rsidRPr="004F377E">
        <w:t>u</w:t>
      </w:r>
      <w:r w:rsidR="004F377E">
        <w:t> </w:t>
      </w:r>
      <w:r w:rsidR="004F377E" w:rsidRPr="004F377E">
        <w:t>nichž</w:t>
      </w:r>
      <w:r w:rsidR="004F377E">
        <w:t> </w:t>
      </w:r>
      <w:r>
        <w:t>aktualizace herního plánu bude většího významu.</w:t>
      </w:r>
    </w:p>
    <w:p w14:paraId="1C73C161" w14:textId="77777777" w:rsidR="006B3B31" w:rsidRDefault="006B3B31" w:rsidP="006B3B31">
      <w:pPr>
        <w:pStyle w:val="Nadpis7"/>
      </w:pPr>
      <w:r>
        <w:t>Varianta I. – Zachování současného stavu</w:t>
      </w:r>
    </w:p>
    <w:p w14:paraId="1FCE76A3" w14:textId="77777777" w:rsidR="006B3B31" w:rsidRDefault="006B3B31" w:rsidP="00A42B7C">
      <w:r>
        <w:t>Výhody:</w:t>
      </w:r>
    </w:p>
    <w:p w14:paraId="4EAA213B" w14:textId="77777777" w:rsidR="006B3B31" w:rsidRDefault="006B3B31" w:rsidP="00A42B7C">
      <w:r>
        <w:lastRenderedPageBreak/>
        <w:t>Správní praxe zatím nepřinesla výraznější problémy, tudíž se jedná o problém částečně v teoretické rovině.</w:t>
      </w:r>
    </w:p>
    <w:p w14:paraId="6FC9C25A" w14:textId="77777777" w:rsidR="006B3B31" w:rsidRDefault="006B3B31" w:rsidP="00A42B7C">
      <w:r w:rsidRPr="00073A0D">
        <w:t>Nevýhody:</w:t>
      </w:r>
    </w:p>
    <w:p w14:paraId="2A31E272" w14:textId="77777777" w:rsidR="006B3B31" w:rsidRDefault="006B3B31" w:rsidP="00A42B7C">
      <w:r>
        <w:t>V případě neposkytnutí součinnosti provozovatele musí Ministerstvo financí opětovně zahajovat správní řízení o zrušení základního povolení, případně vyzvat provozovatele ke splnění povinnosti postupem podle § 95 odst. 1 zákona o hazardních hrách, což lze shledat neefektivním.</w:t>
      </w:r>
    </w:p>
    <w:p w14:paraId="56C8EAAE" w14:textId="77777777" w:rsidR="006B3B31" w:rsidRPr="007D752A" w:rsidRDefault="006B3B31" w:rsidP="006B3B31">
      <w:pPr>
        <w:pStyle w:val="Nadpis7"/>
      </w:pPr>
      <w:r>
        <w:t>Varianta II. – Přidání možnosti změnit při neposkytnutí součinnosti v průběhu vedeného správního řízení jeho předmět ze změny na zrušení základního povolení</w:t>
      </w:r>
    </w:p>
    <w:p w14:paraId="74E0090C" w14:textId="5AC23100" w:rsidR="006B3B31" w:rsidRDefault="006B3B31" w:rsidP="00A42B7C">
      <w:r>
        <w:t>Zakotvit v zákoně o hazardních hrách výslovnou možnost v případě neposkytnutí potřebné součinnost změnit v průběhu vedeného správního řízení jeho před</w:t>
      </w:r>
      <w:r w:rsidR="004F377E">
        <w:t>mět ze </w:t>
      </w:r>
      <w:r>
        <w:t xml:space="preserve">změny na zrušení základního povolení, bez nutnosti </w:t>
      </w:r>
      <w:r w:rsidR="00A42B7C">
        <w:t>zahajovat nové správní řízení o </w:t>
      </w:r>
      <w:r>
        <w:t>zrušení základního povolení. Případně výslovně umožnit vymezit předmět správního řízení eventuálně, v návaznosti na poskytovanou součinnost.</w:t>
      </w:r>
    </w:p>
    <w:p w14:paraId="51C80A85" w14:textId="77777777" w:rsidR="006B3B31" w:rsidRDefault="006B3B31" w:rsidP="00272E43">
      <w:pPr>
        <w:keepNext/>
      </w:pPr>
      <w:r>
        <w:t>Výhody:</w:t>
      </w:r>
    </w:p>
    <w:p w14:paraId="02485F38" w14:textId="77777777" w:rsidR="006B3B31" w:rsidRDefault="006B3B31" w:rsidP="00A42B7C">
      <w:r>
        <w:t>Výhodou varianty je úspora nákladů státu v podobě eliminace nutnosti zahajovat nové správní řízení. Jednalo by se o efektivnější a rychlejší postup odnětí licence, pokud není provozovatel součinný. Řešení rovněž motivuje provozovatele udržovat své údaje aktuální a včas informovat a poskytovat podklady o změnách skutečností postupem podle § 93 zákona o hazardních hrách.</w:t>
      </w:r>
    </w:p>
    <w:p w14:paraId="2D79A516" w14:textId="77777777" w:rsidR="006B3B31" w:rsidRDefault="006B3B31" w:rsidP="00A42B7C">
      <w:r w:rsidRPr="00073A0D">
        <w:t>Nevýhody:</w:t>
      </w:r>
    </w:p>
    <w:p w14:paraId="2EBF0A3F" w14:textId="5FD278A5" w:rsidR="006B3B31" w:rsidRDefault="006B3B31" w:rsidP="00A42B7C">
      <w:r>
        <w:t>Za nevýhodu může být považováno to, že by se jednalo o specifikum oproti obecné úpravě správního řádu. Tato varianta by rovněž fakti</w:t>
      </w:r>
      <w:r w:rsidR="004F377E">
        <w:t>cky znamenala zkrácení lhůt pro </w:t>
      </w:r>
      <w:r>
        <w:t>případnou obranu provozovatele (nebude totiž nutné z</w:t>
      </w:r>
      <w:r w:rsidR="00A42B7C">
        <w:t>novu správní řízení zahajovat a </w:t>
      </w:r>
      <w:r>
        <w:t>procesně ukončovat správní řízení dříve zahájené).</w:t>
      </w:r>
    </w:p>
    <w:p w14:paraId="71F8E7C7" w14:textId="77777777" w:rsidR="006B3B31" w:rsidRDefault="006B3B31" w:rsidP="006B3B31">
      <w:pPr>
        <w:pStyle w:val="Nadpis7"/>
      </w:pPr>
      <w:r>
        <w:t>Hodnocení variant</w:t>
      </w:r>
    </w:p>
    <w:p w14:paraId="74E0B5C6" w14:textId="6A0C916C" w:rsidR="006B3B31" w:rsidRDefault="006B3B31" w:rsidP="00A42B7C">
      <w:r>
        <w:t xml:space="preserve">Vzhledem k výhodám a nevýhodám uvedeným shora se preferuje </w:t>
      </w:r>
      <w:r w:rsidR="00A42B7C">
        <w:t>v</w:t>
      </w:r>
      <w:r>
        <w:t>arianta II.</w:t>
      </w:r>
    </w:p>
    <w:p w14:paraId="6BAA7020" w14:textId="77777777" w:rsidR="006B3B31" w:rsidRDefault="006B3B31" w:rsidP="00AF112D">
      <w:pPr>
        <w:pStyle w:val="Nadpis6"/>
      </w:pPr>
      <w:bookmarkStart w:id="42" w:name="_Toc73529689"/>
      <w:bookmarkStart w:id="43" w:name="_Toc73608980"/>
      <w:r>
        <w:t>Doba, na kterou je základní povolení vydáváno</w:t>
      </w:r>
      <w:bookmarkEnd w:id="42"/>
      <w:bookmarkEnd w:id="43"/>
    </w:p>
    <w:p w14:paraId="049C7DEE" w14:textId="6498868C" w:rsidR="006B3B31" w:rsidRDefault="00F63AFC" w:rsidP="00A42B7C">
      <w:r>
        <w:t xml:space="preserve">V souladu s </w:t>
      </w:r>
      <w:r w:rsidR="006B3B31">
        <w:t xml:space="preserve">§ 87 odst. 3 zákona o hazardních hrách </w:t>
      </w:r>
      <w:r>
        <w:t>se</w:t>
      </w:r>
      <w:r w:rsidR="006B3B31">
        <w:t xml:space="preserve"> základní povolení vydává nejdéle na dobu 6 let. Zároveň pověřená osoba může v souladu s § 112a</w:t>
      </w:r>
      <w:r w:rsidR="00021A93">
        <w:t> </w:t>
      </w:r>
      <w:r w:rsidR="006B3B31">
        <w:t>odst.</w:t>
      </w:r>
      <w:r w:rsidR="00021A93">
        <w:t> </w:t>
      </w:r>
      <w:r w:rsidR="006B3B31">
        <w:t>2 zákona o hazardních hrách vydat výstupní dokumenty odborného posouzení a osvědčení s platností nejdéle na dobu 5 let. Uvedené tak v konečném důsledku</w:t>
      </w:r>
      <w:r w:rsidR="004F377E">
        <w:t xml:space="preserve"> způsobuje</w:t>
      </w:r>
      <w:r w:rsidR="006B3B31">
        <w:t xml:space="preserve">, že nikdy nelze vydat dokument odborného posouzení a osvědčení o provozuschopnosti tak, aby pokrýval celou dobu, na kterou je základní povolení vydáno. Zároveň </w:t>
      </w:r>
      <w:r w:rsidR="004F377E">
        <w:t xml:space="preserve">byl </w:t>
      </w:r>
      <w:r w:rsidR="006B3B31">
        <w:t>ze strany pro</w:t>
      </w:r>
      <w:r w:rsidR="004F377E">
        <w:t>vozovatelů vznesen požadavek na </w:t>
      </w:r>
      <w:r w:rsidR="006B3B31">
        <w:t xml:space="preserve">prodloužení maximální možné doby </w:t>
      </w:r>
      <w:r w:rsidR="004F377E">
        <w:t xml:space="preserve">platnosti </w:t>
      </w:r>
      <w:r w:rsidR="006B3B31">
        <w:t>základního p</w:t>
      </w:r>
      <w:r w:rsidR="00256B59">
        <w:t>ovolení z důvodu nákladů, které </w:t>
      </w:r>
      <w:r w:rsidR="006B3B31">
        <w:t>s sebou získání nového základního povolení nese. Uvedená problematika je úzce spojena s tématem odbor</w:t>
      </w:r>
      <w:r w:rsidR="004F377E">
        <w:t>ného posuzování a osvědčování a </w:t>
      </w:r>
      <w:r w:rsidR="006B3B31">
        <w:t>vydáváním výstupních dokumentů pověřenými osobami. Níže uvedené varianty se primárně zaměřují na posouzení otázky z hlediska maximální možné doby, na kterou je základní povolení vydáno. Ideálním řešením je pak zajištění shodné maximální možné platnosti výstupních dokumentů odborného posuzování a osvědčování.</w:t>
      </w:r>
    </w:p>
    <w:p w14:paraId="0297C225" w14:textId="77777777" w:rsidR="006B3B31" w:rsidRDefault="006B3B31" w:rsidP="006B3B31">
      <w:pPr>
        <w:pStyle w:val="Nadpis7"/>
      </w:pPr>
      <w:r>
        <w:lastRenderedPageBreak/>
        <w:t>Varianta I. – Zachování současného stavu</w:t>
      </w:r>
    </w:p>
    <w:p w14:paraId="12FFBF24" w14:textId="77777777" w:rsidR="006B3B31" w:rsidRDefault="006B3B31" w:rsidP="00A42B7C">
      <w:r>
        <w:t>Výhody:</w:t>
      </w:r>
    </w:p>
    <w:p w14:paraId="7854764F" w14:textId="5C876C27" w:rsidR="006B3B31" w:rsidRDefault="004F377E" w:rsidP="00A42B7C">
      <w:r>
        <w:t>S</w:t>
      </w:r>
      <w:r w:rsidR="006B3B31">
        <w:t xml:space="preserve">oučasné období 6 let nepředstavuje výrazně krátké období a zároveň není neúměrně dlouhým. </w:t>
      </w:r>
      <w:r w:rsidR="006B3B31" w:rsidRPr="009352E4">
        <w:t>Uvedené období dává garanc</w:t>
      </w:r>
      <w:r w:rsidR="00256B59">
        <w:t>i toho, že po jeho uplynutí při </w:t>
      </w:r>
      <w:r w:rsidR="006B3B31" w:rsidRPr="009352E4">
        <w:t>udělování základního povolení bude licencovaný subjekt znovu komplexně posouzen a při nesplnění podmínek n</w:t>
      </w:r>
      <w:r w:rsidR="00A42B7C">
        <w:t>ebude povolení znovu uděleno. V </w:t>
      </w:r>
      <w:r w:rsidR="006B3B31" w:rsidRPr="009352E4">
        <w:t>případě delší doby licence je odhalení nesplnění podmínek vázáno na</w:t>
      </w:r>
      <w:r>
        <w:t> </w:t>
      </w:r>
      <w:r w:rsidR="006B3B31" w:rsidRPr="009352E4">
        <w:t>zjištění této skutečnosti př</w:t>
      </w:r>
      <w:r w:rsidR="00256B59">
        <w:t>i </w:t>
      </w:r>
      <w:r w:rsidR="006B3B31">
        <w:t xml:space="preserve">provádění dozorových aktivit. </w:t>
      </w:r>
      <w:r w:rsidR="006B3B31" w:rsidRPr="009352E4">
        <w:t xml:space="preserve">Kromě případného sankčního postihu pak důsledkem může být vedení správního řízení o odebrání licence v průběhu platnosti povolení, což může být značně zdlouhavé. </w:t>
      </w:r>
      <w:r w:rsidR="006B3B31">
        <w:t xml:space="preserve">Uvedené období rovněž koresponduje </w:t>
      </w:r>
      <w:r w:rsidR="00256B59">
        <w:t>s </w:t>
      </w:r>
      <w:r w:rsidR="006B3B31">
        <w:t>maximálním možn</w:t>
      </w:r>
      <w:r>
        <w:t>ým</w:t>
      </w:r>
      <w:r w:rsidR="006B3B31">
        <w:t xml:space="preserve"> období</w:t>
      </w:r>
      <w:r>
        <w:t>m</w:t>
      </w:r>
      <w:r w:rsidR="006B3B31">
        <w:t xml:space="preserve"> pro vydání povolení k umístění herního prostoru (maximální doba je zde 3 roky)</w:t>
      </w:r>
      <w:r>
        <w:t>.</w:t>
      </w:r>
      <w:r w:rsidR="006B3B31">
        <w:t xml:space="preserve"> </w:t>
      </w:r>
      <w:r>
        <w:t>P</w:t>
      </w:r>
      <w:r w:rsidR="006B3B31">
        <w:t>ři zajištění shodné účinnosti obou povolení je možné po dobu vydaného základního povolení povoli</w:t>
      </w:r>
      <w:r w:rsidR="00256B59">
        <w:t>t umístění herního prostoru při </w:t>
      </w:r>
      <w:r w:rsidR="006B3B31">
        <w:t>využití maximální délky dvakrát za</w:t>
      </w:r>
      <w:r w:rsidR="00EC1A08">
        <w:t> </w:t>
      </w:r>
      <w:r w:rsidR="006B3B31">
        <w:t>sebou.</w:t>
      </w:r>
    </w:p>
    <w:p w14:paraId="5B4BA850" w14:textId="77777777" w:rsidR="006B3B31" w:rsidRDefault="006B3B31" w:rsidP="00272E43">
      <w:pPr>
        <w:keepNext/>
      </w:pPr>
      <w:r>
        <w:t>Nevýhody:</w:t>
      </w:r>
    </w:p>
    <w:p w14:paraId="0084E965" w14:textId="737F91B5" w:rsidR="006B3B31" w:rsidRDefault="006B3B31" w:rsidP="00A42B7C">
      <w:r>
        <w:t>Tvrzenou nevýhodou ze strany provozovatelů hazardních her je krátkost období v poměru k investicím, které je nutné na získání zá</w:t>
      </w:r>
      <w:r w:rsidR="00EC1A08">
        <w:t>kladního povolení vynaložit. Za </w:t>
      </w:r>
      <w:r>
        <w:t>nevýhodu jsou považovány časté administrativní náklady jak na straně žadatelů, tak na straně státní správy (v podobě vyřizování žádosti), které by byly prodloužením zmiňovaného období sníženy.</w:t>
      </w:r>
    </w:p>
    <w:p w14:paraId="05FA837D" w14:textId="77777777" w:rsidR="006B3B31" w:rsidRDefault="006B3B31" w:rsidP="006B3B31">
      <w:pPr>
        <w:pStyle w:val="Nadpis7"/>
      </w:pPr>
      <w:r>
        <w:t>Varianta II. – Prodloužení doby, na kterou se základní povolení vydává</w:t>
      </w:r>
    </w:p>
    <w:p w14:paraId="769303F0" w14:textId="77777777" w:rsidR="006B3B31" w:rsidRDefault="006B3B31" w:rsidP="00A42B7C">
      <w:r>
        <w:t xml:space="preserve">Prodloužit maximální možnou dobu, na kterou se základní povolení vydává (připomínky provozovatelů hazardních her směřovaly k době 10 let). </w:t>
      </w:r>
    </w:p>
    <w:p w14:paraId="010AF600" w14:textId="77777777" w:rsidR="006B3B31" w:rsidRDefault="006B3B31" w:rsidP="00A42B7C">
      <w:r>
        <w:t>Výhody:</w:t>
      </w:r>
    </w:p>
    <w:p w14:paraId="1C8C1021" w14:textId="43DD85DE" w:rsidR="006B3B31" w:rsidRDefault="006B3B31" w:rsidP="00A42B7C">
      <w:r>
        <w:t>Nižší náklady spojené se získáváním licence p</w:t>
      </w:r>
      <w:r w:rsidR="00256B59">
        <w:t>o kratším časovém období jak na </w:t>
      </w:r>
      <w:r>
        <w:t>straně provozovatele, tak na straně správního orgánu.</w:t>
      </w:r>
    </w:p>
    <w:p w14:paraId="44538952" w14:textId="77777777" w:rsidR="006B3B31" w:rsidRDefault="006B3B31" w:rsidP="00A42B7C">
      <w:r>
        <w:t>Nevýhody:</w:t>
      </w:r>
    </w:p>
    <w:p w14:paraId="53C7F122" w14:textId="5938784F" w:rsidR="006B3B31" w:rsidRDefault="006B3B31" w:rsidP="00A42B7C">
      <w:r w:rsidRPr="009352E4">
        <w:t xml:space="preserve">S ohledem na omezenou povinnost neustálého průběžného potvrzování a dokládání plnění podmínek kladených na provozovatele hazardních her a odvislosti kontroly jejich plnění od výkonu průběžného dozoru nad těmito subjekty </w:t>
      </w:r>
      <w:r>
        <w:t>dochází k oslabení garance neustálého plnění podmínek kladených na žadatele o vydání základního povolení po celou dobu platnosti získané licence</w:t>
      </w:r>
      <w:r w:rsidR="00EC1A08">
        <w:t>.</w:t>
      </w:r>
      <w:r>
        <w:t xml:space="preserve"> </w:t>
      </w:r>
      <w:r w:rsidR="00EC1A08">
        <w:t>Důležitý je také fakt, že</w:t>
      </w:r>
      <w:r>
        <w:t xml:space="preserve"> získání některých podkladů je odvislé od součinnosti danéh</w:t>
      </w:r>
      <w:r w:rsidR="00256B59">
        <w:t>o subjektu (zejména pokud jde o </w:t>
      </w:r>
      <w:r>
        <w:t>potvrzení bezdlužnosti a bezúhonnosti zahraničních subjektů). Vzhledem k negativním externalitám, které s sebou výkon uděleného oprávnění nese, je zde vyšší zájem na provozování této činnosti stabilními, profesionálními a odpovědnými subjekty a měl by být větší důraz kladen na plnění podmínek na ně kladených nejen v návaznosti na dozorové aktivity, ale</w:t>
      </w:r>
      <w:r w:rsidR="00EC1A08">
        <w:t> </w:t>
      </w:r>
      <w:r>
        <w:t>i</w:t>
      </w:r>
      <w:r w:rsidR="00EC1A08">
        <w:t> </w:t>
      </w:r>
      <w:r>
        <w:t xml:space="preserve">právě při </w:t>
      </w:r>
      <w:r w:rsidR="00256B59">
        <w:t>aktivním dokládání podkladů při </w:t>
      </w:r>
      <w:r>
        <w:t>udělování licence.</w:t>
      </w:r>
    </w:p>
    <w:p w14:paraId="387A7B85" w14:textId="77777777" w:rsidR="006B3B31" w:rsidRDefault="006B3B31" w:rsidP="006B3B31">
      <w:pPr>
        <w:pStyle w:val="Nadpis7"/>
      </w:pPr>
      <w:r>
        <w:t>Hodnocení variant</w:t>
      </w:r>
    </w:p>
    <w:p w14:paraId="4DE172CF" w14:textId="5C60D218" w:rsidR="006B3B31" w:rsidRDefault="006B3B31" w:rsidP="00A42B7C">
      <w:r w:rsidRPr="004237F2">
        <w:t xml:space="preserve">Vzhledem k výhodám a nevýhodám uvedeným shora se preferuje </w:t>
      </w:r>
      <w:r w:rsidR="00A42B7C">
        <w:t>v</w:t>
      </w:r>
      <w:r w:rsidRPr="004237F2">
        <w:t>arianta I.</w:t>
      </w:r>
    </w:p>
    <w:p w14:paraId="5CFE52B4" w14:textId="77777777" w:rsidR="006B3B31" w:rsidRDefault="006B3B31" w:rsidP="00AF112D">
      <w:pPr>
        <w:pStyle w:val="Nadpis6"/>
      </w:pPr>
      <w:bookmarkStart w:id="44" w:name="_Toc73529690"/>
      <w:bookmarkStart w:id="45" w:name="_Toc73608981"/>
      <w:r>
        <w:lastRenderedPageBreak/>
        <w:t>Rozsah oprávnění stanovovat podmínky řádného provozování v základním povolení</w:t>
      </w:r>
      <w:bookmarkEnd w:id="44"/>
      <w:bookmarkEnd w:id="45"/>
    </w:p>
    <w:p w14:paraId="23B7A5A0" w14:textId="556EE3FF" w:rsidR="006B3B31" w:rsidRDefault="00F63AFC" w:rsidP="00A42B7C">
      <w:r>
        <w:t xml:space="preserve">V souladu s </w:t>
      </w:r>
      <w:r w:rsidR="006B3B31" w:rsidRPr="00D61483">
        <w:t xml:space="preserve">§ 87 odst. 1 ve spojení s odstavcem 2 zákona o hazardních hrách </w:t>
      </w:r>
      <w:r>
        <w:t>je</w:t>
      </w:r>
      <w:r w:rsidRPr="00D61483">
        <w:t xml:space="preserve"> </w:t>
      </w:r>
      <w:r w:rsidR="006B3B31" w:rsidRPr="00D61483">
        <w:t xml:space="preserve">Ministerstvo financí </w:t>
      </w:r>
      <w:r>
        <w:t xml:space="preserve">oprávněno </w:t>
      </w:r>
      <w:r w:rsidR="006B3B31" w:rsidRPr="00D61483">
        <w:t xml:space="preserve">vydat základní povolení pouze za podmínky, že bude zajištěn řádný provoz hazardní hry. K zajištění této skutečnosti slouží právě podmínky uvedené v základní povolení, které je Ministerstvo financí oprávněno stanovit. </w:t>
      </w:r>
      <w:r w:rsidR="006B3B31">
        <w:t>Ze strany provozovatelů hazardních her je správnímu orgánu vytýkáno, že</w:t>
      </w:r>
      <w:r w:rsidR="00EC1A08">
        <w:t> </w:t>
      </w:r>
      <w:r w:rsidR="006B3B31">
        <w:t xml:space="preserve">stanovené podmínky postrádají zákonnou oporu a </w:t>
      </w:r>
      <w:r w:rsidR="00EF5BA7">
        <w:t xml:space="preserve">že se </w:t>
      </w:r>
      <w:r w:rsidR="006B3B31">
        <w:t>adresát vydávané licence jejich znění dozví až v ok</w:t>
      </w:r>
      <w:r w:rsidR="0079024E">
        <w:t>amžiku udělení daného oprávnění.</w:t>
      </w:r>
      <w:r w:rsidR="006B3B31">
        <w:t xml:space="preserve"> </w:t>
      </w:r>
      <w:r w:rsidR="00EF5BA7">
        <w:t>Takový postup je dle názoru provozovatelů nepředvídatelný a fakticky vede k nemožnosti vykonávat oprávnění dříve než po seznámení s těmito podmínkami.</w:t>
      </w:r>
    </w:p>
    <w:p w14:paraId="5759A39F" w14:textId="0E794286" w:rsidR="006B3B31" w:rsidRDefault="00E429AF" w:rsidP="00A42B7C">
      <w:r>
        <w:t xml:space="preserve">Dle názoru </w:t>
      </w:r>
      <w:r w:rsidR="006B3B31" w:rsidRPr="00D61483">
        <w:t>Ministerstv</w:t>
      </w:r>
      <w:r>
        <w:t>a</w:t>
      </w:r>
      <w:r w:rsidR="006B3B31" w:rsidRPr="00D61483">
        <w:t xml:space="preserve"> financí implementují </w:t>
      </w:r>
      <w:r w:rsidR="00552B9C" w:rsidRPr="00D61483">
        <w:t xml:space="preserve">stanovené podmínky </w:t>
      </w:r>
      <w:r w:rsidR="006B3B31" w:rsidRPr="00D61483">
        <w:t>požadavky zákona o hazardních hrách. Za účelem posílení právní jistoty provozovatelů budou ukládané podmínky</w:t>
      </w:r>
      <w:r w:rsidR="00552B9C">
        <w:t xml:space="preserve"> podrobeny</w:t>
      </w:r>
      <w:r w:rsidR="006B3B31" w:rsidRPr="00D61483">
        <w:t xml:space="preserve"> anal</w:t>
      </w:r>
      <w:r w:rsidR="00552B9C">
        <w:t>ýze</w:t>
      </w:r>
      <w:r w:rsidR="006B3B31" w:rsidRPr="00D61483">
        <w:t xml:space="preserve">, </w:t>
      </w:r>
      <w:r w:rsidR="00552B9C">
        <w:t xml:space="preserve">zda </w:t>
      </w:r>
      <w:r w:rsidR="006B3B31" w:rsidRPr="00D61483">
        <w:t xml:space="preserve">je vhodné některé z podmínek začlenit </w:t>
      </w:r>
      <w:r w:rsidR="006B3B31">
        <w:t xml:space="preserve">přímo </w:t>
      </w:r>
      <w:r w:rsidR="00256B59">
        <w:t>do </w:t>
      </w:r>
      <w:r w:rsidR="006B3B31" w:rsidRPr="00D61483">
        <w:t>právní úpravy</w:t>
      </w:r>
      <w:r w:rsidR="0079024E">
        <w:t xml:space="preserve"> či zda mají být nadále součástí základního povolení</w:t>
      </w:r>
      <w:r w:rsidR="006B3B31" w:rsidRPr="00D61483">
        <w:t>. Uvedená podro</w:t>
      </w:r>
      <w:r w:rsidR="006B3B31">
        <w:t>bnější analýza bude provedena v </w:t>
      </w:r>
      <w:r w:rsidR="006B3B31" w:rsidRPr="00D61483">
        <w:t>návaznosti na</w:t>
      </w:r>
      <w:r w:rsidR="00552B9C">
        <w:t> </w:t>
      </w:r>
      <w:r w:rsidR="006B3B31" w:rsidRPr="00D61483">
        <w:t>případnou přípravu zákonné novelizace v kontextu závěr</w:t>
      </w:r>
      <w:r w:rsidR="006B3B31">
        <w:t xml:space="preserve">ů </w:t>
      </w:r>
      <w:r w:rsidR="00552B9C" w:rsidRPr="00D61483">
        <w:t>přijatých</w:t>
      </w:r>
      <w:r w:rsidR="00552B9C">
        <w:t xml:space="preserve"> </w:t>
      </w:r>
      <w:r w:rsidR="006B3B31">
        <w:t>z </w:t>
      </w:r>
      <w:r w:rsidR="006B3B31" w:rsidRPr="00D61483">
        <w:t>předkládaného materiálu.</w:t>
      </w:r>
    </w:p>
    <w:p w14:paraId="24E6E2F4" w14:textId="77777777" w:rsidR="006B3B31" w:rsidRDefault="006B3B31" w:rsidP="00AF112D">
      <w:pPr>
        <w:pStyle w:val="Nadpis6"/>
      </w:pPr>
      <w:bookmarkStart w:id="46" w:name="_Toc73529691"/>
      <w:bookmarkStart w:id="47" w:name="_Toc73608982"/>
      <w:r w:rsidRPr="00890B9F">
        <w:t>Vydávání navazujícího základního povolení</w:t>
      </w:r>
      <w:bookmarkEnd w:id="46"/>
      <w:bookmarkEnd w:id="47"/>
    </w:p>
    <w:p w14:paraId="489D7C76" w14:textId="2377DDF9" w:rsidR="006B3B31" w:rsidRDefault="006B3B31" w:rsidP="00A42B7C">
      <w:r w:rsidRPr="006B05A9">
        <w:t>Aplikační praxe</w:t>
      </w:r>
      <w:r>
        <w:t xml:space="preserve"> s sebou v návaznosti na již téměř pětiletou účinnost právní úpravy přinesla řadu otázek spojených s udělením navazujícího základního povolení subjektům, které již na základě vydaného základního povolení provozují hazardní hry. Právní úprava v tomto ohledu nikterak nerozlišuje při vydávání základního povolení mezi subjektem již licencovaným a subjektem zcela novým.</w:t>
      </w:r>
    </w:p>
    <w:p w14:paraId="5CBCA231" w14:textId="356416B3" w:rsidR="006B3B31" w:rsidRDefault="006B3B31" w:rsidP="00A42B7C">
      <w:r>
        <w:t>V návaznosti na časté dotazy připravilo Ministerstvo financí s</w:t>
      </w:r>
      <w:r w:rsidRPr="006B05A9">
        <w:t xml:space="preserve">tanovisko </w:t>
      </w:r>
      <w:r w:rsidR="00552B9C">
        <w:t>k</w:t>
      </w:r>
      <w:r w:rsidRPr="006B05A9">
        <w:t xml:space="preserve"> vydávání navazujících základních povolení a povolení k umístění herního prostoru</w:t>
      </w:r>
      <w:r>
        <w:t xml:space="preserve"> zveřejněné na internetových stránkách. Ačkoliv se provozovatelé domnívali, že některé skutečnosti nebude Ministerstvu financí opětovně nezbytné dokládat, právní úprava takový postup správního orgánu </w:t>
      </w:r>
      <w:r w:rsidR="00552B9C">
        <w:t>nepředpokládá</w:t>
      </w:r>
      <w:r>
        <w:t>. V obecné rovině je možné shrnout, že provozovatel si může zjednodušit dokládání podkladů pouze využitím oprávnění</w:t>
      </w:r>
      <w:r w:rsidR="00D93732">
        <w:t xml:space="preserve"> dle správního řádu </w:t>
      </w:r>
      <w:r w:rsidR="006C373E">
        <w:t xml:space="preserve">a </w:t>
      </w:r>
      <w:r>
        <w:t xml:space="preserve">odkázat na již doložené dokumenty v rámci jiného správního spisu. V tomto kontextu je však nutné splnit podmínku maximálního stáří některých dokumentů. </w:t>
      </w:r>
      <w:r w:rsidR="00D93732">
        <w:t>P</w:t>
      </w:r>
      <w:r>
        <w:t xml:space="preserve">okud na sebe vydaná základní povolení plynule navazují, není </w:t>
      </w:r>
      <w:r w:rsidR="00256B59">
        <w:t>dle </w:t>
      </w:r>
      <w:r w:rsidR="00D93732">
        <w:t xml:space="preserve">stanoviska Ministerstva financí </w:t>
      </w:r>
      <w:r>
        <w:t xml:space="preserve">nezbytné uživatelská konta účastníků hazardních her vypořádávat a klienty znovu registrovat. Pokud však </w:t>
      </w:r>
      <w:r w:rsidR="00D93732">
        <w:t xml:space="preserve">dojde </w:t>
      </w:r>
      <w:r>
        <w:t>k</w:t>
      </w:r>
      <w:r w:rsidR="00A42B7C">
        <w:t> přerušení provozu</w:t>
      </w:r>
      <w:r w:rsidR="00D93732">
        <w:t>,</w:t>
      </w:r>
      <w:r w:rsidR="00A42B7C">
        <w:t xml:space="preserve"> byť v řádu i </w:t>
      </w:r>
      <w:r>
        <w:t xml:space="preserve">několika dnů, je proces </w:t>
      </w:r>
      <w:r w:rsidR="00D93732">
        <w:t xml:space="preserve">vypořádání a opětovné registrace </w:t>
      </w:r>
      <w:r>
        <w:t xml:space="preserve">nezbytný. </w:t>
      </w:r>
      <w:r w:rsidR="00D93732">
        <w:t>V</w:t>
      </w:r>
      <w:r>
        <w:t>zhledem k právní úpravě §</w:t>
      </w:r>
      <w:r w:rsidR="00021A93">
        <w:t> </w:t>
      </w:r>
      <w:r>
        <w:t>90</w:t>
      </w:r>
      <w:r w:rsidR="00021A93">
        <w:t> </w:t>
      </w:r>
      <w:r>
        <w:t xml:space="preserve">zákona o hazardních hrách byl přijat výklad, </w:t>
      </w:r>
      <w:r w:rsidR="00256B59">
        <w:t>podle </w:t>
      </w:r>
      <w:r w:rsidR="00D93732">
        <w:t>kterého musí</w:t>
      </w:r>
      <w:r>
        <w:t xml:space="preserve"> provozovatel nově složit kauci na nově vydávané základní povolení, protože vzhledem k délce procesu vypořádání závazků z kauce není možné zajistit, aby kauce mohla současně sloužit pro za</w:t>
      </w:r>
      <w:r w:rsidR="00256B59">
        <w:t>jištění splnění podmínek pro </w:t>
      </w:r>
      <w:r>
        <w:t>nově vydávané základní povolení. Správní orgán by při jiném výkladu za prvé porušil zákonnou textaci § 90 zákona o hazardních hrách ohledně povinnosti provádět „test vratitelnosti“, resp. zjištění nedoplatků, za druhé by eliminoval možnost úhrady případných nedoplatků, která by byla opě</w:t>
      </w:r>
      <w:r w:rsidR="00D93732">
        <w:t>tovně možná až při zrušení, nebo </w:t>
      </w:r>
      <w:r>
        <w:t>zániku základního povolení.</w:t>
      </w:r>
    </w:p>
    <w:p w14:paraId="4BA71E26" w14:textId="39E09E61" w:rsidR="006B3B31" w:rsidRDefault="006B3B31" w:rsidP="00A42B7C">
      <w:r>
        <w:t xml:space="preserve">Opětovně se tato diskuze otevřela v návaznosti na podněty provozovatelů hazardních her, kteří takový postup shledávají jako nepřiměřený, zejména z pohledu nutnosti opětovného </w:t>
      </w:r>
      <w:r w:rsidR="00D93732">
        <w:t xml:space="preserve">složení </w:t>
      </w:r>
      <w:r>
        <w:t xml:space="preserve">kauce, která slouží k zajištění závazků vzniklých z provozování </w:t>
      </w:r>
      <w:r>
        <w:lastRenderedPageBreak/>
        <w:t xml:space="preserve">hazardních her. </w:t>
      </w:r>
      <w:r w:rsidR="00F63AFC">
        <w:t>V</w:t>
      </w:r>
      <w:r>
        <w:t xml:space="preserve"> návaznosti na vydané stanovisko shledávají nevhodným, </w:t>
      </w:r>
      <w:r w:rsidR="00F63AFC">
        <w:t>že by</w:t>
      </w:r>
      <w:r>
        <w:t xml:space="preserve"> museli svým klientům vypořádávat uživatelská konta a znovu je registrovat podle nově vydané licence</w:t>
      </w:r>
      <w:r w:rsidR="00F63AFC">
        <w:t xml:space="preserve"> v případě, že na sebe vydaná povolení nebudou plynule navazovat</w:t>
      </w:r>
      <w:r>
        <w:t>.</w:t>
      </w:r>
    </w:p>
    <w:p w14:paraId="653C644E" w14:textId="77777777" w:rsidR="006B3B31" w:rsidRDefault="006B3B31" w:rsidP="006B3B31">
      <w:pPr>
        <w:pStyle w:val="Nadpis7"/>
      </w:pPr>
      <w:r>
        <w:t>Varianta I. – Zachování současného stavu</w:t>
      </w:r>
    </w:p>
    <w:p w14:paraId="58E0EFA2" w14:textId="77777777" w:rsidR="006B3B31" w:rsidRDefault="006B3B31" w:rsidP="00A42B7C">
      <w:r>
        <w:t>Výhody:</w:t>
      </w:r>
    </w:p>
    <w:p w14:paraId="4855F7E3" w14:textId="4AFD315F" w:rsidR="006B3B31" w:rsidRDefault="006B3B31" w:rsidP="00A42B7C">
      <w:r>
        <w:t xml:space="preserve">Výhodou současné právní úpravy je sledování zásady rovnosti mezi subjekty, </w:t>
      </w:r>
      <w:r w:rsidR="00F63AFC">
        <w:t xml:space="preserve">které </w:t>
      </w:r>
      <w:r>
        <w:t>vstupují na trh zcela nově a těmi, kteří již byli držiteli licence. Nutným doložením všech nezbytných podkladů opětovně je žadatel podroben opětovné důkladné revizi plnění všech zákonem stanovených podmínek, kter</w:t>
      </w:r>
      <w:r w:rsidR="00256B59">
        <w:t>é by při jeho nesoučinnosti při </w:t>
      </w:r>
      <w:r>
        <w:t>výkonu dozorových aktivit mohlo být poměrně obtížné důkladně přezkoumat.</w:t>
      </w:r>
    </w:p>
    <w:p w14:paraId="251397BB" w14:textId="77777777" w:rsidR="006B3B31" w:rsidRDefault="006B3B31" w:rsidP="00A42B7C">
      <w:r>
        <w:t>Nevýhody:</w:t>
      </w:r>
    </w:p>
    <w:p w14:paraId="7BB0B9B8" w14:textId="680124A9" w:rsidR="006B3B31" w:rsidRDefault="006B3B31" w:rsidP="00A42B7C">
      <w:r>
        <w:t xml:space="preserve">Nevýhodou právní úpravy je jednak absence explicitní úpravy vypořádávání závazků při vydávání navazujících oprávnění a v návaznosti na výklad správního orgánu nutnost vypořádání v případě výpadku oprávnění. </w:t>
      </w:r>
      <w:r w:rsidR="00D93732">
        <w:t>Požadavek</w:t>
      </w:r>
      <w:r>
        <w:t xml:space="preserve"> </w:t>
      </w:r>
      <w:r w:rsidR="00F63AFC">
        <w:t xml:space="preserve">opětovného </w:t>
      </w:r>
      <w:r>
        <w:t>složení kauce je zejména v prvních několika měsících (do vypořádání předchozí složené kauce) finančně náročný</w:t>
      </w:r>
      <w:r w:rsidR="00B16F90">
        <w:t>.</w:t>
      </w:r>
      <w:r>
        <w:t xml:space="preserve"> </w:t>
      </w:r>
      <w:r w:rsidR="00B16F90">
        <w:t>P</w:t>
      </w:r>
      <w:r>
        <w:t>okud provozovatel nemá dostatek peněžních prostředků na pokrytí dvou kaucí, musí řešit požadavek p</w:t>
      </w:r>
      <w:r w:rsidR="00256B59">
        <w:t>oskytnutím bankovní záruky, což </w:t>
      </w:r>
      <w:r>
        <w:t>s sebou nese jisté výdaje a většinou i </w:t>
      </w:r>
      <w:r w:rsidR="00B16F90">
        <w:t>nutnost posky</w:t>
      </w:r>
      <w:r w:rsidR="00F660BF">
        <w:t>t</w:t>
      </w:r>
      <w:r w:rsidR="00B16F90">
        <w:t>nutí</w:t>
      </w:r>
      <w:r>
        <w:t xml:space="preserve"> zajištění této záruky</w:t>
      </w:r>
      <w:r w:rsidR="00B16F90">
        <w:t xml:space="preserve"> bance</w:t>
      </w:r>
      <w:r>
        <w:t>.</w:t>
      </w:r>
    </w:p>
    <w:p w14:paraId="45D1D169" w14:textId="77777777" w:rsidR="006B3B31" w:rsidRDefault="006B3B31" w:rsidP="006B3B31">
      <w:pPr>
        <w:pStyle w:val="Nadpis7"/>
      </w:pPr>
      <w:r>
        <w:t>Varianta II. – Speciální postup při získávání navazující licence – nevypořádání uživatelských kont</w:t>
      </w:r>
    </w:p>
    <w:p w14:paraId="1D5B95DE" w14:textId="77777777" w:rsidR="006B3B31" w:rsidRDefault="006B3B31" w:rsidP="00A42B7C">
      <w:r>
        <w:t>Explicitně upravit v legislativě oprávnění provozovatele nevypořádávat uživatelská konta i při několika denním výpadku oprávnění a zakotvit výslovně převod závazků vzniklých z předchozího provozu pod provoz z nově vydaného základního povolení.</w:t>
      </w:r>
    </w:p>
    <w:p w14:paraId="5D912EA1" w14:textId="77777777" w:rsidR="006B3B31" w:rsidRDefault="006B3B31" w:rsidP="00A42B7C">
      <w:r>
        <w:t>Výhody:</w:t>
      </w:r>
    </w:p>
    <w:p w14:paraId="25B6AD2F" w14:textId="2435A004" w:rsidR="006B3B31" w:rsidRDefault="006B3B31" w:rsidP="00A42B7C">
      <w:r>
        <w:t>Zvýšení právní jistoty dotčených subjektů. V případě navazujícího provozování by tato úprava nekladla zbytečné náklady na provozovatele a již zaregistrované klienty v podobě „přeregistrace“ jejich uživatelských kont a zároveň by odstranila pochybnosti ohledně rozsahu přecházejících závazků vzniklých z provozu jednoho základního povolení na druhé. Úprava by nezakl</w:t>
      </w:r>
      <w:r w:rsidR="00A42B7C">
        <w:t>ádala nerovnost mezi novými a </w:t>
      </w:r>
      <w:r>
        <w:t>stávajícími subjekty, neboť nové subjekty nedisponují klientskou základnou spadající pod právní úpravu zákona o hazardních hrách</w:t>
      </w:r>
      <w:r w:rsidR="002D264D">
        <w:t>. V</w:t>
      </w:r>
      <w:r>
        <w:t xml:space="preserve"> ostatních </w:t>
      </w:r>
      <w:r w:rsidR="002D264D">
        <w:t xml:space="preserve">případech </w:t>
      </w:r>
      <w:r>
        <w:t xml:space="preserve">by </w:t>
      </w:r>
      <w:r w:rsidR="002D264D">
        <w:t xml:space="preserve">stávající </w:t>
      </w:r>
      <w:r>
        <w:t xml:space="preserve">žadatelé </w:t>
      </w:r>
      <w:r w:rsidR="002D264D">
        <w:t>prokazovali a dokládali</w:t>
      </w:r>
      <w:r>
        <w:t xml:space="preserve"> stejné podkl</w:t>
      </w:r>
      <w:r w:rsidR="00256B59">
        <w:t>ady, jako zcela noví žadatelé o </w:t>
      </w:r>
      <w:r>
        <w:t>licenci.</w:t>
      </w:r>
    </w:p>
    <w:p w14:paraId="6C1E9D9E" w14:textId="77777777" w:rsidR="006B3B31" w:rsidRDefault="006B3B31" w:rsidP="00A42B7C">
      <w:r>
        <w:t>Nevýhody:</w:t>
      </w:r>
    </w:p>
    <w:p w14:paraId="6D91A36B" w14:textId="20559866" w:rsidR="006B3B31" w:rsidRDefault="006B3B31" w:rsidP="00A42B7C">
      <w:r>
        <w:t xml:space="preserve">Úpravou v tomto rozsahu nedochází </w:t>
      </w:r>
      <w:r w:rsidR="002D264D">
        <w:t>ke zproštění povinnosti provozovatelů</w:t>
      </w:r>
      <w:r>
        <w:t xml:space="preserve"> znovu dokládat všechny podklady žádosti pro vydání základního povolení, pouze zjednodušuje proces vypořádání uživatelských kont a registrace stávajících klientů. Úprava rovněž neřeší problematiku nutnosti sklád</w:t>
      </w:r>
      <w:r w:rsidR="00B16F90">
        <w:t>at</w:t>
      </w:r>
      <w:r>
        <w:t xml:space="preserve"> kauce opětovně</w:t>
      </w:r>
      <w:r w:rsidR="002D264D">
        <w:t>. A</w:t>
      </w:r>
      <w:r>
        <w:t>čkoliv by byl explicitně vymezen rozsah závazků, které se základním povolením nezanikají, nadále je v zákoně zakotvena povinnost kauci vypořádat a v případě vzniklých splatných závazků vzniká povinnost Ministerstva financí jako správce daně tyto závazky z kauce uhradit.</w:t>
      </w:r>
    </w:p>
    <w:p w14:paraId="073724CE" w14:textId="77777777" w:rsidR="006B3B31" w:rsidRDefault="006B3B31" w:rsidP="006B3B31">
      <w:pPr>
        <w:pStyle w:val="Nadpis7"/>
      </w:pPr>
      <w:r>
        <w:lastRenderedPageBreak/>
        <w:t>Varianta III. – Speciální postup při získávání navazující licence – nevypořádání uživatelských kont společně s právní úpravou kaucí</w:t>
      </w:r>
    </w:p>
    <w:p w14:paraId="698B99B9" w14:textId="7EAF3226" w:rsidR="006B3B31" w:rsidRDefault="006B3B31" w:rsidP="006B3B31">
      <w:r>
        <w:t xml:space="preserve">Legislativně upravit </w:t>
      </w:r>
      <w:r w:rsidR="00A42B7C">
        <w:t>v</w:t>
      </w:r>
      <w:r>
        <w:t>ariantu II. spolu s právní úpravou kaucí tak, aby nevznikala povinnost skládat kauci znovu. Uvedená varianta by musela kompenzovat nemožnost uhradit případné závazky z kauce po zrušení nebo zániku základního povolení</w:t>
      </w:r>
      <w:r w:rsidR="00021A93">
        <w:t>,</w:t>
      </w:r>
      <w:r>
        <w:t xml:space="preserve"> a to buď v podobě možnosti hradit tyto závazky i v průběhu existence vydaného oprávnění a adekvátní povinnosti takovou kauci ze strany provozovatele opětovně doplnit</w:t>
      </w:r>
      <w:r w:rsidR="00B16F90">
        <w:t>,</w:t>
      </w:r>
      <w:r>
        <w:t xml:space="preserve"> anebo zcela jinou koncepcí zajištění neprodlené úhrady takto vzniklých závazků.</w:t>
      </w:r>
    </w:p>
    <w:p w14:paraId="2B953276" w14:textId="77777777" w:rsidR="006B3B31" w:rsidRDefault="006B3B31" w:rsidP="006B3B31">
      <w:r>
        <w:t>Výhody:</w:t>
      </w:r>
    </w:p>
    <w:p w14:paraId="15BDB40F" w14:textId="4E5F7E8F" w:rsidR="006B3B31" w:rsidRDefault="006B3B31" w:rsidP="006B3B31">
      <w:r>
        <w:t>Řešení s sebou přináší významnou eliminaci nevýhod v podobě významné finanční zátěže v podobě nutnosti složení dvou kaucí. Ostatní výhody uvedeny ve </w:t>
      </w:r>
      <w:r w:rsidR="00A42B7C">
        <w:t>v</w:t>
      </w:r>
      <w:r>
        <w:t>ariantě II.</w:t>
      </w:r>
    </w:p>
    <w:p w14:paraId="29B15919" w14:textId="77777777" w:rsidR="006B3B31" w:rsidRDefault="006B3B31" w:rsidP="006B3B31">
      <w:r>
        <w:t>Nevýhody:</w:t>
      </w:r>
    </w:p>
    <w:p w14:paraId="13B3F006" w14:textId="64969EEB" w:rsidR="006B3B31" w:rsidRDefault="006B3B31" w:rsidP="006B3B31">
      <w:r>
        <w:t>Možnost úhrady nesplacených závazků v průběhu vydávaného základního povolení sebou nese značnou komplikovanost takového procesu a nutnost detailnější analýzy, neboť by pravděpodobně mohl</w:t>
      </w:r>
      <w:r w:rsidR="002D264D">
        <w:t>a</w:t>
      </w:r>
      <w:r>
        <w:t xml:space="preserve"> přinést další neočekávané náklady v podobě zvýšené zátěže na straně správního orgánu při neustálém monitoringu a procesování takto vznikajících nedoplatků v průběhu provozu a zajišťování neustálého postupného doplnění tímto způsobem snížené kauce. Při současné koncepci kauce u vydávaných povolení k umístění herního prostoru by tento postup byl stěží možný, neboť </w:t>
      </w:r>
      <w:r w:rsidR="00B16F90">
        <w:t xml:space="preserve">by si </w:t>
      </w:r>
      <w:r>
        <w:t xml:space="preserve">při složení maximální možné částky při neuhrazení nedoplatků správní orgán musel „vybírat“, u kterých herních prostorů </w:t>
      </w:r>
      <w:r w:rsidR="00B16F90">
        <w:t xml:space="preserve">bude </w:t>
      </w:r>
      <w:r>
        <w:t>při nedoplnění kauce dávat podnět obci k zahájení procesu odebrání licence.</w:t>
      </w:r>
    </w:p>
    <w:p w14:paraId="790BC4C8" w14:textId="77777777" w:rsidR="006B3B31" w:rsidRDefault="006B3B31" w:rsidP="006B3B31">
      <w:pPr>
        <w:pStyle w:val="Nadpis7"/>
      </w:pPr>
      <w:r>
        <w:t>Varianta IV. – Zjednodušení procesu vydávání navazujícího základního povolení</w:t>
      </w:r>
    </w:p>
    <w:p w14:paraId="53892C1C" w14:textId="77777777" w:rsidR="006B3B31" w:rsidRDefault="006B3B31" w:rsidP="00A42B7C">
      <w:r>
        <w:t>Kompletně zjednodušit proces vydávání navazujícího základního povolení.</w:t>
      </w:r>
    </w:p>
    <w:p w14:paraId="506E06F6" w14:textId="77777777" w:rsidR="006B3B31" w:rsidRDefault="006B3B31" w:rsidP="00A42B7C">
      <w:r>
        <w:t>Výhody:</w:t>
      </w:r>
    </w:p>
    <w:p w14:paraId="280DEE93" w14:textId="634A0AB3" w:rsidR="006B3B31" w:rsidRDefault="006B3B31" w:rsidP="00A42B7C">
      <w:r>
        <w:t xml:space="preserve">Úprava by zjednodušila navazující získání licence již </w:t>
      </w:r>
      <w:r w:rsidR="0067013C">
        <w:t>jednou licencovaných subjektů a </w:t>
      </w:r>
      <w:r>
        <w:t>snížila by tím jejich náklady při získávání navazující licence.</w:t>
      </w:r>
    </w:p>
    <w:p w14:paraId="398643C3" w14:textId="77777777" w:rsidR="006B3B31" w:rsidRDefault="006B3B31" w:rsidP="00A42B7C">
      <w:r>
        <w:t>Nevýhody:</w:t>
      </w:r>
    </w:p>
    <w:p w14:paraId="6EE258D1" w14:textId="706B224E" w:rsidR="006B3B31" w:rsidRDefault="00B16F90" w:rsidP="00A42B7C">
      <w:r>
        <w:t>S</w:t>
      </w:r>
      <w:r w:rsidR="006B3B31">
        <w:t>tanov</w:t>
      </w:r>
      <w:r w:rsidR="002D264D">
        <w:t>ení</w:t>
      </w:r>
      <w:r w:rsidR="006B3B31">
        <w:t xml:space="preserve"> odlišných podmínek pro subjekty, kterým se vydává „navazující“ základní povolení</w:t>
      </w:r>
      <w:r>
        <w:t>,</w:t>
      </w:r>
      <w:r w:rsidR="006B3B31">
        <w:t xml:space="preserve"> by mohlo být považováno za nerovné a neodůvodněné, neboť i po šesti letech </w:t>
      </w:r>
      <w:r w:rsidR="00F660BF">
        <w:t xml:space="preserve">od </w:t>
      </w:r>
      <w:r w:rsidR="006B3B31">
        <w:t>vyd</w:t>
      </w:r>
      <w:r w:rsidR="00F660BF">
        <w:t>ání</w:t>
      </w:r>
      <w:r w:rsidR="006B3B31">
        <w:t xml:space="preserve"> licence se zcela mohou změnit skutečnosti, za kterých byla licence vydána a o kterých se Ministerstvo financí z vlastní úřední činnosti při nesoučinnosti subjektu může jen stěží dozvědět.</w:t>
      </w:r>
    </w:p>
    <w:p w14:paraId="7C7646FA" w14:textId="77777777" w:rsidR="006B3B31" w:rsidRDefault="006B3B31" w:rsidP="006B3B31">
      <w:pPr>
        <w:pStyle w:val="Nadpis7"/>
      </w:pPr>
      <w:r>
        <w:t>Hodnocení variant</w:t>
      </w:r>
    </w:p>
    <w:p w14:paraId="608DEB2A" w14:textId="06297F35" w:rsidR="006B3B31" w:rsidRDefault="006B3B31" w:rsidP="00A42B7C">
      <w:r>
        <w:t xml:space="preserve">Vzhledem k výhodám a nevýhodám uvedeným shora se jeví jako vhodná </w:t>
      </w:r>
      <w:r w:rsidR="00A42B7C">
        <w:t>v</w:t>
      </w:r>
      <w:r>
        <w:t xml:space="preserve">arianta II., nicméně </w:t>
      </w:r>
      <w:r w:rsidR="002D264D">
        <w:t xml:space="preserve">ke zvážení </w:t>
      </w:r>
      <w:r>
        <w:t xml:space="preserve">jsou i ostatní varianty či jejich parciální kombinace. </w:t>
      </w:r>
    </w:p>
    <w:p w14:paraId="3F839E52" w14:textId="77777777" w:rsidR="006B3B31" w:rsidRDefault="006B3B31" w:rsidP="00AF112D">
      <w:pPr>
        <w:pStyle w:val="Nadpis6"/>
      </w:pPr>
      <w:bookmarkStart w:id="48" w:name="_Toc73529692"/>
      <w:bookmarkStart w:id="49" w:name="_Toc73608983"/>
      <w:r w:rsidRPr="00C66B71">
        <w:t xml:space="preserve">Zrušení </w:t>
      </w:r>
      <w:r>
        <w:t>nebo zánik základního povolení a podmínky vypořádání provozování hazardní hry</w:t>
      </w:r>
      <w:bookmarkEnd w:id="48"/>
      <w:bookmarkEnd w:id="49"/>
    </w:p>
    <w:p w14:paraId="375D977E" w14:textId="720D1FC8" w:rsidR="006B3B31" w:rsidRDefault="006B3B31" w:rsidP="002A3493">
      <w:r w:rsidRPr="00071FDE">
        <w:t>Zákon o hazardních hrách důsledně odlišuje zrušení základního povolení</w:t>
      </w:r>
      <w:r>
        <w:t xml:space="preserve"> (postupem na žádost, z moci úřední) a zánik základního povolení. Při všech těchto postupech (ačkoliv plynou z rozdílných důvodů) dochází v konečném důsledku k ukončení </w:t>
      </w:r>
      <w:r>
        <w:lastRenderedPageBreak/>
        <w:t>činnosti a vypořádání daného provozu. Odlišnost cest, které k tomuto důsledku vedou, tkví v tom, že v případě zániku základního povolení dochází k této skutečnosti ex offo, bez nutnosti vydání „ukončujícího“ správního aktu. V případě rušení základního povolení je nutné k zániku povolení vydat správní akt, konkrétně rozhodnutí o zrušení základního povolení, na jehož vydání má nebo nemá provozovatel zájem (odlišnost rušení základního</w:t>
      </w:r>
      <w:r w:rsidR="00256B59">
        <w:t xml:space="preserve"> povolení z moci úřední nebo na </w:t>
      </w:r>
      <w:r>
        <w:t>žádost).</w:t>
      </w:r>
    </w:p>
    <w:p w14:paraId="1C897F3D" w14:textId="322D0903" w:rsidR="006B3B31" w:rsidRDefault="006B3B31" w:rsidP="002A3493">
      <w:r>
        <w:t xml:space="preserve">Právní úprava nestanovuje bližší podmínky, jak má provozovatel v případě zániku oprávnění k provozování dané činnosti postupovat, tj. jakým způsobem má postupně závazky vzniklé především ve vztahu k jednotlivým účastníkům hazardních her, vypořádat. </w:t>
      </w:r>
      <w:r w:rsidR="002D264D">
        <w:t>Problém vzniká zejména u</w:t>
      </w:r>
      <w:r>
        <w:t xml:space="preserve"> provozování kursových sázek, kde k zániku nebo zrušení základního povolení může dojít i v mezidobí mezi uzavřením sázek a jejich vyhodnocením (zejména z důvodu, že dosud nedošlo k vyhodnocení sázkové příležitosti). </w:t>
      </w:r>
      <w:r w:rsidR="00F660BF">
        <w:t xml:space="preserve">K </w:t>
      </w:r>
      <w:r>
        <w:t>obdobné situaci může dojít u loterií, kdy například u okamžité loterie může dojít ke zrušení nebo zániku základního povolení předtím, než uplyne lhůta, která je sázejícím daná pro uplatnění jejich nároku na výhru. Obdobně může docházet k otázkám souvisejícím s vypořádáním u</w:t>
      </w:r>
      <w:r w:rsidR="00F660BF">
        <w:t>živatelským kont, zřízených pro </w:t>
      </w:r>
      <w:r>
        <w:t>provozování hazardních hry, neboť jejich zůstatky by měly být náležitě vypořádány a účastníkům hazardních her vyplaceny.</w:t>
      </w:r>
    </w:p>
    <w:p w14:paraId="61E2FF0E" w14:textId="5EB59B64" w:rsidR="006B3B31" w:rsidRDefault="006B3B31" w:rsidP="002A3493">
      <w:r>
        <w:t>Vzájemné vypořádání závazků je nutné chápat jako součást řádného provozování hazardní hry</w:t>
      </w:r>
      <w:r w:rsidR="009D203E">
        <w:t>. S</w:t>
      </w:r>
      <w:r>
        <w:t>amotný § 5 zákona o hazardních hrách předvídá, že součástí provozování jsou i činnosti potřebné pro ukončení a vypořádání hazardní hry.</w:t>
      </w:r>
    </w:p>
    <w:p w14:paraId="5C5FA941" w14:textId="78172CBB" w:rsidR="006B3B31" w:rsidRDefault="006B3B31" w:rsidP="002A3493">
      <w:r>
        <w:t>V kontextu uvedeného Ministerstvo financí začalo v rámci nastavené správní praxe přistupovat k postupu popsanému shora v rámci předchozí kapitoly. Problematickým je však i přes uvedenou praxi stále aspekt toho, že podmínky řádného vypořádání hazardní hry bude velmi obtížné včlenit do vydávání rozhodnutí o zrušení základního povolení z moci úřední</w:t>
      </w:r>
      <w:r w:rsidR="009D203E">
        <w:t>.</w:t>
      </w:r>
      <w:r>
        <w:t xml:space="preserve"> </w:t>
      </w:r>
      <w:r w:rsidR="009D203E">
        <w:t>N</w:t>
      </w:r>
      <w:r>
        <w:t xml:space="preserve">avíc v případě zániku základního povolení možnost včlenění této podmínky zcela absentuje. </w:t>
      </w:r>
    </w:p>
    <w:p w14:paraId="5CED1567" w14:textId="77777777" w:rsidR="006B3B31" w:rsidRDefault="006B3B31" w:rsidP="006B3B31">
      <w:pPr>
        <w:pStyle w:val="Nadpis7"/>
      </w:pPr>
      <w:r>
        <w:t>Varianta I. – Zachování současného stavu</w:t>
      </w:r>
    </w:p>
    <w:p w14:paraId="0E5AF4C0" w14:textId="77777777" w:rsidR="006B3B31" w:rsidRDefault="006B3B31" w:rsidP="002A3493">
      <w:r>
        <w:t>Výhody:</w:t>
      </w:r>
    </w:p>
    <w:p w14:paraId="526C258B" w14:textId="2C1C073C" w:rsidR="006B3B31" w:rsidRDefault="006B3B31" w:rsidP="002A3493">
      <w:r>
        <w:t>Současná úprava neposkytuje výraznější výhody, neboť explicitn</w:t>
      </w:r>
      <w:r w:rsidR="00F05F4C">
        <w:t>í</w:t>
      </w:r>
      <w:r>
        <w:t xml:space="preserve"> úprava vypořádání závazků vyjma § 5 zákona o hazardních hrách absentuje a správní praxe není nastavena jednotně pro všechny případy zrušení nebo zániku vydaného oprávnění.</w:t>
      </w:r>
    </w:p>
    <w:p w14:paraId="19E91D64" w14:textId="77777777" w:rsidR="006B3B31" w:rsidRDefault="006B3B31" w:rsidP="002A3493">
      <w:r w:rsidRPr="00073A0D">
        <w:t>Nevýhody:</w:t>
      </w:r>
    </w:p>
    <w:p w14:paraId="1F193B47" w14:textId="49C955F6" w:rsidR="006B3B31" w:rsidRDefault="006B3B31" w:rsidP="002A3493">
      <w:r>
        <w:t xml:space="preserve">Současná právní úprava neposkytuje dostatečnou právní záruku účastníkům hazardních her v případě nečekaného ukončení činnosti provozovatele hazardních her. </w:t>
      </w:r>
      <w:r w:rsidR="009D203E">
        <w:t>D</w:t>
      </w:r>
      <w:r>
        <w:t>etailnější úprava postupu spočívá pouze v konkrétní úpravě schvalovaných herních plánů, v jejichž korekci má správní orgán omezené možnosti.</w:t>
      </w:r>
    </w:p>
    <w:p w14:paraId="2603E43E" w14:textId="77777777" w:rsidR="006B3B31" w:rsidRDefault="006B3B31" w:rsidP="006B3B31">
      <w:pPr>
        <w:pStyle w:val="Nadpis7"/>
      </w:pPr>
      <w:r>
        <w:t>Varianta II. – Stanovení postupu pro vypořádání uživatelských kont</w:t>
      </w:r>
    </w:p>
    <w:p w14:paraId="7E57E301" w14:textId="6B771FC8" w:rsidR="006B3B31" w:rsidRDefault="006B3B31" w:rsidP="002A3493">
      <w:r>
        <w:t xml:space="preserve">Podrobnější úprava vypořádání uživatelských kont, případně problematických specifik některých druhů hazardních her (např. dlouhodobé </w:t>
      </w:r>
      <w:r w:rsidR="002A3493">
        <w:t>kursové sázky) přímo v zákoně o </w:t>
      </w:r>
      <w:r>
        <w:t xml:space="preserve">hazardních hrách. K problematice vypořádání uživatelských kont rovněž blíže </w:t>
      </w:r>
      <w:r w:rsidR="006730E7">
        <w:t>P</w:t>
      </w:r>
      <w:r w:rsidR="0081072A">
        <w:t>říloha č. 4</w:t>
      </w:r>
      <w:r>
        <w:t xml:space="preserve"> Registrace a uživatelské konto.</w:t>
      </w:r>
    </w:p>
    <w:p w14:paraId="0CAC9E51" w14:textId="77777777" w:rsidR="006B3B31" w:rsidRDefault="006B3B31" w:rsidP="002A3493">
      <w:r>
        <w:t>Výhody:</w:t>
      </w:r>
    </w:p>
    <w:p w14:paraId="55425421" w14:textId="008CE051" w:rsidR="006B3B31" w:rsidRDefault="006B3B31" w:rsidP="002A3493">
      <w:r>
        <w:lastRenderedPageBreak/>
        <w:t xml:space="preserve">Nespornou výhodou je jasná deklarace postupu přímo v zákoně, který nedává možnosti odchylných úprav ve schvalovaných herních plánech, čímž je </w:t>
      </w:r>
      <w:r w:rsidR="00F05F4C">
        <w:t xml:space="preserve">naplněn princip </w:t>
      </w:r>
      <w:r>
        <w:t>legitimní</w:t>
      </w:r>
      <w:r w:rsidR="00F05F4C">
        <w:t>ho</w:t>
      </w:r>
      <w:r>
        <w:t xml:space="preserve"> očekávání dotčených subjektů. Výhodou je rovněž sjednocení postupu napříč rozdílnými způsoby zániku nebo zrušení oprávnění.</w:t>
      </w:r>
    </w:p>
    <w:p w14:paraId="6CA2537F" w14:textId="77777777" w:rsidR="006B3B31" w:rsidRDefault="006B3B31" w:rsidP="002A3493">
      <w:r>
        <w:t>Nevýhody:</w:t>
      </w:r>
    </w:p>
    <w:p w14:paraId="2A6A235A" w14:textId="77777777" w:rsidR="006B3B31" w:rsidRDefault="006B3B31" w:rsidP="002A3493">
      <w:r>
        <w:t>Tato varianta neshledává výrazné nevýhody kromě případně navazující nutnosti úprav již schválených herních plánu a to podle zvoleného legislativního řešení a přechodného ustanovení.</w:t>
      </w:r>
    </w:p>
    <w:p w14:paraId="44DB030B" w14:textId="77777777" w:rsidR="006B3B31" w:rsidRDefault="006B3B31" w:rsidP="006B3B31">
      <w:pPr>
        <w:pStyle w:val="Nadpis7"/>
      </w:pPr>
      <w:r>
        <w:t>Hodnocení variant</w:t>
      </w:r>
    </w:p>
    <w:p w14:paraId="2110A48D" w14:textId="1F7CAE74" w:rsidR="006B3B31" w:rsidRDefault="006B3B31" w:rsidP="002A3493">
      <w:r>
        <w:t>Preferovanou variantou je s o</w:t>
      </w:r>
      <w:r w:rsidR="002A3493">
        <w:t>hledem na výhody popsané shora v</w:t>
      </w:r>
      <w:r>
        <w:t>arianta II.</w:t>
      </w:r>
    </w:p>
    <w:p w14:paraId="168569C0" w14:textId="77777777" w:rsidR="006B3B31" w:rsidRDefault="006B3B31" w:rsidP="00AF112D">
      <w:pPr>
        <w:pStyle w:val="Nadpis6"/>
      </w:pPr>
      <w:bookmarkStart w:id="50" w:name="_Toc73529693"/>
      <w:bookmarkStart w:id="51" w:name="_Toc73608984"/>
      <w:r>
        <w:t>Přechod základního povolení a podrobnější podmínky postupu</w:t>
      </w:r>
      <w:bookmarkEnd w:id="50"/>
      <w:bookmarkEnd w:id="51"/>
    </w:p>
    <w:p w14:paraId="1736AAE4" w14:textId="12F23C1C" w:rsidR="006B3B31" w:rsidRDefault="006B3B31" w:rsidP="002A3493">
      <w:r>
        <w:t>Právní úprava je poměrně strohá co do úpravy přechodu základního povolení. Podle</w:t>
      </w:r>
      <w:r w:rsidR="009D203E">
        <w:t> </w:t>
      </w:r>
      <w:r>
        <w:t>§ 96 odst. 2 zákona o hazardních hrách může dojít k přechodu základního povolení v důsledku přeměny, kdy provozovatel zaniká a základní povolení přechází na nástupnickou právnickou osobu při udělení souhlasu Ministerstva financí s touto přeměnou. Z textace zákonné úpravy není explicitně zřejmé, jakou konkrétní formu přeměny měl zákonodárce na mysli. Vzhledem k těmto podmínkám se může jednat pouze o ty formy, v jejichž důsledku stávající společnost zanikne. V úvahu tedy dle</w:t>
      </w:r>
      <w:r w:rsidR="009D203E">
        <w:t> </w:t>
      </w:r>
      <w:r>
        <w:t>zákonného znění této podmínky přichází přeměna ve formě fúze, a to jak sloučením, tak splynutím. V případě fúze splynutím podle § 62 zákona o přeměnách dochází k zániku dvou nebo více společností a přechodu jejich jmění na</w:t>
      </w:r>
      <w:r w:rsidR="009D203E">
        <w:t> </w:t>
      </w:r>
      <w:r>
        <w:t>nástupnickou společnost, která vznikla v důsledku splynutí. Jedná se tedy o společnost, která před účinnou přeměnou neexistuje. Účelem vydávaného souhlasu s přeměnou má být mimo jiné posouzení, zda i při přechodu základního povolení na jinou společnost budou zaručeny podmínky řádného provozování hazardní hry a zda společnost, na kterou základní povolení přejde, bude splňovat podmínky pro jeho vydání stejně jako předchozí provozovatel hazardní hry. Právě forma přeměny však může mít vliv na to, jaké podklady může subjekt pro</w:t>
      </w:r>
      <w:r w:rsidR="009D203E">
        <w:t> </w:t>
      </w:r>
      <w:r>
        <w:t xml:space="preserve">rozhodování </w:t>
      </w:r>
      <w:r w:rsidRPr="00205745">
        <w:t>o</w:t>
      </w:r>
      <w:r>
        <w:t> </w:t>
      </w:r>
      <w:r w:rsidRPr="00205745">
        <w:t>udělení</w:t>
      </w:r>
      <w:r>
        <w:t xml:space="preserve"> souhlasu reálně doložit, respektive do jaké míry je schopen Ministerstvu financí doložit zajištění řádného provozování hazardních her u</w:t>
      </w:r>
      <w:r w:rsidR="009D203E">
        <w:t> </w:t>
      </w:r>
      <w:r>
        <w:t>nástupnické společnosti. V případě fúze splynutím totiž nástupnická společnost vzniká až účinností přeměny. K udělení souhlasu totiž musí být doloženy de facto téměř totožné podklady, jako kdyby nástupnická společnost žádala o udělení základního povolení. Výhodou zůstává, že nástupnická společnost může v provozu plynule pokračovat, může si tedy zachovat stávající klientelu a nemusí v důsledku přechodu vypořádá</w:t>
      </w:r>
      <w:r w:rsidR="002A3493">
        <w:t>vat vzniklá uživatelská konta a </w:t>
      </w:r>
      <w:r>
        <w:t xml:space="preserve">registrovat klienty znovu tak, jako by tomu bylo v případě zrušení a vydání zcela nového základního povolení. </w:t>
      </w:r>
    </w:p>
    <w:p w14:paraId="2746B2E3" w14:textId="44EFD538" w:rsidR="006B3B31" w:rsidRDefault="006B3B31" w:rsidP="002A3493">
      <w:r>
        <w:t>Dalším problematickým aspektem je absence formy udělení souhlasu v legislativní úpravě. S tím souvisí i absence úpravy podro</w:t>
      </w:r>
      <w:r w:rsidR="000A50E7">
        <w:t>bnějších požadavků kladených na </w:t>
      </w:r>
      <w:r>
        <w:t>nástupnickou společnost, které jsou správním orgánem dovozovány na základě jiných ustanovení povolovacího procesu s ohledem na smysl a účel dané právní úpravy. Nemělo by totiž opodstatnění, pokud by na nástupnickou společnost byly kladeny odlišné nároky než na provozovatele hazardní hry. Proces udělení souhlasu však může mít svá specifika oproti klasickému procesu vedení správního řízení o vydání základního povolení.</w:t>
      </w:r>
    </w:p>
    <w:p w14:paraId="5E4981EF" w14:textId="77777777" w:rsidR="006B3B31" w:rsidRDefault="006B3B31" w:rsidP="006B3B31">
      <w:pPr>
        <w:pStyle w:val="Nadpis7"/>
      </w:pPr>
      <w:r>
        <w:lastRenderedPageBreak/>
        <w:t>Varianta I. – Zachování současného stavu</w:t>
      </w:r>
    </w:p>
    <w:p w14:paraId="450A9500" w14:textId="77777777" w:rsidR="006B3B31" w:rsidRDefault="006B3B31" w:rsidP="006B3B31">
      <w:r>
        <w:t>Výhody:</w:t>
      </w:r>
    </w:p>
    <w:p w14:paraId="4202FF69" w14:textId="77777777" w:rsidR="006B3B31" w:rsidRDefault="006B3B31" w:rsidP="006B3B31">
      <w:r>
        <w:t>Úprava poskytuje širší prostor pro přizpůsobení procesu aktuálnímu vývoji z důvodu absence detailnosti.</w:t>
      </w:r>
    </w:p>
    <w:p w14:paraId="080D33E4" w14:textId="77777777" w:rsidR="006B3B31" w:rsidRDefault="006B3B31" w:rsidP="006B3B31">
      <w:r>
        <w:t>Nevýhody:</w:t>
      </w:r>
    </w:p>
    <w:p w14:paraId="7D8C7602" w14:textId="77777777" w:rsidR="006B3B31" w:rsidRDefault="006B3B31" w:rsidP="006B3B31">
      <w:r>
        <w:t>Nevýhodou je absence právní jistoty a předvídatelnosti postupu i podmínek kladených na nástupnickou společnost.</w:t>
      </w:r>
    </w:p>
    <w:p w14:paraId="1098362C" w14:textId="77777777" w:rsidR="006B3B31" w:rsidRDefault="006B3B31" w:rsidP="006B3B31">
      <w:pPr>
        <w:pStyle w:val="Nadpis7"/>
      </w:pPr>
      <w:r>
        <w:t>Varianta II. – Metodický pokyn zohledňující nastavenou správní praxi</w:t>
      </w:r>
    </w:p>
    <w:p w14:paraId="3A62EACF" w14:textId="77777777" w:rsidR="006B3B31" w:rsidRDefault="006B3B31" w:rsidP="006B3B31">
      <w:r>
        <w:t>Příprava metodického pokynu, který bude zohledňovat nastavenou správní praxi a problematické aspekty nastíněné shora.</w:t>
      </w:r>
    </w:p>
    <w:p w14:paraId="7FD6E335" w14:textId="77777777" w:rsidR="006B3B31" w:rsidRPr="00781C95" w:rsidRDefault="006B3B31" w:rsidP="006B3B31">
      <w:r w:rsidRPr="00781C95">
        <w:t>Výhody:</w:t>
      </w:r>
    </w:p>
    <w:p w14:paraId="71D76A8D" w14:textId="77777777" w:rsidR="006B3B31" w:rsidRPr="00781C95" w:rsidRDefault="006B3B31" w:rsidP="006B3B31">
      <w:r w:rsidRPr="00781C95">
        <w:t>Výhodou je možnost přizpůsobení daného procesu aktuálním podmínkám vývoje správní praxe bez nutnosti legislativního zásahu. Pokyn může zohledňovat větší míru podrobnosti, než by tomu bylo u legislativního řešení.</w:t>
      </w:r>
    </w:p>
    <w:p w14:paraId="701F9EA0" w14:textId="77777777" w:rsidR="006B3B31" w:rsidRPr="00781C95" w:rsidRDefault="006B3B31" w:rsidP="006B3B31">
      <w:r w:rsidRPr="00781C95">
        <w:t>Nevýhody:</w:t>
      </w:r>
    </w:p>
    <w:p w14:paraId="081566A0" w14:textId="54EFA7A6" w:rsidR="006B3B31" w:rsidRDefault="006B3B31" w:rsidP="006B3B31">
      <w:r w:rsidRPr="00781C95">
        <w:t xml:space="preserve">Při absenci výslovného zákonného podkladu mohou vznikat diskuze, zda není výkladem přistoupeno k extenzivnímu výkladu některých podmínek. Zároveň metodický pokyn prezentuje </w:t>
      </w:r>
      <w:r w:rsidR="00113174" w:rsidRPr="00781C95">
        <w:t xml:space="preserve">pouze </w:t>
      </w:r>
      <w:r w:rsidRPr="00781C95">
        <w:t>postoj správního orgánu a nemůže nikdy zcela nahradit výslovnou zákonnou úpravu.</w:t>
      </w:r>
    </w:p>
    <w:p w14:paraId="380EBD66" w14:textId="1DA4F186" w:rsidR="006B3B31" w:rsidRDefault="006B3B31" w:rsidP="006B3B31">
      <w:pPr>
        <w:pStyle w:val="Nadpis7"/>
      </w:pPr>
      <w:r>
        <w:t>Varianta III. – Stanovení konkr</w:t>
      </w:r>
      <w:r w:rsidR="00256B59">
        <w:t>étních forem přeměn do zákona o </w:t>
      </w:r>
      <w:r>
        <w:t>hazardních hrách</w:t>
      </w:r>
    </w:p>
    <w:p w14:paraId="2884D184" w14:textId="443A09A6" w:rsidR="006B3B31" w:rsidRDefault="006B3B31" w:rsidP="006B3B31">
      <w:r>
        <w:t>Legislativní úprava konkrétních forem přeměn, které jsou zákonem o hazardních hrách akceptovány, spolu s detailnější úpra</w:t>
      </w:r>
      <w:r w:rsidR="00256B59">
        <w:t>vou postupu vydávání souhlasu a </w:t>
      </w:r>
      <w:r>
        <w:t>specifikací požadavků kladených na nástupnickou společnost.</w:t>
      </w:r>
    </w:p>
    <w:p w14:paraId="0A66782B" w14:textId="77777777" w:rsidR="006B3B31" w:rsidRDefault="006B3B31" w:rsidP="006B3B31">
      <w:r>
        <w:t>Výhody:</w:t>
      </w:r>
    </w:p>
    <w:p w14:paraId="181CBA7A" w14:textId="77777777" w:rsidR="006B3B31" w:rsidRDefault="006B3B31" w:rsidP="006B3B31">
      <w:r>
        <w:t xml:space="preserve">Podstatnou výhodou zvolené varianty je předvídatelnější postup správního orgánu </w:t>
      </w:r>
      <w:r w:rsidRPr="00EF0B79">
        <w:t>a</w:t>
      </w:r>
      <w:r>
        <w:t> </w:t>
      </w:r>
      <w:r w:rsidRPr="00EF0B79">
        <w:t>explicitně</w:t>
      </w:r>
      <w:r>
        <w:t xml:space="preserve"> dané podmínky nepodléhající změnám a správnímu uvážení správního orgánu.</w:t>
      </w:r>
    </w:p>
    <w:p w14:paraId="212A9E48" w14:textId="77777777" w:rsidR="006B3B31" w:rsidRDefault="006B3B31" w:rsidP="006B3B31">
      <w:r>
        <w:t>Nevýhody:</w:t>
      </w:r>
    </w:p>
    <w:p w14:paraId="7B070054" w14:textId="77777777" w:rsidR="006B3B31" w:rsidRDefault="006B3B31" w:rsidP="006B3B31">
      <w:r>
        <w:t>Nevýhodou zvolené varianty může být přílišné svázání správní praxe zákonnou úpravou a nepružnost v případě změn právní úpravy přeměn. Na druhou stranu právní úpravu přeměn co do jednotlivých forem lze považovat za poměrně ustálenou.</w:t>
      </w:r>
    </w:p>
    <w:p w14:paraId="56A47DFE" w14:textId="77777777" w:rsidR="006B3B31" w:rsidRDefault="006B3B31" w:rsidP="006B3B31">
      <w:pPr>
        <w:pStyle w:val="Nadpis7"/>
      </w:pPr>
      <w:r>
        <w:t>Hodnocení variant</w:t>
      </w:r>
    </w:p>
    <w:p w14:paraId="7F824D44" w14:textId="24A1F606" w:rsidR="006B3B31" w:rsidRPr="000D11CD" w:rsidRDefault="006B3B31" w:rsidP="006B3B31">
      <w:r>
        <w:t xml:space="preserve">V kontextu popsaných výhod a nevýhod </w:t>
      </w:r>
      <w:r w:rsidR="00113174">
        <w:t>přichází v úvahu</w:t>
      </w:r>
      <w:r>
        <w:t xml:space="preserve"> jak varianta II., tak</w:t>
      </w:r>
      <w:r w:rsidR="00113174">
        <w:t> varianta </w:t>
      </w:r>
      <w:r>
        <w:t xml:space="preserve">III. </w:t>
      </w:r>
    </w:p>
    <w:p w14:paraId="44DB1B4B" w14:textId="77777777" w:rsidR="006B3B31" w:rsidRPr="00351D41" w:rsidRDefault="006B3B31" w:rsidP="00AF112D">
      <w:pPr>
        <w:pStyle w:val="Nadpis6"/>
      </w:pPr>
      <w:bookmarkStart w:id="52" w:name="_Toc73529694"/>
      <w:bookmarkStart w:id="53" w:name="_Toc73608985"/>
      <w:r w:rsidRPr="00351D41">
        <w:t>Požadavky na vlastní zdroje a průhledný a nezávadný původ zdrojů</w:t>
      </w:r>
      <w:bookmarkEnd w:id="52"/>
      <w:bookmarkEnd w:id="53"/>
    </w:p>
    <w:p w14:paraId="24B2F42C" w14:textId="2F157C0C" w:rsidR="006B3B31" w:rsidRPr="00351D41" w:rsidRDefault="00113174" w:rsidP="006B3B31">
      <w:r w:rsidRPr="00351D41">
        <w:t>V § 6 z</w:t>
      </w:r>
      <w:r w:rsidR="006B3B31" w:rsidRPr="00351D41">
        <w:t xml:space="preserve">ákon o hazardních hrách upravuje, kdo se může stát provozovatelem hazardních her, a to v návaznosti na určitý typ hazardní hry. Provozovatelem hazardní </w:t>
      </w:r>
      <w:r w:rsidR="006B3B31" w:rsidRPr="00351D41">
        <w:lastRenderedPageBreak/>
        <w:t>hry, s výjimkou turnaje malého rozsahu, může být kromě České republiky pouze právnická osoba, která má mimo jiné vlastní zdroje v minimální výši 2 mil. eur.</w:t>
      </w:r>
    </w:p>
    <w:p w14:paraId="004E135B" w14:textId="31CC80A9" w:rsidR="006B3B31" w:rsidRPr="00351D41" w:rsidRDefault="006B3B31" w:rsidP="006B3B31">
      <w:r w:rsidRPr="00351D41">
        <w:t>Současný zákon o hazardních hrách se oproti předchozí právní úpravě snažil zmírnit podmínku kladenou na provozovatele a rozvolnil vázanost prostředků v základním kapitálu na tzv. vlastní zdroje. Tento pojem však zákon o hazardních hrách nedefinuje a nedefinují ho ani právní předpisy upra</w:t>
      </w:r>
      <w:r w:rsidR="00113174" w:rsidRPr="00351D41">
        <w:t>vující účetnictví. S ohledem na </w:t>
      </w:r>
      <w:r w:rsidRPr="00351D41">
        <w:t>chybějící definici jsou v tomto případě vlastní zdroje pokládán</w:t>
      </w:r>
      <w:r w:rsidR="0067013C" w:rsidRPr="00351D41">
        <w:t>y na roveň vlastnímu kapitálu a </w:t>
      </w:r>
      <w:r w:rsidRPr="00351D41">
        <w:t xml:space="preserve">vychází se z ekonomického pojetí, </w:t>
      </w:r>
      <w:r w:rsidR="00113174" w:rsidRPr="00351D41">
        <w:t>podle kterého</w:t>
      </w:r>
      <w:r w:rsidRPr="00351D41">
        <w:t xml:space="preserve"> finanční struktura společnosti představuje podíl vlastních a cizích zdrojů, přičemž za vlastní zdroje se považuje právě vlastní kapitál, respektive položky, které jsou do něj zahrnuty podle právních předpisů upravující účetnictví. Pro potřeby uchopení vlastních zdrojů má vlastní kapitál představovat hlavní nosič podnikatelského rizika aneb uk</w:t>
      </w:r>
      <w:r w:rsidR="0067013C" w:rsidRPr="00351D41">
        <w:t>azatel finanční jistoty a </w:t>
      </w:r>
      <w:r w:rsidRPr="00351D41">
        <w:t>stability společnosti.</w:t>
      </w:r>
    </w:p>
    <w:p w14:paraId="4E493597" w14:textId="5DE47BCD" w:rsidR="006B3B31" w:rsidRPr="00351D41" w:rsidRDefault="006B3B31" w:rsidP="006B3B31">
      <w:r w:rsidRPr="00351D41">
        <w:t>Vlastní kapitál zahrnuje pestrou škálu položek a v </w:t>
      </w:r>
      <w:r w:rsidR="00113174" w:rsidRPr="00351D41">
        <w:t>podstatě každý účetní případ ve </w:t>
      </w:r>
      <w:r w:rsidRPr="00351D41">
        <w:t xml:space="preserve">svém výsledku ovlivňuje výši vlastního kapitálu k rozvahovému dni. Vlastní kapitál může být díky různým aktivitám jak vysoký (např. prostřednictvím majetku, finančních prostředků či cenných papírů), tak i nízký či dokonce záporný (např. díky značným závazkům či ztrátám, které si společnost přenáší do dalších let). Hodnota vlastního kapitálu tedy nemusí být vůbec statická. Ačkoli se současný systém snaží postavit svůj význam na finanční jistotě a stabilitě společnosti přes existenci určité výše vlastních zdrojů, resp. vlastního kapitálu, nemusí se vždy jednat o spolehlivý prostředek, který by tento kýžený efekt zajistil. Společnosti často navyšují vlastní kapitál jen </w:t>
      </w:r>
      <w:r w:rsidR="00113174" w:rsidRPr="00351D41">
        <w:t>za účelem</w:t>
      </w:r>
      <w:r w:rsidRPr="00351D41">
        <w:t xml:space="preserve"> splnění výše uvedené podmínky</w:t>
      </w:r>
      <w:r w:rsidR="009F6BB3" w:rsidRPr="00351D41">
        <w:t>. Činí tak</w:t>
      </w:r>
      <w:r w:rsidRPr="00351D41">
        <w:t xml:space="preserve"> za pomocí různých zákonem povolených operací v rámci korporátních sítí, záměrným navyšováním pohledávek, příplatkem mimo základní kapitál či zvyšováním základního kapitálu, přitom mohou mít výsledek hospodaření běžného účetního období a minulých let záporný, nemusí mít žádný dlouhodobý majetek a legislativou požadovaná</w:t>
      </w:r>
      <w:r w:rsidR="0067013C" w:rsidRPr="00351D41">
        <w:t xml:space="preserve"> hodnota tak zcela nevypovídá o </w:t>
      </w:r>
      <w:r w:rsidRPr="00351D41">
        <w:t>jejich stabilitě a finanční jistotě.</w:t>
      </w:r>
    </w:p>
    <w:p w14:paraId="6999D026" w14:textId="296400D7" w:rsidR="006B3B31" w:rsidRPr="00351D41" w:rsidRDefault="009F6BB3" w:rsidP="006B3B31">
      <w:r w:rsidRPr="00351D41">
        <w:t>V</w:t>
      </w:r>
      <w:r w:rsidR="006B3B31" w:rsidRPr="00351D41">
        <w:t xml:space="preserve">lastní kapitál </w:t>
      </w:r>
      <w:r w:rsidRPr="00351D41">
        <w:t xml:space="preserve">se </w:t>
      </w:r>
      <w:r w:rsidR="006B3B31" w:rsidRPr="00351D41">
        <w:t>nejčastěji prokazuje předložením účetní závěrky za bezprostředně předcházející účetní období či mezitímní účetní závěrkou. Pokud ovšem společnost žádá o získání základního povolení k provozování h</w:t>
      </w:r>
      <w:r w:rsidRPr="00351D41">
        <w:t>azardních her se zvětšujícím se </w:t>
      </w:r>
      <w:r w:rsidR="006B3B31" w:rsidRPr="00351D41">
        <w:t>odstupem od rozvahového dne předchozího účetního období</w:t>
      </w:r>
      <w:r w:rsidRPr="00351D41">
        <w:t>, její majetek a </w:t>
      </w:r>
      <w:r w:rsidR="006B3B31" w:rsidRPr="00351D41">
        <w:t>závazky, respektive finanční zdraví společnosti, může být rapid</w:t>
      </w:r>
      <w:r w:rsidRPr="00351D41">
        <w:t>ně odlišné, a to i </w:t>
      </w:r>
      <w:r w:rsidR="006B3B31" w:rsidRPr="00351D41">
        <w:t xml:space="preserve">s ohledem na to, že </w:t>
      </w:r>
      <w:r w:rsidRPr="00351D41">
        <w:t xml:space="preserve">v průběhu celého období </w:t>
      </w:r>
      <w:r w:rsidR="00256B59" w:rsidRPr="00351D41">
        <w:t>může docházet k prodeji či </w:t>
      </w:r>
      <w:r w:rsidR="006B3B31" w:rsidRPr="00351D41">
        <w:t xml:space="preserve">nákupu celého či části podniku. Rozvolněním původně nastavené vázané podmínky sice došlo k ulehčení pro vstup provozovatelů na trh, </w:t>
      </w:r>
      <w:r w:rsidR="006255CB" w:rsidRPr="00351D41">
        <w:t xml:space="preserve">způsobilo </w:t>
      </w:r>
      <w:r w:rsidR="006B3B31" w:rsidRPr="00351D41">
        <w:t>však jisté výkladové nejasnosti, které umožňují i nežádoucí operace</w:t>
      </w:r>
      <w:r w:rsidR="006C373E" w:rsidRPr="00351D41">
        <w:t>.</w:t>
      </w:r>
      <w:r w:rsidR="006255CB" w:rsidRPr="00351D41">
        <w:t xml:space="preserve"> Tyto operace jsou navíc ve </w:t>
      </w:r>
      <w:r w:rsidR="006B3B31" w:rsidRPr="00351D41">
        <w:t>spoj</w:t>
      </w:r>
      <w:r w:rsidR="006255CB" w:rsidRPr="00351D41">
        <w:t>ení</w:t>
      </w:r>
      <w:r w:rsidR="006B3B31" w:rsidRPr="00351D41">
        <w:t xml:space="preserve"> s  podmínkou průhledného a nezávadného původu zdrojů velmi obtížně ověřitelné.</w:t>
      </w:r>
    </w:p>
    <w:p w14:paraId="4CD3386A" w14:textId="66903D23" w:rsidR="006B3B31" w:rsidRPr="00351D41" w:rsidRDefault="006B3B31" w:rsidP="006B3B31">
      <w:r w:rsidRPr="00351D41">
        <w:t xml:space="preserve">Pro porovnání </w:t>
      </w:r>
      <w:r w:rsidR="000A21C0" w:rsidRPr="00351D41">
        <w:t xml:space="preserve">stávající právní úpravy </w:t>
      </w:r>
      <w:r w:rsidRPr="00351D41">
        <w:t>s jinými zeměmi byla vyhotovena analýza podmínek pro udělení licence k provozování</w:t>
      </w:r>
      <w:r w:rsidR="00256B59" w:rsidRPr="00351D41">
        <w:t xml:space="preserve"> hazardních her se zaměřením na </w:t>
      </w:r>
      <w:r w:rsidRPr="00351D41">
        <w:t xml:space="preserve">finanční, respektive ekonomické požadavky (viz </w:t>
      </w:r>
      <w:r w:rsidR="0067013C" w:rsidRPr="00351D41">
        <w:t>ta</w:t>
      </w:r>
      <w:r w:rsidRPr="00351D41">
        <w:t xml:space="preserve">bulka č. </w:t>
      </w:r>
      <w:r w:rsidR="0067013C" w:rsidRPr="00351D41">
        <w:t>2</w:t>
      </w:r>
      <w:r w:rsidRPr="00351D41">
        <w:t>)</w:t>
      </w:r>
      <w:r w:rsidR="00256B59" w:rsidRPr="00351D41">
        <w:t xml:space="preserve"> </w:t>
      </w:r>
      <w:r w:rsidR="00EF2922" w:rsidRPr="00351D41">
        <w:t>(dál</w:t>
      </w:r>
      <w:r w:rsidR="00256B59" w:rsidRPr="00351D41">
        <w:t>e</w:t>
      </w:r>
      <w:r w:rsidR="00EF2922" w:rsidRPr="00351D41">
        <w:t xml:space="preserve"> jen „Srovnání podmínek licencí“)</w:t>
      </w:r>
      <w:r w:rsidRPr="00351D41">
        <w:t xml:space="preserve">. </w:t>
      </w:r>
      <w:r w:rsidR="00F05F4C" w:rsidRPr="00351D41">
        <w:t xml:space="preserve">Srovnání podmínek </w:t>
      </w:r>
      <w:r w:rsidR="00EF2922" w:rsidRPr="00351D41">
        <w:t xml:space="preserve">licencí </w:t>
      </w:r>
      <w:r w:rsidRPr="00351D41">
        <w:t>byl</w:t>
      </w:r>
      <w:r w:rsidR="00F05F4C" w:rsidRPr="00351D41">
        <w:t>o</w:t>
      </w:r>
      <w:r w:rsidRPr="00351D41">
        <w:t xml:space="preserve"> proveden</w:t>
      </w:r>
      <w:r w:rsidR="00F05F4C" w:rsidRPr="00351D41">
        <w:t>o u</w:t>
      </w:r>
      <w:r w:rsidR="00021A93" w:rsidRPr="00351D41">
        <w:t> </w:t>
      </w:r>
      <w:r w:rsidRPr="00351D41">
        <w:t xml:space="preserve"> 16</w:t>
      </w:r>
      <w:r w:rsidR="00021A93" w:rsidRPr="00351D41">
        <w:t> </w:t>
      </w:r>
      <w:r w:rsidR="006C373E" w:rsidRPr="00351D41">
        <w:t>zemí</w:t>
      </w:r>
      <w:r w:rsidRPr="00351D41">
        <w:t xml:space="preserve"> (Albánie, Belgie, Dánsko, Finsko, Francie, Litva, Lotyšsko, Nizozemsko, Německo, Norsko, Polsko, Rakousko, Španělsko, Švédsko, Švýcarsko, Velká Británie). Předně je třeba upozornit na to, že 88 % sledovaných zemí má u některých druhů hazardních her zaveden státní monopol</w:t>
      </w:r>
      <w:r w:rsidR="00EF2922" w:rsidRPr="00351D41">
        <w:t>. T</w:t>
      </w:r>
      <w:r w:rsidRPr="00351D41">
        <w:t xml:space="preserve">ato skutečnost se potom projevuje v nižším zastoupení dále uvedených podmínek kladených na provozovatele hazardních her. Unikátní celoplošný státní monopol se vyskytuje ve Finsku. Finský systém je založen na </w:t>
      </w:r>
      <w:r w:rsidRPr="00351D41">
        <w:lastRenderedPageBreak/>
        <w:t>principu výlučných práv, jehož cílem je odpovědné provozování her a zmírňování možných rizik hazardních her, kdy se tímto systémem snaží v maximální míře zajistit právní ochranu osob zapojených do hazardních her a</w:t>
      </w:r>
      <w:r w:rsidR="00021A93" w:rsidRPr="00351D41">
        <w:t> </w:t>
      </w:r>
      <w:r w:rsidRPr="00351D41">
        <w:t xml:space="preserve"> předcházení podvodům souvisejících s hazardními hrami. Přesně opačným přístup zastává Litva a Albánie, které s ohledem na nastavené vstupní podmínky umožňují volný trh.</w:t>
      </w:r>
    </w:p>
    <w:p w14:paraId="5E2828F3" w14:textId="676DB786" w:rsidR="006B3B31" w:rsidRPr="00351D41" w:rsidRDefault="006B3B31" w:rsidP="006B3B31">
      <w:r w:rsidRPr="00351D41">
        <w:t>Z</w:t>
      </w:r>
      <w:r w:rsidR="00EF2922" w:rsidRPr="00351D41">
        <w:t>e Srovnání podmínek licencí</w:t>
      </w:r>
      <w:r w:rsidRPr="00351D41">
        <w:t xml:space="preserve"> vyplývá, že necelá polovina sledovaných zemí (44</w:t>
      </w:r>
      <w:r w:rsidR="00CA7096" w:rsidRPr="00351D41">
        <w:t xml:space="preserve"> </w:t>
      </w:r>
      <w:r w:rsidRPr="00351D41">
        <w:t>%) v současné době uplatňuje za jednu z nastavených podmínek přítomnost kapitálu, přičemž ve většině případů se jedná o požadavek na základní kapitál s tím, že</w:t>
      </w:r>
      <w:r w:rsidR="00EF2922" w:rsidRPr="00351D41">
        <w:t> </w:t>
      </w:r>
      <w:r w:rsidRPr="00351D41">
        <w:t xml:space="preserve">povinná výše základního kapitálu se liší podle typu hazardní hry. Odlišné hranice se často zdůvodňují </w:t>
      </w:r>
      <w:r w:rsidR="004E4434" w:rsidRPr="00351D41">
        <w:t>nižšími</w:t>
      </w:r>
      <w:r w:rsidRPr="00351D41">
        <w:t xml:space="preserve"> vklad</w:t>
      </w:r>
      <w:r w:rsidR="004E4434" w:rsidRPr="00351D41">
        <w:t>y</w:t>
      </w:r>
      <w:r w:rsidRPr="00351D41">
        <w:t xml:space="preserve"> </w:t>
      </w:r>
      <w:r w:rsidR="00302FDF">
        <w:t>účastníků hazardní hry</w:t>
      </w:r>
      <w:r w:rsidRPr="00351D41">
        <w:t xml:space="preserve"> či </w:t>
      </w:r>
      <w:r w:rsidR="004E4434" w:rsidRPr="00351D41">
        <w:t>nižšími výhrami</w:t>
      </w:r>
      <w:r w:rsidRPr="00351D41">
        <w:t xml:space="preserve"> oproti hrám s vyššími vklady anebo vyššími výhrami, u</w:t>
      </w:r>
      <w:r w:rsidR="00021A93" w:rsidRPr="00351D41">
        <w:t> </w:t>
      </w:r>
      <w:r w:rsidRPr="00351D41">
        <w:t xml:space="preserve"> nichž je pro zajištění případné vyšší ztráty požadována vyšší kapitálová vybavenost. </w:t>
      </w:r>
    </w:p>
    <w:p w14:paraId="45B7E870" w14:textId="643FC5AF" w:rsidR="006B3B31" w:rsidRPr="00351D41" w:rsidRDefault="006B3B31" w:rsidP="006B3B31">
      <w:r w:rsidRPr="00351D41">
        <w:t xml:space="preserve">Určitou formu finanční záruky (např. bankovní záruka, kauce, pojištění apod.) požaduje necelá polovina (44 %) sledovaných zemí, finanční záruka je u většiny zemí </w:t>
      </w:r>
      <w:r w:rsidR="004E4434" w:rsidRPr="00351D41">
        <w:t xml:space="preserve">doplňující </w:t>
      </w:r>
      <w:r w:rsidRPr="00351D41">
        <w:t>podmínkou k základnímu kapitálu, pouze v některých případech nahrazuje základní kapitál. Výše finanční záruky se stejně jako u kapitálu často liší podle druhu hazardní hry.</w:t>
      </w:r>
      <w:r w:rsidR="004E4434" w:rsidRPr="00351D41">
        <w:t xml:space="preserve"> </w:t>
      </w:r>
    </w:p>
    <w:p w14:paraId="3B5CFBB0" w14:textId="0263B88E" w:rsidR="006B3B31" w:rsidRPr="00351D41" w:rsidRDefault="006B3B31" w:rsidP="006B3B31">
      <w:r w:rsidRPr="00351D41">
        <w:t xml:space="preserve">U 50 % analyzovaných zemí je zastoupena podmínka finanční udržitelnosti, </w:t>
      </w:r>
      <w:r w:rsidR="004E4434" w:rsidRPr="00351D41">
        <w:t xml:space="preserve">dle které </w:t>
      </w:r>
      <w:r w:rsidRPr="00351D41">
        <w:t>na provoz podniku musí být vyčleněno dostatečné množství finančních prostředků. Některé země přímo nespecifikují pojem „dostatečné množství“ a posuzuj</w:t>
      </w:r>
      <w:r w:rsidR="004E4434" w:rsidRPr="00351D41">
        <w:t>í jej</w:t>
      </w:r>
      <w:r w:rsidRPr="00351D41">
        <w:t xml:space="preserve"> zcela individuálně. Některé země stanovují určitou výši finančních prostředků, které musí mít společnost na účtu, v pokladně, v hracím automatu</w:t>
      </w:r>
      <w:r w:rsidR="004E4434" w:rsidRPr="00351D41">
        <w:t>,</w:t>
      </w:r>
      <w:r w:rsidRPr="00351D41">
        <w:t xml:space="preserve"> nebo vloženy do státních cenných papírů, a tuto částku lze použít pouze na výplatu výher. Nároky na finanční udržitelnost se stejně jako u kapitálu a finanční záruky často liší podle typu hazardní hry. Podmínka finanční udržitelnosti je většinou stanovena u zemí, které nemají určen kapitálový požadavek anebo finanční záruku.  </w:t>
      </w:r>
    </w:p>
    <w:p w14:paraId="79305119" w14:textId="46ABC460" w:rsidR="006B3B31" w:rsidRPr="00351D41" w:rsidRDefault="006B3B31" w:rsidP="006B3B31">
      <w:r w:rsidRPr="00351D41">
        <w:t>Podmínku schopnosti vyplacení výher nastavilo Dánsko a u některých hazardních her i Švýcarsko. Jakým způsobem se podmínka dokládá, již není specifikováno. V případě Dánska je podmínka doplněna požadavkem na finanční udržitelnost a</w:t>
      </w:r>
      <w:r w:rsidR="00021A93" w:rsidRPr="00351D41">
        <w:t> </w:t>
      </w:r>
      <w:r w:rsidRPr="00351D41">
        <w:t xml:space="preserve"> u</w:t>
      </w:r>
      <w:r w:rsidR="00021A93" w:rsidRPr="00351D41">
        <w:t> </w:t>
      </w:r>
      <w:r w:rsidRPr="00351D41">
        <w:t xml:space="preserve"> některých druhů hazardních her může být vyžadována i bankovní záruka.</w:t>
      </w:r>
    </w:p>
    <w:p w14:paraId="4DA414D5" w14:textId="77777777" w:rsidR="006B3B31" w:rsidRPr="00351D41" w:rsidRDefault="006B3B31" w:rsidP="006B3B31">
      <w:r w:rsidRPr="00351D41">
        <w:t>Některé země (38 %) mají nastavenou podmínku doložení ekonomického plánu, finančního plánu, podnikatelského plánu, anebo plánu ziskovosti. Žadatelé o licenci prokazují, jakým způsobem zajistí splnění svých závazků plynoucích z provozu hazardních her, dokládají plán budoucího vývoje, ekonomické a finanční predikce, způsob financování provozu, plánované investice apod., čímž se snaží prokázat svoji ekonomickou a finanční solventnost.</w:t>
      </w:r>
    </w:p>
    <w:p w14:paraId="2AC006D2" w14:textId="60BA862D" w:rsidR="006B3B31" w:rsidRPr="00351D41" w:rsidRDefault="006B3B31" w:rsidP="006B3B31">
      <w:r w:rsidRPr="00351D41">
        <w:t>V celkovém souhrnu se nedá říci, že by převaž</w:t>
      </w:r>
      <w:r w:rsidR="00FC1BB3" w:rsidRPr="00351D41">
        <w:t>ovala jedna podmínka u všech či </w:t>
      </w:r>
      <w:r w:rsidRPr="00351D41">
        <w:t xml:space="preserve">většiny zemí. S ohledem na to, že podmínky pro provozování hazardních her nejsou upraveny na úrovni Evropské unie, </w:t>
      </w:r>
      <w:r w:rsidR="00FC1BB3" w:rsidRPr="00351D41">
        <w:t xml:space="preserve">má </w:t>
      </w:r>
      <w:r w:rsidRPr="00351D41">
        <w:t>většina zemí stanoveny své vlastní specifické podmínky, které se často liší i v jednot</w:t>
      </w:r>
      <w:r w:rsidR="00256B59" w:rsidRPr="00351D41">
        <w:t>livých částech dané země (např. </w:t>
      </w:r>
      <w:r w:rsidRPr="00351D41">
        <w:t>v Německu, Rakousku či Španělsku).</w:t>
      </w:r>
    </w:p>
    <w:p w14:paraId="23D27F28" w14:textId="77777777" w:rsidR="006B3B31" w:rsidRPr="00351D41" w:rsidRDefault="006B3B31" w:rsidP="006B3B31">
      <w:pPr>
        <w:spacing w:after="0"/>
        <w:rPr>
          <w:rFonts w:ascii="Calibri" w:eastAsia="Times New Roman" w:hAnsi="Calibri" w:cs="Calibri"/>
          <w:b/>
          <w:bCs/>
          <w:color w:val="000000"/>
          <w:lang w:eastAsia="cs-CZ"/>
        </w:rPr>
        <w:sectPr w:rsidR="006B3B31" w:rsidRPr="00351D41" w:rsidSect="00DF0790">
          <w:headerReference w:type="default" r:id="rId9"/>
          <w:footerReference w:type="default" r:id="rId10"/>
          <w:pgSz w:w="11906" w:h="16838" w:code="9"/>
          <w:pgMar w:top="1418" w:right="1418" w:bottom="1418" w:left="1418" w:header="709" w:footer="709" w:gutter="0"/>
          <w:cols w:space="708"/>
          <w:docGrid w:linePitch="360"/>
        </w:sectPr>
      </w:pPr>
    </w:p>
    <w:p w14:paraId="5D64E557" w14:textId="66115E04" w:rsidR="006B3B31" w:rsidRPr="00351D41" w:rsidRDefault="006B3B31" w:rsidP="006B3B31">
      <w:pPr>
        <w:pStyle w:val="Titulek"/>
        <w:keepNext/>
      </w:pPr>
    </w:p>
    <w:p w14:paraId="505F0133" w14:textId="0817029A" w:rsidR="0067013C" w:rsidRPr="00351D41" w:rsidRDefault="0067013C" w:rsidP="0067013C">
      <w:pPr>
        <w:pStyle w:val="Titulek"/>
        <w:keepNext/>
      </w:pPr>
      <w:bookmarkStart w:id="54" w:name="_Toc71631135"/>
      <w:bookmarkStart w:id="55" w:name="_Toc73529536"/>
      <w:r w:rsidRPr="00351D41">
        <w:t xml:space="preserve">Tabulka č. </w:t>
      </w:r>
      <w:r w:rsidR="00F32808">
        <w:fldChar w:fldCharType="begin"/>
      </w:r>
      <w:r w:rsidR="00F32808">
        <w:instrText xml:space="preserve"> S</w:instrText>
      </w:r>
      <w:r w:rsidR="00F32808">
        <w:instrText xml:space="preserve">EQ Tabulka_č. \* ARABIC </w:instrText>
      </w:r>
      <w:r w:rsidR="00F32808">
        <w:fldChar w:fldCharType="separate"/>
      </w:r>
      <w:r w:rsidR="00C1553D">
        <w:rPr>
          <w:noProof/>
        </w:rPr>
        <w:t>2</w:t>
      </w:r>
      <w:r w:rsidR="00F32808">
        <w:rPr>
          <w:noProof/>
        </w:rPr>
        <w:fldChar w:fldCharType="end"/>
      </w:r>
      <w:r w:rsidRPr="00351D41">
        <w:t>: Komparace podmínek pro udělení licence k provozování hazardních her se zaměřením na finanční, respektive ekonomické požadavky</w:t>
      </w:r>
      <w:bookmarkEnd w:id="54"/>
      <w:bookmarkEnd w:id="55"/>
    </w:p>
    <w:tbl>
      <w:tblPr>
        <w:tblW w:w="5296" w:type="pct"/>
        <w:tblLayout w:type="fixed"/>
        <w:tblCellMar>
          <w:left w:w="70" w:type="dxa"/>
          <w:right w:w="70" w:type="dxa"/>
        </w:tblCellMar>
        <w:tblLook w:val="04A0" w:firstRow="1" w:lastRow="0" w:firstColumn="1" w:lastColumn="0" w:noHBand="0" w:noVBand="1"/>
      </w:tblPr>
      <w:tblGrid>
        <w:gridCol w:w="1706"/>
        <w:gridCol w:w="2078"/>
        <w:gridCol w:w="1633"/>
        <w:gridCol w:w="1782"/>
        <w:gridCol w:w="1785"/>
        <w:gridCol w:w="1930"/>
        <w:gridCol w:w="1785"/>
        <w:gridCol w:w="2123"/>
      </w:tblGrid>
      <w:tr w:rsidR="006B3B31" w:rsidRPr="00351D41" w14:paraId="679180D9" w14:textId="77777777" w:rsidTr="00CA7096">
        <w:trPr>
          <w:trHeight w:val="554"/>
        </w:trPr>
        <w:tc>
          <w:tcPr>
            <w:tcW w:w="576" w:type="pct"/>
            <w:vMerge w:val="restart"/>
            <w:tcBorders>
              <w:top w:val="single" w:sz="4" w:space="0" w:color="auto"/>
              <w:left w:val="single" w:sz="4" w:space="0" w:color="auto"/>
              <w:bottom w:val="single" w:sz="4" w:space="0" w:color="000000"/>
              <w:right w:val="single" w:sz="4" w:space="0" w:color="auto"/>
            </w:tcBorders>
            <w:shd w:val="clear" w:color="000000" w:fill="BDD7EE"/>
            <w:noWrap/>
            <w:vAlign w:val="center"/>
            <w:hideMark/>
          </w:tcPr>
          <w:p w14:paraId="02BF2336" w14:textId="77777777" w:rsidR="006B3B31" w:rsidRPr="00351D41" w:rsidRDefault="006B3B31" w:rsidP="00DF0790">
            <w:pPr>
              <w:spacing w:after="0"/>
              <w:rPr>
                <w:rFonts w:eastAsia="Times New Roman" w:cs="Arial"/>
                <w:b/>
                <w:bCs/>
                <w:color w:val="000000"/>
                <w:lang w:eastAsia="cs-CZ"/>
              </w:rPr>
            </w:pPr>
            <w:r w:rsidRPr="00351D41">
              <w:rPr>
                <w:rFonts w:eastAsia="Times New Roman" w:cs="Arial"/>
                <w:b/>
                <w:bCs/>
                <w:color w:val="000000"/>
                <w:lang w:eastAsia="cs-CZ"/>
              </w:rPr>
              <w:t>Země</w:t>
            </w:r>
          </w:p>
        </w:tc>
        <w:tc>
          <w:tcPr>
            <w:tcW w:w="701" w:type="pct"/>
            <w:vMerge w:val="restart"/>
            <w:tcBorders>
              <w:top w:val="single" w:sz="4" w:space="0" w:color="auto"/>
              <w:left w:val="single" w:sz="4" w:space="0" w:color="auto"/>
              <w:bottom w:val="single" w:sz="4" w:space="0" w:color="000000"/>
              <w:right w:val="single" w:sz="4" w:space="0" w:color="auto"/>
            </w:tcBorders>
            <w:shd w:val="clear" w:color="000000" w:fill="BDD7EE"/>
            <w:vAlign w:val="center"/>
            <w:hideMark/>
          </w:tcPr>
          <w:p w14:paraId="79B6719B"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Monopol na provoz hazardních her</w:t>
            </w:r>
          </w:p>
        </w:tc>
        <w:tc>
          <w:tcPr>
            <w:tcW w:w="3723" w:type="pct"/>
            <w:gridSpan w:val="6"/>
            <w:tcBorders>
              <w:top w:val="single" w:sz="4" w:space="0" w:color="auto"/>
              <w:left w:val="nil"/>
              <w:bottom w:val="single" w:sz="4" w:space="0" w:color="auto"/>
              <w:right w:val="single" w:sz="4" w:space="0" w:color="auto"/>
            </w:tcBorders>
            <w:shd w:val="clear" w:color="000000" w:fill="BDD7EE"/>
            <w:noWrap/>
            <w:vAlign w:val="center"/>
            <w:hideMark/>
          </w:tcPr>
          <w:p w14:paraId="673140D8"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Vybrané podmínky pro udělení licence k provozování hazardních her se zaměřením na finanční/ekonomickou stránku</w:t>
            </w:r>
          </w:p>
        </w:tc>
      </w:tr>
      <w:tr w:rsidR="006B3B31" w:rsidRPr="00351D41" w14:paraId="25E78F56" w14:textId="77777777" w:rsidTr="00CA7096">
        <w:trPr>
          <w:trHeight w:val="864"/>
        </w:trPr>
        <w:tc>
          <w:tcPr>
            <w:tcW w:w="576" w:type="pct"/>
            <w:vMerge/>
            <w:tcBorders>
              <w:top w:val="single" w:sz="4" w:space="0" w:color="auto"/>
              <w:left w:val="single" w:sz="4" w:space="0" w:color="auto"/>
              <w:bottom w:val="single" w:sz="4" w:space="0" w:color="000000"/>
              <w:right w:val="single" w:sz="4" w:space="0" w:color="auto"/>
            </w:tcBorders>
            <w:vAlign w:val="center"/>
            <w:hideMark/>
          </w:tcPr>
          <w:p w14:paraId="5408F1A1" w14:textId="77777777" w:rsidR="006B3B31" w:rsidRPr="00351D41" w:rsidRDefault="006B3B31" w:rsidP="00DF0790">
            <w:pPr>
              <w:spacing w:after="0"/>
              <w:rPr>
                <w:rFonts w:eastAsia="Times New Roman" w:cs="Arial"/>
                <w:b/>
                <w:bCs/>
                <w:color w:val="000000"/>
                <w:lang w:eastAsia="cs-CZ"/>
              </w:rPr>
            </w:pPr>
          </w:p>
        </w:tc>
        <w:tc>
          <w:tcPr>
            <w:tcW w:w="701" w:type="pct"/>
            <w:vMerge/>
            <w:tcBorders>
              <w:top w:val="single" w:sz="4" w:space="0" w:color="auto"/>
              <w:left w:val="single" w:sz="4" w:space="0" w:color="auto"/>
              <w:bottom w:val="single" w:sz="4" w:space="0" w:color="000000"/>
              <w:right w:val="single" w:sz="4" w:space="0" w:color="auto"/>
            </w:tcBorders>
            <w:vAlign w:val="center"/>
            <w:hideMark/>
          </w:tcPr>
          <w:p w14:paraId="762A7D6F" w14:textId="77777777" w:rsidR="006B3B31" w:rsidRPr="00351D41" w:rsidRDefault="006B3B31" w:rsidP="00DF0790">
            <w:pPr>
              <w:spacing w:after="0"/>
              <w:rPr>
                <w:rFonts w:eastAsia="Times New Roman" w:cs="Arial"/>
                <w:b/>
                <w:bCs/>
                <w:color w:val="000000"/>
                <w:lang w:eastAsia="cs-CZ"/>
              </w:rPr>
            </w:pPr>
          </w:p>
        </w:tc>
        <w:tc>
          <w:tcPr>
            <w:tcW w:w="551" w:type="pct"/>
            <w:tcBorders>
              <w:top w:val="nil"/>
              <w:left w:val="nil"/>
              <w:bottom w:val="single" w:sz="4" w:space="0" w:color="auto"/>
              <w:right w:val="single" w:sz="4" w:space="0" w:color="auto"/>
            </w:tcBorders>
            <w:shd w:val="clear" w:color="000000" w:fill="BDD7EE"/>
            <w:vAlign w:val="center"/>
            <w:hideMark/>
          </w:tcPr>
          <w:p w14:paraId="571B0442"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Vyžadována určitá forma společnosti</w:t>
            </w:r>
          </w:p>
        </w:tc>
        <w:tc>
          <w:tcPr>
            <w:tcW w:w="601" w:type="pct"/>
            <w:tcBorders>
              <w:top w:val="nil"/>
              <w:left w:val="nil"/>
              <w:bottom w:val="single" w:sz="4" w:space="0" w:color="auto"/>
              <w:right w:val="single" w:sz="4" w:space="0" w:color="auto"/>
            </w:tcBorders>
            <w:shd w:val="clear" w:color="000000" w:fill="BDD7EE"/>
            <w:noWrap/>
            <w:vAlign w:val="center"/>
            <w:hideMark/>
          </w:tcPr>
          <w:p w14:paraId="427F3869"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Kapitál</w:t>
            </w:r>
          </w:p>
        </w:tc>
        <w:tc>
          <w:tcPr>
            <w:tcW w:w="602" w:type="pct"/>
            <w:tcBorders>
              <w:top w:val="nil"/>
              <w:left w:val="nil"/>
              <w:bottom w:val="single" w:sz="4" w:space="0" w:color="auto"/>
              <w:right w:val="single" w:sz="4" w:space="0" w:color="auto"/>
            </w:tcBorders>
            <w:shd w:val="clear" w:color="000000" w:fill="BDD7EE"/>
            <w:noWrap/>
            <w:vAlign w:val="center"/>
            <w:hideMark/>
          </w:tcPr>
          <w:p w14:paraId="25A3E538"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Finanční záruka</w:t>
            </w:r>
          </w:p>
        </w:tc>
        <w:tc>
          <w:tcPr>
            <w:tcW w:w="651" w:type="pct"/>
            <w:tcBorders>
              <w:top w:val="nil"/>
              <w:left w:val="nil"/>
              <w:bottom w:val="single" w:sz="4" w:space="0" w:color="auto"/>
              <w:right w:val="single" w:sz="4" w:space="0" w:color="auto"/>
            </w:tcBorders>
            <w:shd w:val="clear" w:color="000000" w:fill="BDD7EE"/>
            <w:vAlign w:val="center"/>
            <w:hideMark/>
          </w:tcPr>
          <w:p w14:paraId="1B9D5D5A"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Finanční udržitelnost</w:t>
            </w:r>
            <w:r w:rsidRPr="00351D41">
              <w:rPr>
                <w:rStyle w:val="Znakapoznpodarou"/>
                <w:rFonts w:eastAsia="Times New Roman" w:cs="Arial"/>
                <w:b/>
                <w:bCs/>
                <w:color w:val="000000"/>
                <w:lang w:eastAsia="cs-CZ"/>
              </w:rPr>
              <w:footnoteReference w:id="17"/>
            </w:r>
          </w:p>
        </w:tc>
        <w:tc>
          <w:tcPr>
            <w:tcW w:w="602" w:type="pct"/>
            <w:tcBorders>
              <w:top w:val="nil"/>
              <w:left w:val="nil"/>
              <w:bottom w:val="single" w:sz="4" w:space="0" w:color="auto"/>
              <w:right w:val="single" w:sz="4" w:space="0" w:color="auto"/>
            </w:tcBorders>
            <w:shd w:val="clear" w:color="000000" w:fill="BDD7EE"/>
            <w:vAlign w:val="center"/>
            <w:hideMark/>
          </w:tcPr>
          <w:p w14:paraId="7F130E86"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Schopnost vyplatit potenciální výhry</w:t>
            </w:r>
          </w:p>
        </w:tc>
        <w:tc>
          <w:tcPr>
            <w:tcW w:w="715" w:type="pct"/>
            <w:tcBorders>
              <w:top w:val="nil"/>
              <w:left w:val="nil"/>
              <w:bottom w:val="single" w:sz="4" w:space="0" w:color="auto"/>
              <w:right w:val="single" w:sz="4" w:space="0" w:color="auto"/>
            </w:tcBorders>
            <w:shd w:val="clear" w:color="000000" w:fill="BDD7EE"/>
            <w:vAlign w:val="center"/>
            <w:hideMark/>
          </w:tcPr>
          <w:p w14:paraId="192119CD" w14:textId="77777777" w:rsidR="006B3B31" w:rsidRPr="00351D41" w:rsidRDefault="006B3B31" w:rsidP="00DF0790">
            <w:pPr>
              <w:spacing w:after="0"/>
              <w:jc w:val="center"/>
              <w:rPr>
                <w:rFonts w:eastAsia="Times New Roman" w:cs="Arial"/>
                <w:b/>
                <w:bCs/>
                <w:color w:val="000000"/>
                <w:lang w:eastAsia="cs-CZ"/>
              </w:rPr>
            </w:pPr>
            <w:r w:rsidRPr="00351D41">
              <w:rPr>
                <w:rFonts w:eastAsia="Times New Roman" w:cs="Arial"/>
                <w:b/>
                <w:bCs/>
                <w:color w:val="000000"/>
                <w:lang w:eastAsia="cs-CZ"/>
              </w:rPr>
              <w:t xml:space="preserve">Ekonomický a finanční plán / plán ziskovosti </w:t>
            </w:r>
          </w:p>
        </w:tc>
      </w:tr>
      <w:tr w:rsidR="006B3B31" w:rsidRPr="00351D41" w14:paraId="6542EE9B" w14:textId="77777777" w:rsidTr="00CA7096">
        <w:trPr>
          <w:trHeight w:val="288"/>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3F72A31E" w14:textId="77777777" w:rsidR="006B3B31" w:rsidRPr="00351D41" w:rsidRDefault="00F32808" w:rsidP="00DF0790">
            <w:pPr>
              <w:spacing w:after="0"/>
              <w:rPr>
                <w:rFonts w:eastAsia="Times New Roman" w:cs="Arial"/>
                <w:bCs/>
                <w:lang w:eastAsia="cs-CZ"/>
              </w:rPr>
            </w:pPr>
            <w:hyperlink r:id="rId11" w:anchor="Albánie!A1" w:history="1">
              <w:r w:rsidR="006B3B31" w:rsidRPr="00351D41">
                <w:rPr>
                  <w:rFonts w:eastAsia="Times New Roman" w:cs="Arial"/>
                  <w:b/>
                  <w:bCs/>
                  <w:lang w:eastAsia="cs-CZ"/>
                </w:rPr>
                <w:t>Albánie</w:t>
              </w:r>
            </w:hyperlink>
            <w:r w:rsidR="006B3B31" w:rsidRPr="00351D41">
              <w:rPr>
                <w:rFonts w:eastAsia="Times New Roman" w:cs="Arial"/>
                <w:b/>
                <w:bCs/>
                <w:lang w:eastAsia="cs-CZ"/>
              </w:rPr>
              <w:t xml:space="preserve"> </w:t>
            </w:r>
          </w:p>
        </w:tc>
        <w:tc>
          <w:tcPr>
            <w:tcW w:w="701" w:type="pct"/>
            <w:tcBorders>
              <w:top w:val="nil"/>
              <w:left w:val="nil"/>
              <w:bottom w:val="single" w:sz="4" w:space="0" w:color="auto"/>
              <w:right w:val="single" w:sz="4" w:space="0" w:color="auto"/>
            </w:tcBorders>
            <w:shd w:val="clear" w:color="auto" w:fill="auto"/>
            <w:vAlign w:val="center"/>
            <w:hideMark/>
          </w:tcPr>
          <w:p w14:paraId="2BE89DA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551" w:type="pct"/>
            <w:tcBorders>
              <w:top w:val="nil"/>
              <w:left w:val="nil"/>
              <w:bottom w:val="single" w:sz="4" w:space="0" w:color="auto"/>
              <w:right w:val="single" w:sz="4" w:space="0" w:color="auto"/>
            </w:tcBorders>
            <w:shd w:val="clear" w:color="auto" w:fill="auto"/>
            <w:vAlign w:val="center"/>
            <w:hideMark/>
          </w:tcPr>
          <w:p w14:paraId="15F5BF4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(a.s.)</w:t>
            </w:r>
          </w:p>
        </w:tc>
        <w:tc>
          <w:tcPr>
            <w:tcW w:w="601" w:type="pct"/>
            <w:tcBorders>
              <w:top w:val="nil"/>
              <w:left w:val="nil"/>
              <w:bottom w:val="single" w:sz="4" w:space="0" w:color="auto"/>
              <w:right w:val="single" w:sz="4" w:space="0" w:color="auto"/>
            </w:tcBorders>
            <w:shd w:val="clear" w:color="auto" w:fill="auto"/>
            <w:vAlign w:val="center"/>
            <w:hideMark/>
          </w:tcPr>
          <w:p w14:paraId="0FB7E0E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02" w:type="pct"/>
            <w:tcBorders>
              <w:top w:val="nil"/>
              <w:left w:val="nil"/>
              <w:bottom w:val="single" w:sz="4" w:space="0" w:color="auto"/>
              <w:right w:val="single" w:sz="4" w:space="0" w:color="auto"/>
            </w:tcBorders>
            <w:shd w:val="clear" w:color="auto" w:fill="auto"/>
            <w:vAlign w:val="center"/>
            <w:hideMark/>
          </w:tcPr>
          <w:p w14:paraId="1C3CF802"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6A032DA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16FA6F9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20973E6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6B55DB19" w14:textId="77777777" w:rsidTr="00CA7096">
        <w:trPr>
          <w:trHeight w:val="288"/>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53C898AF" w14:textId="77777777" w:rsidR="006B3B31" w:rsidRPr="00351D41" w:rsidRDefault="00F32808" w:rsidP="00DF0790">
            <w:pPr>
              <w:spacing w:after="0"/>
              <w:rPr>
                <w:rFonts w:eastAsia="Times New Roman" w:cs="Arial"/>
                <w:b/>
                <w:bCs/>
                <w:lang w:eastAsia="cs-CZ"/>
              </w:rPr>
            </w:pPr>
            <w:hyperlink r:id="rId12" w:anchor="Belgie!A1" w:history="1">
              <w:r w:rsidR="006B3B31" w:rsidRPr="00351D41">
                <w:rPr>
                  <w:rFonts w:eastAsia="Times New Roman" w:cs="Arial"/>
                  <w:b/>
                  <w:bCs/>
                  <w:lang w:eastAsia="cs-CZ"/>
                </w:rPr>
                <w:t>Belgie</w:t>
              </w:r>
            </w:hyperlink>
          </w:p>
        </w:tc>
        <w:tc>
          <w:tcPr>
            <w:tcW w:w="701" w:type="pct"/>
            <w:tcBorders>
              <w:top w:val="nil"/>
              <w:left w:val="nil"/>
              <w:bottom w:val="single" w:sz="4" w:space="0" w:color="auto"/>
              <w:right w:val="single" w:sz="4" w:space="0" w:color="auto"/>
            </w:tcBorders>
            <w:shd w:val="clear" w:color="auto" w:fill="auto"/>
            <w:vAlign w:val="center"/>
            <w:hideMark/>
          </w:tcPr>
          <w:p w14:paraId="51964C63"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loterií</w:t>
            </w:r>
          </w:p>
        </w:tc>
        <w:tc>
          <w:tcPr>
            <w:tcW w:w="551" w:type="pct"/>
            <w:tcBorders>
              <w:top w:val="nil"/>
              <w:left w:val="nil"/>
              <w:bottom w:val="single" w:sz="4" w:space="0" w:color="auto"/>
              <w:right w:val="single" w:sz="4" w:space="0" w:color="auto"/>
            </w:tcBorders>
            <w:shd w:val="clear" w:color="auto" w:fill="auto"/>
            <w:vAlign w:val="center"/>
            <w:hideMark/>
          </w:tcPr>
          <w:p w14:paraId="0DFD518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4A2C65AE"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2445974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1CCA7609"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1E1F03EC"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26E6479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03B4DEC8"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57C34D76" w14:textId="77777777" w:rsidR="006B3B31" w:rsidRPr="00351D41" w:rsidRDefault="00F32808" w:rsidP="00DF0790">
            <w:pPr>
              <w:spacing w:after="0"/>
              <w:rPr>
                <w:rFonts w:eastAsia="Times New Roman" w:cs="Arial"/>
                <w:b/>
                <w:bCs/>
                <w:lang w:eastAsia="cs-CZ"/>
              </w:rPr>
            </w:pPr>
            <w:hyperlink r:id="rId13" w:anchor="Dánsko!A1" w:history="1">
              <w:r w:rsidR="006B3B31" w:rsidRPr="00351D41">
                <w:rPr>
                  <w:rFonts w:eastAsia="Times New Roman" w:cs="Arial"/>
                  <w:b/>
                  <w:bCs/>
                  <w:lang w:eastAsia="cs-CZ"/>
                </w:rPr>
                <w:t>Dánsko</w:t>
              </w:r>
            </w:hyperlink>
          </w:p>
        </w:tc>
        <w:tc>
          <w:tcPr>
            <w:tcW w:w="701" w:type="pct"/>
            <w:tcBorders>
              <w:top w:val="nil"/>
              <w:left w:val="nil"/>
              <w:bottom w:val="single" w:sz="4" w:space="0" w:color="auto"/>
              <w:right w:val="single" w:sz="4" w:space="0" w:color="auto"/>
            </w:tcBorders>
            <w:shd w:val="clear" w:color="auto" w:fill="auto"/>
            <w:vAlign w:val="center"/>
            <w:hideMark/>
          </w:tcPr>
          <w:p w14:paraId="7A7F799C"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07695C66"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700A58F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580315F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651" w:type="pct"/>
            <w:tcBorders>
              <w:top w:val="nil"/>
              <w:left w:val="nil"/>
              <w:bottom w:val="single" w:sz="4" w:space="0" w:color="auto"/>
              <w:right w:val="single" w:sz="4" w:space="0" w:color="auto"/>
            </w:tcBorders>
            <w:shd w:val="clear" w:color="auto" w:fill="auto"/>
            <w:vAlign w:val="center"/>
            <w:hideMark/>
          </w:tcPr>
          <w:p w14:paraId="096EFE8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02" w:type="pct"/>
            <w:tcBorders>
              <w:top w:val="nil"/>
              <w:left w:val="nil"/>
              <w:bottom w:val="single" w:sz="4" w:space="0" w:color="auto"/>
              <w:right w:val="single" w:sz="4" w:space="0" w:color="auto"/>
            </w:tcBorders>
            <w:shd w:val="clear" w:color="auto" w:fill="auto"/>
            <w:vAlign w:val="center"/>
            <w:hideMark/>
          </w:tcPr>
          <w:p w14:paraId="02281BD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715" w:type="pct"/>
            <w:tcBorders>
              <w:top w:val="nil"/>
              <w:left w:val="nil"/>
              <w:bottom w:val="single" w:sz="4" w:space="0" w:color="auto"/>
              <w:right w:val="single" w:sz="4" w:space="0" w:color="auto"/>
            </w:tcBorders>
            <w:shd w:val="clear" w:color="auto" w:fill="auto"/>
            <w:vAlign w:val="center"/>
            <w:hideMark/>
          </w:tcPr>
          <w:p w14:paraId="57C034C2"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r>
      <w:tr w:rsidR="006B3B31" w:rsidRPr="00351D41" w14:paraId="526FDFEA" w14:textId="77777777" w:rsidTr="00CA7096">
        <w:trPr>
          <w:trHeight w:val="288"/>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4CD36324" w14:textId="77777777" w:rsidR="006B3B31" w:rsidRPr="00351D41" w:rsidRDefault="00F32808" w:rsidP="00DF0790">
            <w:pPr>
              <w:spacing w:after="0"/>
              <w:rPr>
                <w:rFonts w:eastAsia="Times New Roman" w:cs="Arial"/>
                <w:b/>
                <w:bCs/>
                <w:lang w:eastAsia="cs-CZ"/>
              </w:rPr>
            </w:pPr>
            <w:hyperlink r:id="rId14" w:anchor="Finsko!A1" w:history="1">
              <w:r w:rsidR="006B3B31" w:rsidRPr="00351D41">
                <w:rPr>
                  <w:rFonts w:eastAsia="Times New Roman" w:cs="Arial"/>
                  <w:b/>
                  <w:bCs/>
                  <w:lang w:eastAsia="cs-CZ"/>
                </w:rPr>
                <w:t>Finsko</w:t>
              </w:r>
            </w:hyperlink>
          </w:p>
        </w:tc>
        <w:tc>
          <w:tcPr>
            <w:tcW w:w="701" w:type="pct"/>
            <w:tcBorders>
              <w:top w:val="nil"/>
              <w:left w:val="nil"/>
              <w:bottom w:val="single" w:sz="4" w:space="0" w:color="auto"/>
              <w:right w:val="single" w:sz="4" w:space="0" w:color="auto"/>
            </w:tcBorders>
            <w:shd w:val="clear" w:color="auto" w:fill="auto"/>
            <w:vAlign w:val="center"/>
            <w:hideMark/>
          </w:tcPr>
          <w:p w14:paraId="648F36A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551" w:type="pct"/>
            <w:tcBorders>
              <w:top w:val="nil"/>
              <w:left w:val="nil"/>
              <w:bottom w:val="single" w:sz="4" w:space="0" w:color="auto"/>
              <w:right w:val="single" w:sz="4" w:space="0" w:color="auto"/>
            </w:tcBorders>
            <w:shd w:val="clear" w:color="auto" w:fill="auto"/>
            <w:vAlign w:val="center"/>
            <w:hideMark/>
          </w:tcPr>
          <w:p w14:paraId="653108B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2529844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44C5033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55194A3E"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464210A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6F84BDB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4E5BB60E"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28EDEF59" w14:textId="77777777" w:rsidR="006B3B31" w:rsidRPr="00351D41" w:rsidRDefault="00F32808" w:rsidP="00DF0790">
            <w:pPr>
              <w:spacing w:after="0"/>
              <w:rPr>
                <w:rFonts w:eastAsia="Times New Roman" w:cs="Arial"/>
                <w:b/>
                <w:bCs/>
                <w:lang w:eastAsia="cs-CZ"/>
              </w:rPr>
            </w:pPr>
            <w:hyperlink r:id="rId15" w:anchor="Francie!A1" w:history="1">
              <w:r w:rsidR="006B3B31" w:rsidRPr="00351D41">
                <w:rPr>
                  <w:rFonts w:eastAsia="Times New Roman" w:cs="Arial"/>
                  <w:b/>
                  <w:bCs/>
                  <w:lang w:eastAsia="cs-CZ"/>
                </w:rPr>
                <w:t>Francie</w:t>
              </w:r>
            </w:hyperlink>
          </w:p>
        </w:tc>
        <w:tc>
          <w:tcPr>
            <w:tcW w:w="701" w:type="pct"/>
            <w:tcBorders>
              <w:top w:val="nil"/>
              <w:left w:val="nil"/>
              <w:bottom w:val="single" w:sz="4" w:space="0" w:color="auto"/>
              <w:right w:val="single" w:sz="4" w:space="0" w:color="auto"/>
            </w:tcBorders>
            <w:shd w:val="clear" w:color="auto" w:fill="auto"/>
            <w:vAlign w:val="center"/>
            <w:hideMark/>
          </w:tcPr>
          <w:p w14:paraId="4B03ECE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mimo kasin a některých internetových her</w:t>
            </w:r>
          </w:p>
        </w:tc>
        <w:tc>
          <w:tcPr>
            <w:tcW w:w="551" w:type="pct"/>
            <w:tcBorders>
              <w:top w:val="nil"/>
              <w:left w:val="nil"/>
              <w:bottom w:val="single" w:sz="4" w:space="0" w:color="auto"/>
              <w:right w:val="single" w:sz="4" w:space="0" w:color="auto"/>
            </w:tcBorders>
            <w:shd w:val="clear" w:color="auto" w:fill="auto"/>
            <w:vAlign w:val="center"/>
            <w:hideMark/>
          </w:tcPr>
          <w:p w14:paraId="70A4C71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7C75ACE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49769F3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51" w:type="pct"/>
            <w:tcBorders>
              <w:top w:val="nil"/>
              <w:left w:val="nil"/>
              <w:bottom w:val="single" w:sz="4" w:space="0" w:color="auto"/>
              <w:right w:val="single" w:sz="4" w:space="0" w:color="auto"/>
            </w:tcBorders>
            <w:shd w:val="clear" w:color="auto" w:fill="auto"/>
            <w:vAlign w:val="center"/>
            <w:hideMark/>
          </w:tcPr>
          <w:p w14:paraId="66C7BD1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r w:rsidRPr="00351D41">
              <w:rPr>
                <w:rStyle w:val="Znakapoznpodarou"/>
                <w:rFonts w:eastAsia="Times New Roman" w:cs="Arial"/>
                <w:color w:val="000000"/>
                <w:lang w:eastAsia="cs-CZ"/>
              </w:rPr>
              <w:footnoteReference w:id="18"/>
            </w:r>
          </w:p>
        </w:tc>
        <w:tc>
          <w:tcPr>
            <w:tcW w:w="602" w:type="pct"/>
            <w:tcBorders>
              <w:top w:val="nil"/>
              <w:left w:val="nil"/>
              <w:bottom w:val="single" w:sz="4" w:space="0" w:color="auto"/>
              <w:right w:val="single" w:sz="4" w:space="0" w:color="auto"/>
            </w:tcBorders>
            <w:shd w:val="clear" w:color="auto" w:fill="auto"/>
            <w:vAlign w:val="center"/>
            <w:hideMark/>
          </w:tcPr>
          <w:p w14:paraId="17AE7566"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1ADA939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kasina</w:t>
            </w:r>
          </w:p>
        </w:tc>
      </w:tr>
      <w:tr w:rsidR="006B3B31" w:rsidRPr="00351D41" w14:paraId="0B21176D" w14:textId="77777777" w:rsidTr="00CA7096">
        <w:trPr>
          <w:trHeight w:val="288"/>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2F642083" w14:textId="77777777" w:rsidR="006B3B31" w:rsidRPr="00351D41" w:rsidRDefault="00F32808" w:rsidP="00DF0790">
            <w:pPr>
              <w:spacing w:after="0"/>
              <w:rPr>
                <w:rFonts w:eastAsia="Times New Roman" w:cs="Arial"/>
                <w:b/>
                <w:bCs/>
                <w:lang w:eastAsia="cs-CZ"/>
              </w:rPr>
            </w:pPr>
            <w:hyperlink r:id="rId16" w:anchor="Litva!A1" w:history="1">
              <w:r w:rsidR="006B3B31" w:rsidRPr="00351D41">
                <w:rPr>
                  <w:rFonts w:eastAsia="Times New Roman" w:cs="Arial"/>
                  <w:b/>
                  <w:bCs/>
                  <w:lang w:eastAsia="cs-CZ"/>
                </w:rPr>
                <w:t>Litva</w:t>
              </w:r>
            </w:hyperlink>
          </w:p>
        </w:tc>
        <w:tc>
          <w:tcPr>
            <w:tcW w:w="701" w:type="pct"/>
            <w:tcBorders>
              <w:top w:val="nil"/>
              <w:left w:val="nil"/>
              <w:bottom w:val="single" w:sz="4" w:space="0" w:color="auto"/>
              <w:right w:val="single" w:sz="4" w:space="0" w:color="auto"/>
            </w:tcBorders>
            <w:shd w:val="clear" w:color="auto" w:fill="auto"/>
            <w:vAlign w:val="center"/>
            <w:hideMark/>
          </w:tcPr>
          <w:p w14:paraId="2F400AD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551" w:type="pct"/>
            <w:tcBorders>
              <w:top w:val="nil"/>
              <w:left w:val="nil"/>
              <w:bottom w:val="single" w:sz="4" w:space="0" w:color="auto"/>
              <w:right w:val="single" w:sz="4" w:space="0" w:color="auto"/>
            </w:tcBorders>
            <w:shd w:val="clear" w:color="auto" w:fill="auto"/>
            <w:vAlign w:val="center"/>
            <w:hideMark/>
          </w:tcPr>
          <w:p w14:paraId="46EDD937"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2DB2E26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02" w:type="pct"/>
            <w:tcBorders>
              <w:top w:val="nil"/>
              <w:left w:val="nil"/>
              <w:bottom w:val="single" w:sz="4" w:space="0" w:color="auto"/>
              <w:right w:val="single" w:sz="4" w:space="0" w:color="auto"/>
            </w:tcBorders>
            <w:shd w:val="clear" w:color="auto" w:fill="auto"/>
            <w:vAlign w:val="center"/>
            <w:hideMark/>
          </w:tcPr>
          <w:p w14:paraId="42A477F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51" w:type="pct"/>
            <w:tcBorders>
              <w:top w:val="nil"/>
              <w:left w:val="nil"/>
              <w:bottom w:val="single" w:sz="4" w:space="0" w:color="auto"/>
              <w:right w:val="single" w:sz="4" w:space="0" w:color="auto"/>
            </w:tcBorders>
            <w:shd w:val="clear" w:color="auto" w:fill="auto"/>
            <w:vAlign w:val="center"/>
            <w:hideMark/>
          </w:tcPr>
          <w:p w14:paraId="3A9A08F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r w:rsidRPr="00351D41">
              <w:rPr>
                <w:rStyle w:val="Znakapoznpodarou"/>
                <w:rFonts w:eastAsia="Times New Roman" w:cs="Arial"/>
                <w:color w:val="000000"/>
                <w:lang w:eastAsia="cs-CZ"/>
              </w:rPr>
              <w:footnoteReference w:id="19"/>
            </w:r>
          </w:p>
        </w:tc>
        <w:tc>
          <w:tcPr>
            <w:tcW w:w="602" w:type="pct"/>
            <w:tcBorders>
              <w:top w:val="nil"/>
              <w:left w:val="nil"/>
              <w:bottom w:val="single" w:sz="4" w:space="0" w:color="auto"/>
              <w:right w:val="single" w:sz="4" w:space="0" w:color="auto"/>
            </w:tcBorders>
            <w:shd w:val="clear" w:color="auto" w:fill="auto"/>
            <w:vAlign w:val="center"/>
            <w:hideMark/>
          </w:tcPr>
          <w:p w14:paraId="42565F8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069B33D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130AF569"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0F8C734A" w14:textId="77777777" w:rsidR="006B3B31" w:rsidRPr="00351D41" w:rsidRDefault="00F32808" w:rsidP="00DF0790">
            <w:pPr>
              <w:spacing w:after="0"/>
              <w:rPr>
                <w:rFonts w:eastAsia="Times New Roman" w:cs="Arial"/>
                <w:b/>
                <w:bCs/>
                <w:lang w:eastAsia="cs-CZ"/>
              </w:rPr>
            </w:pPr>
            <w:hyperlink r:id="rId17" w:anchor="Lotyšsko!A1" w:history="1">
              <w:r w:rsidR="006B3B31" w:rsidRPr="00351D41">
                <w:rPr>
                  <w:rFonts w:eastAsia="Times New Roman" w:cs="Arial"/>
                  <w:b/>
                  <w:bCs/>
                  <w:lang w:eastAsia="cs-CZ"/>
                </w:rPr>
                <w:t>Lotyšsko</w:t>
              </w:r>
            </w:hyperlink>
          </w:p>
        </w:tc>
        <w:tc>
          <w:tcPr>
            <w:tcW w:w="701" w:type="pct"/>
            <w:tcBorders>
              <w:top w:val="nil"/>
              <w:left w:val="nil"/>
              <w:bottom w:val="single" w:sz="4" w:space="0" w:color="auto"/>
              <w:right w:val="single" w:sz="4" w:space="0" w:color="auto"/>
            </w:tcBorders>
            <w:shd w:val="clear" w:color="auto" w:fill="auto"/>
            <w:vAlign w:val="center"/>
            <w:hideMark/>
          </w:tcPr>
          <w:p w14:paraId="1A2F8453"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pouze u národní loterie</w:t>
            </w:r>
          </w:p>
        </w:tc>
        <w:tc>
          <w:tcPr>
            <w:tcW w:w="551" w:type="pct"/>
            <w:tcBorders>
              <w:top w:val="nil"/>
              <w:left w:val="nil"/>
              <w:bottom w:val="single" w:sz="4" w:space="0" w:color="auto"/>
              <w:right w:val="single" w:sz="4" w:space="0" w:color="auto"/>
            </w:tcBorders>
            <w:shd w:val="clear" w:color="auto" w:fill="auto"/>
            <w:vAlign w:val="center"/>
            <w:hideMark/>
          </w:tcPr>
          <w:p w14:paraId="2BF41E99"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4F46A122"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w:t>
            </w:r>
          </w:p>
        </w:tc>
        <w:tc>
          <w:tcPr>
            <w:tcW w:w="602" w:type="pct"/>
            <w:tcBorders>
              <w:top w:val="nil"/>
              <w:left w:val="nil"/>
              <w:bottom w:val="single" w:sz="4" w:space="0" w:color="auto"/>
              <w:right w:val="single" w:sz="4" w:space="0" w:color="auto"/>
            </w:tcBorders>
            <w:shd w:val="clear" w:color="auto" w:fill="auto"/>
            <w:vAlign w:val="center"/>
            <w:hideMark/>
          </w:tcPr>
          <w:p w14:paraId="63A06F1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1CD39C9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7D2B9D7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0D445F5C"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0E34A5D5"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26757E56" w14:textId="77777777" w:rsidR="006B3B31" w:rsidRPr="00351D41" w:rsidRDefault="00F32808" w:rsidP="00DF0790">
            <w:pPr>
              <w:spacing w:after="0"/>
              <w:rPr>
                <w:rFonts w:eastAsia="Times New Roman" w:cs="Arial"/>
                <w:b/>
                <w:bCs/>
                <w:lang w:eastAsia="cs-CZ"/>
              </w:rPr>
            </w:pPr>
            <w:hyperlink r:id="rId18" w:anchor="Nizozemsko!A1" w:history="1">
              <w:r w:rsidR="006B3B31" w:rsidRPr="00351D41">
                <w:rPr>
                  <w:rFonts w:eastAsia="Times New Roman" w:cs="Arial"/>
                  <w:b/>
                  <w:bCs/>
                  <w:lang w:eastAsia="cs-CZ"/>
                </w:rPr>
                <w:t>Nizozemsko</w:t>
              </w:r>
            </w:hyperlink>
          </w:p>
        </w:tc>
        <w:tc>
          <w:tcPr>
            <w:tcW w:w="701" w:type="pct"/>
            <w:tcBorders>
              <w:top w:val="nil"/>
              <w:left w:val="nil"/>
              <w:bottom w:val="single" w:sz="4" w:space="0" w:color="auto"/>
              <w:right w:val="single" w:sz="4" w:space="0" w:color="auto"/>
            </w:tcBorders>
            <w:shd w:val="clear" w:color="auto" w:fill="auto"/>
            <w:vAlign w:val="center"/>
            <w:hideMark/>
          </w:tcPr>
          <w:p w14:paraId="047C5DC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32260EB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790EFBC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4EDF2E0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62F5D03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602" w:type="pct"/>
            <w:tcBorders>
              <w:top w:val="nil"/>
              <w:left w:val="nil"/>
              <w:bottom w:val="single" w:sz="4" w:space="0" w:color="auto"/>
              <w:right w:val="single" w:sz="4" w:space="0" w:color="auto"/>
            </w:tcBorders>
            <w:shd w:val="clear" w:color="auto" w:fill="auto"/>
            <w:vAlign w:val="center"/>
            <w:hideMark/>
          </w:tcPr>
          <w:p w14:paraId="0B4253C9"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0A94EC29"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23D21DC4" w14:textId="77777777" w:rsidTr="00CA7096">
        <w:trPr>
          <w:trHeight w:val="864"/>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14CA940E" w14:textId="77777777" w:rsidR="006B3B31" w:rsidRPr="00351D41" w:rsidRDefault="00F32808" w:rsidP="00DF0790">
            <w:pPr>
              <w:spacing w:after="0"/>
              <w:rPr>
                <w:rFonts w:eastAsia="Times New Roman" w:cs="Arial"/>
                <w:b/>
                <w:bCs/>
                <w:lang w:eastAsia="cs-CZ"/>
              </w:rPr>
            </w:pPr>
            <w:hyperlink r:id="rId19" w:anchor="Německo!A1" w:history="1">
              <w:r w:rsidR="006B3B31" w:rsidRPr="00351D41">
                <w:rPr>
                  <w:rFonts w:eastAsia="Times New Roman" w:cs="Arial"/>
                  <w:b/>
                  <w:bCs/>
                  <w:lang w:eastAsia="cs-CZ"/>
                </w:rPr>
                <w:t>Německo</w:t>
              </w:r>
            </w:hyperlink>
          </w:p>
        </w:tc>
        <w:tc>
          <w:tcPr>
            <w:tcW w:w="701" w:type="pct"/>
            <w:tcBorders>
              <w:top w:val="nil"/>
              <w:left w:val="nil"/>
              <w:bottom w:val="single" w:sz="4" w:space="0" w:color="auto"/>
              <w:right w:val="single" w:sz="4" w:space="0" w:color="auto"/>
            </w:tcBorders>
            <w:shd w:val="clear" w:color="auto" w:fill="auto"/>
            <w:vAlign w:val="center"/>
            <w:hideMark/>
          </w:tcPr>
          <w:p w14:paraId="3A9E8EF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6FE058B3"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0CB7AE3C"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spolkových zemí</w:t>
            </w:r>
          </w:p>
        </w:tc>
        <w:tc>
          <w:tcPr>
            <w:tcW w:w="602" w:type="pct"/>
            <w:tcBorders>
              <w:top w:val="nil"/>
              <w:left w:val="nil"/>
              <w:bottom w:val="single" w:sz="4" w:space="0" w:color="auto"/>
              <w:right w:val="single" w:sz="4" w:space="0" w:color="auto"/>
            </w:tcBorders>
            <w:shd w:val="clear" w:color="auto" w:fill="auto"/>
            <w:vAlign w:val="center"/>
            <w:hideMark/>
          </w:tcPr>
          <w:p w14:paraId="7DA3FA27"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spolkových zemí</w:t>
            </w:r>
          </w:p>
        </w:tc>
        <w:tc>
          <w:tcPr>
            <w:tcW w:w="651" w:type="pct"/>
            <w:tcBorders>
              <w:top w:val="nil"/>
              <w:left w:val="nil"/>
              <w:bottom w:val="single" w:sz="4" w:space="0" w:color="auto"/>
              <w:right w:val="single" w:sz="4" w:space="0" w:color="auto"/>
            </w:tcBorders>
            <w:shd w:val="clear" w:color="auto" w:fill="auto"/>
            <w:vAlign w:val="center"/>
            <w:hideMark/>
          </w:tcPr>
          <w:p w14:paraId="16C0998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spolkových zemí</w:t>
            </w:r>
          </w:p>
        </w:tc>
        <w:tc>
          <w:tcPr>
            <w:tcW w:w="602" w:type="pct"/>
            <w:tcBorders>
              <w:top w:val="nil"/>
              <w:left w:val="nil"/>
              <w:bottom w:val="single" w:sz="4" w:space="0" w:color="auto"/>
              <w:right w:val="single" w:sz="4" w:space="0" w:color="auto"/>
            </w:tcBorders>
            <w:shd w:val="clear" w:color="auto" w:fill="auto"/>
            <w:vAlign w:val="center"/>
            <w:hideMark/>
          </w:tcPr>
          <w:p w14:paraId="75CE0D6E"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7CE622C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spolkových zemí</w:t>
            </w:r>
          </w:p>
        </w:tc>
      </w:tr>
      <w:tr w:rsidR="006B3B31" w:rsidRPr="00351D41" w14:paraId="0E66474F" w14:textId="77777777" w:rsidTr="00CA7096">
        <w:trPr>
          <w:trHeight w:val="288"/>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4ECCB574" w14:textId="77777777" w:rsidR="006B3B31" w:rsidRPr="00351D41" w:rsidRDefault="00F32808" w:rsidP="00DF0790">
            <w:pPr>
              <w:spacing w:after="0"/>
              <w:rPr>
                <w:rFonts w:eastAsia="Times New Roman" w:cs="Arial"/>
                <w:b/>
                <w:bCs/>
                <w:lang w:eastAsia="cs-CZ"/>
              </w:rPr>
            </w:pPr>
            <w:hyperlink r:id="rId20" w:anchor="Norsko!A1" w:history="1">
              <w:r w:rsidR="006B3B31" w:rsidRPr="00351D41">
                <w:rPr>
                  <w:rFonts w:eastAsia="Times New Roman" w:cs="Arial"/>
                  <w:b/>
                  <w:bCs/>
                  <w:lang w:eastAsia="cs-CZ"/>
                </w:rPr>
                <w:t>Norsko</w:t>
              </w:r>
            </w:hyperlink>
          </w:p>
        </w:tc>
        <w:tc>
          <w:tcPr>
            <w:tcW w:w="701" w:type="pct"/>
            <w:tcBorders>
              <w:top w:val="nil"/>
              <w:left w:val="nil"/>
              <w:bottom w:val="single" w:sz="4" w:space="0" w:color="auto"/>
              <w:right w:val="single" w:sz="4" w:space="0" w:color="auto"/>
            </w:tcBorders>
            <w:shd w:val="clear" w:color="auto" w:fill="auto"/>
            <w:vAlign w:val="center"/>
            <w:hideMark/>
          </w:tcPr>
          <w:p w14:paraId="1E5A0766"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většiny her</w:t>
            </w:r>
          </w:p>
        </w:tc>
        <w:tc>
          <w:tcPr>
            <w:tcW w:w="551" w:type="pct"/>
            <w:tcBorders>
              <w:top w:val="nil"/>
              <w:left w:val="nil"/>
              <w:bottom w:val="single" w:sz="4" w:space="0" w:color="auto"/>
              <w:right w:val="single" w:sz="4" w:space="0" w:color="auto"/>
            </w:tcBorders>
            <w:shd w:val="clear" w:color="auto" w:fill="auto"/>
            <w:vAlign w:val="center"/>
            <w:hideMark/>
          </w:tcPr>
          <w:p w14:paraId="7EDA88E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20C1FBC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4CE3D0B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5AC9C4E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0993D16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06D4023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7034E1A8"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04CA6C2F" w14:textId="77777777" w:rsidR="006B3B31" w:rsidRPr="00351D41" w:rsidRDefault="006B3B31" w:rsidP="00DF0790">
            <w:pPr>
              <w:spacing w:after="0"/>
              <w:rPr>
                <w:rFonts w:eastAsia="Times New Roman" w:cs="Arial"/>
                <w:b/>
                <w:bCs/>
                <w:lang w:eastAsia="cs-CZ"/>
              </w:rPr>
            </w:pPr>
            <w:r w:rsidRPr="00351D41">
              <w:rPr>
                <w:rFonts w:eastAsia="Times New Roman" w:cs="Arial"/>
                <w:b/>
                <w:bCs/>
                <w:lang w:eastAsia="cs-CZ"/>
              </w:rPr>
              <w:t>Polsko</w:t>
            </w:r>
          </w:p>
        </w:tc>
        <w:tc>
          <w:tcPr>
            <w:tcW w:w="701" w:type="pct"/>
            <w:tcBorders>
              <w:top w:val="nil"/>
              <w:left w:val="nil"/>
              <w:bottom w:val="single" w:sz="4" w:space="0" w:color="auto"/>
              <w:right w:val="single" w:sz="4" w:space="0" w:color="auto"/>
            </w:tcBorders>
            <w:shd w:val="clear" w:color="auto" w:fill="auto"/>
            <w:vAlign w:val="center"/>
            <w:hideMark/>
          </w:tcPr>
          <w:p w14:paraId="64A4E95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2597A2A4"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(a.s. a s.r.o.) u některých druhů her</w:t>
            </w:r>
          </w:p>
        </w:tc>
        <w:tc>
          <w:tcPr>
            <w:tcW w:w="601" w:type="pct"/>
            <w:tcBorders>
              <w:top w:val="nil"/>
              <w:left w:val="nil"/>
              <w:bottom w:val="single" w:sz="4" w:space="0" w:color="auto"/>
              <w:right w:val="single" w:sz="4" w:space="0" w:color="auto"/>
            </w:tcBorders>
            <w:shd w:val="clear" w:color="auto" w:fill="auto"/>
            <w:vAlign w:val="center"/>
            <w:hideMark/>
          </w:tcPr>
          <w:p w14:paraId="45473BB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 xml:space="preserve">ano, u některých druhů her </w:t>
            </w:r>
          </w:p>
        </w:tc>
        <w:tc>
          <w:tcPr>
            <w:tcW w:w="602" w:type="pct"/>
            <w:tcBorders>
              <w:top w:val="nil"/>
              <w:left w:val="nil"/>
              <w:bottom w:val="single" w:sz="4" w:space="0" w:color="auto"/>
              <w:right w:val="single" w:sz="4" w:space="0" w:color="auto"/>
            </w:tcBorders>
            <w:shd w:val="clear" w:color="auto" w:fill="auto"/>
            <w:vAlign w:val="center"/>
            <w:hideMark/>
          </w:tcPr>
          <w:p w14:paraId="58CB39B7"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 xml:space="preserve">ano, u některých druhů her </w:t>
            </w:r>
          </w:p>
        </w:tc>
        <w:tc>
          <w:tcPr>
            <w:tcW w:w="651" w:type="pct"/>
            <w:tcBorders>
              <w:top w:val="nil"/>
              <w:left w:val="nil"/>
              <w:bottom w:val="single" w:sz="4" w:space="0" w:color="auto"/>
              <w:right w:val="single" w:sz="4" w:space="0" w:color="auto"/>
            </w:tcBorders>
            <w:shd w:val="clear" w:color="auto" w:fill="auto"/>
            <w:vAlign w:val="center"/>
            <w:hideMark/>
          </w:tcPr>
          <w:p w14:paraId="077217F2"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3F0D590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7E1E6C7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3311F914" w14:textId="77777777" w:rsidTr="00CA7096">
        <w:trPr>
          <w:trHeight w:val="864"/>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37C1D9C0" w14:textId="77777777" w:rsidR="006B3B31" w:rsidRPr="00351D41" w:rsidRDefault="00F32808" w:rsidP="00DF0790">
            <w:pPr>
              <w:spacing w:after="0"/>
              <w:rPr>
                <w:rFonts w:eastAsia="Times New Roman" w:cs="Arial"/>
                <w:b/>
                <w:bCs/>
                <w:lang w:eastAsia="cs-CZ"/>
              </w:rPr>
            </w:pPr>
            <w:hyperlink r:id="rId21" w:anchor="Rakousko!A1" w:history="1">
              <w:r w:rsidR="006B3B31" w:rsidRPr="00351D41">
                <w:rPr>
                  <w:rFonts w:eastAsia="Times New Roman" w:cs="Arial"/>
                  <w:b/>
                  <w:bCs/>
                  <w:lang w:eastAsia="cs-CZ"/>
                </w:rPr>
                <w:t>Rakousko</w:t>
              </w:r>
            </w:hyperlink>
          </w:p>
        </w:tc>
        <w:tc>
          <w:tcPr>
            <w:tcW w:w="701" w:type="pct"/>
            <w:tcBorders>
              <w:top w:val="nil"/>
              <w:left w:val="nil"/>
              <w:bottom w:val="single" w:sz="4" w:space="0" w:color="auto"/>
              <w:right w:val="single" w:sz="4" w:space="0" w:color="auto"/>
            </w:tcBorders>
            <w:shd w:val="clear" w:color="auto" w:fill="auto"/>
            <w:vAlign w:val="center"/>
            <w:hideMark/>
          </w:tcPr>
          <w:p w14:paraId="22CB6DF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7147A1E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(a.s.) u některých druhů her</w:t>
            </w:r>
          </w:p>
        </w:tc>
        <w:tc>
          <w:tcPr>
            <w:tcW w:w="601" w:type="pct"/>
            <w:tcBorders>
              <w:top w:val="nil"/>
              <w:left w:val="nil"/>
              <w:bottom w:val="single" w:sz="4" w:space="0" w:color="auto"/>
              <w:right w:val="single" w:sz="4" w:space="0" w:color="auto"/>
            </w:tcBorders>
            <w:shd w:val="clear" w:color="auto" w:fill="auto"/>
            <w:vAlign w:val="center"/>
            <w:hideMark/>
          </w:tcPr>
          <w:p w14:paraId="641B2C0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spolkových zemí</w:t>
            </w:r>
          </w:p>
        </w:tc>
        <w:tc>
          <w:tcPr>
            <w:tcW w:w="602" w:type="pct"/>
            <w:tcBorders>
              <w:top w:val="nil"/>
              <w:left w:val="nil"/>
              <w:bottom w:val="single" w:sz="4" w:space="0" w:color="auto"/>
              <w:right w:val="single" w:sz="4" w:space="0" w:color="auto"/>
            </w:tcBorders>
            <w:shd w:val="clear" w:color="auto" w:fill="auto"/>
            <w:vAlign w:val="center"/>
            <w:hideMark/>
          </w:tcPr>
          <w:p w14:paraId="0175E8C9"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651" w:type="pct"/>
            <w:tcBorders>
              <w:top w:val="nil"/>
              <w:left w:val="nil"/>
              <w:bottom w:val="single" w:sz="4" w:space="0" w:color="auto"/>
              <w:right w:val="single" w:sz="4" w:space="0" w:color="auto"/>
            </w:tcBorders>
            <w:shd w:val="clear" w:color="auto" w:fill="auto"/>
            <w:vAlign w:val="center"/>
            <w:hideMark/>
          </w:tcPr>
          <w:p w14:paraId="2370166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1E1732E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7B09691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7E434FBD" w14:textId="77777777" w:rsidTr="00CA7096">
        <w:trPr>
          <w:trHeight w:val="1441"/>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538D426A" w14:textId="77777777" w:rsidR="006B3B31" w:rsidRPr="00351D41" w:rsidRDefault="00F32808" w:rsidP="00DF0790">
            <w:pPr>
              <w:spacing w:after="0"/>
              <w:rPr>
                <w:rFonts w:eastAsia="Times New Roman" w:cs="Arial"/>
                <w:b/>
                <w:bCs/>
                <w:lang w:eastAsia="cs-CZ"/>
              </w:rPr>
            </w:pPr>
            <w:hyperlink r:id="rId22" w:anchor="Španělsko!A1" w:history="1">
              <w:r w:rsidR="006B3B31" w:rsidRPr="00351D41">
                <w:rPr>
                  <w:rFonts w:eastAsia="Times New Roman" w:cs="Arial"/>
                  <w:b/>
                  <w:bCs/>
                  <w:lang w:eastAsia="cs-CZ"/>
                </w:rPr>
                <w:t>Španělsko</w:t>
              </w:r>
            </w:hyperlink>
          </w:p>
        </w:tc>
        <w:tc>
          <w:tcPr>
            <w:tcW w:w="701" w:type="pct"/>
            <w:tcBorders>
              <w:top w:val="nil"/>
              <w:left w:val="nil"/>
              <w:bottom w:val="single" w:sz="4" w:space="0" w:color="auto"/>
              <w:right w:val="single" w:sz="4" w:space="0" w:color="auto"/>
            </w:tcBorders>
            <w:shd w:val="clear" w:color="auto" w:fill="auto"/>
            <w:vAlign w:val="center"/>
            <w:hideMark/>
          </w:tcPr>
          <w:p w14:paraId="6D39C7A7"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5CAD482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stanovena u některých druhů her a některých autonomních společenství</w:t>
            </w:r>
          </w:p>
        </w:tc>
        <w:tc>
          <w:tcPr>
            <w:tcW w:w="601" w:type="pct"/>
            <w:tcBorders>
              <w:top w:val="nil"/>
              <w:left w:val="nil"/>
              <w:bottom w:val="single" w:sz="4" w:space="0" w:color="auto"/>
              <w:right w:val="single" w:sz="4" w:space="0" w:color="auto"/>
            </w:tcBorders>
            <w:shd w:val="clear" w:color="auto" w:fill="auto"/>
            <w:vAlign w:val="center"/>
            <w:hideMark/>
          </w:tcPr>
          <w:p w14:paraId="7EB4FA9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 xml:space="preserve">ano, u některých druhů her </w:t>
            </w:r>
          </w:p>
        </w:tc>
        <w:tc>
          <w:tcPr>
            <w:tcW w:w="602" w:type="pct"/>
            <w:tcBorders>
              <w:top w:val="nil"/>
              <w:left w:val="nil"/>
              <w:bottom w:val="single" w:sz="4" w:space="0" w:color="auto"/>
              <w:right w:val="single" w:sz="4" w:space="0" w:color="auto"/>
            </w:tcBorders>
            <w:shd w:val="clear" w:color="auto" w:fill="auto"/>
            <w:vAlign w:val="center"/>
            <w:hideMark/>
          </w:tcPr>
          <w:p w14:paraId="7FFD920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 xml:space="preserve">ano, u některých druhů her </w:t>
            </w:r>
          </w:p>
        </w:tc>
        <w:tc>
          <w:tcPr>
            <w:tcW w:w="651" w:type="pct"/>
            <w:tcBorders>
              <w:top w:val="nil"/>
              <w:left w:val="nil"/>
              <w:bottom w:val="single" w:sz="4" w:space="0" w:color="auto"/>
              <w:right w:val="single" w:sz="4" w:space="0" w:color="auto"/>
            </w:tcBorders>
            <w:shd w:val="clear" w:color="auto" w:fill="auto"/>
            <w:vAlign w:val="center"/>
            <w:hideMark/>
          </w:tcPr>
          <w:p w14:paraId="3DD8BC7D"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 xml:space="preserve">ano, u některých druhů her </w:t>
            </w:r>
          </w:p>
        </w:tc>
        <w:tc>
          <w:tcPr>
            <w:tcW w:w="602" w:type="pct"/>
            <w:tcBorders>
              <w:top w:val="nil"/>
              <w:left w:val="nil"/>
              <w:bottom w:val="single" w:sz="4" w:space="0" w:color="auto"/>
              <w:right w:val="single" w:sz="4" w:space="0" w:color="auto"/>
            </w:tcBorders>
            <w:shd w:val="clear" w:color="auto" w:fill="auto"/>
            <w:vAlign w:val="center"/>
            <w:hideMark/>
          </w:tcPr>
          <w:p w14:paraId="3EC3D11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793841D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 a některých autonomních společenství</w:t>
            </w:r>
          </w:p>
        </w:tc>
      </w:tr>
      <w:tr w:rsidR="006B3B31" w:rsidRPr="00351D41" w14:paraId="5C09B73A"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7756F620" w14:textId="77777777" w:rsidR="006B3B31" w:rsidRPr="00351D41" w:rsidRDefault="00F32808" w:rsidP="00DF0790">
            <w:pPr>
              <w:spacing w:after="0"/>
              <w:rPr>
                <w:rFonts w:eastAsia="Times New Roman" w:cs="Arial"/>
                <w:b/>
                <w:bCs/>
                <w:lang w:eastAsia="cs-CZ"/>
              </w:rPr>
            </w:pPr>
            <w:hyperlink r:id="rId23" w:anchor="Švédsko!A1" w:history="1">
              <w:r w:rsidR="006B3B31" w:rsidRPr="00351D41">
                <w:rPr>
                  <w:rFonts w:eastAsia="Times New Roman" w:cs="Arial"/>
                  <w:b/>
                  <w:bCs/>
                  <w:lang w:eastAsia="cs-CZ"/>
                </w:rPr>
                <w:t>Švédsko</w:t>
              </w:r>
            </w:hyperlink>
          </w:p>
        </w:tc>
        <w:tc>
          <w:tcPr>
            <w:tcW w:w="701" w:type="pct"/>
            <w:tcBorders>
              <w:top w:val="nil"/>
              <w:left w:val="nil"/>
              <w:bottom w:val="single" w:sz="4" w:space="0" w:color="auto"/>
              <w:right w:val="single" w:sz="4" w:space="0" w:color="auto"/>
            </w:tcBorders>
            <w:shd w:val="clear" w:color="auto" w:fill="auto"/>
            <w:vAlign w:val="center"/>
            <w:hideMark/>
          </w:tcPr>
          <w:p w14:paraId="5E2D1C3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039F534E"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124B801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757E11BA"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007AF3D3"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07E8A4D2"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0307C47E"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r>
      <w:tr w:rsidR="006B3B31" w:rsidRPr="00351D41" w14:paraId="6D82298B"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7BC71D06" w14:textId="77777777" w:rsidR="006B3B31" w:rsidRPr="00351D41" w:rsidRDefault="00F32808" w:rsidP="00DF0790">
            <w:pPr>
              <w:spacing w:after="0"/>
              <w:rPr>
                <w:rFonts w:eastAsia="Times New Roman" w:cs="Arial"/>
                <w:b/>
                <w:bCs/>
                <w:lang w:eastAsia="cs-CZ"/>
              </w:rPr>
            </w:pPr>
            <w:hyperlink r:id="rId24" w:anchor="Švýcarsko!A1" w:history="1">
              <w:r w:rsidR="006B3B31" w:rsidRPr="00351D41">
                <w:rPr>
                  <w:rFonts w:eastAsia="Times New Roman" w:cs="Arial"/>
                  <w:b/>
                  <w:bCs/>
                  <w:lang w:eastAsia="cs-CZ"/>
                </w:rPr>
                <w:t>Švýcarsko</w:t>
              </w:r>
            </w:hyperlink>
          </w:p>
        </w:tc>
        <w:tc>
          <w:tcPr>
            <w:tcW w:w="701" w:type="pct"/>
            <w:tcBorders>
              <w:top w:val="nil"/>
              <w:left w:val="nil"/>
              <w:bottom w:val="single" w:sz="4" w:space="0" w:color="auto"/>
              <w:right w:val="single" w:sz="4" w:space="0" w:color="auto"/>
            </w:tcBorders>
            <w:shd w:val="clear" w:color="auto" w:fill="auto"/>
            <w:vAlign w:val="center"/>
            <w:hideMark/>
          </w:tcPr>
          <w:p w14:paraId="20B16C63"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5197D98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4980AF1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68C8DA4B"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7C6B552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602" w:type="pct"/>
            <w:tcBorders>
              <w:top w:val="nil"/>
              <w:left w:val="nil"/>
              <w:bottom w:val="single" w:sz="4" w:space="0" w:color="auto"/>
              <w:right w:val="single" w:sz="4" w:space="0" w:color="auto"/>
            </w:tcBorders>
            <w:shd w:val="clear" w:color="auto" w:fill="auto"/>
            <w:vAlign w:val="center"/>
            <w:hideMark/>
          </w:tcPr>
          <w:p w14:paraId="3CAE6DD8"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715" w:type="pct"/>
            <w:tcBorders>
              <w:top w:val="nil"/>
              <w:left w:val="nil"/>
              <w:bottom w:val="single" w:sz="4" w:space="0" w:color="auto"/>
              <w:right w:val="single" w:sz="4" w:space="0" w:color="auto"/>
            </w:tcBorders>
            <w:shd w:val="clear" w:color="auto" w:fill="auto"/>
            <w:vAlign w:val="center"/>
            <w:hideMark/>
          </w:tcPr>
          <w:p w14:paraId="0AB8C59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r>
      <w:tr w:rsidR="006B3B31" w:rsidRPr="00351D41" w14:paraId="5F6D6892" w14:textId="77777777" w:rsidTr="00CA7096">
        <w:trPr>
          <w:trHeight w:val="576"/>
        </w:trPr>
        <w:tc>
          <w:tcPr>
            <w:tcW w:w="576" w:type="pct"/>
            <w:tcBorders>
              <w:top w:val="nil"/>
              <w:left w:val="single" w:sz="4" w:space="0" w:color="auto"/>
              <w:bottom w:val="single" w:sz="4" w:space="0" w:color="auto"/>
              <w:right w:val="single" w:sz="4" w:space="0" w:color="auto"/>
            </w:tcBorders>
            <w:shd w:val="clear" w:color="auto" w:fill="auto"/>
            <w:noWrap/>
            <w:vAlign w:val="center"/>
            <w:hideMark/>
          </w:tcPr>
          <w:p w14:paraId="3580AFF5" w14:textId="77777777" w:rsidR="006B3B31" w:rsidRPr="00351D41" w:rsidRDefault="006B3B31" w:rsidP="00DF0790">
            <w:pPr>
              <w:spacing w:after="0"/>
              <w:rPr>
                <w:rFonts w:eastAsia="Times New Roman" w:cs="Arial"/>
                <w:b/>
                <w:bCs/>
                <w:lang w:eastAsia="cs-CZ"/>
              </w:rPr>
            </w:pPr>
            <w:r w:rsidRPr="00351D41">
              <w:rPr>
                <w:rFonts w:eastAsia="Times New Roman" w:cs="Arial"/>
                <w:b/>
                <w:bCs/>
                <w:lang w:eastAsia="cs-CZ"/>
              </w:rPr>
              <w:t>Velká Británie</w:t>
            </w:r>
          </w:p>
        </w:tc>
        <w:tc>
          <w:tcPr>
            <w:tcW w:w="701" w:type="pct"/>
            <w:tcBorders>
              <w:top w:val="nil"/>
              <w:left w:val="nil"/>
              <w:bottom w:val="single" w:sz="4" w:space="0" w:color="auto"/>
              <w:right w:val="single" w:sz="4" w:space="0" w:color="auto"/>
            </w:tcBorders>
            <w:shd w:val="clear" w:color="auto" w:fill="auto"/>
            <w:vAlign w:val="center"/>
            <w:hideMark/>
          </w:tcPr>
          <w:p w14:paraId="24EB2A97"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551" w:type="pct"/>
            <w:tcBorders>
              <w:top w:val="nil"/>
              <w:left w:val="nil"/>
              <w:bottom w:val="single" w:sz="4" w:space="0" w:color="auto"/>
              <w:right w:val="single" w:sz="4" w:space="0" w:color="auto"/>
            </w:tcBorders>
            <w:shd w:val="clear" w:color="auto" w:fill="auto"/>
            <w:vAlign w:val="center"/>
            <w:hideMark/>
          </w:tcPr>
          <w:p w14:paraId="6CCD9B80"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1" w:type="pct"/>
            <w:tcBorders>
              <w:top w:val="nil"/>
              <w:left w:val="nil"/>
              <w:bottom w:val="single" w:sz="4" w:space="0" w:color="auto"/>
              <w:right w:val="single" w:sz="4" w:space="0" w:color="auto"/>
            </w:tcBorders>
            <w:shd w:val="clear" w:color="auto" w:fill="auto"/>
            <w:vAlign w:val="center"/>
            <w:hideMark/>
          </w:tcPr>
          <w:p w14:paraId="26D363A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02" w:type="pct"/>
            <w:tcBorders>
              <w:top w:val="nil"/>
              <w:left w:val="nil"/>
              <w:bottom w:val="single" w:sz="4" w:space="0" w:color="auto"/>
              <w:right w:val="single" w:sz="4" w:space="0" w:color="auto"/>
            </w:tcBorders>
            <w:shd w:val="clear" w:color="auto" w:fill="auto"/>
            <w:vAlign w:val="center"/>
            <w:hideMark/>
          </w:tcPr>
          <w:p w14:paraId="16A1E125"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651" w:type="pct"/>
            <w:tcBorders>
              <w:top w:val="nil"/>
              <w:left w:val="nil"/>
              <w:bottom w:val="single" w:sz="4" w:space="0" w:color="auto"/>
              <w:right w:val="single" w:sz="4" w:space="0" w:color="auto"/>
            </w:tcBorders>
            <w:shd w:val="clear" w:color="auto" w:fill="auto"/>
            <w:vAlign w:val="center"/>
            <w:hideMark/>
          </w:tcPr>
          <w:p w14:paraId="5B47111F"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c>
          <w:tcPr>
            <w:tcW w:w="602" w:type="pct"/>
            <w:tcBorders>
              <w:top w:val="nil"/>
              <w:left w:val="nil"/>
              <w:bottom w:val="single" w:sz="4" w:space="0" w:color="auto"/>
              <w:right w:val="single" w:sz="4" w:space="0" w:color="auto"/>
            </w:tcBorders>
            <w:shd w:val="clear" w:color="auto" w:fill="auto"/>
            <w:vAlign w:val="center"/>
            <w:hideMark/>
          </w:tcPr>
          <w:p w14:paraId="5068B37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x</w:t>
            </w:r>
          </w:p>
        </w:tc>
        <w:tc>
          <w:tcPr>
            <w:tcW w:w="715" w:type="pct"/>
            <w:tcBorders>
              <w:top w:val="nil"/>
              <w:left w:val="nil"/>
              <w:bottom w:val="single" w:sz="4" w:space="0" w:color="auto"/>
              <w:right w:val="single" w:sz="4" w:space="0" w:color="auto"/>
            </w:tcBorders>
            <w:shd w:val="clear" w:color="auto" w:fill="auto"/>
            <w:vAlign w:val="center"/>
            <w:hideMark/>
          </w:tcPr>
          <w:p w14:paraId="5BB8E671" w14:textId="77777777" w:rsidR="006B3B31" w:rsidRPr="00351D41" w:rsidRDefault="006B3B31" w:rsidP="00DF0790">
            <w:pPr>
              <w:spacing w:after="0"/>
              <w:jc w:val="center"/>
              <w:rPr>
                <w:rFonts w:eastAsia="Times New Roman" w:cs="Arial"/>
                <w:color w:val="000000"/>
                <w:lang w:eastAsia="cs-CZ"/>
              </w:rPr>
            </w:pPr>
            <w:r w:rsidRPr="00351D41">
              <w:rPr>
                <w:rFonts w:eastAsia="Times New Roman" w:cs="Arial"/>
                <w:color w:val="000000"/>
                <w:lang w:eastAsia="cs-CZ"/>
              </w:rPr>
              <w:t>ano, u některých druhů her</w:t>
            </w:r>
          </w:p>
        </w:tc>
      </w:tr>
    </w:tbl>
    <w:p w14:paraId="03519BFC" w14:textId="77777777" w:rsidR="006B3B31" w:rsidRPr="00351D41" w:rsidRDefault="006B3B31" w:rsidP="006B3B31">
      <w:pPr>
        <w:rPr>
          <w:rFonts w:ascii="Calibri" w:eastAsia="Times New Roman" w:hAnsi="Calibri" w:cs="Calibri"/>
          <w:color w:val="000000"/>
          <w:sz w:val="22"/>
          <w:lang w:eastAsia="cs-CZ"/>
        </w:rPr>
      </w:pPr>
      <w:r w:rsidRPr="00351D41">
        <w:rPr>
          <w:i/>
          <w:sz w:val="20"/>
        </w:rPr>
        <w:t xml:space="preserve">Zdroj: </w:t>
      </w:r>
      <w:r w:rsidRPr="00351D41">
        <w:rPr>
          <w:i/>
          <w:sz w:val="20"/>
          <w:lang w:eastAsia="cs-CZ"/>
        </w:rPr>
        <w:t>Country Report jednotlivých zemí – gambling (https://gamblingcompliance.com).</w:t>
      </w:r>
    </w:p>
    <w:p w14:paraId="7777FDE8" w14:textId="36483187" w:rsidR="006B3B31" w:rsidRPr="00246176" w:rsidRDefault="006B3B31" w:rsidP="00CA7096">
      <w:pPr>
        <w:pStyle w:val="Nadpis7"/>
        <w:numPr>
          <w:ilvl w:val="0"/>
          <w:numId w:val="0"/>
        </w:numPr>
        <w:rPr>
          <w:highlight w:val="yellow"/>
        </w:rPr>
        <w:sectPr w:rsidR="006B3B31" w:rsidRPr="00246176" w:rsidSect="00DF0790">
          <w:pgSz w:w="16838" w:h="11906" w:orient="landscape"/>
          <w:pgMar w:top="1417" w:right="1417" w:bottom="1417" w:left="1417" w:header="708" w:footer="708" w:gutter="0"/>
          <w:cols w:space="708"/>
          <w:docGrid w:linePitch="360"/>
        </w:sectPr>
      </w:pPr>
    </w:p>
    <w:p w14:paraId="4FBCAAA6" w14:textId="77777777" w:rsidR="00351D41" w:rsidRDefault="00351D41" w:rsidP="00351D41">
      <w:pPr>
        <w:pStyle w:val="Nadpis7"/>
      </w:pPr>
      <w:r>
        <w:lastRenderedPageBreak/>
        <w:t>Varianta I. – Zachování současného stavu</w:t>
      </w:r>
    </w:p>
    <w:p w14:paraId="13EB704F" w14:textId="77777777" w:rsidR="00351D41" w:rsidRPr="00E16630" w:rsidRDefault="00351D41" w:rsidP="00351D41">
      <w:r w:rsidRPr="00E16630">
        <w:t xml:space="preserve">Vlastní zdroje se pro účely </w:t>
      </w:r>
      <w:r>
        <w:t xml:space="preserve">uplatnění zákonné podmínky budou nadále </w:t>
      </w:r>
      <w:r w:rsidRPr="00E16630">
        <w:t>vyklád</w:t>
      </w:r>
      <w:r>
        <w:t>at</w:t>
      </w:r>
      <w:r w:rsidRPr="00E16630">
        <w:t xml:space="preserve"> jako vlastní kapitál. Aby byla tato podmínka splněna, společnosti ji </w:t>
      </w:r>
      <w:r>
        <w:t xml:space="preserve">nadále budou naplňovat různými nežádoucími operacemi, např. </w:t>
      </w:r>
      <w:r w:rsidRPr="00E16630">
        <w:t>za pomocí korporátního přelévání finančních prostředků</w:t>
      </w:r>
      <w:r>
        <w:t xml:space="preserve">, </w:t>
      </w:r>
      <w:r w:rsidRPr="00E16630">
        <w:t>příplatkem mimo základní kapitál</w:t>
      </w:r>
      <w:r>
        <w:t xml:space="preserve"> či uměle nastavenou hodnotou základního kapitálu.</w:t>
      </w:r>
    </w:p>
    <w:p w14:paraId="4A403D8C" w14:textId="77777777" w:rsidR="00351D41" w:rsidRDefault="00351D41" w:rsidP="00351D41">
      <w:r>
        <w:t>Ze Srovnání podmínek</w:t>
      </w:r>
      <w:r w:rsidRPr="00BA307C">
        <w:t xml:space="preserve"> licenc</w:t>
      </w:r>
      <w:r>
        <w:t>í</w:t>
      </w:r>
      <w:r w:rsidRPr="00BA307C">
        <w:t xml:space="preserve"> </w:t>
      </w:r>
      <w:r>
        <w:t>nevyplynulo, že by nějaká země stanovila podmínku výše vlastních zdrojů potažmo vlastního kapitálu.</w:t>
      </w:r>
    </w:p>
    <w:p w14:paraId="1D85FC34" w14:textId="77777777" w:rsidR="00351D41" w:rsidRDefault="00351D41" w:rsidP="00351D41">
      <w:r>
        <w:t>Výhody:</w:t>
      </w:r>
    </w:p>
    <w:p w14:paraId="38291049" w14:textId="77777777" w:rsidR="00351D41" w:rsidRDefault="00351D41" w:rsidP="00351D41">
      <w:r w:rsidRPr="00E16630">
        <w:t xml:space="preserve">Akciové společnosti </w:t>
      </w:r>
      <w:r>
        <w:t>ve většině případů spadnou</w:t>
      </w:r>
      <w:r w:rsidRPr="00E16630">
        <w:t xml:space="preserve"> do povinného auditu,</w:t>
      </w:r>
      <w:r>
        <w:t xml:space="preserve"> </w:t>
      </w:r>
      <w:r w:rsidRPr="00E16630">
        <w:t xml:space="preserve">důvěryhodnost vykázaných finančních výsledků se tak </w:t>
      </w:r>
      <w:r>
        <w:t>zvý</w:t>
      </w:r>
      <w:r w:rsidRPr="00E16630">
        <w:t>š</w:t>
      </w:r>
      <w:r>
        <w:t xml:space="preserve">í. Navíc by nedošlo ke změně zavedené správní praxe. </w:t>
      </w:r>
    </w:p>
    <w:p w14:paraId="1A629F9B" w14:textId="77777777" w:rsidR="00351D41" w:rsidRDefault="00351D41" w:rsidP="00351D41">
      <w:r>
        <w:t>Nevýhody:</w:t>
      </w:r>
    </w:p>
    <w:p w14:paraId="5491C40A" w14:textId="77777777" w:rsidR="00351D41" w:rsidRDefault="00351D41" w:rsidP="00351D41">
      <w:r>
        <w:t>N</w:t>
      </w:r>
      <w:r w:rsidRPr="001910BB">
        <w:t>edojde k odstranění pochybností, co považovat za vlastní zdroje</w:t>
      </w:r>
      <w:r>
        <w:t xml:space="preserve"> a jakým způsobem je posuzovat. Navíc h</w:t>
      </w:r>
      <w:r w:rsidRPr="001910BB">
        <w:t xml:space="preserve">odnota vlastního kapitálu </w:t>
      </w:r>
      <w:r>
        <w:t>nemusí odpovídat</w:t>
      </w:r>
      <w:r w:rsidRPr="001910BB">
        <w:t xml:space="preserve"> aktuální hospodářské situaci společnosti</w:t>
      </w:r>
      <w:r>
        <w:t>,</w:t>
      </w:r>
      <w:r w:rsidRPr="001910BB">
        <w:t xml:space="preserve"> její stabilitě a solventnosti k okamžiku jejího posouzení správním orgánem, neboť </w:t>
      </w:r>
      <w:r>
        <w:t>v</w:t>
      </w:r>
      <w:r w:rsidRPr="001910BB">
        <w:t>ýše vlastního kapitálu se nejčastěji prokazuje předložením účetní závěrky za bezprostředně</w:t>
      </w:r>
      <w:r>
        <w:t xml:space="preserve"> předcházející účetní období či </w:t>
      </w:r>
      <w:r w:rsidRPr="001910BB">
        <w:t>mezitímní účetní závěrk</w:t>
      </w:r>
      <w:r>
        <w:t>y</w:t>
      </w:r>
      <w:r w:rsidRPr="001910BB">
        <w:t>.</w:t>
      </w:r>
      <w:r>
        <w:t xml:space="preserve"> Rovněž a</w:t>
      </w:r>
      <w:r w:rsidRPr="00E16630">
        <w:t>kcionáři/společníci nejsou motivování k řízení podnikatelského rizika</w:t>
      </w:r>
      <w:r>
        <w:t xml:space="preserve"> </w:t>
      </w:r>
      <w:r w:rsidRPr="00E16630">
        <w:t>prostřednictvím vázaných prostředků</w:t>
      </w:r>
      <w:r>
        <w:t>. Nadále budou také vznikat výkladové obtíže, a  to nejen při určení, jakým způsobem prokazovat výši vlastních zdrojů, ale také k jakému okamžiku.</w:t>
      </w:r>
    </w:p>
    <w:p w14:paraId="771A9F74" w14:textId="77777777" w:rsidR="00351D41" w:rsidRDefault="00351D41" w:rsidP="00351D41">
      <w:pPr>
        <w:pStyle w:val="Nadpis7"/>
      </w:pPr>
      <w:r>
        <w:t>Varianta II. – Vlastní kapitál</w:t>
      </w:r>
    </w:p>
    <w:p w14:paraId="53640D97" w14:textId="77777777" w:rsidR="00351D41" w:rsidRDefault="00351D41" w:rsidP="00351D41">
      <w:r w:rsidRPr="008C20DF">
        <w:t>Tato varianta předpokládá změnu zákona o hazardních hrách</w:t>
      </w:r>
      <w:r>
        <w:t>,</w:t>
      </w:r>
      <w:r w:rsidRPr="008C20DF">
        <w:t xml:space="preserve"> a to </w:t>
      </w:r>
      <w:r>
        <w:t>nahrazením pojmu vlastní zdroje. V návaznosti na neurčitost pojmu vlastní zdroje se navrhuje nahradit pojem vlastní zdroje pojmem vlastní kapitál, s využitím terminologie právních předpisů upravujících účetnictví. Ve své podstatě tato varianta v sobě nese veškeré zápory a klady varianty I. s tím rozdílem, že a) je zcela nezpochybnitelné, jaký parametr bude Ministerstvem financí ve vztahu k vydávání základního povolení posuzován, b) definici vlastních zdrojů lze upravit tak, aby se eliminovaly některé z nevýhod varianty I.</w:t>
      </w:r>
    </w:p>
    <w:p w14:paraId="406A3BC9" w14:textId="77777777" w:rsidR="00351D41" w:rsidRDefault="00351D41" w:rsidP="00351D41">
      <w:r>
        <w:t>Ze Srovnání podmínek licencí nevyplynulo, že by některá země stanovila podmínku výše vlastního kapitálu.</w:t>
      </w:r>
    </w:p>
    <w:p w14:paraId="4684775E" w14:textId="77777777" w:rsidR="00351D41" w:rsidRDefault="00351D41" w:rsidP="00351D41">
      <w:r>
        <w:t>Je na místě uvést, že stanovením podmínky vlastního kapitálu nebude eliminováno riziko platební neschopnosti provozovatelů hazardních her.</w:t>
      </w:r>
    </w:p>
    <w:p w14:paraId="62E439D2" w14:textId="77777777" w:rsidR="00351D41" w:rsidRDefault="00351D41" w:rsidP="00351D41">
      <w:r>
        <w:t xml:space="preserve">Dle průzkumu trhu často společnosti, aby formálně naplnily požadavky zákona, vnesou do společnosti příplatek mimo základní kapitál, který se stává součástí vlastního kapitálu. Tento institut může být velmi efektivním řešením, ovšem v některých případech dochází k nežádoucímu řetězení příplatku, tj. společník poskytne příplatek mimo základní kapitál do společnosti A, která jakožto vlastník společnosti B poskytne dále stejný příplatek mimo základní kapitál právě do společnosti B, jež je vlastníkem společnosti C  a společnost B tak vloží příplatek zase do společnosti C. Kruh se často uzavírá tak, že společnost C vlastní společnost A. Ve výsledku tak k navýšení vlastního kapitálu dojde ve všech společnostech z jedněch finančních prostředků. Tyto </w:t>
      </w:r>
      <w:r>
        <w:lastRenderedPageBreak/>
        <w:t>vložené prostředky se pak fakticky nachází pouze u jedné společnosti, popř. vůbec ve společnostech nefigurují, jde-li o nesplacený příplatek. Do účetnictví, resp. vlastního kapitálu, se odpovídající hodnota sice zaznamená, ale hodnota společnosti se ve skutečnosti nenavýší.</w:t>
      </w:r>
    </w:p>
    <w:p w14:paraId="688B23F9" w14:textId="77777777" w:rsidR="00351D41" w:rsidRDefault="00351D41" w:rsidP="00351D41">
      <w:r>
        <w:t>Výhody:</w:t>
      </w:r>
    </w:p>
    <w:p w14:paraId="3CEFFCDF" w14:textId="77777777" w:rsidR="00351D41" w:rsidRDefault="00351D41" w:rsidP="00351D41">
      <w:pPr>
        <w:rPr>
          <w:rFonts w:cstheme="minorHAnsi"/>
        </w:rPr>
      </w:pPr>
      <w:r>
        <w:t>Tato varianta by vyřešila problematiku chybějící legislativní úpravy. Rovněž by nevznikly pochybnosti, jaký parametr je Ministerstvem financí skutečně posuzován. Navíc a</w:t>
      </w:r>
      <w:r w:rsidRPr="00E16630">
        <w:rPr>
          <w:rFonts w:cstheme="minorHAnsi"/>
        </w:rPr>
        <w:t xml:space="preserve">kciové společnosti </w:t>
      </w:r>
      <w:r>
        <w:rPr>
          <w:rFonts w:cstheme="minorHAnsi"/>
        </w:rPr>
        <w:t>ve většině případů</w:t>
      </w:r>
      <w:r w:rsidRPr="00E16630">
        <w:rPr>
          <w:rFonts w:cstheme="minorHAnsi"/>
        </w:rPr>
        <w:t xml:space="preserve"> spad</w:t>
      </w:r>
      <w:r>
        <w:rPr>
          <w:rFonts w:cstheme="minorHAnsi"/>
        </w:rPr>
        <w:t>nou</w:t>
      </w:r>
      <w:r w:rsidRPr="00E16630">
        <w:rPr>
          <w:rFonts w:cstheme="minorHAnsi"/>
        </w:rPr>
        <w:t xml:space="preserve"> do povinného auditu, důvěryhodnost vykázaných finančních výsledků se tak zvýš</w:t>
      </w:r>
      <w:r>
        <w:rPr>
          <w:rFonts w:cstheme="minorHAnsi"/>
        </w:rPr>
        <w:t>í. Velkou výhodou vlastního kapitálu oproti základnímu kapitálu je to, že při požadavku na rozvahovou položku vlastního kapitálu se spotřebování prostředků, které byly vloženy mimo základní kapitál (do kapitálových fondů), promítne do výsledku hospodaření a sníží se tím celková položka vlastního kapitálu. Společnost by ji tak musela opětovně navýšit, aby naplnila podmínky zákona. Oproti tomu rozvahová položka základní kapitál při spotřebování prostředků, které byly do základního kapitálu vloženy, zůstává stále konstantní a zkresluje tak naplňování podmínek zákona.</w:t>
      </w:r>
    </w:p>
    <w:p w14:paraId="5DC4C2B0" w14:textId="77777777" w:rsidR="00351D41" w:rsidRDefault="00351D41" w:rsidP="00351D41">
      <w:pPr>
        <w:rPr>
          <w:rFonts w:cstheme="minorHAnsi"/>
        </w:rPr>
      </w:pPr>
      <w:r>
        <w:rPr>
          <w:rFonts w:cstheme="minorHAnsi"/>
        </w:rPr>
        <w:t>Nevýhody:</w:t>
      </w:r>
    </w:p>
    <w:p w14:paraId="606DC54F" w14:textId="77777777" w:rsidR="00351D41" w:rsidRDefault="00351D41" w:rsidP="00351D41">
      <w:pPr>
        <w:rPr>
          <w:rFonts w:cstheme="minorHAnsi"/>
        </w:rPr>
      </w:pPr>
      <w:r w:rsidRPr="001910BB">
        <w:rPr>
          <w:rFonts w:cstheme="minorHAnsi"/>
        </w:rPr>
        <w:t xml:space="preserve">Hodnota vlastního kapitálu </w:t>
      </w:r>
      <w:r>
        <w:rPr>
          <w:rFonts w:cstheme="minorHAnsi"/>
        </w:rPr>
        <w:t>nemusí odpovídat</w:t>
      </w:r>
      <w:r w:rsidRPr="001910BB">
        <w:rPr>
          <w:rFonts w:cstheme="minorHAnsi"/>
        </w:rPr>
        <w:t xml:space="preserve"> aktuální hospodářské situaci společnosti</w:t>
      </w:r>
      <w:r>
        <w:rPr>
          <w:rFonts w:cstheme="minorHAnsi"/>
        </w:rPr>
        <w:t>,</w:t>
      </w:r>
      <w:r w:rsidRPr="001910BB">
        <w:rPr>
          <w:rFonts w:cstheme="minorHAnsi"/>
        </w:rPr>
        <w:t xml:space="preserve"> její stabilitě a solventnosti k okamžiku jejího posouzení správním orgánem, neboť </w:t>
      </w:r>
      <w:r>
        <w:rPr>
          <w:rFonts w:cstheme="minorHAnsi"/>
        </w:rPr>
        <w:t>v</w:t>
      </w:r>
      <w:r w:rsidRPr="001910BB">
        <w:rPr>
          <w:rFonts w:cstheme="minorHAnsi"/>
        </w:rPr>
        <w:t>ýše vlastního kapitálu se nejčastěji prokazuje předložením účetní závěrky za bezprostředně předcházející účetní období či mezitímní účetní závěrk</w:t>
      </w:r>
      <w:r>
        <w:rPr>
          <w:rFonts w:cstheme="minorHAnsi"/>
        </w:rPr>
        <w:t>y</w:t>
      </w:r>
      <w:r w:rsidRPr="001910BB">
        <w:rPr>
          <w:rFonts w:cstheme="minorHAnsi"/>
        </w:rPr>
        <w:t>.</w:t>
      </w:r>
      <w:r>
        <w:rPr>
          <w:rFonts w:cstheme="minorHAnsi"/>
        </w:rPr>
        <w:t xml:space="preserve"> Dále není známo, jaká výše vlastního kapitálu je dostatečná. Navíc se účetní hodnota vlastního kapitálu může navyšovat uměle (např. přes příplatek mimo základní kapitál) pouze pro naplnění zákonných podmínek, avšak k reálnému navýšení hodnoty nedochází. Vlastní kapitál nevyřeší ani problematiku neschopnosti dostát svým závazkům.</w:t>
      </w:r>
    </w:p>
    <w:p w14:paraId="6E374CB3" w14:textId="77777777" w:rsidR="00351D41" w:rsidRDefault="00351D41" w:rsidP="00351D41">
      <w:pPr>
        <w:pStyle w:val="Nadpis7"/>
      </w:pPr>
      <w:r>
        <w:t xml:space="preserve">Varianta III. – Základní kapitál </w:t>
      </w:r>
    </w:p>
    <w:p w14:paraId="5A866989" w14:textId="77777777" w:rsidR="00351D41" w:rsidRDefault="00351D41" w:rsidP="00351D41">
      <w:r w:rsidRPr="008C20DF">
        <w:t>Tato varianta předpokládá změnu zákona o hazardních hrách</w:t>
      </w:r>
      <w:r>
        <w:t>,</w:t>
      </w:r>
      <w:r w:rsidRPr="008C20DF">
        <w:t xml:space="preserve"> a to </w:t>
      </w:r>
      <w:r>
        <w:t>nahrazením dosavadního neurčitého pojmu „vlastní zdroje“</w:t>
      </w:r>
      <w:r w:rsidRPr="00E16630">
        <w:t xml:space="preserve"> </w:t>
      </w:r>
      <w:r>
        <w:t>pojmem „</w:t>
      </w:r>
      <w:r w:rsidRPr="00E16630">
        <w:t>základní kapitál</w:t>
      </w:r>
      <w:r>
        <w:t>“</w:t>
      </w:r>
      <w:r w:rsidRPr="00E16630">
        <w:t xml:space="preserve">. </w:t>
      </w:r>
      <w:r w:rsidRPr="00461C2A">
        <w:t xml:space="preserve">Podmínka </w:t>
      </w:r>
      <w:r>
        <w:t xml:space="preserve">tohoto rázu není </w:t>
      </w:r>
      <w:r w:rsidRPr="00461C2A">
        <w:t>ve světě ojedinělá, do svých právních předpisů ji zahrnula téměř polovina analyzovaných zemí.</w:t>
      </w:r>
      <w:r>
        <w:t xml:space="preserve"> Podmínka přítomnosti základního kapitálu by ani v České republice nebyla ničím novým, poněvadž již zákon o loteriích přítomnost základního kapitálu požadoval, ve své podstatě by tak došlo k navrácení k původní podmínce. Je proto nezbytné zvážit přínosy a rizika spojená s jednotlivými kritérii.</w:t>
      </w:r>
    </w:p>
    <w:p w14:paraId="718B8602" w14:textId="77777777" w:rsidR="00351D41" w:rsidRDefault="00351D41" w:rsidP="00351D41">
      <w:r w:rsidRPr="00E16630">
        <w:t>Kromě interpretace základního kapitálu z právních předpisů upravující účetnictví lze definici základního kapitálu nalézt v § 30 z</w:t>
      </w:r>
      <w:r>
        <w:t xml:space="preserve">ákona </w:t>
      </w:r>
      <w:r w:rsidRPr="003B6CDB">
        <w:t>č. 90/2012 Sb., o obchodních společnostech a družstvech</w:t>
      </w:r>
      <w:r>
        <w:t>, ve znění pozdějších předpisů (dále jen „zákon o obchodních korporacích“),</w:t>
      </w:r>
      <w:r w:rsidRPr="00655936">
        <w:t xml:space="preserve"> podle kterého základní kapitál obchodní korporace je souhrn všech vkladů.</w:t>
      </w:r>
      <w:r w:rsidRPr="00E16630">
        <w:t xml:space="preserve"> Jednotlivé vklady (hodnoty) se stávají majetkem společnosti, společník přitom není oprávněn požadovat za dobu trvání společnosti jím poskytnutý vklad zpět. Základní kapitál oproti vlastnímu kapitálu nese rozdíl v tom, že jeho hodnota se mění jen tehdy, dochází-li ke zvyšování či snižování základního kapitálu v souladu s aktuálně platnými právními předpisy. Jeho hodnota je tedy relativně statická a představuje hodnotu, která byla společníky do</w:t>
      </w:r>
      <w:r>
        <w:t> společnosti vložena k </w:t>
      </w:r>
      <w:r w:rsidRPr="00E16630">
        <w:t xml:space="preserve">určitému okamžiku (zpravidla k okamžiku vzniku společnosti či k okamžiku změny výše základního kapitálu). Z účetního hlediska je základní kapitál položkou pasiv </w:t>
      </w:r>
      <w:r w:rsidRPr="00E16630">
        <w:lastRenderedPageBreak/>
        <w:t>rozvahy představující zdroj krytí majetku společnosti. Na základní kapitál není možné nahlížet jako na konkrétní majetek společnosti, neboť majetek je položka proměnlivá, zatímco základní kapitál je položka historická a její výše se mění jen v zákonem stanovených případech (zvýšení</w:t>
      </w:r>
      <w:r>
        <w:t>,</w:t>
      </w:r>
      <w:r w:rsidRPr="00E16630">
        <w:t xml:space="preserve"> resp. snížení z</w:t>
      </w:r>
      <w:r>
        <w:t>ákladního kapitálu). Přitom i u </w:t>
      </w:r>
      <w:r w:rsidRPr="00E16630">
        <w:t xml:space="preserve">stanovení základního kapitálu by bylo </w:t>
      </w:r>
      <w:r>
        <w:t>n</w:t>
      </w:r>
      <w:r w:rsidRPr="00E16630">
        <w:t>utné stanovit jeho minimální výši, poněvadž oproti akciové společnosti by byla zvýhodněna společnost s ručením omezeným, která má zákonem stanovený základní kapitál, nestanoví-li společenská smlouva jinak, pouze 1</w:t>
      </w:r>
      <w:r>
        <w:t> </w:t>
      </w:r>
      <w:r w:rsidRPr="00E16630">
        <w:t>Kč. Pokud by se stanovila minimální výše základního kapitálu, mělo by to vliv i na motivaci společníků, respektive jejich vztah k podnikatelskému riziku, protože by ve společnosti měli vázánou již určitou významnou výši prostředků. I z tohoto důvodu je často základní kapitál chápán jako určitá míra garance pro věřitele, ze</w:t>
      </w:r>
      <w:r>
        <w:t> </w:t>
      </w:r>
      <w:r w:rsidRPr="00E16630">
        <w:t>které by byly případně pokryty jejich pohledávky. Vázanost prostředků v základním kapitálu tak může působit jako nedotknutel</w:t>
      </w:r>
      <w:r>
        <w:t>ná idea.</w:t>
      </w:r>
      <w:r w:rsidRPr="00E16630">
        <w:t xml:space="preserve"> </w:t>
      </w:r>
      <w:r>
        <w:t xml:space="preserve">Zákon o obchodních korporacích sice v některých případech požaduje určitou výši základního kapitálu, avšak nepožaduje, aby společnosti držely vložené prostředky stále k dispozici, či aby prostředky držely v jiné adekvátní formě. Základní kapitál tak nevypovídá o skutečné hodnotě společnosti. </w:t>
      </w:r>
      <w:r w:rsidRPr="00E16630">
        <w:t xml:space="preserve">Institut garance věřitelům prostřednictvím položky základního kapitálu </w:t>
      </w:r>
      <w:r>
        <w:t>tak</w:t>
      </w:r>
      <w:r w:rsidRPr="00E16630">
        <w:t xml:space="preserve"> nelze přeceňovat, je nutné brát </w:t>
      </w:r>
      <w:r>
        <w:t xml:space="preserve">mimo jiné </w:t>
      </w:r>
      <w:r w:rsidRPr="00E16630">
        <w:t>v potaz, že společníci ručí za dluhy společnosti do výše nesplněné vkladové povinnosti dle stavu v obchodím rejstříku a akcionáři za závazky společnosti neručí vůbec, tj. jejich motivace k udržení podnikatelského rizika s nižšími vázanými prostředky klesá</w:t>
      </w:r>
      <w:r>
        <w:t>. P</w:t>
      </w:r>
      <w:r w:rsidRPr="00E16630">
        <w:t>okud je tedy základní kapitál minimální, přispívá to k podstupování vyššího rizika podnikatele, zatímco má-li společnost základní kapitál vyšší, podnikatel se příliš neuchyluje k podstupování vysokého rizika. Akcionáři/společníci si však mohou vybrat hodnotu, kterou do společnosti vložili,</w:t>
      </w:r>
      <w:r>
        <w:t xml:space="preserve"> i </w:t>
      </w:r>
      <w:r w:rsidRPr="00E16630">
        <w:t>jinými způsoby a</w:t>
      </w:r>
      <w:r>
        <w:t> </w:t>
      </w:r>
      <w:r w:rsidRPr="00E16630">
        <w:t>v konečném důsledku, ačkoli bude základní kapitál splňovat určitou požadovanou výši, vůbec nemusí odrážet aktuální hospodářskou situaci společnosti, protože samotná společnost může být i ve ztrátě a</w:t>
      </w:r>
      <w:r>
        <w:t> v </w:t>
      </w:r>
      <w:r w:rsidRPr="00E16630">
        <w:t>kapitálových společnostech se společníci nepodílejí na ztrátě společnosti.</w:t>
      </w:r>
      <w:r>
        <w:t xml:space="preserve"> </w:t>
      </w:r>
      <w:r w:rsidRPr="005818CD">
        <w:t>Tradi</w:t>
      </w:r>
      <w:r>
        <w:t xml:space="preserve">ční funkce základního kapitálu </w:t>
      </w:r>
      <w:r w:rsidRPr="005818CD">
        <w:t>jako formy ochrany věřitelů je proto více než sporná.</w:t>
      </w:r>
      <w:r>
        <w:t xml:space="preserve"> </w:t>
      </w:r>
      <w:r w:rsidRPr="00891157">
        <w:rPr>
          <w:rFonts w:cstheme="minorHAnsi"/>
        </w:rPr>
        <w:t xml:space="preserve">Určitý význam má pouze v souvislosti s tzv. bilančním testem omezujícím rozdělování zisku nebo jiných vlastních zdrojů </w:t>
      </w:r>
      <w:r>
        <w:rPr>
          <w:rFonts w:cstheme="minorHAnsi"/>
        </w:rPr>
        <w:t>obchodních společností a  družstev</w:t>
      </w:r>
      <w:r w:rsidRPr="00891157">
        <w:rPr>
          <w:rFonts w:cstheme="minorHAnsi"/>
        </w:rPr>
        <w:t xml:space="preserve"> (viz </w:t>
      </w:r>
      <w:r>
        <w:rPr>
          <w:rFonts w:cstheme="minorHAnsi"/>
        </w:rPr>
        <w:t>§ 34 a</w:t>
      </w:r>
      <w:r w:rsidRPr="00891157">
        <w:rPr>
          <w:rFonts w:cstheme="minorHAnsi"/>
        </w:rPr>
        <w:t xml:space="preserve"> </w:t>
      </w:r>
      <w:r>
        <w:rPr>
          <w:rFonts w:cstheme="minorHAnsi"/>
        </w:rPr>
        <w:t>40</w:t>
      </w:r>
      <w:r w:rsidRPr="00891157">
        <w:rPr>
          <w:rFonts w:cstheme="minorHAnsi"/>
        </w:rPr>
        <w:t xml:space="preserve"> </w:t>
      </w:r>
      <w:r>
        <w:rPr>
          <w:rFonts w:cstheme="minorHAnsi"/>
        </w:rPr>
        <w:t>zákona o obchodních korporacích)</w:t>
      </w:r>
      <w:r w:rsidRPr="00891157">
        <w:t xml:space="preserve">. </w:t>
      </w:r>
    </w:p>
    <w:p w14:paraId="10A0E162" w14:textId="77777777" w:rsidR="00351D41" w:rsidRDefault="00351D41" w:rsidP="00351D41">
      <w:r>
        <w:t>V</w:t>
      </w:r>
      <w:r w:rsidRPr="00FC0E98">
        <w:t xml:space="preserve"> § 34 </w:t>
      </w:r>
      <w:r>
        <w:t>z</w:t>
      </w:r>
      <w:r w:rsidRPr="00FC0E98">
        <w:t xml:space="preserve">ákon o obchodních korporacích upravuje rozdělení zisku a jiných vlastních zdrojů, v § 40 </w:t>
      </w:r>
      <w:r>
        <w:t xml:space="preserve">zákona o obchodních korporacích </w:t>
      </w:r>
      <w:r w:rsidRPr="00FC0E98">
        <w:t xml:space="preserve">pak stanoví omezení rozdělení a </w:t>
      </w:r>
      <w:r>
        <w:t> </w:t>
      </w:r>
      <w:r w:rsidRPr="00FC0E98">
        <w:t>výplaty podílu na zisku nebo jiných vlastních zdrojích.</w:t>
      </w:r>
      <w:r>
        <w:t xml:space="preserve"> Např. podle</w:t>
      </w:r>
      <w:r w:rsidRPr="00FC0E98">
        <w:t xml:space="preserve"> §</w:t>
      </w:r>
      <w:r>
        <w:t> </w:t>
      </w:r>
      <w:r w:rsidRPr="00FC0E98">
        <w:t>40</w:t>
      </w:r>
      <w:r>
        <w:t> </w:t>
      </w:r>
      <w:r w:rsidRPr="00FC0E98">
        <w:t>odst.</w:t>
      </w:r>
      <w:r>
        <w:t> </w:t>
      </w:r>
      <w:r w:rsidRPr="00FC0E98">
        <w:t>1 zákona o obchodních korporacích kapitálová společnost nebo družstvo nesmí rozdělit zisk nebo jiné vlastní zdroje, pokud se ke dni skončení posledního účetního období vlastní kapitál vyplývající z</w:t>
      </w:r>
      <w:r>
        <w:t> </w:t>
      </w:r>
      <w:r w:rsidRPr="00FC0E98">
        <w:t>řádné nebo mimořádné účetní závěrky nebo vlastní kapitál po tomto rozdělení sníží pod výši upsaného základního kapitálu zvýšeného o fondy, které nelze podle zákona nebo společenské smlouvy rozdělit. Podle §</w:t>
      </w:r>
      <w:r>
        <w:t> </w:t>
      </w:r>
      <w:r w:rsidRPr="00FC0E98">
        <w:t>40</w:t>
      </w:r>
      <w:r>
        <w:t> </w:t>
      </w:r>
      <w:r w:rsidRPr="00FC0E98">
        <w:t>odst.</w:t>
      </w:r>
      <w:r>
        <w:t> </w:t>
      </w:r>
      <w:r w:rsidRPr="00FC0E98">
        <w:t xml:space="preserve">3 </w:t>
      </w:r>
      <w:r>
        <w:t xml:space="preserve">zákona o obchodních korporacích </w:t>
      </w:r>
      <w:r w:rsidRPr="00FC0E98">
        <w:t>pak obchodní korporace nesmí vyplatit podíl na zisku nebo jiných vlastních zdrojích, pokud by si tím přivodila úpadek podle jiného právního předpisu. To platí i pro výplatu zálohy na podíl na zisku.</w:t>
      </w:r>
      <w:r w:rsidRPr="00891157">
        <w:t xml:space="preserve">  </w:t>
      </w:r>
    </w:p>
    <w:p w14:paraId="06F31A63" w14:textId="77777777" w:rsidR="00351D41" w:rsidRDefault="00351D41" w:rsidP="00351D41">
      <w:r w:rsidRPr="005C7763">
        <w:t>Z výše uvedené</w:t>
      </w:r>
      <w:r>
        <w:t xml:space="preserve">ho plyne, že bez doplnění jiných prostředků ochrany tj. zajištěním, aby zapsaný a </w:t>
      </w:r>
      <w:r w:rsidRPr="005C7763">
        <w:t xml:space="preserve">splacený základní kapitál nebyl pouze fiktivní </w:t>
      </w:r>
      <w:r>
        <w:t>podmínkou</w:t>
      </w:r>
      <w:r w:rsidRPr="005C7763">
        <w:t>, ale aby byl vždy kryt reálnou hodnotou</w:t>
      </w:r>
      <w:r>
        <w:t xml:space="preserve"> vlastního majetku společnosti</w:t>
      </w:r>
      <w:r w:rsidRPr="005C7763">
        <w:t xml:space="preserve">, nemůže být stanovením jakékoliv povinné výše základního kapitálu </w:t>
      </w:r>
      <w:r>
        <w:t xml:space="preserve">zákonem o hazardu zajištěna </w:t>
      </w:r>
      <w:r w:rsidRPr="00523FC6">
        <w:t>ani</w:t>
      </w:r>
      <w:r>
        <w:t> </w:t>
      </w:r>
      <w:r w:rsidRPr="00523FC6">
        <w:t>ekonomická</w:t>
      </w:r>
      <w:r w:rsidRPr="005C7763">
        <w:t xml:space="preserve"> stabilita trhu ani věřitelům vždy garantována dostatečná ochrana, resp.</w:t>
      </w:r>
      <w:r>
        <w:t> </w:t>
      </w:r>
      <w:r w:rsidRPr="005C7763">
        <w:t xml:space="preserve">garantována schopnost provozovatele vyplácet možné výhry, protože základní kapitál není </w:t>
      </w:r>
      <w:r w:rsidRPr="005C7763">
        <w:lastRenderedPageBreak/>
        <w:t xml:space="preserve">ukazatelem bonity provozovatele a neposkytuje věřitelům účinnou záruku toho, že jejich pohledávky budou uspokojeny. Na základě </w:t>
      </w:r>
      <w:r>
        <w:t>průzkumu trhu nebyla ani </w:t>
      </w:r>
      <w:r w:rsidRPr="005C7763">
        <w:t>potvrzena žádná souvislost mezi výší základního kapitálu a mírou uspokojení pohledávek přihlášených věřiteli v případě insolvence společnosti.</w:t>
      </w:r>
    </w:p>
    <w:p w14:paraId="3747FAC4" w14:textId="77777777" w:rsidR="00351D41" w:rsidRDefault="00351D41" w:rsidP="00351D41">
      <w:pPr>
        <w:keepNext/>
      </w:pPr>
      <w:r>
        <w:t>Výhody:</w:t>
      </w:r>
    </w:p>
    <w:p w14:paraId="5F6C10E3" w14:textId="77777777" w:rsidR="00351D41" w:rsidRDefault="00351D41" w:rsidP="00351D41">
      <w:pPr>
        <w:rPr>
          <w:rFonts w:cstheme="minorHAnsi"/>
        </w:rPr>
      </w:pPr>
      <w:r w:rsidRPr="008E1B79">
        <w:rPr>
          <w:rFonts w:cstheme="minorHAnsi"/>
        </w:rPr>
        <w:t>Uvedená varianta řeší problematik</w:t>
      </w:r>
      <w:r>
        <w:rPr>
          <w:rFonts w:cstheme="minorHAnsi"/>
        </w:rPr>
        <w:t xml:space="preserve">u chybějící legislativní úpravy. Zároveň by nevznikaly pochybnosti, jaký parametr má být posuzován a dokládán. </w:t>
      </w:r>
      <w:r w:rsidRPr="00E16630">
        <w:rPr>
          <w:rFonts w:cstheme="minorHAnsi"/>
        </w:rPr>
        <w:t xml:space="preserve">Akcionáři/společníci </w:t>
      </w:r>
      <w:r>
        <w:rPr>
          <w:rFonts w:cstheme="minorHAnsi"/>
        </w:rPr>
        <w:t>by byli</w:t>
      </w:r>
      <w:r w:rsidRPr="00E16630">
        <w:rPr>
          <w:rFonts w:cstheme="minorHAnsi"/>
        </w:rPr>
        <w:t xml:space="preserve"> motivování k řízení podnikatelského rizika prostřednictvím vázaných prostředků</w:t>
      </w:r>
      <w:r>
        <w:rPr>
          <w:rFonts w:cstheme="minorHAnsi"/>
        </w:rPr>
        <w:t>. Navíc a</w:t>
      </w:r>
      <w:r w:rsidRPr="00E16630">
        <w:rPr>
          <w:rFonts w:cstheme="minorHAnsi"/>
        </w:rPr>
        <w:t xml:space="preserve">kciové společnosti </w:t>
      </w:r>
      <w:r>
        <w:rPr>
          <w:rFonts w:cstheme="minorHAnsi"/>
        </w:rPr>
        <w:t>ve většině případů spadnou</w:t>
      </w:r>
      <w:r w:rsidRPr="00E16630">
        <w:rPr>
          <w:rFonts w:cstheme="minorHAnsi"/>
        </w:rPr>
        <w:t xml:space="preserve"> do povinného auditu, důvěryhodnost vykázaných finančních výsledků se tak zvýš</w:t>
      </w:r>
      <w:r>
        <w:rPr>
          <w:rFonts w:cstheme="minorHAnsi"/>
        </w:rPr>
        <w:t xml:space="preserve">í. Dále by bylo znemožněno </w:t>
      </w:r>
      <w:r w:rsidRPr="00E16630">
        <w:rPr>
          <w:rFonts w:cstheme="minorHAnsi"/>
        </w:rPr>
        <w:t>zajistit prostředky pomocí efektivních nástrojů jako je např.</w:t>
      </w:r>
      <w:r>
        <w:rPr>
          <w:rFonts w:cstheme="minorHAnsi"/>
        </w:rPr>
        <w:t> </w:t>
      </w:r>
      <w:r w:rsidRPr="00E16630">
        <w:rPr>
          <w:rFonts w:cstheme="minorHAnsi"/>
        </w:rPr>
        <w:t>příplatek mimo základní kapitál</w:t>
      </w:r>
      <w:r>
        <w:rPr>
          <w:rFonts w:cstheme="minorHAnsi"/>
        </w:rPr>
        <w:t>. Rovněž výše základního kapitálu je prakticky neměnná, a proto je jednoduše kontrolovatelná. Výhodou je i f</w:t>
      </w:r>
      <w:r w:rsidRPr="008642A2">
        <w:rPr>
          <w:rFonts w:cstheme="minorHAnsi"/>
        </w:rPr>
        <w:t xml:space="preserve">ormální (presumuje se správnost upsaného základního kapitálu v obchodním rejstříku a předpoklad obecné známosti zapsaného údaje) a materiální (fakt samotné veřejnosti údaje, tedy možnost každého do </w:t>
      </w:r>
      <w:r>
        <w:rPr>
          <w:rFonts w:cstheme="minorHAnsi"/>
        </w:rPr>
        <w:t xml:space="preserve">obchodního </w:t>
      </w:r>
      <w:r w:rsidRPr="008642A2">
        <w:rPr>
          <w:rFonts w:cstheme="minorHAnsi"/>
        </w:rPr>
        <w:t>rejstříku nahlížet a činit si z něj výpisky) publicita základního kapitálu.</w:t>
      </w:r>
    </w:p>
    <w:p w14:paraId="4FD0AC94" w14:textId="77777777" w:rsidR="00351D41" w:rsidRDefault="00351D41" w:rsidP="00351D41">
      <w:r>
        <w:t>Nevýhody:</w:t>
      </w:r>
    </w:p>
    <w:p w14:paraId="13799AFC" w14:textId="77777777" w:rsidR="00351D41" w:rsidRDefault="00351D41" w:rsidP="00351D41">
      <w:pPr>
        <w:rPr>
          <w:rFonts w:cstheme="minorHAnsi"/>
        </w:rPr>
      </w:pPr>
      <w:r>
        <w:rPr>
          <w:rFonts w:cstheme="minorHAnsi"/>
        </w:rPr>
        <w:t xml:space="preserve">Legislativní změna by představovala návrat k posuzování stavu před nabytím účinnosti zákona o hazardních hrách. </w:t>
      </w:r>
      <w:r w:rsidRPr="00E16630">
        <w:rPr>
          <w:rFonts w:cstheme="minorHAnsi"/>
        </w:rPr>
        <w:t xml:space="preserve">Hodnota </w:t>
      </w:r>
      <w:r>
        <w:rPr>
          <w:rFonts w:cstheme="minorHAnsi"/>
        </w:rPr>
        <w:t>základního kapitálu</w:t>
      </w:r>
      <w:r w:rsidRPr="00E16630">
        <w:rPr>
          <w:rFonts w:cstheme="minorHAnsi"/>
        </w:rPr>
        <w:t xml:space="preserve"> </w:t>
      </w:r>
      <w:r>
        <w:rPr>
          <w:rFonts w:cstheme="minorHAnsi"/>
        </w:rPr>
        <w:t xml:space="preserve">však </w:t>
      </w:r>
      <w:r w:rsidRPr="00E16630">
        <w:rPr>
          <w:rFonts w:cstheme="minorHAnsi"/>
        </w:rPr>
        <w:t>neodpovídá aktuální hospodářské situaci společnosti</w:t>
      </w:r>
      <w:r>
        <w:rPr>
          <w:rFonts w:cstheme="minorHAnsi"/>
        </w:rPr>
        <w:t xml:space="preserve"> a společnost se i přes stanovený základní kapitál může dostat do ztráty.</w:t>
      </w:r>
      <w:r w:rsidRPr="006F21C5">
        <w:rPr>
          <w:rFonts w:cstheme="minorHAnsi"/>
        </w:rPr>
        <w:t xml:space="preserve"> </w:t>
      </w:r>
      <w:r>
        <w:rPr>
          <w:rFonts w:cstheme="minorHAnsi"/>
        </w:rPr>
        <w:t>Základním kapitálem se podmínka naplňuje pouze formálně, neboť rozvahová položka základní kapitál při spotřebování prostředků, které byly do základního kapitálu vloženy, zůstává stále konstantní a zkresluje tak naplňování podmínek zákona.</w:t>
      </w:r>
      <w:r w:rsidRPr="006F21C5">
        <w:rPr>
          <w:rFonts w:cstheme="minorHAnsi"/>
        </w:rPr>
        <w:t xml:space="preserve"> </w:t>
      </w:r>
      <w:r>
        <w:rPr>
          <w:rFonts w:cstheme="minorHAnsi"/>
        </w:rPr>
        <w:t>Také není známo, jaká výše základního kapitálu je dostatečná. Navíc se nevyřeší problematika neschopnosti dostát svým závazkům.</w:t>
      </w:r>
    </w:p>
    <w:p w14:paraId="3B3B7AA2" w14:textId="77777777" w:rsidR="00351D41" w:rsidRDefault="00351D41" w:rsidP="00351D41">
      <w:pPr>
        <w:pStyle w:val="Nadpis7"/>
      </w:pPr>
      <w:r>
        <w:t>Varianta IV. – Vlastní kapitál a finanční způsobilost</w:t>
      </w:r>
    </w:p>
    <w:p w14:paraId="73DC5E75" w14:textId="77777777" w:rsidR="00351D41" w:rsidRDefault="00351D41" w:rsidP="00351D41">
      <w:r w:rsidRPr="00626891">
        <w:t xml:space="preserve">Tato varianta předpokládá změnu zákona o hazardních hrách a to v nahrazení pojmu tzv. vlastní zdroje pojmem </w:t>
      </w:r>
      <w:r>
        <w:t>vlastní</w:t>
      </w:r>
      <w:r w:rsidRPr="00626891">
        <w:t xml:space="preserve"> kapitál s d</w:t>
      </w:r>
      <w:r>
        <w:t>oplněním o podmínku kladenou na </w:t>
      </w:r>
      <w:r w:rsidRPr="00626891">
        <w:t xml:space="preserve">finanční resp. ekonomické ukazatele. Strukturou </w:t>
      </w:r>
      <w:r>
        <w:t>aktiv a pasiv se klade důraz na </w:t>
      </w:r>
      <w:r w:rsidRPr="00626891">
        <w:t>řízení ekonomiky provozovatele hazardníc</w:t>
      </w:r>
      <w:r>
        <w:t>h her, s přihlédnutím zejména k </w:t>
      </w:r>
      <w:r w:rsidRPr="00626891">
        <w:t xml:space="preserve">managementu rizika likvidity. Při navrhování této varianty lze vycházet z teorie posuzování finančního zdraví, hospodářské situace společnosti její stabilitě </w:t>
      </w:r>
      <w:r>
        <w:t>a </w:t>
      </w:r>
      <w:r w:rsidRPr="00626891">
        <w:t>solventnosti prostřednictvím finančních ukazatelů. Finanční ukazatele totiž vypovídají o schopnosti a celkové kvalitě hospodaření podniku, jsou velmi užitečným nástrojem pro kontrolu, vyhodnocení či budoucí rozhodování jak managementu společnosti, tak třetích stran. Pro posouzení stavu společnost</w:t>
      </w:r>
      <w:r>
        <w:t>i</w:t>
      </w:r>
      <w:r w:rsidRPr="00626891">
        <w:t xml:space="preserve"> by bylo možné využít např. ukazatele rentability, ukazatele zadluženosti, horizontální či vertikální analýzu, bonitní či bankrotní modely apod. Vše výše uvedené se dá vcelku jednoduše použít v případě, že společnost již nějakou dobu funguje, ovšem o základní povolení k provozování hazardních her žádají i nově založené společnosti, u kterých by posuzování některých ukazatelů a provádění hospodářských analýz postrádalo smysl, přičemž bude vždy záviset na zvolených ukazatelích. Pro takové společnosti by bylo možné stanovit odlišné podmínky.</w:t>
      </w:r>
    </w:p>
    <w:p w14:paraId="6820A4E3" w14:textId="77777777" w:rsidR="00351D41" w:rsidRDefault="00351D41" w:rsidP="00351D41">
      <w:r>
        <w:t>Výhody:</w:t>
      </w:r>
    </w:p>
    <w:p w14:paraId="4762985E" w14:textId="77777777" w:rsidR="00351D41" w:rsidRDefault="00351D41" w:rsidP="00351D41">
      <w:pPr>
        <w:rPr>
          <w:rFonts w:cstheme="minorHAnsi"/>
        </w:rPr>
      </w:pPr>
      <w:r>
        <w:rPr>
          <w:rFonts w:cstheme="minorHAnsi"/>
        </w:rPr>
        <w:lastRenderedPageBreak/>
        <w:t>Nevznikaly by pochybnosti, jaký parametr je Ministerstvem financí skutečně posuzován. Také a</w:t>
      </w:r>
      <w:r w:rsidRPr="00E16630">
        <w:rPr>
          <w:rFonts w:cstheme="minorHAnsi"/>
        </w:rPr>
        <w:t xml:space="preserve">kcionáři/společníci </w:t>
      </w:r>
      <w:r>
        <w:rPr>
          <w:rFonts w:cstheme="minorHAnsi"/>
        </w:rPr>
        <w:t>by byli</w:t>
      </w:r>
      <w:r w:rsidRPr="00E16630">
        <w:rPr>
          <w:rFonts w:cstheme="minorHAnsi"/>
        </w:rPr>
        <w:t xml:space="preserve"> motivov</w:t>
      </w:r>
      <w:r>
        <w:rPr>
          <w:rFonts w:cstheme="minorHAnsi"/>
        </w:rPr>
        <w:t>a</w:t>
      </w:r>
      <w:r w:rsidRPr="00E16630">
        <w:rPr>
          <w:rFonts w:cstheme="minorHAnsi"/>
        </w:rPr>
        <w:t xml:space="preserve">ní k řízení podnikatelského rizika prostřednictvím </w:t>
      </w:r>
      <w:r>
        <w:rPr>
          <w:rFonts w:cstheme="minorHAnsi"/>
        </w:rPr>
        <w:t xml:space="preserve">řízené alokace zdrojů společnosti. </w:t>
      </w:r>
      <w:r w:rsidRPr="00E16630">
        <w:rPr>
          <w:rFonts w:cstheme="minorHAnsi"/>
        </w:rPr>
        <w:t xml:space="preserve">Akciové společnosti </w:t>
      </w:r>
      <w:r>
        <w:rPr>
          <w:rFonts w:cstheme="minorHAnsi"/>
        </w:rPr>
        <w:t>ve většině případů již spadnou</w:t>
      </w:r>
      <w:r w:rsidRPr="00E16630">
        <w:rPr>
          <w:rFonts w:cstheme="minorHAnsi"/>
        </w:rPr>
        <w:t xml:space="preserve"> do povinného auditu, důvěryhodnost vykázaných finančních výsledků se tak zvýš</w:t>
      </w:r>
      <w:r>
        <w:rPr>
          <w:rFonts w:cstheme="minorHAnsi"/>
        </w:rPr>
        <w:t>í. Rovněž by byl umožněn r</w:t>
      </w:r>
      <w:r w:rsidRPr="00C71A8F">
        <w:rPr>
          <w:rFonts w:cstheme="minorHAnsi"/>
        </w:rPr>
        <w:t>ychlý způsob posouzení hospodaření společnosti z různých pohledů</w:t>
      </w:r>
      <w:r>
        <w:rPr>
          <w:rFonts w:cstheme="minorHAnsi"/>
        </w:rPr>
        <w:t xml:space="preserve">. </w:t>
      </w:r>
    </w:p>
    <w:p w14:paraId="2C7C2A50" w14:textId="77777777" w:rsidR="00351D41" w:rsidRDefault="00351D41" w:rsidP="00351D41">
      <w:pPr>
        <w:rPr>
          <w:rFonts w:cstheme="minorHAnsi"/>
        </w:rPr>
      </w:pPr>
      <w:r>
        <w:rPr>
          <w:rFonts w:cstheme="minorHAnsi"/>
        </w:rPr>
        <w:t>Nevýhody:</w:t>
      </w:r>
    </w:p>
    <w:p w14:paraId="32700293" w14:textId="1BA19757" w:rsidR="00351D41" w:rsidRDefault="00351D41" w:rsidP="00351D41">
      <w:pPr>
        <w:rPr>
          <w:rFonts w:cstheme="minorHAnsi"/>
        </w:rPr>
      </w:pPr>
      <w:r>
        <w:rPr>
          <w:rFonts w:cstheme="minorHAnsi"/>
        </w:rPr>
        <w:t>Některé podmínky jsou n</w:t>
      </w:r>
      <w:r w:rsidRPr="00E16630">
        <w:rPr>
          <w:rFonts w:cstheme="minorHAnsi"/>
        </w:rPr>
        <w:t>e</w:t>
      </w:r>
      <w:r>
        <w:rPr>
          <w:rFonts w:cstheme="minorHAnsi"/>
        </w:rPr>
        <w:t>aplikovatelné</w:t>
      </w:r>
      <w:r w:rsidRPr="00E16630">
        <w:rPr>
          <w:rFonts w:cstheme="minorHAnsi"/>
        </w:rPr>
        <w:t xml:space="preserve"> </w:t>
      </w:r>
      <w:r>
        <w:rPr>
          <w:rFonts w:cstheme="minorHAnsi"/>
        </w:rPr>
        <w:t>u</w:t>
      </w:r>
      <w:r w:rsidRPr="00E16630">
        <w:rPr>
          <w:rFonts w:cstheme="minorHAnsi"/>
        </w:rPr>
        <w:t xml:space="preserve"> nových společností</w:t>
      </w:r>
      <w:r>
        <w:rPr>
          <w:rFonts w:cstheme="minorHAnsi"/>
        </w:rPr>
        <w:t>.</w:t>
      </w:r>
      <w:r w:rsidRPr="005E107D">
        <w:rPr>
          <w:rFonts w:cstheme="minorHAnsi"/>
        </w:rPr>
        <w:t xml:space="preserve"> </w:t>
      </w:r>
      <w:r>
        <w:rPr>
          <w:rFonts w:cstheme="minorHAnsi"/>
        </w:rPr>
        <w:t xml:space="preserve">I splnění podmínky „ideálního“ ukazatele se nevyřeší problematika neschopnosti dostát svým závazkům, zejména u nárazově vysokých výher </w:t>
      </w:r>
      <w:r w:rsidR="00302FDF">
        <w:t>účastníků hazardní hry</w:t>
      </w:r>
      <w:r>
        <w:rPr>
          <w:rFonts w:cstheme="minorHAnsi"/>
        </w:rPr>
        <w:t>.</w:t>
      </w:r>
    </w:p>
    <w:p w14:paraId="0E1F8E22" w14:textId="77777777" w:rsidR="00351D41" w:rsidRDefault="00351D41" w:rsidP="00351D41">
      <w:pPr>
        <w:pStyle w:val="Nadpis7"/>
      </w:pPr>
      <w:r>
        <w:t>Varianta V. – Schopnost vyplatit možné výhry</w:t>
      </w:r>
    </w:p>
    <w:p w14:paraId="6B9C61D3" w14:textId="77777777" w:rsidR="00351D41" w:rsidRDefault="00351D41" w:rsidP="00351D41">
      <w:r>
        <w:t xml:space="preserve">Tato varianta představuje výrazný odklon od dosavadního posuzování ekonomických aspektů provozovatelů hazardních her s důrazem na schopnost vyplatit možné výhry, což představuje příčinu regulace ekonomické pozice provozovatelů hazardních her a  ochrany třetích osob státem v souvislosti s provozováním hazardních her. </w:t>
      </w:r>
      <w:r w:rsidRPr="00E16630">
        <w:t xml:space="preserve">Provozovatelům hazardních her by se stanovila permanentní podmínka schopnosti vyplatit </w:t>
      </w:r>
      <w:r>
        <w:t>potenciální</w:t>
      </w:r>
      <w:r w:rsidRPr="00E16630">
        <w:t xml:space="preserve"> výhry, které je možné v daném </w:t>
      </w:r>
      <w:r>
        <w:t>dni</w:t>
      </w:r>
      <w:r w:rsidRPr="00E16630">
        <w:t xml:space="preserve"> získat a je možné je zjistit, tj. </w:t>
      </w:r>
      <w:r>
        <w:t> </w:t>
      </w:r>
      <w:r w:rsidRPr="00E16630">
        <w:t>pokud provozovatel dává možnost</w:t>
      </w:r>
      <w:r>
        <w:t xml:space="preserve"> </w:t>
      </w:r>
      <w:r w:rsidRPr="00E16630">
        <w:t xml:space="preserve">vyhrát určitou výši v jedné či více hazardních hrách, musí být schopen všechny takové výhry v daný </w:t>
      </w:r>
      <w:r>
        <w:t>den</w:t>
      </w:r>
      <w:r w:rsidRPr="00E16630">
        <w:t xml:space="preserve"> vyplatit. Provozovatel by si tak měl vyčlenit a evidovat zvlášť prostředky alespoň ve výši odpovídající </w:t>
      </w:r>
      <w:r>
        <w:t>potenciální</w:t>
      </w:r>
      <w:r w:rsidRPr="00E16630">
        <w:t xml:space="preserve"> výplatě výher. Nejednalo by se tak </w:t>
      </w:r>
      <w:r>
        <w:t>čistě o vstupní podmínku, ale o </w:t>
      </w:r>
      <w:r w:rsidRPr="0030629E">
        <w:t>konstantní podmínku při provozování hazardních her. V t</w:t>
      </w:r>
      <w:r>
        <w:t>abulce č. 3 jsou pro </w:t>
      </w:r>
      <w:r w:rsidRPr="0030629E">
        <w:t>přehled uvedeny druhy hazardních her podle současné právní úpravy, jejich zákonné</w:t>
      </w:r>
      <w:r>
        <w:t xml:space="preserve"> podmínky vztahující se k výhrám a příklady řešení navrhované varianty.</w:t>
      </w:r>
    </w:p>
    <w:p w14:paraId="4304E705" w14:textId="77777777" w:rsidR="006B3B31" w:rsidRPr="00246176" w:rsidRDefault="006B3B31" w:rsidP="006B3B31">
      <w:pPr>
        <w:rPr>
          <w:highlight w:val="yellow"/>
        </w:rPr>
      </w:pPr>
    </w:p>
    <w:p w14:paraId="2E1F8C86" w14:textId="77777777" w:rsidR="006B3B31" w:rsidRPr="00246176" w:rsidRDefault="006B3B31" w:rsidP="006B3B31">
      <w:pPr>
        <w:rPr>
          <w:b/>
          <w:bCs/>
          <w:sz w:val="20"/>
          <w:highlight w:val="yellow"/>
        </w:rPr>
        <w:sectPr w:rsidR="006B3B31" w:rsidRPr="00246176" w:rsidSect="00DF0790">
          <w:pgSz w:w="11906" w:h="16838"/>
          <w:pgMar w:top="1417" w:right="1417" w:bottom="1417" w:left="1417" w:header="708" w:footer="708" w:gutter="0"/>
          <w:cols w:space="708"/>
          <w:docGrid w:linePitch="360"/>
        </w:sectPr>
      </w:pPr>
    </w:p>
    <w:p w14:paraId="180CD967" w14:textId="382F2209" w:rsidR="0067013C" w:rsidRPr="00351D41" w:rsidRDefault="0067013C" w:rsidP="0067013C">
      <w:pPr>
        <w:pStyle w:val="Titulek"/>
        <w:keepNext/>
      </w:pPr>
      <w:bookmarkStart w:id="56" w:name="_Toc71631136"/>
      <w:bookmarkStart w:id="57" w:name="_Toc73529537"/>
      <w:r w:rsidRPr="00351D41">
        <w:lastRenderedPageBreak/>
        <w:t xml:space="preserve">Tabulka č. </w:t>
      </w:r>
      <w:r w:rsidR="00F32808">
        <w:fldChar w:fldCharType="begin"/>
      </w:r>
      <w:r w:rsidR="00F32808">
        <w:instrText xml:space="preserve"> SEQ Tabulka_č. \*</w:instrText>
      </w:r>
      <w:r w:rsidR="00F32808">
        <w:instrText xml:space="preserve"> ARABIC </w:instrText>
      </w:r>
      <w:r w:rsidR="00F32808">
        <w:fldChar w:fldCharType="separate"/>
      </w:r>
      <w:r w:rsidR="00C1553D">
        <w:rPr>
          <w:noProof/>
        </w:rPr>
        <w:t>3</w:t>
      </w:r>
      <w:r w:rsidR="00F32808">
        <w:rPr>
          <w:noProof/>
        </w:rPr>
        <w:fldChar w:fldCharType="end"/>
      </w:r>
      <w:r w:rsidRPr="00351D41">
        <w:t>: Druhy hazardních her a jejich výhry</w:t>
      </w:r>
      <w:bookmarkEnd w:id="56"/>
      <w:bookmarkEnd w:id="57"/>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410"/>
        <w:gridCol w:w="2551"/>
        <w:gridCol w:w="8364"/>
      </w:tblGrid>
      <w:tr w:rsidR="006B3B31" w:rsidRPr="00351D41" w14:paraId="0F7A4CE0" w14:textId="77777777" w:rsidTr="007D6671">
        <w:trPr>
          <w:trHeight w:val="20"/>
        </w:trPr>
        <w:tc>
          <w:tcPr>
            <w:tcW w:w="1843" w:type="dxa"/>
            <w:noWrap/>
            <w:vAlign w:val="center"/>
            <w:hideMark/>
          </w:tcPr>
          <w:p w14:paraId="4DBD2B4D" w14:textId="77777777" w:rsidR="006B3B31" w:rsidRPr="00351D41" w:rsidRDefault="006B3B31" w:rsidP="00DF0790">
            <w:pPr>
              <w:rPr>
                <w:rFonts w:cs="Arial"/>
                <w:b/>
                <w:bCs/>
                <w:szCs w:val="24"/>
              </w:rPr>
            </w:pPr>
            <w:r w:rsidRPr="00351D41">
              <w:rPr>
                <w:rFonts w:cs="Arial"/>
                <w:b/>
                <w:bCs/>
                <w:szCs w:val="24"/>
              </w:rPr>
              <w:t>Druh hazardní hry</w:t>
            </w:r>
          </w:p>
        </w:tc>
        <w:tc>
          <w:tcPr>
            <w:tcW w:w="2410" w:type="dxa"/>
            <w:vAlign w:val="center"/>
            <w:hideMark/>
          </w:tcPr>
          <w:p w14:paraId="6D32F82B" w14:textId="77777777" w:rsidR="006B3B31" w:rsidRPr="00351D41" w:rsidRDefault="006B3B31" w:rsidP="00DF0790">
            <w:pPr>
              <w:rPr>
                <w:rFonts w:cs="Arial"/>
                <w:b/>
                <w:bCs/>
                <w:szCs w:val="24"/>
              </w:rPr>
            </w:pPr>
            <w:r w:rsidRPr="00351D41">
              <w:rPr>
                <w:rFonts w:cs="Arial"/>
                <w:b/>
                <w:bCs/>
                <w:szCs w:val="24"/>
              </w:rPr>
              <w:t>Zákonná podmínka k výhrám</w:t>
            </w:r>
          </w:p>
        </w:tc>
        <w:tc>
          <w:tcPr>
            <w:tcW w:w="2551" w:type="dxa"/>
            <w:noWrap/>
            <w:vAlign w:val="center"/>
            <w:hideMark/>
          </w:tcPr>
          <w:p w14:paraId="57678999" w14:textId="77777777" w:rsidR="006B3B31" w:rsidRPr="00351D41" w:rsidRDefault="006B3B31" w:rsidP="00DF0790">
            <w:pPr>
              <w:rPr>
                <w:rFonts w:cs="Arial"/>
                <w:b/>
                <w:bCs/>
                <w:szCs w:val="24"/>
              </w:rPr>
            </w:pPr>
            <w:r w:rsidRPr="00351D41">
              <w:rPr>
                <w:rFonts w:cs="Arial"/>
                <w:b/>
                <w:bCs/>
                <w:szCs w:val="24"/>
              </w:rPr>
              <w:t>Komentář</w:t>
            </w:r>
          </w:p>
        </w:tc>
        <w:tc>
          <w:tcPr>
            <w:tcW w:w="8364" w:type="dxa"/>
            <w:noWrap/>
            <w:vAlign w:val="center"/>
            <w:hideMark/>
          </w:tcPr>
          <w:p w14:paraId="3A1695B6" w14:textId="77777777" w:rsidR="006B3B31" w:rsidRPr="00351D41" w:rsidRDefault="006B3B31" w:rsidP="00DF0790">
            <w:pPr>
              <w:rPr>
                <w:rFonts w:cs="Arial"/>
                <w:b/>
                <w:bCs/>
                <w:szCs w:val="24"/>
              </w:rPr>
            </w:pPr>
            <w:r w:rsidRPr="00351D41">
              <w:rPr>
                <w:rFonts w:cs="Arial"/>
                <w:b/>
                <w:bCs/>
                <w:szCs w:val="24"/>
              </w:rPr>
              <w:t>Schopnost vyplatit možné výhry - příklad</w:t>
            </w:r>
          </w:p>
        </w:tc>
      </w:tr>
      <w:tr w:rsidR="006B3B31" w:rsidRPr="00351D41" w14:paraId="27FEA965" w14:textId="77777777" w:rsidTr="007D6671">
        <w:trPr>
          <w:trHeight w:val="20"/>
        </w:trPr>
        <w:tc>
          <w:tcPr>
            <w:tcW w:w="1843" w:type="dxa"/>
            <w:noWrap/>
            <w:hideMark/>
          </w:tcPr>
          <w:p w14:paraId="61E3D41C" w14:textId="77777777" w:rsidR="006B3B31" w:rsidRPr="00351D41" w:rsidRDefault="006B3B31" w:rsidP="00DF0790">
            <w:pPr>
              <w:rPr>
                <w:rFonts w:cs="Arial"/>
                <w:szCs w:val="24"/>
              </w:rPr>
            </w:pPr>
            <w:r w:rsidRPr="00351D41">
              <w:rPr>
                <w:rFonts w:cs="Arial"/>
                <w:szCs w:val="24"/>
              </w:rPr>
              <w:t>Loterie</w:t>
            </w:r>
          </w:p>
          <w:p w14:paraId="7C4D32D9" w14:textId="77777777" w:rsidR="006B3B31" w:rsidRPr="00351D41" w:rsidRDefault="006B3B31" w:rsidP="00DF0790">
            <w:pPr>
              <w:rPr>
                <w:rFonts w:cs="Arial"/>
                <w:szCs w:val="24"/>
              </w:rPr>
            </w:pPr>
          </w:p>
          <w:p w14:paraId="38A4B8A0" w14:textId="77777777" w:rsidR="006B3B31" w:rsidRPr="00351D41" w:rsidRDefault="006B3B31" w:rsidP="00DF0790">
            <w:pPr>
              <w:rPr>
                <w:rFonts w:cs="Arial"/>
                <w:szCs w:val="24"/>
              </w:rPr>
            </w:pPr>
            <w:r w:rsidRPr="00351D41">
              <w:rPr>
                <w:rFonts w:cs="Arial"/>
                <w:szCs w:val="24"/>
              </w:rPr>
              <w:t xml:space="preserve">(číselná, věcná, peněžitá, okamžitá loterie, dále doplňková loterie </w:t>
            </w:r>
            <w:r w:rsidRPr="00351D41">
              <w:rPr>
                <w:rFonts w:cs="Arial"/>
                <w:szCs w:val="24"/>
              </w:rPr>
              <w:br/>
              <w:t>a sdílená loterie)</w:t>
            </w:r>
          </w:p>
        </w:tc>
        <w:tc>
          <w:tcPr>
            <w:tcW w:w="2410" w:type="dxa"/>
            <w:hideMark/>
          </w:tcPr>
          <w:p w14:paraId="224BAD77" w14:textId="77777777" w:rsidR="006B3B31" w:rsidRPr="00351D41" w:rsidRDefault="006B3B31" w:rsidP="00DF0790">
            <w:pPr>
              <w:rPr>
                <w:rFonts w:cs="Arial"/>
                <w:szCs w:val="24"/>
              </w:rPr>
            </w:pPr>
            <w:r w:rsidRPr="00351D41">
              <w:rPr>
                <w:rFonts w:cs="Arial"/>
                <w:szCs w:val="24"/>
              </w:rPr>
              <w:t xml:space="preserve">podle § 21 zákona </w:t>
            </w:r>
            <w:r w:rsidRPr="00351D41">
              <w:rPr>
                <w:rFonts w:cs="Arial"/>
                <w:szCs w:val="24"/>
              </w:rPr>
              <w:br/>
              <w:t xml:space="preserve">o hazardních hrách úhrnná cena výher nesmí být &lt; 40 % </w:t>
            </w:r>
            <w:r w:rsidRPr="00351D41">
              <w:rPr>
                <w:rFonts w:cs="Arial"/>
                <w:szCs w:val="24"/>
              </w:rPr>
              <w:br/>
              <w:t>a &gt; 80 % herní jistiny</w:t>
            </w:r>
            <w:r w:rsidRPr="00351D41">
              <w:rPr>
                <w:rFonts w:cs="Arial"/>
                <w:szCs w:val="24"/>
              </w:rPr>
              <w:br/>
            </w:r>
            <w:r w:rsidRPr="00351D41">
              <w:rPr>
                <w:rFonts w:cs="Arial"/>
                <w:szCs w:val="24"/>
              </w:rPr>
              <w:br/>
              <w:t xml:space="preserve">herní jistina = počet uzavřených sázek x výše vkladu za uzavřenou sázku, která je případně doplněna o nedosažené výhry </w:t>
            </w:r>
            <w:r w:rsidRPr="00351D41">
              <w:rPr>
                <w:rFonts w:cs="Arial"/>
                <w:szCs w:val="24"/>
              </w:rPr>
              <w:br/>
              <w:t>z předchozích sázkových období</w:t>
            </w:r>
          </w:p>
        </w:tc>
        <w:tc>
          <w:tcPr>
            <w:tcW w:w="2551" w:type="dxa"/>
            <w:hideMark/>
          </w:tcPr>
          <w:p w14:paraId="4C4A71D1" w14:textId="58545A6D" w:rsidR="006B3B31" w:rsidRPr="00351D41" w:rsidRDefault="006B3B31" w:rsidP="00302FDF">
            <w:pPr>
              <w:rPr>
                <w:rFonts w:cs="Arial"/>
                <w:szCs w:val="24"/>
              </w:rPr>
            </w:pPr>
            <w:r w:rsidRPr="00351D41">
              <w:rPr>
                <w:rFonts w:cs="Arial"/>
                <w:szCs w:val="24"/>
              </w:rPr>
              <w:t xml:space="preserve">Číselná loterie je hra, ve které </w:t>
            </w:r>
            <w:r w:rsidR="00302FDF">
              <w:t>účastník hazardní hry</w:t>
            </w:r>
            <w:r w:rsidRPr="00351D41">
              <w:rPr>
                <w:rFonts w:cs="Arial"/>
                <w:szCs w:val="24"/>
              </w:rPr>
              <w:t xml:space="preserve"> vsadí určitou finanční částku a snaží se uhádnout čísla, která budou vytažena </w:t>
            </w:r>
            <w:r w:rsidRPr="00351D41">
              <w:rPr>
                <w:rFonts w:cs="Arial"/>
                <w:szCs w:val="24"/>
              </w:rPr>
              <w:br/>
              <w:t xml:space="preserve">z osudí. Počet čísel </w:t>
            </w:r>
            <w:r w:rsidRPr="00351D41">
              <w:rPr>
                <w:rFonts w:cs="Arial"/>
                <w:szCs w:val="24"/>
              </w:rPr>
              <w:br/>
              <w:t xml:space="preserve">v osudí i počet tažených čísel je pevně dán. Čím více čísel je uhodnuto, tím více sázející vyhrává. Výhry se každé slosování mění. Není známo, jaká čísla budou tažena a kolik osob tažená čísla uhádne. U číselné loterie není předem určen počet sázejících ani výše herní jistiny a výhra se vypočítá podle počtu výherců nebo úhrnné výše sázek předem stanoveným podílem, nebo se stanoví </w:t>
            </w:r>
            <w:r w:rsidRPr="00351D41">
              <w:rPr>
                <w:rFonts w:cs="Arial"/>
                <w:szCs w:val="24"/>
              </w:rPr>
              <w:lastRenderedPageBreak/>
              <w:t>násobkem sázky podle toho, jak z omezeného počtu čísel tažených při slosování uhodl sázející herním plánem určený počet tažených čísel. Provozovatelé však určují hlavní výhru a v herním plánu strukturu výher dalších pořadí.</w:t>
            </w:r>
          </w:p>
        </w:tc>
        <w:tc>
          <w:tcPr>
            <w:tcW w:w="8364" w:type="dxa"/>
            <w:hideMark/>
          </w:tcPr>
          <w:p w14:paraId="5EFD329E" w14:textId="77777777" w:rsidR="006B3B31" w:rsidRPr="00351D41" w:rsidRDefault="006B3B31" w:rsidP="00DF0790">
            <w:pPr>
              <w:rPr>
                <w:rFonts w:cs="Arial"/>
                <w:szCs w:val="24"/>
              </w:rPr>
            </w:pPr>
            <w:r w:rsidRPr="00351D41">
              <w:rPr>
                <w:rFonts w:cs="Arial"/>
                <w:szCs w:val="24"/>
              </w:rPr>
              <w:lastRenderedPageBreak/>
              <w:t>Příklad 1: Provozovatel nabízí loterijní hru, kde se losuje 8 čísel z 60 a jedno dodatkové číslo. Aby sázející vyhrál první výhru, musí uhádnout všech 8 čísel a mít dodatkové číslo shodné s posledním číslem tiketu. První výhru určil provozovatel na 10 mil. Kč. V případě více výherců se výhra rozdělí rovným dílem. V herním plánu stanovil dále provozovatel strukturu výher následovně:</w:t>
            </w:r>
          </w:p>
          <w:p w14:paraId="328BD37B" w14:textId="77777777" w:rsidR="006B3B31" w:rsidRPr="00351D41" w:rsidRDefault="006B3B31" w:rsidP="00DF0790">
            <w:pPr>
              <w:rPr>
                <w:rFonts w:cs="Arial"/>
                <w:szCs w:val="24"/>
              </w:rPr>
            </w:pPr>
            <w:r w:rsidRPr="00351D41">
              <w:rPr>
                <w:rFonts w:cs="Arial"/>
                <w:szCs w:val="24"/>
              </w:rPr>
              <w:t xml:space="preserve">2. výhra - uhádnutí 7 tažených čísel a dodatkového čísla. Výherní kvóta činí 20 % z herní jistiny.  </w:t>
            </w:r>
          </w:p>
          <w:p w14:paraId="393CE7BB" w14:textId="77777777" w:rsidR="006B3B31" w:rsidRPr="00351D41" w:rsidRDefault="006B3B31" w:rsidP="00DF0790">
            <w:pPr>
              <w:rPr>
                <w:rFonts w:cs="Arial"/>
                <w:szCs w:val="24"/>
              </w:rPr>
            </w:pPr>
            <w:r w:rsidRPr="00351D41">
              <w:rPr>
                <w:rFonts w:cs="Arial"/>
                <w:szCs w:val="24"/>
              </w:rPr>
              <w:t>3. výhra - uhádnutí 6 tažených čísel a dodatkového čísla. Výherní kvóta činí 15 % z herní jistiny.</w:t>
            </w:r>
          </w:p>
          <w:p w14:paraId="7092C6CC" w14:textId="77777777" w:rsidR="006B3B31" w:rsidRPr="00351D41" w:rsidRDefault="006B3B31" w:rsidP="00DF0790">
            <w:pPr>
              <w:rPr>
                <w:rFonts w:cs="Arial"/>
                <w:szCs w:val="24"/>
              </w:rPr>
            </w:pPr>
            <w:r w:rsidRPr="00351D41">
              <w:rPr>
                <w:rFonts w:cs="Arial"/>
                <w:szCs w:val="24"/>
              </w:rPr>
              <w:t>4. výhra - uhádnutí 8 tažených čísel bez dodatkového čísla. Výherní kvóta činí 10 % z herní jistiny.</w:t>
            </w:r>
          </w:p>
          <w:p w14:paraId="49E18675" w14:textId="77777777" w:rsidR="006B3B31" w:rsidRPr="00351D41" w:rsidRDefault="006B3B31" w:rsidP="00DF0790">
            <w:pPr>
              <w:rPr>
                <w:rFonts w:cs="Arial"/>
                <w:szCs w:val="24"/>
              </w:rPr>
            </w:pPr>
            <w:r w:rsidRPr="00351D41">
              <w:rPr>
                <w:rFonts w:cs="Arial"/>
                <w:szCs w:val="24"/>
              </w:rPr>
              <w:t>5. výhra - uhádnutí 7 tažených čísel bez dodatkového čísla. Výherní kvóta činí 5 % z herní jistiny.</w:t>
            </w:r>
          </w:p>
          <w:p w14:paraId="0395DD3D" w14:textId="77777777" w:rsidR="000B0DFE" w:rsidRDefault="006B3B31" w:rsidP="00DF0790">
            <w:pPr>
              <w:rPr>
                <w:rFonts w:cs="Arial"/>
                <w:szCs w:val="24"/>
              </w:rPr>
            </w:pPr>
            <w:r w:rsidRPr="00351D41">
              <w:rPr>
                <w:rFonts w:cs="Arial"/>
                <w:szCs w:val="24"/>
              </w:rPr>
              <w:t>Loterie se losuje v pondělí </w:t>
            </w:r>
            <w:r w:rsidR="004F7FA9" w:rsidRPr="00351D41">
              <w:rPr>
                <w:rFonts w:cs="Arial"/>
                <w:szCs w:val="24"/>
              </w:rPr>
              <w:t>ve</w:t>
            </w:r>
            <w:r w:rsidRPr="00351D41">
              <w:rPr>
                <w:rFonts w:cs="Arial"/>
                <w:szCs w:val="24"/>
              </w:rPr>
              <w:t> 12:00</w:t>
            </w:r>
            <w:r w:rsidR="000B0DFE">
              <w:rPr>
                <w:rFonts w:cs="Arial"/>
                <w:szCs w:val="24"/>
              </w:rPr>
              <w:t xml:space="preserve"> hod</w:t>
            </w:r>
            <w:r w:rsidRPr="00351D41">
              <w:rPr>
                <w:rFonts w:cs="Arial"/>
                <w:szCs w:val="24"/>
              </w:rPr>
              <w:t>.</w:t>
            </w:r>
          </w:p>
          <w:p w14:paraId="6BF00434" w14:textId="0958CD4D" w:rsidR="006B3B31" w:rsidRPr="00351D41" w:rsidRDefault="006B3B31" w:rsidP="00DF0790">
            <w:pPr>
              <w:rPr>
                <w:rFonts w:cs="Arial"/>
                <w:szCs w:val="24"/>
              </w:rPr>
            </w:pP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Pro</w:t>
            </w:r>
            <w:r w:rsidR="004F7FA9" w:rsidRPr="00351D41">
              <w:rPr>
                <w:rFonts w:cs="Arial"/>
                <w:szCs w:val="24"/>
              </w:rPr>
              <w:t>vozovatel určil hlavní výhru 10 </w:t>
            </w:r>
            <w:r w:rsidRPr="00351D41">
              <w:rPr>
                <w:rFonts w:cs="Arial"/>
                <w:szCs w:val="24"/>
              </w:rPr>
              <w:t xml:space="preserve">mil. Kč, tj. aby mohl dostát svým závazkům, musí mít v den losování </w:t>
            </w:r>
            <w:r w:rsidRPr="00351D41">
              <w:rPr>
                <w:rFonts w:cs="Arial"/>
                <w:szCs w:val="24"/>
              </w:rPr>
              <w:br/>
              <w:t xml:space="preserve">k dispozici 10 mil. Kč. Zbylé výhry provozovatel stanovil procentem </w:t>
            </w:r>
            <w:r w:rsidRPr="00351D41">
              <w:rPr>
                <w:rFonts w:cs="Arial"/>
                <w:szCs w:val="24"/>
              </w:rPr>
              <w:br/>
              <w:t xml:space="preserve">z přijatých sázek, protože není možné odpovídající výši výher zjistit dopředu, je nezbytné zvolit alternativní výpočet. U her, jejichž výhry vychází </w:t>
            </w:r>
            <w:r w:rsidRPr="00351D41">
              <w:rPr>
                <w:rFonts w:cs="Arial"/>
                <w:szCs w:val="24"/>
              </w:rPr>
              <w:br/>
              <w:t xml:space="preserve">z procentuálního určení přijatých sázek, tzn., že výhry nikdy nepřesáhnou stanovený podíl obdržených prostředků od sázejících, a tedy nevzniká riziko ztráty provozovatele, lze stanovit, že provozovatel nesmí s těmito prostředky nijak nakládat až do doby vyhodnocení hry a vyplacení odpovídajících výher. </w:t>
            </w:r>
            <w:r w:rsidRPr="00351D41">
              <w:rPr>
                <w:rFonts w:cs="Arial"/>
                <w:szCs w:val="24"/>
              </w:rPr>
              <w:lastRenderedPageBreak/>
              <w:t>Neměl by tedy povinnost dopředu držet stanovenou hodnotu, ale s prostředky, které od sázejících obdrží, by nesměl manipulovat do doby vyplacení výher.</w:t>
            </w:r>
          </w:p>
          <w:p w14:paraId="71DE2697" w14:textId="77777777" w:rsidR="006B3B31" w:rsidRPr="00351D41" w:rsidRDefault="006B3B31" w:rsidP="00DF0790">
            <w:pPr>
              <w:rPr>
                <w:rFonts w:cs="Arial"/>
                <w:szCs w:val="24"/>
              </w:rPr>
            </w:pPr>
          </w:p>
          <w:p w14:paraId="727B57AD" w14:textId="77777777" w:rsidR="006B3B31" w:rsidRPr="00351D41" w:rsidRDefault="006B3B31" w:rsidP="00DF0790">
            <w:pPr>
              <w:rPr>
                <w:rFonts w:cs="Arial"/>
                <w:szCs w:val="24"/>
              </w:rPr>
            </w:pPr>
          </w:p>
          <w:p w14:paraId="1B1FA4B6" w14:textId="4C7C5A09" w:rsidR="006B3B31" w:rsidRPr="00351D41" w:rsidRDefault="006B3B31" w:rsidP="00F8265F">
            <w:pPr>
              <w:rPr>
                <w:rFonts w:cs="Arial"/>
                <w:szCs w:val="24"/>
              </w:rPr>
            </w:pPr>
            <w:r w:rsidRPr="00351D41">
              <w:rPr>
                <w:rFonts w:cs="Arial"/>
                <w:szCs w:val="24"/>
              </w:rPr>
              <w:t>Příklad 2: Provozovatel nabízí loterijní hru, kde účastník tipuje tři až pět čísel z 50. V každém Slosování je vylosováno šest Výherních čísel. Losuje se každý den ve 12:00 a 22:00</w:t>
            </w:r>
            <w:r w:rsidR="00523FC6" w:rsidRPr="00351D41">
              <w:rPr>
                <w:rFonts w:cs="Arial"/>
                <w:szCs w:val="24"/>
              </w:rPr>
              <w:t xml:space="preserve"> hod</w:t>
            </w:r>
            <w:r w:rsidRPr="00351D41">
              <w:rPr>
                <w:rFonts w:cs="Arial"/>
                <w:szCs w:val="24"/>
              </w:rPr>
              <w:t xml:space="preserve">. Herní jistinu tvoří úhrn přijatých vkladů. Základní výše jedné sázky činí 20 Kč. Účastník si může svůj vklad </w:t>
            </w:r>
            <w:r w:rsidRPr="00351D41">
              <w:rPr>
                <w:rFonts w:cs="Arial"/>
                <w:szCs w:val="24"/>
              </w:rPr>
              <w:br/>
              <w:t xml:space="preserve">i znásobit, maximálně však 100krát. Výhry v jednotlivých výherních pořadích sázek na 3, 4 a 5 čísel jsou určeny jako násobky výše sázky, a to </w:t>
            </w:r>
            <w:r w:rsidRPr="00351D41">
              <w:rPr>
                <w:rFonts w:cs="Arial"/>
                <w:szCs w:val="24"/>
              </w:rPr>
              <w:br/>
              <w:t>v závislosti na počtu uhodnutých čísel. Sázka na 3 čísla má 3 výherní pořadí s tím, že provozovatel v herním plánu stavil maximální výše výherní kvóty pro 3 uhodnutá čísla i pro 2 uhodnutá čísla na 5</w:t>
            </w:r>
            <w:r w:rsidR="004F7FA9" w:rsidRPr="00351D41">
              <w:rPr>
                <w:rFonts w:cs="Arial"/>
                <w:szCs w:val="24"/>
              </w:rPr>
              <w:t xml:space="preserve"> mil. Kč. Sázka na 4 čísla má 4 </w:t>
            </w:r>
            <w:r w:rsidRPr="00351D41">
              <w:rPr>
                <w:rFonts w:cs="Arial"/>
                <w:szCs w:val="24"/>
              </w:rPr>
              <w:t>výherní pořadí s tím, že maximální výše výherní kvóty pro 4 uhodnutá čísla činí 10 mil. Kč, pro 3 uhodnutá čísla a pro 2 uhodnutá čísla dohromady činí 10 mil. Kč. Sázka na 5 čísel má 4 výherní pořadí s tím, že maximální výše výherní kvóty pro 5 uhodnutých čísel činí 10 mil. Kč, výše výherní kvóty pro ostatní výherní pořadí dohromady činí 10 mil. Kč. Pokud celková výše výher v jednom slosování překročí ve výherních pořadích stanovenou maximální výši výherní kvóty, násobí se výše výhry koeficientem odpovídajícím poměru maximální výše výherní kvóty k celkové výši výher.</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Provozovatel určil maximální výherní kvóty pro jednotlivá výherní pořadí, z nich by bylo možné vypočíst celkovou maximální výherní kvótu. Ovšem pro sjednocení výpočtu se u her, jejichž výhry vychází z procentuálního určení přijatých sázek, tzn., že výhry nikdy nepřesáhnou stanovený podíl obdržených prostředků od sázejících, </w:t>
            </w:r>
            <w:r w:rsidRPr="00351D41">
              <w:rPr>
                <w:rFonts w:cs="Arial"/>
                <w:szCs w:val="24"/>
              </w:rPr>
              <w:br/>
              <w:t xml:space="preserve">a tedy nevzniká riziko ztráty provozovatele, lze stanovit, že provozovatel nesmí s těmito prostředky nijak nakládat až do doby vyhodnocení hry </w:t>
            </w:r>
            <w:r w:rsidRPr="00351D41">
              <w:rPr>
                <w:rFonts w:cs="Arial"/>
                <w:szCs w:val="24"/>
              </w:rPr>
              <w:br/>
              <w:t>a vyplacení odpovídajících výher.</w:t>
            </w:r>
          </w:p>
        </w:tc>
      </w:tr>
      <w:tr w:rsidR="006B3B31" w:rsidRPr="00351D41" w14:paraId="6B7CF0BD" w14:textId="77777777" w:rsidTr="007D6671">
        <w:trPr>
          <w:trHeight w:val="20"/>
        </w:trPr>
        <w:tc>
          <w:tcPr>
            <w:tcW w:w="1843" w:type="dxa"/>
            <w:hideMark/>
          </w:tcPr>
          <w:p w14:paraId="6FB54D69" w14:textId="77777777" w:rsidR="006B3B31" w:rsidRPr="00351D41" w:rsidRDefault="006B3B31" w:rsidP="00DF0790">
            <w:pPr>
              <w:rPr>
                <w:rFonts w:cs="Arial"/>
                <w:szCs w:val="24"/>
              </w:rPr>
            </w:pPr>
            <w:r w:rsidRPr="00351D41">
              <w:rPr>
                <w:rFonts w:cs="Arial"/>
                <w:szCs w:val="24"/>
              </w:rPr>
              <w:lastRenderedPageBreak/>
              <w:t>Kursová sázka</w:t>
            </w:r>
          </w:p>
        </w:tc>
        <w:tc>
          <w:tcPr>
            <w:tcW w:w="2410" w:type="dxa"/>
            <w:hideMark/>
          </w:tcPr>
          <w:p w14:paraId="1967A2CE" w14:textId="77777777" w:rsidR="006B3B31" w:rsidRPr="00351D41" w:rsidRDefault="006B3B31" w:rsidP="00DF0790">
            <w:pPr>
              <w:rPr>
                <w:rFonts w:cs="Arial"/>
                <w:szCs w:val="24"/>
              </w:rPr>
            </w:pPr>
            <w:r w:rsidRPr="00351D41">
              <w:rPr>
                <w:rFonts w:cs="Arial"/>
                <w:szCs w:val="24"/>
              </w:rPr>
              <w:t xml:space="preserve">Podle § 27 zákona </w:t>
            </w:r>
            <w:r w:rsidRPr="00351D41">
              <w:rPr>
                <w:rFonts w:cs="Arial"/>
                <w:szCs w:val="24"/>
              </w:rPr>
              <w:br/>
              <w:t>o hazardních hrách je výše výhry přímo úměrná výhernímu poměru (kursu), ve kterém byla sázka přijata, a výši sázky.</w:t>
            </w:r>
          </w:p>
        </w:tc>
        <w:tc>
          <w:tcPr>
            <w:tcW w:w="2551" w:type="dxa"/>
            <w:hideMark/>
          </w:tcPr>
          <w:p w14:paraId="37DD790D" w14:textId="4414A049" w:rsidR="006B3B31" w:rsidRPr="00351D41" w:rsidRDefault="006B3B31" w:rsidP="00DF0790">
            <w:pPr>
              <w:rPr>
                <w:rFonts w:cs="Arial"/>
                <w:szCs w:val="24"/>
              </w:rPr>
            </w:pPr>
            <w:r w:rsidRPr="00351D41">
              <w:rPr>
                <w:rFonts w:cs="Arial"/>
                <w:szCs w:val="24"/>
              </w:rPr>
              <w:t>Kursové sázení je sázko</w:t>
            </w:r>
            <w:r w:rsidR="004F7FA9" w:rsidRPr="00351D41">
              <w:rPr>
                <w:rFonts w:cs="Arial"/>
                <w:szCs w:val="24"/>
              </w:rPr>
              <w:t>vá hra, jejíž princip spočívá v </w:t>
            </w:r>
            <w:r w:rsidRPr="00351D41">
              <w:rPr>
                <w:rFonts w:cs="Arial"/>
                <w:szCs w:val="24"/>
              </w:rPr>
              <w:t>odhadování výsledku (nebo pořadí) události sázkařem. Pořadatel na události vypisuje příslušné kurzy. Kurz stanovu</w:t>
            </w:r>
            <w:r w:rsidR="004F7FA9" w:rsidRPr="00351D41">
              <w:rPr>
                <w:rFonts w:cs="Arial"/>
                <w:szCs w:val="24"/>
              </w:rPr>
              <w:t>je poměr mezi částkou určenou k </w:t>
            </w:r>
            <w:r w:rsidRPr="00351D41">
              <w:rPr>
                <w:rFonts w:cs="Arial"/>
                <w:szCs w:val="24"/>
              </w:rPr>
              <w:t xml:space="preserve">výplatě při správném tipu </w:t>
            </w:r>
            <w:r w:rsidRPr="00351D41">
              <w:rPr>
                <w:rFonts w:cs="Arial"/>
                <w:szCs w:val="24"/>
              </w:rPr>
              <w:br/>
              <w:t xml:space="preserve">a vsazenou částkou. Provozovatel může kurzy v průběhu události měnit nebo může být příjem sázek pozastaven nebo zrušen. Změna Kurzu nemá vliv na sázky uzavřené před touto změnou. </w:t>
            </w:r>
            <w:r w:rsidRPr="00351D41">
              <w:rPr>
                <w:rFonts w:cs="Arial"/>
                <w:szCs w:val="24"/>
              </w:rPr>
              <w:br/>
              <w:t xml:space="preserve">U kursových sázek není úhrnná výše výher odvislá od výše vybraných sázek </w:t>
            </w:r>
            <w:r w:rsidRPr="00351D41">
              <w:rPr>
                <w:rFonts w:cs="Arial"/>
                <w:szCs w:val="24"/>
              </w:rPr>
              <w:br/>
              <w:t>a tak pro provozovatele představuj</w:t>
            </w:r>
            <w:r w:rsidR="004F7FA9" w:rsidRPr="00351D41">
              <w:rPr>
                <w:rFonts w:cs="Arial"/>
                <w:szCs w:val="24"/>
              </w:rPr>
              <w:t>í kursové sázky riziko ztráty v </w:t>
            </w:r>
            <w:r w:rsidRPr="00351D41">
              <w:rPr>
                <w:rFonts w:cs="Arial"/>
                <w:szCs w:val="24"/>
              </w:rPr>
              <w:t xml:space="preserve">případech, kdy </w:t>
            </w:r>
            <w:r w:rsidRPr="00351D41">
              <w:rPr>
                <w:rFonts w:cs="Arial"/>
                <w:szCs w:val="24"/>
              </w:rPr>
              <w:lastRenderedPageBreak/>
              <w:t xml:space="preserve">sázející realizují sázku ve větší míře na ne zcela pravděpodobné výsledky, které se však skutečně </w:t>
            </w:r>
            <w:r w:rsidRPr="00351D41">
              <w:rPr>
                <w:rFonts w:cs="Arial"/>
                <w:szCs w:val="24"/>
              </w:rPr>
              <w:br/>
              <w:t>v budoucnu stanou.</w:t>
            </w:r>
          </w:p>
          <w:p w14:paraId="4679B4C0" w14:textId="77777777" w:rsidR="006B3B31" w:rsidRPr="00351D41" w:rsidRDefault="006B3B31" w:rsidP="00DF0790">
            <w:pPr>
              <w:rPr>
                <w:rFonts w:cs="Arial"/>
                <w:szCs w:val="24"/>
              </w:rPr>
            </w:pPr>
          </w:p>
        </w:tc>
        <w:tc>
          <w:tcPr>
            <w:tcW w:w="8364" w:type="dxa"/>
            <w:hideMark/>
          </w:tcPr>
          <w:p w14:paraId="4617F919" w14:textId="52A22E6A" w:rsidR="006B3B31" w:rsidRPr="00351D41" w:rsidRDefault="006B3B31" w:rsidP="00DF0790">
            <w:pPr>
              <w:rPr>
                <w:rFonts w:cs="Arial"/>
                <w:szCs w:val="24"/>
              </w:rPr>
            </w:pPr>
            <w:r w:rsidRPr="00351D41">
              <w:rPr>
                <w:rFonts w:cs="Arial"/>
                <w:szCs w:val="24"/>
              </w:rPr>
              <w:lastRenderedPageBreak/>
              <w:t>V německém Obersdorfu probíhá mistrovství světa v klasickém lyžování. Aktuálně je na programu druhý individuální závod žen v běhu na lyžích, pojede se 10 km volně s intervalovým startem. V rámci této události byl vypsán kurz např. na to, kdo v tomto závodě dopadne lépe, zda Češka Kateřina Razýmová (kurz 2,4) nebo Fra</w:t>
            </w:r>
            <w:r w:rsidR="000A2846" w:rsidRPr="00351D41">
              <w:rPr>
                <w:rFonts w:cs="Arial"/>
                <w:szCs w:val="24"/>
              </w:rPr>
              <w:t>ncouz</w:t>
            </w:r>
            <w:r w:rsidRPr="00351D41">
              <w:rPr>
                <w:rFonts w:cs="Arial"/>
                <w:szCs w:val="24"/>
              </w:rPr>
              <w:t>ka Delphine Claudel (kurz 1,5)</w:t>
            </w:r>
          </w:p>
          <w:p w14:paraId="20BC1BA3" w14:textId="73078FC9" w:rsidR="006B3B31" w:rsidRPr="00351D41" w:rsidRDefault="006B3B31" w:rsidP="00DF0790">
            <w:pPr>
              <w:rPr>
                <w:rFonts w:cs="Arial"/>
                <w:szCs w:val="24"/>
              </w:rPr>
            </w:pPr>
            <w:r w:rsidRPr="00351D41">
              <w:rPr>
                <w:rFonts w:cs="Arial"/>
                <w:szCs w:val="24"/>
              </w:rPr>
              <w:t>Provozovatel může Kurzy, dobu ukončení příjmu sázek a další parametry jednotlivých Sázkových událostí v průběhu Sázkového období měnit. Minimální výše sázky na jednu sázku činí 5 Kč. Výše Výhry je dána součinem vkladu a kurzu tipované sázkové příležitosti v době uzavření sázky. Maximální výše čisté výhry (rozdíl mezi celkovou výhrou a vkladem) na jeden tiket činí 5</w:t>
            </w:r>
            <w:r w:rsidR="004F7FA9" w:rsidRPr="00351D41">
              <w:rPr>
                <w:rFonts w:cs="Arial"/>
                <w:szCs w:val="24"/>
              </w:rPr>
              <w:t> </w:t>
            </w:r>
            <w:r w:rsidRPr="00351D41">
              <w:rPr>
                <w:rFonts w:cs="Arial"/>
                <w:szCs w:val="24"/>
              </w:rPr>
              <w:t>mil. Kč. Pokud by možná výhra tento limit přesahovala, nebude sázka provozovatelem přijata.</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Protože není možné počet sázejících a sázky určit dopředu, ani nebyl určen maximální strop pro celkovou výplatu výher, je nezbytné zvolit alternativní výpočet, který bude vycházet z průměrné denní výše výher vypočtené za předcházející účetní období pro tento typ hry. Pokud se jedná o nového provozovatele dané hry, kde není možné určit možné výhry dopředu, ani vycházet z průměrných výher z předchozího období, stanoví provozovatel částku kvalifikovaným odhadem.</w:t>
            </w:r>
          </w:p>
        </w:tc>
      </w:tr>
      <w:tr w:rsidR="006B3B31" w:rsidRPr="00351D41" w14:paraId="7BDDC2B1" w14:textId="77777777" w:rsidTr="007D6671">
        <w:trPr>
          <w:trHeight w:val="20"/>
        </w:trPr>
        <w:tc>
          <w:tcPr>
            <w:tcW w:w="1843" w:type="dxa"/>
            <w:hideMark/>
          </w:tcPr>
          <w:p w14:paraId="332C692A" w14:textId="77777777" w:rsidR="006B3B31" w:rsidRPr="00351D41" w:rsidRDefault="006B3B31" w:rsidP="00DF0790">
            <w:pPr>
              <w:rPr>
                <w:rFonts w:cs="Arial"/>
                <w:szCs w:val="24"/>
              </w:rPr>
            </w:pPr>
            <w:r w:rsidRPr="00351D41">
              <w:rPr>
                <w:rFonts w:cs="Arial"/>
                <w:szCs w:val="24"/>
              </w:rPr>
              <w:t>Totalizátorová hra</w:t>
            </w:r>
          </w:p>
        </w:tc>
        <w:tc>
          <w:tcPr>
            <w:tcW w:w="2410" w:type="dxa"/>
            <w:hideMark/>
          </w:tcPr>
          <w:p w14:paraId="49CB3651" w14:textId="77777777" w:rsidR="006B3B31" w:rsidRPr="00351D41" w:rsidRDefault="006B3B31" w:rsidP="00DF0790">
            <w:pPr>
              <w:rPr>
                <w:rFonts w:cs="Arial"/>
                <w:szCs w:val="24"/>
              </w:rPr>
            </w:pPr>
            <w:r w:rsidRPr="00351D41">
              <w:rPr>
                <w:rFonts w:cs="Arial"/>
                <w:szCs w:val="24"/>
              </w:rPr>
              <w:t xml:space="preserve">Podle § 33 zákona </w:t>
            </w:r>
            <w:r w:rsidRPr="00351D41">
              <w:rPr>
                <w:rFonts w:cs="Arial"/>
                <w:szCs w:val="24"/>
              </w:rPr>
              <w:br/>
              <w:t xml:space="preserve">o hazardních hrách úhrnná cena výher nesmí být &lt; 40 % </w:t>
            </w:r>
            <w:r w:rsidRPr="00351D41">
              <w:rPr>
                <w:rFonts w:cs="Arial"/>
                <w:szCs w:val="24"/>
              </w:rPr>
              <w:br/>
              <w:t>a &gt; 80 % herní jistiny.</w:t>
            </w:r>
            <w:r w:rsidRPr="00351D41">
              <w:rPr>
                <w:rFonts w:cs="Arial"/>
                <w:szCs w:val="24"/>
              </w:rPr>
              <w:br/>
            </w:r>
            <w:r w:rsidRPr="00351D41">
              <w:rPr>
                <w:rFonts w:cs="Arial"/>
                <w:szCs w:val="24"/>
              </w:rPr>
              <w:br/>
              <w:t xml:space="preserve">Herní jistina = součin počtu prodaných sázkových tiketů </w:t>
            </w:r>
            <w:r w:rsidRPr="00351D41">
              <w:rPr>
                <w:rFonts w:cs="Arial"/>
                <w:szCs w:val="24"/>
              </w:rPr>
              <w:br/>
              <w:t>a výše vkladu za jeden sázkový tiket</w:t>
            </w:r>
          </w:p>
        </w:tc>
        <w:tc>
          <w:tcPr>
            <w:tcW w:w="2551" w:type="dxa"/>
            <w:hideMark/>
          </w:tcPr>
          <w:p w14:paraId="13EF94E6" w14:textId="77777777" w:rsidR="006B3B31" w:rsidRPr="00351D41" w:rsidRDefault="006B3B31" w:rsidP="00DF0790">
            <w:pPr>
              <w:rPr>
                <w:rFonts w:cs="Arial"/>
                <w:szCs w:val="24"/>
              </w:rPr>
            </w:pPr>
            <w:r w:rsidRPr="00351D41">
              <w:rPr>
                <w:rFonts w:cs="Arial"/>
                <w:szCs w:val="24"/>
              </w:rPr>
              <w:t xml:space="preserve">Jedná se o velmi podobný institut hry, jako je kursová sázka. Od kursové sázky se totalizátorová hra liší tím, že provozovatel v herním plánu předem stanoví určitý objem peněžních prostředků na výhry v předem stanoveném poměru k přijatým vkladům. </w:t>
            </w:r>
            <w:r w:rsidRPr="00351D41">
              <w:rPr>
                <w:rFonts w:cs="Arial"/>
                <w:szCs w:val="24"/>
              </w:rPr>
              <w:br/>
              <w:t>U totalizátorové hry tak nevzniká pro provozovatele riziko ztráty, jako je tomu u kursové sázky.</w:t>
            </w:r>
          </w:p>
        </w:tc>
        <w:tc>
          <w:tcPr>
            <w:tcW w:w="8364" w:type="dxa"/>
            <w:hideMark/>
          </w:tcPr>
          <w:p w14:paraId="692FFC5E" w14:textId="77777777" w:rsidR="006B3B31" w:rsidRPr="00351D41" w:rsidRDefault="006B3B31" w:rsidP="00DF0790">
            <w:pPr>
              <w:rPr>
                <w:rFonts w:cs="Arial"/>
                <w:szCs w:val="24"/>
              </w:rPr>
            </w:pPr>
            <w:r w:rsidRPr="00351D41">
              <w:rPr>
                <w:rFonts w:cs="Arial"/>
                <w:szCs w:val="24"/>
              </w:rPr>
              <w:t xml:space="preserve">Provozovatel nabízí hru, kde účastník tipuje výsledky 13 sportovních utkání. Hra se pořádá 1x týdně. Klasická sázenka obsahuje 8 polí, kde každé pole má sloupec rozdělený na 3 kolonky, které jsou označeny číslicemi 1 (výhra domácích), 0 (remíza), 2 (výhra hosta). Cena jedné sázky činí 4 Kč, při tipování více sloupců se sázka adekvátně násobí. Hra má 3 výherní pořadí: 1. pořadí - uhádnutí všech 13 výsledků, 2. pořadí - uhádnutí 12 výsledků, </w:t>
            </w:r>
            <w:r w:rsidRPr="00351D41">
              <w:rPr>
                <w:rFonts w:cs="Arial"/>
                <w:szCs w:val="24"/>
              </w:rPr>
              <w:br/>
              <w:t>3. pořadí - uhádnutí 11 výsledků. Herní jistinu tvoří úhrn přijatých sázkových vkladů. Výherní jistina činí 60 % z herní jistiny a rozděluje se na následující výherní kvóty: 1. pořadí – 40 % z Výherní jistiny; 2. pořadí – 30 % z Výherní jistiny; 3. pořadí – 30 % z Výherní jistiny. V každém výherním pořadí se výherní kvóta rozděluje stejným dílem mezi jednotlivé výhry.</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 u totalizátorové hry není možné počet sázejících ani sázky určit dopředu, každopádně výhry jsou určeny procentuálním podílem z přijatých sázek, tzn., že výhry nikdy nepřesáhnou celkovou hodnotu obdržených prostředků od sázejících, a tedy nevzniká riziko ztráty provozovatele, lze proto stanovit, že provozovatel nesmí </w:t>
            </w:r>
            <w:r w:rsidRPr="00351D41">
              <w:rPr>
                <w:rFonts w:cs="Arial"/>
                <w:szCs w:val="24"/>
              </w:rPr>
              <w:br/>
              <w:t>s těmito prostředky nijak nakládat až do doby vyhodnocení hry a vyplacení odpovídajících výher.</w:t>
            </w:r>
          </w:p>
          <w:p w14:paraId="70F1808E" w14:textId="77777777" w:rsidR="006B3B31" w:rsidRPr="00351D41" w:rsidRDefault="006B3B31" w:rsidP="00DF0790">
            <w:pPr>
              <w:rPr>
                <w:rFonts w:cs="Arial"/>
                <w:szCs w:val="24"/>
              </w:rPr>
            </w:pPr>
          </w:p>
        </w:tc>
      </w:tr>
      <w:tr w:rsidR="006B3B31" w:rsidRPr="00351D41" w14:paraId="0619FB45" w14:textId="77777777" w:rsidTr="007D6671">
        <w:trPr>
          <w:trHeight w:val="20"/>
        </w:trPr>
        <w:tc>
          <w:tcPr>
            <w:tcW w:w="1843" w:type="dxa"/>
            <w:hideMark/>
          </w:tcPr>
          <w:p w14:paraId="0582EAED" w14:textId="77777777" w:rsidR="006B3B31" w:rsidRPr="00351D41" w:rsidRDefault="006B3B31" w:rsidP="00DF0790">
            <w:pPr>
              <w:rPr>
                <w:rFonts w:cs="Arial"/>
                <w:szCs w:val="24"/>
              </w:rPr>
            </w:pPr>
            <w:r w:rsidRPr="00351D41">
              <w:rPr>
                <w:rFonts w:cs="Arial"/>
                <w:szCs w:val="24"/>
              </w:rPr>
              <w:t>Bingo</w:t>
            </w:r>
          </w:p>
        </w:tc>
        <w:tc>
          <w:tcPr>
            <w:tcW w:w="2410" w:type="dxa"/>
            <w:hideMark/>
          </w:tcPr>
          <w:p w14:paraId="0A7B4BDC" w14:textId="77777777" w:rsidR="006B3B31" w:rsidRPr="00351D41" w:rsidRDefault="006B3B31" w:rsidP="00DF0790">
            <w:pPr>
              <w:rPr>
                <w:rFonts w:cs="Arial"/>
                <w:szCs w:val="24"/>
              </w:rPr>
            </w:pPr>
            <w:r w:rsidRPr="00351D41">
              <w:rPr>
                <w:rFonts w:cs="Arial"/>
                <w:szCs w:val="24"/>
              </w:rPr>
              <w:t xml:space="preserve">Podle § 40 zákona </w:t>
            </w:r>
            <w:r w:rsidRPr="00351D41">
              <w:rPr>
                <w:rFonts w:cs="Arial"/>
                <w:szCs w:val="24"/>
              </w:rPr>
              <w:br/>
              <w:t xml:space="preserve">o hazardních hrách </w:t>
            </w:r>
            <w:r w:rsidRPr="00351D41">
              <w:rPr>
                <w:rFonts w:cs="Arial"/>
                <w:szCs w:val="24"/>
              </w:rPr>
              <w:lastRenderedPageBreak/>
              <w:t xml:space="preserve">úhrnná cena výher nesmí být &lt; 40 % </w:t>
            </w:r>
            <w:r w:rsidRPr="00351D41">
              <w:rPr>
                <w:rFonts w:cs="Arial"/>
                <w:szCs w:val="24"/>
              </w:rPr>
              <w:br/>
              <w:t>a &gt; 80 % herní jistiny.</w:t>
            </w:r>
            <w:r w:rsidRPr="00351D41">
              <w:rPr>
                <w:rFonts w:cs="Arial"/>
                <w:szCs w:val="24"/>
              </w:rPr>
              <w:br/>
            </w:r>
            <w:r w:rsidRPr="00351D41">
              <w:rPr>
                <w:rFonts w:cs="Arial"/>
                <w:szCs w:val="24"/>
              </w:rPr>
              <w:br/>
              <w:t xml:space="preserve">Herní jistina = součin počtu prodaných sázkových tiketů </w:t>
            </w:r>
            <w:r w:rsidRPr="00351D41">
              <w:rPr>
                <w:rFonts w:cs="Arial"/>
                <w:szCs w:val="24"/>
              </w:rPr>
              <w:br/>
              <w:t>v jedné hře a prodejní ceny za jeden sázkový tiket.</w:t>
            </w:r>
          </w:p>
          <w:p w14:paraId="3719EE85" w14:textId="77777777" w:rsidR="006B3B31" w:rsidRPr="00351D41" w:rsidRDefault="006B3B31" w:rsidP="00DF0790">
            <w:pPr>
              <w:rPr>
                <w:rFonts w:cs="Arial"/>
                <w:szCs w:val="24"/>
              </w:rPr>
            </w:pPr>
          </w:p>
        </w:tc>
        <w:tc>
          <w:tcPr>
            <w:tcW w:w="2551" w:type="dxa"/>
            <w:hideMark/>
          </w:tcPr>
          <w:p w14:paraId="78E0359C" w14:textId="77777777" w:rsidR="006B3B31" w:rsidRPr="00351D41" w:rsidRDefault="006B3B31" w:rsidP="00DF0790">
            <w:pPr>
              <w:rPr>
                <w:rFonts w:cs="Arial"/>
                <w:szCs w:val="24"/>
              </w:rPr>
            </w:pPr>
            <w:r w:rsidRPr="00351D41">
              <w:rPr>
                <w:rFonts w:cs="Arial"/>
                <w:szCs w:val="24"/>
              </w:rPr>
              <w:lastRenderedPageBreak/>
              <w:t xml:space="preserve">Bingo je hra, u níž je výhra podmíněna </w:t>
            </w:r>
            <w:r w:rsidRPr="00351D41">
              <w:rPr>
                <w:rFonts w:cs="Arial"/>
                <w:szCs w:val="24"/>
              </w:rPr>
              <w:lastRenderedPageBreak/>
              <w:t xml:space="preserve">dosažením předem stanoveného vzorce na sázkovém tiketu, který sázející vyplní na základě postupného losování čísel, a při níž není předem určen počet sázejících ani výše herní jistiny. Bingo lze provozovat pouze v herním prostoru. Sázkové tikety lze prodávat pouze </w:t>
            </w:r>
            <w:r w:rsidRPr="00351D41">
              <w:rPr>
                <w:rFonts w:cs="Arial"/>
                <w:szCs w:val="24"/>
              </w:rPr>
              <w:br/>
              <w:t>v pokladně kasina.</w:t>
            </w:r>
          </w:p>
        </w:tc>
        <w:tc>
          <w:tcPr>
            <w:tcW w:w="8364" w:type="dxa"/>
            <w:hideMark/>
          </w:tcPr>
          <w:p w14:paraId="4C75A4F2" w14:textId="34349033" w:rsidR="006B3B31" w:rsidRPr="00351D41" w:rsidRDefault="006B3B31" w:rsidP="00DF0790">
            <w:pPr>
              <w:rPr>
                <w:rFonts w:cs="Arial"/>
                <w:szCs w:val="24"/>
              </w:rPr>
            </w:pPr>
            <w:r w:rsidRPr="00351D41">
              <w:rPr>
                <w:rFonts w:cs="Arial"/>
                <w:szCs w:val="24"/>
              </w:rPr>
              <w:lastRenderedPageBreak/>
              <w:t xml:space="preserve">Provozovatel nabízí americkou variantu binga, kde hrací karta má 5 × 5 políček a 75 čísel v osudí. Čísla na hrací kartě jsou předem předtištěna. </w:t>
            </w:r>
            <w:r w:rsidRPr="00351D41">
              <w:rPr>
                <w:rFonts w:cs="Arial"/>
                <w:szCs w:val="24"/>
              </w:rPr>
              <w:lastRenderedPageBreak/>
              <w:t xml:space="preserve">Pomocí generátoru čísel se postupně losuje ze 75 čísel. Cílem hry je dosáhnout přímé linie spočívající ve spojení všech pěti tažených čísel </w:t>
            </w:r>
            <w:r w:rsidRPr="00351D41">
              <w:rPr>
                <w:rFonts w:cs="Arial"/>
                <w:szCs w:val="24"/>
              </w:rPr>
              <w:br/>
              <w:t xml:space="preserve">v jednom řádku, sloupci nebo diagonále. Hra končí, když linie dosáhne první </w:t>
            </w:r>
            <w:r w:rsidR="00302FDF">
              <w:t>účastník hazardní hry</w:t>
            </w:r>
            <w:r w:rsidRPr="00351D41">
              <w:rPr>
                <w:rFonts w:cs="Arial"/>
                <w:szCs w:val="24"/>
              </w:rPr>
              <w:t xml:space="preserve"> s max. počtem 19 tažených čísel. Jakmile </w:t>
            </w:r>
            <w:r w:rsidR="00302FDF">
              <w:t>účastník hazardní hry</w:t>
            </w:r>
            <w:r w:rsidRPr="00351D41">
              <w:rPr>
                <w:rFonts w:cs="Arial"/>
                <w:szCs w:val="24"/>
              </w:rPr>
              <w:t xml:space="preserve"> dosáhne stanoveného cíle, zvolá „bingo“, okamžitě k němu přijde ruber a odejme mu hrací kartu, aby ji nechal zkontrolovat. Pokud je karta správně vyškrtaná, výhra se hned vyplatí, pokud je výherců více, výhra se dělí rovným dílem. Obdobným způsobem by probíhalo provozování binga jako internetové hry.</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 u binga není možné počet sázejících ani sázky určit dopředu, každopádně výhry jsou určeny procentuálním podílem z přijatých sázek, tzn., že výhry nikdy nepřesáhnou celkovou hodnotu obdržených prostředků od sázejících, a tedy nevzniká riziko ztráty provozovatele, lze proto stanovit, že provozovatel nesmí </w:t>
            </w:r>
            <w:r w:rsidRPr="00351D41">
              <w:rPr>
                <w:rFonts w:cs="Arial"/>
                <w:szCs w:val="24"/>
              </w:rPr>
              <w:br/>
              <w:t>s těmito prostředky nijak nakládat až do doby vyhodnocení hry a vyplacení odpovídajících výher.</w:t>
            </w:r>
          </w:p>
          <w:p w14:paraId="5845BABE" w14:textId="77777777" w:rsidR="006B3B31" w:rsidRPr="00351D41" w:rsidRDefault="006B3B31" w:rsidP="00DF0790">
            <w:pPr>
              <w:rPr>
                <w:rFonts w:cs="Arial"/>
                <w:szCs w:val="24"/>
              </w:rPr>
            </w:pPr>
          </w:p>
        </w:tc>
      </w:tr>
      <w:tr w:rsidR="006B3B31" w:rsidRPr="00351D41" w14:paraId="65C390F6" w14:textId="77777777" w:rsidTr="007D6671">
        <w:trPr>
          <w:trHeight w:val="20"/>
        </w:trPr>
        <w:tc>
          <w:tcPr>
            <w:tcW w:w="1843" w:type="dxa"/>
            <w:hideMark/>
          </w:tcPr>
          <w:p w14:paraId="2DC93D4A" w14:textId="77777777" w:rsidR="006B3B31" w:rsidRPr="00351D41" w:rsidRDefault="006B3B31" w:rsidP="00DF0790">
            <w:pPr>
              <w:rPr>
                <w:rFonts w:cs="Arial"/>
                <w:szCs w:val="24"/>
              </w:rPr>
            </w:pPr>
            <w:r w:rsidRPr="00351D41">
              <w:rPr>
                <w:rFonts w:cs="Arial"/>
                <w:szCs w:val="24"/>
              </w:rPr>
              <w:lastRenderedPageBreak/>
              <w:t>Technická hra</w:t>
            </w:r>
          </w:p>
        </w:tc>
        <w:tc>
          <w:tcPr>
            <w:tcW w:w="2410" w:type="dxa"/>
            <w:hideMark/>
          </w:tcPr>
          <w:p w14:paraId="1C4114B4" w14:textId="31A80A9A" w:rsidR="006B3B31" w:rsidRPr="00351D41" w:rsidRDefault="006B3B31" w:rsidP="00DF0790">
            <w:pPr>
              <w:rPr>
                <w:rFonts w:cs="Arial"/>
                <w:szCs w:val="24"/>
              </w:rPr>
            </w:pPr>
            <w:r w:rsidRPr="00351D41">
              <w:rPr>
                <w:rFonts w:cs="Arial"/>
                <w:szCs w:val="24"/>
              </w:rPr>
              <w:t xml:space="preserve">Podle § 51 a § 52 zákona o hazardních hrách konstrukce technických her nesmí umožnit nastavení výherního podílu &lt; 75 % a &gt; 100 %. Výherní podíl = statistická hodnota průměru podílu výše výher k výši vložených sázek </w:t>
            </w:r>
            <w:r w:rsidRPr="00351D41">
              <w:rPr>
                <w:rFonts w:cs="Arial"/>
                <w:szCs w:val="24"/>
              </w:rPr>
              <w:lastRenderedPageBreak/>
              <w:t xml:space="preserve">zjištěná na souboru nejméně 100 tis. her. Výherním podílem se rozumí rovněž střední hodnota výherního podílu. </w:t>
            </w:r>
            <w:r w:rsidRPr="00351D41">
              <w:rPr>
                <w:rFonts w:cs="Arial"/>
                <w:szCs w:val="24"/>
              </w:rPr>
              <w:br/>
              <w:t>U technické hry provozované v herně nesmí sázka do jedné hry být &gt; 100 Kč (u on</w:t>
            </w:r>
            <w:r w:rsidR="001613B6" w:rsidRPr="00351D41">
              <w:rPr>
                <w:rFonts w:cs="Arial"/>
                <w:szCs w:val="24"/>
              </w:rPr>
              <w:t>-</w:t>
            </w:r>
            <w:r w:rsidRPr="00351D41">
              <w:rPr>
                <w:rFonts w:cs="Arial"/>
                <w:szCs w:val="24"/>
              </w:rPr>
              <w:t>line her a kasina &gt; 1 tis. Kč) a výhra z jedné hry být &gt; 50 tis. Kč (u on</w:t>
            </w:r>
            <w:r w:rsidR="001613B6" w:rsidRPr="00351D41">
              <w:rPr>
                <w:rFonts w:cs="Arial"/>
                <w:szCs w:val="24"/>
              </w:rPr>
              <w:t>-</w:t>
            </w:r>
            <w:r w:rsidRPr="00351D41">
              <w:rPr>
                <w:rFonts w:cs="Arial"/>
                <w:szCs w:val="24"/>
              </w:rPr>
              <w:t xml:space="preserve">line her a kasina &gt; 500 tis. Kč). </w:t>
            </w:r>
          </w:p>
          <w:p w14:paraId="07C4088C" w14:textId="77777777" w:rsidR="006B3B31" w:rsidRPr="00351D41" w:rsidRDefault="006B3B31" w:rsidP="00DF0790">
            <w:pPr>
              <w:rPr>
                <w:rFonts w:cs="Arial"/>
                <w:szCs w:val="24"/>
              </w:rPr>
            </w:pPr>
          </w:p>
        </w:tc>
        <w:tc>
          <w:tcPr>
            <w:tcW w:w="2551" w:type="dxa"/>
            <w:hideMark/>
          </w:tcPr>
          <w:p w14:paraId="06889D75" w14:textId="376B629B" w:rsidR="006B3B31" w:rsidRPr="00351D41" w:rsidRDefault="006B3B31" w:rsidP="00DF0790">
            <w:pPr>
              <w:rPr>
                <w:rFonts w:cs="Arial"/>
                <w:szCs w:val="24"/>
              </w:rPr>
            </w:pPr>
            <w:r w:rsidRPr="00351D41">
              <w:rPr>
                <w:rFonts w:cs="Arial"/>
                <w:szCs w:val="24"/>
              </w:rPr>
              <w:lastRenderedPageBreak/>
              <w:t>Jedná se o zejména o hrací automaty, elektromechanickou ruletu/poker/kostky apod.</w:t>
            </w:r>
            <w:r w:rsidRPr="00351D41">
              <w:rPr>
                <w:rFonts w:cs="Arial"/>
                <w:szCs w:val="24"/>
              </w:rPr>
              <w:br/>
              <w:t xml:space="preserve">Počet </w:t>
            </w:r>
            <w:r w:rsidR="00302FDF">
              <w:t>účastníků hazardní hry</w:t>
            </w:r>
            <w:r w:rsidRPr="00351D41">
              <w:rPr>
                <w:rFonts w:cs="Arial"/>
                <w:szCs w:val="24"/>
              </w:rPr>
              <w:t xml:space="preserve"> ani výše sázek není předem známo. </w:t>
            </w:r>
          </w:p>
          <w:p w14:paraId="420D46A1" w14:textId="77777777" w:rsidR="006B3B31" w:rsidRPr="00351D41" w:rsidRDefault="006B3B31" w:rsidP="00DF0790">
            <w:pPr>
              <w:rPr>
                <w:rFonts w:cs="Arial"/>
                <w:szCs w:val="24"/>
              </w:rPr>
            </w:pPr>
          </w:p>
          <w:p w14:paraId="125B6003" w14:textId="77777777" w:rsidR="006B3B31" w:rsidRPr="00351D41" w:rsidRDefault="006B3B31" w:rsidP="00DF0790">
            <w:pPr>
              <w:rPr>
                <w:rFonts w:cs="Arial"/>
                <w:szCs w:val="24"/>
              </w:rPr>
            </w:pPr>
            <w:r w:rsidRPr="00351D41">
              <w:rPr>
                <w:rFonts w:cs="Arial"/>
                <w:szCs w:val="24"/>
              </w:rPr>
              <w:t xml:space="preserve">Podle § 54 zákona </w:t>
            </w:r>
            <w:r w:rsidRPr="00351D41">
              <w:rPr>
                <w:rFonts w:cs="Arial"/>
                <w:szCs w:val="24"/>
              </w:rPr>
              <w:br/>
              <w:t xml:space="preserve">o hazardních hrách </w:t>
            </w:r>
            <w:r w:rsidRPr="00351D41">
              <w:rPr>
                <w:rFonts w:cs="Arial"/>
                <w:szCs w:val="24"/>
              </w:rPr>
              <w:lastRenderedPageBreak/>
              <w:t>nesmí koncové zařízení provozovatele vyplatit výhru ve formě bankovek a mincí. Výhru proplatí sázejícímu provozovatel technické hry nebo jím pověřená osoba po ověření její výše na příslušném elektronickém ukazateli.</w:t>
            </w:r>
          </w:p>
        </w:tc>
        <w:tc>
          <w:tcPr>
            <w:tcW w:w="8364" w:type="dxa"/>
            <w:hideMark/>
          </w:tcPr>
          <w:p w14:paraId="567F1E8B" w14:textId="640A977A" w:rsidR="006B3B31" w:rsidRPr="00351D41" w:rsidRDefault="006B3B31" w:rsidP="00302FDF">
            <w:pPr>
              <w:rPr>
                <w:rFonts w:cs="Arial"/>
                <w:szCs w:val="24"/>
              </w:rPr>
            </w:pPr>
            <w:r w:rsidRPr="00351D41">
              <w:rPr>
                <w:rFonts w:cs="Arial"/>
                <w:szCs w:val="24"/>
              </w:rPr>
              <w:lastRenderedPageBreak/>
              <w:t xml:space="preserve">Provozovatel nabízí hru v herně na technické zařízení. </w:t>
            </w:r>
            <w:r w:rsidR="00302FDF">
              <w:rPr>
                <w:rFonts w:cs="Arial"/>
                <w:szCs w:val="24"/>
              </w:rPr>
              <w:t>Úč</w:t>
            </w:r>
            <w:r w:rsidR="00302FDF">
              <w:t>astník hazardní hry</w:t>
            </w:r>
            <w:r w:rsidRPr="00351D41">
              <w:rPr>
                <w:rFonts w:cs="Arial"/>
                <w:szCs w:val="24"/>
              </w:rPr>
              <w:t xml:space="preserve"> vloží sázku, která začíná na 3 Kč s maximální sázkou 95 Kč na jednu hru. Cílem hry je dosáhnout výherní kombinace symbolů na některé z výherních linií. Výše výhry činí násobek koeficientu uvedený na výherní tabulce automatu pro danou výherní kombinaci a výši sázky. Maximální možná výhra na jednu hru činí 50 tis. Kč. </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 protože není možné určit počet sázejících ani výši sázek dopředu, přičemž výhra může být mnohonásobně vyšší než sázka do jedné hry, je nezbytné zvolit alternativní výpočet pro držení prostředků na výhry, který bude vycházet z průměrné denní výše výher za předcházející účetní období pro tento typ hry. Pokud se jedná </w:t>
            </w:r>
            <w:r w:rsidRPr="00351D41">
              <w:rPr>
                <w:rFonts w:cs="Arial"/>
                <w:szCs w:val="24"/>
              </w:rPr>
              <w:br/>
              <w:t xml:space="preserve">o nového provozovatele dané hry, kde není možné určit možné výhry </w:t>
            </w:r>
            <w:r w:rsidRPr="00351D41">
              <w:rPr>
                <w:rFonts w:cs="Arial"/>
                <w:szCs w:val="24"/>
              </w:rPr>
              <w:lastRenderedPageBreak/>
              <w:t>dopředu, ani vycházet z průměrných výher z předchozího období, stanoví provozovatel částku kvalifikovaným odhadem.</w:t>
            </w:r>
          </w:p>
        </w:tc>
      </w:tr>
      <w:tr w:rsidR="006B3B31" w:rsidRPr="00351D41" w14:paraId="041A8CFE" w14:textId="77777777" w:rsidTr="007D6671">
        <w:trPr>
          <w:trHeight w:val="20"/>
        </w:trPr>
        <w:tc>
          <w:tcPr>
            <w:tcW w:w="1843" w:type="dxa"/>
            <w:hideMark/>
          </w:tcPr>
          <w:p w14:paraId="1A9D1EBC" w14:textId="77777777" w:rsidR="006B3B31" w:rsidRPr="00351D41" w:rsidRDefault="006B3B31" w:rsidP="00DF0790">
            <w:pPr>
              <w:rPr>
                <w:rFonts w:cs="Arial"/>
                <w:szCs w:val="24"/>
              </w:rPr>
            </w:pPr>
            <w:r w:rsidRPr="00351D41">
              <w:rPr>
                <w:rFonts w:cs="Arial"/>
                <w:szCs w:val="24"/>
              </w:rPr>
              <w:lastRenderedPageBreak/>
              <w:t>Živá hra</w:t>
            </w:r>
          </w:p>
        </w:tc>
        <w:tc>
          <w:tcPr>
            <w:tcW w:w="2410" w:type="dxa"/>
            <w:hideMark/>
          </w:tcPr>
          <w:p w14:paraId="18B0E552" w14:textId="77777777" w:rsidR="006B3B31" w:rsidRPr="00351D41" w:rsidRDefault="006B3B31" w:rsidP="00DF0790">
            <w:pPr>
              <w:rPr>
                <w:rFonts w:cs="Arial"/>
                <w:szCs w:val="24"/>
              </w:rPr>
            </w:pPr>
            <w:r w:rsidRPr="00351D41">
              <w:rPr>
                <w:rFonts w:cs="Arial"/>
                <w:szCs w:val="24"/>
              </w:rPr>
              <w:t> </w:t>
            </w:r>
          </w:p>
        </w:tc>
        <w:tc>
          <w:tcPr>
            <w:tcW w:w="2551" w:type="dxa"/>
            <w:hideMark/>
          </w:tcPr>
          <w:p w14:paraId="555A3828" w14:textId="77777777" w:rsidR="006B3B31" w:rsidRPr="00351D41" w:rsidRDefault="006B3B31" w:rsidP="00DF0790">
            <w:pPr>
              <w:rPr>
                <w:rFonts w:cs="Arial"/>
                <w:szCs w:val="24"/>
              </w:rPr>
            </w:pPr>
            <w:r w:rsidRPr="00351D41">
              <w:rPr>
                <w:rFonts w:cs="Arial"/>
                <w:szCs w:val="24"/>
              </w:rPr>
              <w:t xml:space="preserve">V živé hře sázející hrají proti krupiérovi, nebo jeden proti druhému u hracích stolů, aniž by byl předem určen počet sázejících a výše sázky do jedné hry. Živou hrou je např. ruleta, karetní hra, kostky apod. Živá hra může být provozována pouze </w:t>
            </w:r>
            <w:r w:rsidRPr="00351D41">
              <w:rPr>
                <w:rFonts w:cs="Arial"/>
                <w:szCs w:val="24"/>
              </w:rPr>
              <w:br/>
              <w:t>v herně nebo kasinu.</w:t>
            </w:r>
          </w:p>
        </w:tc>
        <w:tc>
          <w:tcPr>
            <w:tcW w:w="8364" w:type="dxa"/>
            <w:hideMark/>
          </w:tcPr>
          <w:p w14:paraId="0129274F" w14:textId="769D32F9" w:rsidR="006B3B31" w:rsidRPr="00351D41" w:rsidRDefault="006B3B31" w:rsidP="00DF0790">
            <w:pPr>
              <w:rPr>
                <w:rFonts w:cs="Arial"/>
                <w:szCs w:val="24"/>
              </w:rPr>
            </w:pPr>
            <w:r w:rsidRPr="00351D41">
              <w:rPr>
                <w:rFonts w:cs="Arial"/>
                <w:szCs w:val="24"/>
              </w:rPr>
              <w:t xml:space="preserve">Provozovatel nabízí v kasinu živou hru evropská ruleta, kde </w:t>
            </w:r>
            <w:r w:rsidR="00302FDF">
              <w:t>účastník hazardní hry</w:t>
            </w:r>
            <w:r w:rsidRPr="00351D41">
              <w:rPr>
                <w:rFonts w:cs="Arial"/>
                <w:szCs w:val="24"/>
              </w:rPr>
              <w:t xml:space="preserve"> sází na vítězné číslo, kterým se stává číslo usazení ruletová kuličky po jejím roztočení krupiérem. Výhru provozovatel v herním plánu stanovil jako výši původní sázky + násobek sázky dle výherních variant, které jsou následující:</w:t>
            </w:r>
          </w:p>
          <w:p w14:paraId="22D5ADD6" w14:textId="52BE4AD6" w:rsidR="006B3B31" w:rsidRPr="00351D41" w:rsidRDefault="006B3B31" w:rsidP="00DF0790">
            <w:pPr>
              <w:rPr>
                <w:rFonts w:cs="Arial"/>
                <w:szCs w:val="24"/>
              </w:rPr>
            </w:pPr>
            <w:r w:rsidRPr="00351D41">
              <w:rPr>
                <w:rFonts w:cs="Arial"/>
                <w:szCs w:val="24"/>
              </w:rPr>
              <w:t xml:space="preserve">- U jednoduchých vsazených možností (všechna čísla červená/černá/lichá/sudá/ čísla od 1-18/ čísla od 19-36 ) činí výplatní poměr 1:1 (tj. sázka </w:t>
            </w:r>
            <w:r w:rsidR="00302FDF">
              <w:t xml:space="preserve">účastníka hazardní hry </w:t>
            </w:r>
            <w:r w:rsidRPr="00351D41">
              <w:rPr>
                <w:rFonts w:cs="Arial"/>
                <w:szCs w:val="24"/>
              </w:rPr>
              <w:t>se násobí 1x).</w:t>
            </w:r>
          </w:p>
          <w:p w14:paraId="7A7A9DB1" w14:textId="77777777" w:rsidR="006B3B31" w:rsidRPr="00351D41" w:rsidRDefault="006B3B31" w:rsidP="00DF0790">
            <w:pPr>
              <w:rPr>
                <w:rFonts w:cs="Arial"/>
                <w:szCs w:val="24"/>
              </w:rPr>
            </w:pPr>
            <w:r w:rsidRPr="00351D41">
              <w:rPr>
                <w:rFonts w:cs="Arial"/>
                <w:szCs w:val="24"/>
              </w:rPr>
              <w:t xml:space="preserve">- U výherních možností na tucty či sloupce činí výplatní poměr 2:1 </w:t>
            </w:r>
            <w:r w:rsidRPr="00351D41">
              <w:rPr>
                <w:rFonts w:cs="Arial"/>
                <w:szCs w:val="24"/>
              </w:rPr>
              <w:br/>
              <w:t>(tj. dvojnásobek sázky)</w:t>
            </w:r>
          </w:p>
          <w:p w14:paraId="4D00886C" w14:textId="77777777" w:rsidR="006B3B31" w:rsidRPr="00351D41" w:rsidRDefault="006B3B31" w:rsidP="00DF0790">
            <w:pPr>
              <w:rPr>
                <w:rFonts w:cs="Arial"/>
                <w:szCs w:val="24"/>
              </w:rPr>
            </w:pPr>
            <w:r w:rsidRPr="00351D41">
              <w:rPr>
                <w:rFonts w:cs="Arial"/>
                <w:szCs w:val="24"/>
              </w:rPr>
              <w:t>- U řady šesti čísel po sobě činí výplatní poměr 5:1 (tj. pětinásobek sázky)</w:t>
            </w:r>
          </w:p>
          <w:p w14:paraId="287E75DF" w14:textId="77777777" w:rsidR="006B3B31" w:rsidRPr="00351D41" w:rsidRDefault="006B3B31" w:rsidP="00DF0790">
            <w:pPr>
              <w:rPr>
                <w:rFonts w:cs="Arial"/>
                <w:szCs w:val="24"/>
              </w:rPr>
            </w:pPr>
            <w:r w:rsidRPr="00351D41">
              <w:rPr>
                <w:rFonts w:cs="Arial"/>
                <w:szCs w:val="24"/>
              </w:rPr>
              <w:lastRenderedPageBreak/>
              <w:t>- U možnosti "Three Line" činí výplatní poměr 11:1 (tj. jedenáctinásobek sázky)</w:t>
            </w:r>
          </w:p>
          <w:p w14:paraId="167CAF4D" w14:textId="77777777" w:rsidR="006B3B31" w:rsidRPr="00351D41" w:rsidRDefault="006B3B31" w:rsidP="00DF0790">
            <w:pPr>
              <w:rPr>
                <w:rFonts w:cs="Arial"/>
                <w:szCs w:val="24"/>
              </w:rPr>
            </w:pPr>
            <w:r w:rsidRPr="00351D41">
              <w:rPr>
                <w:rFonts w:cs="Arial"/>
                <w:szCs w:val="24"/>
              </w:rPr>
              <w:t xml:space="preserve">- U možnosti "Split" činí výplatní poměr 17:1 </w:t>
            </w:r>
          </w:p>
          <w:p w14:paraId="485DD4CB" w14:textId="77777777" w:rsidR="006B3B31" w:rsidRPr="00351D41" w:rsidRDefault="006B3B31" w:rsidP="00DF0790">
            <w:pPr>
              <w:rPr>
                <w:rFonts w:cs="Arial"/>
                <w:szCs w:val="24"/>
              </w:rPr>
            </w:pPr>
            <w:r w:rsidRPr="00351D41">
              <w:rPr>
                <w:rFonts w:cs="Arial"/>
                <w:szCs w:val="24"/>
              </w:rPr>
              <w:t xml:space="preserve">- U možnosti "Straight up" činí výplatní poměr 35:1 </w:t>
            </w:r>
          </w:p>
          <w:p w14:paraId="52B955F3" w14:textId="77777777" w:rsidR="006B3B31" w:rsidRPr="00351D41" w:rsidRDefault="006B3B31" w:rsidP="00DF0790">
            <w:pPr>
              <w:rPr>
                <w:rFonts w:cs="Arial"/>
                <w:szCs w:val="24"/>
              </w:rPr>
            </w:pPr>
            <w:r w:rsidRPr="00351D41">
              <w:rPr>
                <w:rFonts w:cs="Arial"/>
                <w:szCs w:val="24"/>
              </w:rPr>
              <w:t>Dle výše uvedeného tedy platí, že např. při sázce 100 Kč a výplatním poměru 35:1 získá výherce 100 + 35*100 = 3 600 Kč.</w:t>
            </w:r>
          </w:p>
          <w:p w14:paraId="2B231BD4" w14:textId="65C57E1B" w:rsidR="006B3B31" w:rsidRPr="00351D41" w:rsidRDefault="006B3B31" w:rsidP="00DF0790">
            <w:pPr>
              <w:rPr>
                <w:rFonts w:cs="Arial"/>
                <w:szCs w:val="24"/>
              </w:rPr>
            </w:pPr>
            <w:r w:rsidRPr="00351D41">
              <w:rPr>
                <w:rFonts w:cs="Arial"/>
                <w:szCs w:val="24"/>
              </w:rPr>
              <w:t xml:space="preserve">Provozovatel v herním plánu dále stanovil nejnižší a nejvyšší sázky </w:t>
            </w:r>
            <w:r w:rsidRPr="00351D41">
              <w:rPr>
                <w:rFonts w:cs="Arial"/>
                <w:szCs w:val="24"/>
              </w:rPr>
              <w:br/>
              <w:t>a nejnižší a nejvyšší možné čisté výhry.</w:t>
            </w:r>
            <w:r w:rsidRPr="00351D41">
              <w:rPr>
                <w:rFonts w:cs="Arial"/>
                <w:szCs w:val="24"/>
              </w:rPr>
              <w:br/>
            </w:r>
            <w:r w:rsidRPr="00351D41">
              <w:rPr>
                <w:rFonts w:cs="Arial"/>
                <w:szCs w:val="24"/>
              </w:rPr>
              <w:br/>
            </w:r>
            <w:r w:rsidRPr="00351D41">
              <w:rPr>
                <w:rFonts w:cs="Arial"/>
                <w:szCs w:val="24"/>
              </w:rPr>
              <w:sym w:font="Wingdings" w:char="F0E0"/>
            </w:r>
            <w:r w:rsidRPr="00351D41">
              <w:rPr>
                <w:rFonts w:cs="Arial"/>
                <w:szCs w:val="24"/>
              </w:rPr>
              <w:t xml:space="preserve"> cíl návrhu: Mít prostředky v den plnění - protože není možné počet sázejících, sázky a počet her určit dopředu, přitom výše výhry může přesáhnout celkové sázky do jedné hry, je nezbytné zvolit alternativní výpočet pro držení prostředků na výhry, který bude vycházet z průměrné denní výše výher za předcházející účetní období pro </w:t>
            </w:r>
            <w:r w:rsidR="004F7FA9" w:rsidRPr="00351D41">
              <w:rPr>
                <w:rFonts w:cs="Arial"/>
                <w:szCs w:val="24"/>
              </w:rPr>
              <w:t>tento typ hry. Pokud se jedná o </w:t>
            </w:r>
            <w:r w:rsidRPr="00351D41">
              <w:rPr>
                <w:rFonts w:cs="Arial"/>
                <w:szCs w:val="24"/>
              </w:rPr>
              <w:t>nového provozovatele dané hry, kde není možné určit možné výhry dopředu, ani vycházet z průměrných výher z předchozího období, stanoví provozovatel částku kvalifikovaným odhadem.</w:t>
            </w:r>
          </w:p>
          <w:p w14:paraId="7CEF519A" w14:textId="77777777" w:rsidR="006B3B31" w:rsidRPr="00351D41" w:rsidRDefault="006B3B31" w:rsidP="00DF0790">
            <w:pPr>
              <w:rPr>
                <w:rFonts w:cs="Arial"/>
                <w:szCs w:val="24"/>
              </w:rPr>
            </w:pPr>
          </w:p>
        </w:tc>
      </w:tr>
    </w:tbl>
    <w:p w14:paraId="099F8C1F" w14:textId="77777777" w:rsidR="006B3B31" w:rsidRPr="00351D41" w:rsidRDefault="006B3B31" w:rsidP="006B3B31">
      <w:pPr>
        <w:rPr>
          <w:i/>
          <w:sz w:val="20"/>
        </w:rPr>
      </w:pPr>
      <w:r w:rsidRPr="00351D41">
        <w:rPr>
          <w:i/>
          <w:sz w:val="20"/>
        </w:rPr>
        <w:lastRenderedPageBreak/>
        <w:t>Zdroj: Zákon o hazardních hrách, herní plány.</w:t>
      </w:r>
    </w:p>
    <w:p w14:paraId="48CF3C4E" w14:textId="77777777" w:rsidR="006B3B31" w:rsidRPr="00351D41" w:rsidRDefault="006B3B31" w:rsidP="006B3B31">
      <w:pPr>
        <w:tabs>
          <w:tab w:val="left" w:pos="13280"/>
        </w:tabs>
      </w:pPr>
      <w:r w:rsidRPr="00351D41">
        <w:tab/>
      </w:r>
    </w:p>
    <w:p w14:paraId="51495B45" w14:textId="77777777" w:rsidR="006B3B31" w:rsidRPr="00351D41" w:rsidRDefault="006B3B31" w:rsidP="006B3B31"/>
    <w:p w14:paraId="063F453B" w14:textId="77777777" w:rsidR="006B3B31" w:rsidRPr="00246176" w:rsidRDefault="006B3B31" w:rsidP="006B3B31">
      <w:pPr>
        <w:rPr>
          <w:highlight w:val="yellow"/>
        </w:rPr>
        <w:sectPr w:rsidR="006B3B31" w:rsidRPr="00246176" w:rsidSect="00DF0790">
          <w:pgSz w:w="16838" w:h="11906" w:orient="landscape" w:code="9"/>
          <w:pgMar w:top="1418" w:right="1418" w:bottom="1418" w:left="1418" w:header="709" w:footer="709" w:gutter="0"/>
          <w:cols w:space="708"/>
          <w:docGrid w:linePitch="360"/>
        </w:sectPr>
      </w:pPr>
    </w:p>
    <w:p w14:paraId="444F8FC5" w14:textId="4EB4268F" w:rsidR="006B3B31" w:rsidRPr="00351D41" w:rsidRDefault="006B3B31" w:rsidP="006B3B31">
      <w:r w:rsidRPr="00351D41">
        <w:lastRenderedPageBreak/>
        <w:t xml:space="preserve">Dle </w:t>
      </w:r>
      <w:r w:rsidR="004F7FA9" w:rsidRPr="00351D41">
        <w:t xml:space="preserve">tabulky </w:t>
      </w:r>
      <w:r w:rsidRPr="00351D41">
        <w:t xml:space="preserve">č. 3 je možné hazardní hry rozdělit na dvě skupiny, a to na hry, jejichž celkové výhry nemohou (loterie, totalizátorová hra, bingo), nebo mohou (kurzová sázka, technická hra a živá hra) přesáhnout přijaté sázky. Toto rozdělení by sloužilo jako základ pro určení, jak má provozovatel postupovat pro naplnění stanovené podmínky. U her, jejichž celkové výhry jsou zákonem o hazardních hrách a herním plánem stanoveny tak, že nemohou překročit celkové sázky do jedné hry, by provozovatel nesměl se vsazenými prostředky nijak nakládat až do doby vyhodnocení hry a vyplacení odpovídajících výher. U her, kde zákon o hazardních hrách a herní plán umožňují získat vyšší celkové výhry, než je do jedné hry vsazeno, je nezbytné vycházet z alternativního způsobu stanovení držení </w:t>
      </w:r>
      <w:r w:rsidR="00523FC6" w:rsidRPr="00351D41">
        <w:t>prostředků pro </w:t>
      </w:r>
      <w:r w:rsidR="004F7FA9" w:rsidRPr="00351D41">
        <w:t>výplatu výher, u </w:t>
      </w:r>
      <w:r w:rsidRPr="00351D41">
        <w:t xml:space="preserve">takových her by se hodnota držených prostředků stanovila jako průměrná denní výše výher za předcházející účetní období u daného provozovatele pro daný typ hry. Pokud by se jednalo o nového provozovatele takové hry, kde nelze určit možné výhry dopředu, ani vycházet z průměrných výher z předchozího období, stanoví provozovatel odpovídající hodnotu kvalifikovaným odhadem. Výše uvedené držení prostředků by mělo garantovat uspokojení nároku na výhry </w:t>
      </w:r>
      <w:r w:rsidR="00302FDF">
        <w:t>účastníků hazardní hry</w:t>
      </w:r>
      <w:r w:rsidRPr="00351D41">
        <w:t xml:space="preserve"> a zamezit provozovateli využití prostředků (do doby vyhodnocení a vyplacení výher) na jiné účely. Současně by tento institut měl vyřešit problematické vypořádávání kaucí v případech, kdy provozovatel není schopen dostát svým závazkům z hazardních her. Závazky z jiných titulů, jako jsou daně či nákup služeb, nejsou variantou řešeny. Avšak je na místě uvést, že dosavadní legislativní úprava negarantuje ani pokrytí všech výher, natož ostatních závazků.</w:t>
      </w:r>
    </w:p>
    <w:p w14:paraId="3B4B6045" w14:textId="4CDA4E6B" w:rsidR="006B3B31" w:rsidRPr="00351D41" w:rsidRDefault="006B3B31" w:rsidP="006B3B31">
      <w:r w:rsidRPr="00351D41">
        <w:t xml:space="preserve">Ať už je pravděpodobnost výher </w:t>
      </w:r>
      <w:r w:rsidR="00302FDF">
        <w:t>účastníků hazardní hry</w:t>
      </w:r>
      <w:r w:rsidRPr="00351D41">
        <w:t xml:space="preserve"> jakákoli, teoreticky se může stát, že bude muset provozovatel hazardních her vyplatit nárazově velké množství výher, současná legislativa tuto problematiku neřeší, aby však mohl provozovatel splnit své závazky z těchto výher, je nezbytné mít k</w:t>
      </w:r>
      <w:r w:rsidR="00F8265F">
        <w:t> tomu disponibilní prostředky a </w:t>
      </w:r>
      <w:r w:rsidRPr="00351D41">
        <w:t>právě k tomu slouží podmínka schopnosti vyplatit možné výhry. Shodný princip uplatňuje např. Dánsko, které považuje tento způsob z</w:t>
      </w:r>
      <w:r w:rsidR="00523FC6" w:rsidRPr="00351D41">
        <w:t>a jeden z podstatných prvků pro </w:t>
      </w:r>
      <w:r w:rsidRPr="00351D41">
        <w:t xml:space="preserve">ochranu vkladů a sázek. Princip postavený na tom, že provozovatel již musí počítat s tím, kolik by měl potenciálně výhercům vyplatit a takové prostředky zajistit, považuje Dánsko za esenciální prvek stability společnosti a rezistence vůči nekalým praktikám. </w:t>
      </w:r>
    </w:p>
    <w:p w14:paraId="55B8F987" w14:textId="3F610879" w:rsidR="006B3B31" w:rsidRPr="00351D41" w:rsidRDefault="006B3B31" w:rsidP="006B3B31">
      <w:r w:rsidRPr="00351D41">
        <w:t>V případě této varianty by byl provozovatel povinen na žádost orgánu vykonávajícího dozor kdykoli prokázat schopnost vyplatit možné výhry, tedy doložit držení adekvátní výše prostředků na výplatu výher u do té doby nedokončených her, a to zejména výpisem z bankovního účtu, kde jsou prostředky na výhry drženy do doby vyhodnocení hry a vyplacení výher. U her, kde je umožněno převýšení celkových výher nad celkovými sázkami do jedné hry, by provozovatel navíc doložil způsob stanovení hodnoty držených prostředků, které na výplatu výher určil. Ke stanovení potřebné výše by mohla být využita herní a finanční data poskytov</w:t>
      </w:r>
      <w:r w:rsidR="007A56D6" w:rsidRPr="00351D41">
        <w:t>aná</w:t>
      </w:r>
      <w:r w:rsidRPr="00351D41">
        <w:t xml:space="preserve"> provozovateli hazardní hry na základě reportingové vyhlášky. </w:t>
      </w:r>
    </w:p>
    <w:p w14:paraId="34498E4E" w14:textId="4DBC36C4" w:rsidR="006B3B31" w:rsidRPr="00351D41" w:rsidRDefault="006B3B31" w:rsidP="006B3B31">
      <w:r w:rsidRPr="00351D41">
        <w:t xml:space="preserve">Provozovatel by byl dále na žádost </w:t>
      </w:r>
      <w:r w:rsidR="0064721A" w:rsidRPr="00351D41">
        <w:t xml:space="preserve">dozorujícího </w:t>
      </w:r>
      <w:r w:rsidRPr="00351D41">
        <w:t xml:space="preserve">orgánu </w:t>
      </w:r>
      <w:r w:rsidR="00441A86" w:rsidRPr="00351D41">
        <w:t>povinen doložit, jak </w:t>
      </w:r>
      <w:r w:rsidRPr="00351D41">
        <w:t>má interně zajištěno, že s prostředky drž</w:t>
      </w:r>
      <w:r w:rsidR="00441A86" w:rsidRPr="00351D41">
        <w:t>enými do doby vyhodnocení hry a </w:t>
      </w:r>
      <w:r w:rsidRPr="00351D41">
        <w:t>výplaty výher není možné z jeho strany volně manipulovat.</w:t>
      </w:r>
    </w:p>
    <w:p w14:paraId="04E50D26" w14:textId="436C3F73" w:rsidR="006B3B31" w:rsidRPr="00351D41" w:rsidRDefault="006B3B31" w:rsidP="006B3B31">
      <w:r w:rsidRPr="00351D41">
        <w:t>Prostředky držené do doby vyhodnocení hry a vý</w:t>
      </w:r>
      <w:r w:rsidR="00441A86" w:rsidRPr="00351D41">
        <w:t>platy výher musí být uloženy na</w:t>
      </w:r>
      <w:r w:rsidR="00523FC6" w:rsidRPr="00351D41">
        <w:t> </w:t>
      </w:r>
      <w:r w:rsidRPr="00351D41">
        <w:t>vyhrazeném místě, které musí být odlišné od místa uložených finančních prostředků určených k jiným účelům</w:t>
      </w:r>
      <w:r w:rsidR="0064721A" w:rsidRPr="00351D41">
        <w:t xml:space="preserve">, </w:t>
      </w:r>
      <w:r w:rsidRPr="00351D41">
        <w:t>jako jsou provozní náklady (mzdy, odměny zprostředkovatelům, náklady za technické zařízení, energie apod.).</w:t>
      </w:r>
    </w:p>
    <w:p w14:paraId="623610DE" w14:textId="77777777" w:rsidR="006B3B31" w:rsidRPr="00351D41" w:rsidRDefault="006B3B31" w:rsidP="006B3B31">
      <w:r w:rsidRPr="00351D41">
        <w:lastRenderedPageBreak/>
        <w:t>Pokud by se vypustila současně platná varianta tzv. vlastních zdrojů a přistoupilo by se čistě na variantu „schopnosti vyplatit možné výhry“ bylo by vhodné vypustit podmínku nezávadného a průhledného původu zdrojů, která by byla v tomto případě nadbytečná.</w:t>
      </w:r>
    </w:p>
    <w:p w14:paraId="4F31F8FA" w14:textId="77777777" w:rsidR="006B3B31" w:rsidRPr="00351D41" w:rsidRDefault="006B3B31" w:rsidP="006B3B31">
      <w:r w:rsidRPr="00351D41">
        <w:t>Výhody:</w:t>
      </w:r>
    </w:p>
    <w:p w14:paraId="4B2970FA" w14:textId="05C83F58" w:rsidR="006B3B31" w:rsidRPr="00351D41" w:rsidRDefault="006B3B31" w:rsidP="006B3B31">
      <w:pPr>
        <w:rPr>
          <w:rFonts w:cstheme="minorHAnsi"/>
        </w:rPr>
      </w:pPr>
      <w:r w:rsidRPr="00351D41">
        <w:t xml:space="preserve">Byla by </w:t>
      </w:r>
      <w:r w:rsidRPr="00351D41">
        <w:rPr>
          <w:rFonts w:cstheme="minorHAnsi"/>
        </w:rPr>
        <w:t>zajištěna schopnost vyplatit výhry po celou dobu provozování hazardních her. Rovněž by tato varianta významně přis</w:t>
      </w:r>
      <w:r w:rsidR="00523FC6" w:rsidRPr="00351D41">
        <w:rPr>
          <w:rFonts w:cstheme="minorHAnsi"/>
        </w:rPr>
        <w:t>pěla ke stabilitě společnosti a </w:t>
      </w:r>
      <w:r w:rsidRPr="00351D41">
        <w:rPr>
          <w:rFonts w:cstheme="minorHAnsi"/>
        </w:rPr>
        <w:t>odpovědnému provozování hazardních her.</w:t>
      </w:r>
    </w:p>
    <w:p w14:paraId="0FDFFEB7" w14:textId="77777777" w:rsidR="006B3B31" w:rsidRPr="00351D41" w:rsidRDefault="006B3B31" w:rsidP="006B3B31">
      <w:pPr>
        <w:rPr>
          <w:rFonts w:cstheme="minorHAnsi"/>
        </w:rPr>
      </w:pPr>
      <w:r w:rsidRPr="00351D41">
        <w:rPr>
          <w:rFonts w:cstheme="minorHAnsi"/>
        </w:rPr>
        <w:t>Nevýhody:</w:t>
      </w:r>
    </w:p>
    <w:p w14:paraId="1F3B686E" w14:textId="1C9D2288" w:rsidR="006B3B31" w:rsidRPr="00351D41" w:rsidRDefault="006B3B31" w:rsidP="006B3B31">
      <w:pPr>
        <w:rPr>
          <w:rFonts w:cstheme="minorHAnsi"/>
        </w:rPr>
      </w:pPr>
      <w:r w:rsidRPr="00351D41">
        <w:rPr>
          <w:rFonts w:cstheme="minorHAnsi"/>
        </w:rPr>
        <w:t>Tento požadavek pokrývá rizika spojená se závazky provozovatelů hazardních her ve vztahu k </w:t>
      </w:r>
      <w:r w:rsidR="00302FDF">
        <w:t>účastníkům hazardní hry</w:t>
      </w:r>
      <w:r w:rsidRPr="00351D41">
        <w:rPr>
          <w:rFonts w:cstheme="minorHAnsi"/>
        </w:rPr>
        <w:t>, nikoli jiným věřitelům. Bylo by také nezbytné vypustit podmínku nezávadného a průhledného původu zdrojů pro nadbytečnost.</w:t>
      </w:r>
    </w:p>
    <w:p w14:paraId="55167D2C" w14:textId="77777777" w:rsidR="00351D41" w:rsidRDefault="00351D41" w:rsidP="00351D41">
      <w:pPr>
        <w:pStyle w:val="Nadpis7"/>
      </w:pPr>
      <w:r>
        <w:t xml:space="preserve">Varianta VI. – Vlastní kapitál a </w:t>
      </w:r>
      <w:r w:rsidRPr="005A723D">
        <w:t>schopnost vyplatit možné výhry</w:t>
      </w:r>
    </w:p>
    <w:p w14:paraId="5ACCD5CD" w14:textId="77777777" w:rsidR="00351D41" w:rsidRDefault="00351D41" w:rsidP="00351D41">
      <w:r w:rsidRPr="00E16630">
        <w:t>Jednotlivé výše uvedené varianty lze v</w:t>
      </w:r>
      <w:r>
        <w:t>yužít tak, aby dohromady tvořily</w:t>
      </w:r>
      <w:r w:rsidRPr="00E16630">
        <w:t xml:space="preserve"> ideální kombinaci. Nabízí se nastavit podmínku určité výše </w:t>
      </w:r>
      <w:r>
        <w:t xml:space="preserve">vlastního </w:t>
      </w:r>
      <w:r w:rsidRPr="00E16630">
        <w:t>kapitálu</w:t>
      </w:r>
      <w:r>
        <w:t xml:space="preserve">. Tato varianta v sobě kombinuje výhody spočívající ve stanovení minimální hodnoty vlastního kapitálu a zároveň schopnosti vyplatit možné výhry. Jde o optimální mix podmínek, kdy by výše vlastního kapitálu krytá reálnou potřebou peněžních prostředků pro vyplacení potencionálních výher skutečně zaručovala zákonem požadovanou schopnost vyplatit výhry. </w:t>
      </w:r>
      <w:r w:rsidRPr="00E16630">
        <w:t xml:space="preserve"> </w:t>
      </w:r>
      <w:r>
        <w:t>V případě kapitálu, ať už základního či kapitálu vloženého prostřednictvím kapitálových fondů, je na místě ukotvit nezbytnost v podobě „splaceného kapitálu“. T</w:t>
      </w:r>
      <w:r w:rsidRPr="00E16630">
        <w:t xml:space="preserve">ím </w:t>
      </w:r>
      <w:r>
        <w:t xml:space="preserve">bude zajištěno, že </w:t>
      </w:r>
      <w:r w:rsidRPr="00E16630">
        <w:t>se prostředky sku</w:t>
      </w:r>
      <w:r>
        <w:t>tečně dostanou do </w:t>
      </w:r>
      <w:r w:rsidRPr="00E16630">
        <w:t xml:space="preserve">společnosti a nezůstanou pouze v podobě pohledávky. Pokud by se stanovila minimální výše takového kapitálu, mělo by to vliv i na motivaci společníků, respektive jejich vztah k podnikatelskému riziku, protože by v dané společnosti měli vázánou již určitou významnou výši prostředků. </w:t>
      </w:r>
    </w:p>
    <w:p w14:paraId="7F330AFC" w14:textId="1565B00F" w:rsidR="00351D41" w:rsidRPr="00B21101" w:rsidRDefault="00351D41" w:rsidP="00351D41">
      <w:r>
        <w:t>Vlastní kapitál</w:t>
      </w:r>
      <w:r w:rsidRPr="00B21101">
        <w:t xml:space="preserve"> by působil jako vestavěný stabilizátor, který </w:t>
      </w:r>
      <w:r>
        <w:t xml:space="preserve">by </w:t>
      </w:r>
      <w:r w:rsidRPr="00B21101">
        <w:t>bez</w:t>
      </w:r>
      <w:r>
        <w:t xml:space="preserve"> nutnosti</w:t>
      </w:r>
      <w:r w:rsidRPr="00B21101">
        <w:t xml:space="preserve"> aktivního zásahu orgánu veřejné moci udrž</w:t>
      </w:r>
      <w:r>
        <w:t>oval</w:t>
      </w:r>
      <w:r w:rsidRPr="00B21101">
        <w:t xml:space="preserve"> společno</w:t>
      </w:r>
      <w:r w:rsidR="00F8265F">
        <w:t xml:space="preserve">st relativně finančně zdravou </w:t>
      </w:r>
      <w:r w:rsidR="00F8265F" w:rsidRPr="00F8265F">
        <w:t>a</w:t>
      </w:r>
      <w:r w:rsidR="00F8265F">
        <w:t> </w:t>
      </w:r>
      <w:r w:rsidRPr="00F8265F">
        <w:t>přispíval</w:t>
      </w:r>
      <w:r w:rsidRPr="00B21101">
        <w:t xml:space="preserve"> ke schopnosti vyplácet výhry. </w:t>
      </w:r>
      <w:r>
        <w:t xml:space="preserve">Společnosti by tuto podmínku musely naplňovat po celou dobu trvání oprávnění k provozování hazardních her, což znamená, že i kdyby prostředky vložené do společnosti podnikovými činnostmi postupně spotřebovaly, musely by chybějící prostředky opětovně doplnit tak, aby stále naplňovaly stanovenou hranici vlastního kapitálu. </w:t>
      </w:r>
    </w:p>
    <w:p w14:paraId="64396CDE" w14:textId="6D2A763B" w:rsidR="00351D41" w:rsidRDefault="00351D41" w:rsidP="00351D41">
      <w:r w:rsidRPr="00E16630">
        <w:t xml:space="preserve">Vedle podmínky </w:t>
      </w:r>
      <w:r>
        <w:t xml:space="preserve">stanovené výše vlastního </w:t>
      </w:r>
      <w:r w:rsidRPr="00E16630">
        <w:t>kapitálu</w:t>
      </w:r>
      <w:r>
        <w:t xml:space="preserve"> by byla dále nastavena</w:t>
      </w:r>
      <w:r w:rsidRPr="00E16630">
        <w:t xml:space="preserve"> podmínka schopnosti vyplatit možné výhry, kterou by bylo nutné taktéž splňovat po celou dobu provozování hazardních her. </w:t>
      </w:r>
      <w:r>
        <w:t>S</w:t>
      </w:r>
      <w:r w:rsidRPr="00E16630">
        <w:t xml:space="preserve">tanovením minimální výše </w:t>
      </w:r>
      <w:r>
        <w:t xml:space="preserve">vlastního </w:t>
      </w:r>
      <w:r w:rsidRPr="00E16630">
        <w:t xml:space="preserve">kapitálu </w:t>
      </w:r>
      <w:r>
        <w:t xml:space="preserve">by došlo </w:t>
      </w:r>
      <w:r w:rsidRPr="00E16630">
        <w:t>k určitému ujištění věřitelů, kteří vnímají</w:t>
      </w:r>
      <w:r>
        <w:t xml:space="preserve"> fixaci vlastního kapitálu</w:t>
      </w:r>
      <w:r w:rsidRPr="00E16630">
        <w:t xml:space="preserve"> jako </w:t>
      </w:r>
      <w:r>
        <w:t xml:space="preserve">udržovací prvek prostředků ve společnosti </w:t>
      </w:r>
      <w:r w:rsidRPr="00E16630">
        <w:t>a současně by se nastavením podmínky disponovat prostředky nezbytnými pro vyplacení možných výher pokryly rizika v případě nárazově vzniklé potřeby splnit závazky z obrovských výher sázkařů.</w:t>
      </w:r>
      <w:r>
        <w:t xml:space="preserve"> </w:t>
      </w:r>
    </w:p>
    <w:p w14:paraId="0A125C4A" w14:textId="33DB41E8" w:rsidR="00351D41" w:rsidRDefault="00351D41" w:rsidP="00351D41">
      <w:r>
        <w:t xml:space="preserve">Při využití této varianty by mělo dojít k pokrytí nejvýznamnější části závazků, tj. výher </w:t>
      </w:r>
      <w:r w:rsidR="00302FDF">
        <w:t>účastníkům hazardní hry</w:t>
      </w:r>
      <w:r>
        <w:t xml:space="preserve"> a současně i případné krytí z prostředků vlastního kapitálu. Otázkou potom je, zda je nadále potřeba přítomnost dosavadní nastavené kauce, případně by kauce byla omezena pouze k zajištění pohledávek státu, např. daně z hazardních her či pokut uložených za přestupek podle zákona o hazardních hrách, </w:t>
      </w:r>
      <w:r>
        <w:lastRenderedPageBreak/>
        <w:t>což by ovšem znamenalo pouze částečné zajištění závazků státu a nulové zajištění jiných závazků.</w:t>
      </w:r>
    </w:p>
    <w:p w14:paraId="7D6B3BFA" w14:textId="77777777" w:rsidR="00351D41" w:rsidRDefault="00351D41" w:rsidP="00351D41">
      <w:r>
        <w:t>Výhody:</w:t>
      </w:r>
    </w:p>
    <w:p w14:paraId="15E8CF66" w14:textId="0FD599A2" w:rsidR="00351D41" w:rsidRDefault="00351D41" w:rsidP="00351D41">
      <w:r>
        <w:rPr>
          <w:rFonts w:cstheme="minorHAnsi"/>
        </w:rPr>
        <w:t xml:space="preserve">Nevznikaly by pochybnosti, jaký parametr je Ministerstvem financí skutečně posuzován. </w:t>
      </w:r>
      <w:r>
        <w:t xml:space="preserve">Byla by </w:t>
      </w:r>
      <w:r w:rsidRPr="00E16630">
        <w:t>zajištěna schopnost vyplatit výhry po celou dobu provozování hazardních her</w:t>
      </w:r>
      <w:r>
        <w:t>. Tato varianta by významně přispěla ke stabilitě společ</w:t>
      </w:r>
      <w:r w:rsidR="00F8265F">
        <w:t>nosti a </w:t>
      </w:r>
      <w:r w:rsidRPr="0031062B">
        <w:t>odpovědné</w:t>
      </w:r>
      <w:r>
        <w:t>mu</w:t>
      </w:r>
      <w:r w:rsidRPr="0031062B">
        <w:t xml:space="preserve"> provozování </w:t>
      </w:r>
      <w:r>
        <w:t xml:space="preserve">hazardních </w:t>
      </w:r>
      <w:r w:rsidRPr="0031062B">
        <w:t>her</w:t>
      </w:r>
      <w:r>
        <w:t>. Rovněž a</w:t>
      </w:r>
      <w:r w:rsidRPr="00E16630">
        <w:t xml:space="preserve">kcionáři/společníci </w:t>
      </w:r>
      <w:r>
        <w:t>by byli</w:t>
      </w:r>
      <w:r w:rsidRPr="00E16630">
        <w:t xml:space="preserve"> motivování k řízení podnikatelského rizika prostřednictvím vázaných prostředků</w:t>
      </w:r>
      <w:r>
        <w:t xml:space="preserve"> v permanentně nastaveném limitu vlastního kapitálu. Výhodou je, stejně jako v předchozích variantách, i skutečnost, že a</w:t>
      </w:r>
      <w:r w:rsidRPr="00E16630">
        <w:t>kciové spo</w:t>
      </w:r>
      <w:r>
        <w:t>lečnosti ve většině případů spadnou do </w:t>
      </w:r>
      <w:r w:rsidRPr="00E16630">
        <w:t>povinného auditu, důvěryhodnost vykázaných finančních výsledků se tak zvýš</w:t>
      </w:r>
      <w:r>
        <w:t xml:space="preserve">í. </w:t>
      </w:r>
    </w:p>
    <w:p w14:paraId="1F692CFC" w14:textId="77777777" w:rsidR="00351D41" w:rsidRDefault="00351D41" w:rsidP="00351D41">
      <w:r>
        <w:t>Nevýhody:</w:t>
      </w:r>
    </w:p>
    <w:p w14:paraId="20EF8A7A" w14:textId="4B2607E9" w:rsidR="00351D41" w:rsidRDefault="00351D41" w:rsidP="00351D41">
      <w:r w:rsidRPr="00E16630">
        <w:t>Nezohl</w:t>
      </w:r>
      <w:r>
        <w:t>edňovaly by</w:t>
      </w:r>
      <w:r w:rsidRPr="00E16630">
        <w:t xml:space="preserve"> se další závazky</w:t>
      </w:r>
      <w:r>
        <w:t xml:space="preserve"> (mimo závazků z výher).</w:t>
      </w:r>
    </w:p>
    <w:p w14:paraId="755152AB" w14:textId="77777777" w:rsidR="00351D41" w:rsidRDefault="00351D41" w:rsidP="00351D41">
      <w:pPr>
        <w:pStyle w:val="Nadpis7"/>
      </w:pPr>
      <w:r>
        <w:t>Hodnocení variant</w:t>
      </w:r>
    </w:p>
    <w:p w14:paraId="4BDD71AA" w14:textId="1AB0C215" w:rsidR="00351D41" w:rsidRDefault="00351D41" w:rsidP="00351D41">
      <w:r w:rsidRPr="00582368">
        <w:t>Ja</w:t>
      </w:r>
      <w:r>
        <w:t>ko ideální kombinace se nabízí v</w:t>
      </w:r>
      <w:r w:rsidRPr="00582368">
        <w:t xml:space="preserve">arianta </w:t>
      </w:r>
      <w:r>
        <w:t>VI.</w:t>
      </w:r>
      <w:r w:rsidRPr="00582368">
        <w:t xml:space="preserve">, tj. </w:t>
      </w:r>
      <w:r>
        <w:t>kumulace podmínek</w:t>
      </w:r>
      <w:r w:rsidRPr="00582368">
        <w:t xml:space="preserve"> schopnosti vyplatit možné výhry</w:t>
      </w:r>
      <w:r w:rsidR="00741E63">
        <w:t xml:space="preserve"> a</w:t>
      </w:r>
      <w:r w:rsidRPr="00582368">
        <w:t xml:space="preserve"> udržování </w:t>
      </w:r>
      <w:r w:rsidR="00741E63">
        <w:t xml:space="preserve">určité minimální výše </w:t>
      </w:r>
      <w:r w:rsidRPr="00582368">
        <w:t>vlastního kapitálu</w:t>
      </w:r>
      <w:r w:rsidR="009D1012">
        <w:t xml:space="preserve">. Určitá výše vlastního kapitálu bude udržovat společnost finančně zdravou </w:t>
      </w:r>
      <w:r w:rsidR="00895FEA">
        <w:t xml:space="preserve">a podmínka schopnosti vyplatit možné výhry zajistí </w:t>
      </w:r>
      <w:r w:rsidR="00E87405">
        <w:t>plnění závazků z výher po celou dobu provozování hazardních her</w:t>
      </w:r>
      <w:r w:rsidR="00895FEA">
        <w:t>.</w:t>
      </w:r>
      <w:r w:rsidR="00E87405">
        <w:t xml:space="preserve"> </w:t>
      </w:r>
      <w:r w:rsidR="00E87405" w:rsidRPr="00E87405">
        <w:t>Tato varianta by významně přispěla ke stabilitě společnosti a</w:t>
      </w:r>
      <w:r w:rsidR="00744F4D">
        <w:t> </w:t>
      </w:r>
      <w:r w:rsidR="00E87405" w:rsidRPr="00E87405">
        <w:t>odpovědnému provozování hazardních her.</w:t>
      </w:r>
    </w:p>
    <w:p w14:paraId="0D0A49CB" w14:textId="6F1D36AD" w:rsidR="00351D41" w:rsidRDefault="00351D41" w:rsidP="00351D41">
      <w:r>
        <w:t>K</w:t>
      </w:r>
      <w:r w:rsidRPr="002C76C4">
        <w:t>auce</w:t>
      </w:r>
      <w:r>
        <w:t xml:space="preserve"> by již nesloužila k úhradě výher sázejících. Garance výplaty výher</w:t>
      </w:r>
      <w:r w:rsidRPr="002C76C4">
        <w:t xml:space="preserve"> by byla z velké míry pokryta právě podmínkou schopnosti vyplatit potenciální výhry.</w:t>
      </w:r>
    </w:p>
    <w:p w14:paraId="77903FE8" w14:textId="77777777" w:rsidR="006B3B31" w:rsidRDefault="006B3B31" w:rsidP="00AF112D">
      <w:pPr>
        <w:pStyle w:val="Nadpis5"/>
      </w:pPr>
      <w:bookmarkStart w:id="58" w:name="_Toc73529695"/>
      <w:bookmarkStart w:id="59" w:name="_Toc73608986"/>
      <w:r>
        <w:t>Povolení k umístění herního prostoru</w:t>
      </w:r>
      <w:bookmarkEnd w:id="58"/>
      <w:bookmarkEnd w:id="59"/>
    </w:p>
    <w:p w14:paraId="73F0A48F" w14:textId="52913048" w:rsidR="006B3B31" w:rsidRDefault="006B3B31" w:rsidP="006B3B31">
      <w:r w:rsidRPr="00B9191E">
        <w:t xml:space="preserve">Ministerstvo financí od účinnosti </w:t>
      </w:r>
      <w:r>
        <w:t>zákona o hazardních hrách</w:t>
      </w:r>
      <w:r w:rsidRPr="00B9191E">
        <w:t xml:space="preserve"> nezaregistrovalo</w:t>
      </w:r>
      <w:r w:rsidR="00F36374">
        <w:t xml:space="preserve"> od </w:t>
      </w:r>
      <w:r w:rsidRPr="00B9191E">
        <w:t>obecních úřadů ani dalších dotčených orgánů veřejné správy podněty poukazující na zásadní problémy při aplikaci nové právní úpravy procesu</w:t>
      </w:r>
      <w:r>
        <w:t xml:space="preserve"> vydání</w:t>
      </w:r>
      <w:r w:rsidRPr="00B9191E">
        <w:t xml:space="preserve"> </w:t>
      </w:r>
      <w:r>
        <w:t xml:space="preserve">povolení k umístění herního prostoru. </w:t>
      </w:r>
      <w:r>
        <w:rPr>
          <w:rFonts w:cs="Arial"/>
          <w:szCs w:val="24"/>
        </w:rPr>
        <w:t>Ministerstvo financí v rámci své metodické činnosti vydalo</w:t>
      </w:r>
      <w:r w:rsidRPr="008A7960">
        <w:t xml:space="preserve"> </w:t>
      </w:r>
      <w:r>
        <w:t>v zájmu zabezpečení jednotného postupu při podávání žádostí o vydání povolení k umístění herního prostoru metodický pokyn společně s formulářem této žádosti</w:t>
      </w:r>
      <w:r>
        <w:rPr>
          <w:rStyle w:val="Znakapoznpodarou"/>
        </w:rPr>
        <w:footnoteReference w:id="20"/>
      </w:r>
      <w:r>
        <w:t xml:space="preserve">. Současně ve spolupráci s </w:t>
      </w:r>
      <w:r>
        <w:rPr>
          <w:rFonts w:cs="Arial"/>
        </w:rPr>
        <w:t xml:space="preserve">Ministerstvem vnitra a dalšími orgány státní správy bylo vydáno </w:t>
      </w:r>
      <w:r>
        <w:t xml:space="preserve">Metodické </w:t>
      </w:r>
      <w:r w:rsidRPr="00D960F3">
        <w:t>doporučení č. 5</w:t>
      </w:r>
      <w:r w:rsidR="00E51086">
        <w:t xml:space="preserve"> (dále jen „Metodické doporučení č. 5)</w:t>
      </w:r>
      <w:r w:rsidRPr="00D960F3">
        <w:rPr>
          <w:rFonts w:cs="Arial"/>
        </w:rPr>
        <w:t xml:space="preserve">. </w:t>
      </w:r>
      <w:r w:rsidR="00FF58AB">
        <w:t xml:space="preserve">Těmito metodickými </w:t>
      </w:r>
      <w:r w:rsidR="00E223FC">
        <w:t>dokumenty</w:t>
      </w:r>
      <w:r w:rsidR="00FF58AB" w:rsidRPr="00D960F3">
        <w:t xml:space="preserve"> </w:t>
      </w:r>
      <w:r w:rsidR="00523FC6">
        <w:t>a </w:t>
      </w:r>
      <w:r w:rsidRPr="00D960F3">
        <w:t xml:space="preserve">současně nadstandardním poskytováním metodické pomoci a podpory se podařilo zajistit jednotnou linku při vydávání povolení k umístění herního prostoru napříč Českou republikou. </w:t>
      </w:r>
      <w:r w:rsidR="007B27DD">
        <w:t>K tomuto sjednocení</w:t>
      </w:r>
      <w:r w:rsidRPr="00D960F3">
        <w:t xml:space="preserve"> přispělo téměř roční překlenovací období, kdy</w:t>
      </w:r>
      <w:r>
        <w:t xml:space="preserve"> </w:t>
      </w:r>
      <w:r w:rsidR="007B27DD">
        <w:t>v důs</w:t>
      </w:r>
      <w:r w:rsidR="00F8265F">
        <w:t>ledku možnosti požádat a tedy i </w:t>
      </w:r>
      <w:r w:rsidR="007B27DD">
        <w:t xml:space="preserve">provozovat hazardní hry podle staré právní úpravy uvedené v zákoně o loteriích </w:t>
      </w:r>
      <w:r w:rsidR="00DB1B40">
        <w:t xml:space="preserve">v období před koncem roku 2017 </w:t>
      </w:r>
      <w:r>
        <w:t xml:space="preserve">nedocházelo k vydání povolení k umístění herního prostoru </w:t>
      </w:r>
      <w:r w:rsidR="007B27DD">
        <w:t xml:space="preserve">podle </w:t>
      </w:r>
      <w:r>
        <w:t>zákona o hazardních</w:t>
      </w:r>
      <w:r w:rsidR="007B27DD">
        <w:t xml:space="preserve"> hrách</w:t>
      </w:r>
      <w:r>
        <w:t xml:space="preserve">. Zprvu se ze strany obecních úřadů objevovaly obavy například související se změnou, kdy zákon o </w:t>
      </w:r>
      <w:r w:rsidR="00021A93">
        <w:t> </w:t>
      </w:r>
      <w:r>
        <w:t xml:space="preserve">hazardních hrách stanovil podmínku provozování hazardních her v herním prostoru pouze jedním provozovatelem, což, jak se následně </w:t>
      </w:r>
      <w:r>
        <w:lastRenderedPageBreak/>
        <w:t>ukázalo, nečinilo v oblasti vydávání povolení k umístění herního prostoru problémy, jelikož provozovatelé jsou v rámci tohoto správního řízení povinni doložit doklad o právním důvodu užívání prostor, v nichž má být provozována hazardní hra.</w:t>
      </w:r>
    </w:p>
    <w:p w14:paraId="71E5F6C2" w14:textId="77777777" w:rsidR="006B3B31" w:rsidRDefault="006B3B31" w:rsidP="00AF112D">
      <w:pPr>
        <w:pStyle w:val="Nadpis6"/>
        <w:numPr>
          <w:ilvl w:val="0"/>
          <w:numId w:val="18"/>
        </w:numPr>
      </w:pPr>
      <w:bookmarkStart w:id="60" w:name="_Toc73529696"/>
      <w:bookmarkStart w:id="61" w:name="_Toc73608987"/>
      <w:r w:rsidRPr="00E44D51">
        <w:t>Schéma kamerového systému jako příloha k</w:t>
      </w:r>
      <w:r>
        <w:t> </w:t>
      </w:r>
      <w:r w:rsidRPr="00E44D51">
        <w:t>žádosti</w:t>
      </w:r>
      <w:bookmarkEnd w:id="60"/>
      <w:bookmarkEnd w:id="61"/>
    </w:p>
    <w:p w14:paraId="1E387793" w14:textId="7F7BACEA" w:rsidR="006B3B31" w:rsidRDefault="006B3B31" w:rsidP="006B3B31">
      <w:r>
        <w:t xml:space="preserve">Schéma kamerového systému je jednou z náležitostí, kterou podle </w:t>
      </w:r>
      <w:r w:rsidRPr="0055504B">
        <w:t>§</w:t>
      </w:r>
      <w:r w:rsidR="00021A93">
        <w:t> </w:t>
      </w:r>
      <w:r w:rsidRPr="0055504B">
        <w:t>99</w:t>
      </w:r>
      <w:r w:rsidR="00021A93">
        <w:t> </w:t>
      </w:r>
      <w:r>
        <w:t>odst.</w:t>
      </w:r>
      <w:r w:rsidR="00021A93">
        <w:t> </w:t>
      </w:r>
      <w:r>
        <w:t xml:space="preserve">2 písm. e) zákona o hazardních hrách žadatel přiloží k žádosti o povolení k umístění herního prostoru. U této přílohy není specifikováno, jak </w:t>
      </w:r>
      <w:r w:rsidR="00FF58AB">
        <w:t xml:space="preserve">má </w:t>
      </w:r>
      <w:r>
        <w:t xml:space="preserve">vypadat či co </w:t>
      </w:r>
      <w:r w:rsidR="00FF58AB">
        <w:t xml:space="preserve">má </w:t>
      </w:r>
      <w:r>
        <w:t>obsahovat. S ohledem na tuto skutečnost jsou velmi často dokládány nepřesné plánky, na kterých je orientačně vyznačeno umís</w:t>
      </w:r>
      <w:r w:rsidR="00523FC6">
        <w:t>tění kamer. Provozovatel je bez </w:t>
      </w:r>
      <w:r>
        <w:t>ohledu na přesnost plánku povinen zajistit plnění</w:t>
      </w:r>
      <w:r w:rsidR="007B27DD">
        <w:t xml:space="preserve"> povinností podle § 72 zákona o </w:t>
      </w:r>
      <w:r>
        <w:t xml:space="preserve">hazardních hrách. Celní správa pak v praxi schémata využívá před zahájením kontroly jako informaci pro orientaci v herním prostoru. </w:t>
      </w:r>
    </w:p>
    <w:p w14:paraId="7750090F" w14:textId="77777777" w:rsidR="006B3B31" w:rsidRDefault="006B3B31" w:rsidP="006B3B31">
      <w:pPr>
        <w:pStyle w:val="Nadpis7"/>
      </w:pPr>
      <w:r>
        <w:t>Varianta I. – Doplnění zákona o hazardních hrách stanoviskem či metodickým pokynem k podobě a využívání schémat kamerového systému</w:t>
      </w:r>
    </w:p>
    <w:p w14:paraId="5478694D" w14:textId="73E15610" w:rsidR="006B3B31" w:rsidRDefault="006B3B31" w:rsidP="006B3B31">
      <w:r w:rsidRPr="00E44D51">
        <w:t>V této variantě nedochází ke změně úpravy v</w:t>
      </w:r>
      <w:r>
        <w:t> zákoně o hazardních hrách</w:t>
      </w:r>
      <w:r w:rsidRPr="00E44D51">
        <w:t>.</w:t>
      </w:r>
      <w:r>
        <w:t xml:space="preserve"> Tato minimální zákonná úprava by</w:t>
      </w:r>
      <w:r w:rsidRPr="00E44D51">
        <w:t xml:space="preserve"> </w:t>
      </w:r>
      <w:r>
        <w:t xml:space="preserve">byla </w:t>
      </w:r>
      <w:r w:rsidRPr="00E44D51">
        <w:t>ze strany Ministerstva financí doplněna stan</w:t>
      </w:r>
      <w:r>
        <w:t xml:space="preserve">oviskem či metodickým pokynem, </w:t>
      </w:r>
      <w:r w:rsidRPr="00E44D51">
        <w:t xml:space="preserve">který obsahuje požadavky na formu a obsah samotných </w:t>
      </w:r>
      <w:r>
        <w:t xml:space="preserve">schémat a který stanovuje </w:t>
      </w:r>
      <w:r w:rsidRPr="00E44D51">
        <w:t>postup, podle kterého se schématy pracují dotčené orgány.</w:t>
      </w:r>
    </w:p>
    <w:p w14:paraId="2A6C9BB2" w14:textId="77777777" w:rsidR="006B3B31" w:rsidRDefault="006B3B31" w:rsidP="006B3B31">
      <w:r>
        <w:t>Výhody:</w:t>
      </w:r>
    </w:p>
    <w:p w14:paraId="239DC4A5" w14:textId="77777777" w:rsidR="006B3B31" w:rsidRDefault="006B3B31" w:rsidP="006B3B31">
      <w:r>
        <w:t>M</w:t>
      </w:r>
      <w:r w:rsidRPr="00BC3C71">
        <w:t>inimální právní úprava,</w:t>
      </w:r>
      <w:r>
        <w:t xml:space="preserve"> která je podrobněji rozvedena </w:t>
      </w:r>
      <w:r w:rsidRPr="00BC3C71">
        <w:t>v jiném dokumentu.</w:t>
      </w:r>
    </w:p>
    <w:p w14:paraId="768DC4A1" w14:textId="77777777" w:rsidR="006B3B31" w:rsidRDefault="006B3B31" w:rsidP="006B3B31">
      <w:r>
        <w:t>Nevýhody:</w:t>
      </w:r>
    </w:p>
    <w:p w14:paraId="37BD5AC3" w14:textId="77777777" w:rsidR="006B3B31" w:rsidRDefault="006B3B31" w:rsidP="006B3B31">
      <w:pPr>
        <w:rPr>
          <w:rFonts w:cs="Arial"/>
        </w:rPr>
      </w:pPr>
      <w:r>
        <w:t>Zákon o hazardních hrách schémata kamerového systému</w:t>
      </w:r>
      <w:r>
        <w:rPr>
          <w:rFonts w:cs="Arial"/>
        </w:rPr>
        <w:t xml:space="preserve"> nijak nespecifikuje ani neodkazuje na další specifikaci.</w:t>
      </w:r>
    </w:p>
    <w:p w14:paraId="764FB17F" w14:textId="3B19DF0D" w:rsidR="006B3B31" w:rsidRDefault="006B3B31" w:rsidP="006B3B31">
      <w:pPr>
        <w:pStyle w:val="Nadpis7"/>
      </w:pPr>
      <w:r>
        <w:t>Varianta II. – Zrušení povinnosti přiložit schéma</w:t>
      </w:r>
      <w:r w:rsidR="00F8265F">
        <w:t xml:space="preserve"> kamerového systému k žádosti o </w:t>
      </w:r>
      <w:r>
        <w:t>povolení k umístění herního prostoru</w:t>
      </w:r>
    </w:p>
    <w:p w14:paraId="6A5939FD" w14:textId="77777777" w:rsidR="006B3B31" w:rsidRDefault="006B3B31" w:rsidP="006B3B31">
      <w:r>
        <w:t xml:space="preserve">V této variantě by došlo ke zrušení </w:t>
      </w:r>
      <w:r w:rsidRPr="00461555">
        <w:t>§ 99 odst. 2 písm. e)</w:t>
      </w:r>
      <w:r>
        <w:t xml:space="preserve"> zákona o hazardních hrách, čili schéma kamerového systému by již nebylo přílohou k žádosti </w:t>
      </w:r>
      <w:r w:rsidRPr="002C4854">
        <w:t>o povolení k</w:t>
      </w:r>
      <w:r>
        <w:t> </w:t>
      </w:r>
      <w:r w:rsidRPr="002C4854">
        <w:t>umístění herního prostoru</w:t>
      </w:r>
      <w:r>
        <w:t>.</w:t>
      </w:r>
    </w:p>
    <w:p w14:paraId="7C128BA1" w14:textId="77777777" w:rsidR="006B3B31" w:rsidRDefault="006B3B31" w:rsidP="006B3B31">
      <w:r>
        <w:t>Výhody:</w:t>
      </w:r>
    </w:p>
    <w:p w14:paraId="6E838ED4" w14:textId="77777777" w:rsidR="006B3B31" w:rsidRDefault="006B3B31" w:rsidP="006B3B31">
      <w:r>
        <w:t xml:space="preserve">Po provozovateli nebude požadován doklad, který má v praxi jen minimální využití. Snížení další administrativní náročnosti pro obecní úřady, které by nemusely posuzovat tato schémata kamerového systému a ani je nahrávat do informačního systému. </w:t>
      </w:r>
    </w:p>
    <w:p w14:paraId="480B5838" w14:textId="77777777" w:rsidR="006B3B31" w:rsidRDefault="006B3B31" w:rsidP="006B3B31">
      <w:r>
        <w:t>Nevýhody:</w:t>
      </w:r>
    </w:p>
    <w:p w14:paraId="76444A43" w14:textId="70A5538A" w:rsidR="006B3B31" w:rsidRDefault="006B3B31" w:rsidP="006B3B31">
      <w:r w:rsidRPr="003E3434">
        <w:t>O</w:t>
      </w:r>
      <w:r>
        <w:t>becní úřad i Celní správa nemusí</w:t>
      </w:r>
      <w:r w:rsidRPr="003E3434">
        <w:t xml:space="preserve"> mít k dispozici informaci o tom, jak vypadají herní prostory, protož</w:t>
      </w:r>
      <w:r>
        <w:t xml:space="preserve">e schéma kamerového systému je </w:t>
      </w:r>
      <w:r w:rsidRPr="003E3434">
        <w:t xml:space="preserve">zpravidla jediným plánkem prostor, který mají k dispozici. </w:t>
      </w:r>
      <w:r>
        <w:t>Uvedené však může obecní úřad zajistit provedením místního šetření</w:t>
      </w:r>
      <w:r w:rsidR="00DB1B40">
        <w:t>.</w:t>
      </w:r>
      <w:r>
        <w:t xml:space="preserve"> </w:t>
      </w:r>
      <w:r w:rsidR="004E792B">
        <w:t>Faktické rozmístění kamer v h</w:t>
      </w:r>
      <w:r>
        <w:t>erní</w:t>
      </w:r>
      <w:r w:rsidR="004E792B">
        <w:t>m</w:t>
      </w:r>
      <w:r>
        <w:t xml:space="preserve"> prostor</w:t>
      </w:r>
      <w:r w:rsidR="004E792B">
        <w:t>u</w:t>
      </w:r>
      <w:r>
        <w:t xml:space="preserve"> nemusí </w:t>
      </w:r>
      <w:r w:rsidR="00DB1B40">
        <w:t xml:space="preserve">v okamžiku </w:t>
      </w:r>
      <w:r w:rsidR="004E792B">
        <w:t xml:space="preserve">posuzování obecním úřadem </w:t>
      </w:r>
      <w:r w:rsidR="00DB1B40">
        <w:t>odpovídat předloženému schématu kamerového systému</w:t>
      </w:r>
      <w:r w:rsidR="004E792B">
        <w:t>, které má provozovatel začít plnit nejpozději se zahájením provozu</w:t>
      </w:r>
      <w:r w:rsidR="004F7FA9">
        <w:t xml:space="preserve">. </w:t>
      </w:r>
      <w:r w:rsidR="007B27DD">
        <w:t>P</w:t>
      </w:r>
      <w:r w:rsidR="004F7FA9">
        <w:t>ro pracovníky C</w:t>
      </w:r>
      <w:r>
        <w:t xml:space="preserve">elní správy </w:t>
      </w:r>
      <w:r>
        <w:lastRenderedPageBreak/>
        <w:t xml:space="preserve">je směrodatné především zajištění dostatečného </w:t>
      </w:r>
      <w:r w:rsidR="004F7FA9">
        <w:t>monitoringu podle §</w:t>
      </w:r>
      <w:r w:rsidR="00FE2A3A">
        <w:t> </w:t>
      </w:r>
      <w:r w:rsidR="004F7FA9">
        <w:t>72 zákona o </w:t>
      </w:r>
      <w:r>
        <w:t>hazardních hrách.</w:t>
      </w:r>
    </w:p>
    <w:p w14:paraId="34E1D816" w14:textId="77777777" w:rsidR="006B3B31" w:rsidRPr="00950C46" w:rsidRDefault="006B3B31" w:rsidP="006B3B31">
      <w:pPr>
        <w:pStyle w:val="Nadpis7"/>
      </w:pPr>
      <w:r w:rsidRPr="00950C46">
        <w:t>Hodnocení variant</w:t>
      </w:r>
    </w:p>
    <w:p w14:paraId="572BA59F" w14:textId="4060B05A" w:rsidR="006B3B31" w:rsidRDefault="006B3B31" w:rsidP="006B3B31">
      <w:r>
        <w:t xml:space="preserve">Za nejvhodnější variantu řešení je považována </w:t>
      </w:r>
      <w:r w:rsidR="004F7FA9">
        <w:t>v</w:t>
      </w:r>
      <w:r>
        <w:t xml:space="preserve">arianta II., tedy zrušení povinnosti přikládat k žádosti o povolení k umístění herního prostoru schéma kamerového systému podle § 99 odst. 2 písm. e) zákona o hazardních hrách. </w:t>
      </w:r>
    </w:p>
    <w:p w14:paraId="407DB89A" w14:textId="68CFBFB3" w:rsidR="006B3B31" w:rsidRDefault="006B3B31" w:rsidP="00AF112D">
      <w:pPr>
        <w:pStyle w:val="Nadpis5"/>
      </w:pPr>
      <w:bookmarkStart w:id="62" w:name="_Toc73529697"/>
      <w:bookmarkStart w:id="63" w:name="_Toc73608988"/>
      <w:r w:rsidRPr="00FE15C2">
        <w:t>Ohlášení</w:t>
      </w:r>
      <w:r w:rsidR="007F08A8">
        <w:t xml:space="preserve"> hazardní hry</w:t>
      </w:r>
      <w:bookmarkEnd w:id="62"/>
      <w:bookmarkEnd w:id="63"/>
    </w:p>
    <w:p w14:paraId="25E85AF8" w14:textId="77777777" w:rsidR="006B3B31" w:rsidRDefault="006B3B31" w:rsidP="00AF112D">
      <w:pPr>
        <w:pStyle w:val="Nadpis6"/>
        <w:numPr>
          <w:ilvl w:val="0"/>
          <w:numId w:val="26"/>
        </w:numPr>
      </w:pPr>
      <w:bookmarkStart w:id="64" w:name="_Toc73529698"/>
      <w:bookmarkStart w:id="65" w:name="_Toc73608989"/>
      <w:r w:rsidRPr="00EC2D11">
        <w:t xml:space="preserve">Vydání rozhodnutí </w:t>
      </w:r>
      <w:r>
        <w:t xml:space="preserve">o zákazu </w:t>
      </w:r>
      <w:r w:rsidRPr="00EC2D11">
        <w:t>je prvním úkonem v</w:t>
      </w:r>
      <w:r>
        <w:t> </w:t>
      </w:r>
      <w:r w:rsidRPr="00EC2D11">
        <w:t>řízení</w:t>
      </w:r>
      <w:bookmarkEnd w:id="64"/>
      <w:bookmarkEnd w:id="65"/>
    </w:p>
    <w:p w14:paraId="5DF6AD77" w14:textId="2730B07E" w:rsidR="006B3B31" w:rsidRDefault="006B3B31" w:rsidP="006B3B31">
      <w:r w:rsidRPr="00EE047C">
        <w:t xml:space="preserve">Podle § 108 odst. 1 </w:t>
      </w:r>
      <w:r>
        <w:t>zákona o hazardních hrách</w:t>
      </w:r>
      <w:r w:rsidRPr="00EE047C">
        <w:t xml:space="preserve"> je rozhodnutí o zákazu provozování ohlašov</w:t>
      </w:r>
      <w:r>
        <w:t xml:space="preserve">ané hry prvním úkonem v řízení. </w:t>
      </w:r>
      <w:r w:rsidRPr="00EE047C">
        <w:t>Jedná se o obrácenou praxi standardního správního řízení, jehož výsledkem je vydání rozhodnutí. V tomto případě správní řízení, jehož smyslem je přezkum rozhodnutí, následuje až po vydání rozhodnutí. Vydání rozhodnutí jakožto prvního úkonu je instrument, který je správní</w:t>
      </w:r>
      <w:r w:rsidR="006F3FDD">
        <w:t>m</w:t>
      </w:r>
      <w:r w:rsidRPr="00EE047C">
        <w:t xml:space="preserve"> řád</w:t>
      </w:r>
      <w:r w:rsidR="006F3FDD">
        <w:t>em</w:t>
      </w:r>
      <w:r w:rsidRPr="00EE047C">
        <w:t xml:space="preserve"> běžně využívaný - například § 62 odst. 5, § 98 či § 150 správního řádu.</w:t>
      </w:r>
      <w:r w:rsidR="006F3FDD">
        <w:t xml:space="preserve"> Problémem </w:t>
      </w:r>
      <w:r>
        <w:t>právní úpravy je</w:t>
      </w:r>
      <w:r w:rsidR="001E5B06">
        <w:t xml:space="preserve"> absence možnosti vyzvat ohlašovatele k doplnění ohlášení</w:t>
      </w:r>
      <w:r w:rsidR="00E223FC">
        <w:t xml:space="preserve"> </w:t>
      </w:r>
      <w:r>
        <w:t xml:space="preserve">v případech, kdy ohlašovatel nedoloží všechny náležitosti </w:t>
      </w:r>
      <w:r w:rsidR="006F3FDD">
        <w:t>dle</w:t>
      </w:r>
      <w:r>
        <w:t xml:space="preserve"> </w:t>
      </w:r>
      <w:r w:rsidR="006F3FDD">
        <w:t>§ </w:t>
      </w:r>
      <w:r w:rsidRPr="00EE047C">
        <w:t>10</w:t>
      </w:r>
      <w:r>
        <w:t>7</w:t>
      </w:r>
      <w:r w:rsidRPr="00EE047C">
        <w:t xml:space="preserve"> </w:t>
      </w:r>
      <w:r w:rsidR="00523FC6">
        <w:t>zákona o </w:t>
      </w:r>
      <w:r>
        <w:t>hazardních hrách.</w:t>
      </w:r>
    </w:p>
    <w:p w14:paraId="5B69921C" w14:textId="77777777" w:rsidR="006B3B31" w:rsidRDefault="006B3B31" w:rsidP="006B3B31">
      <w:pPr>
        <w:pStyle w:val="Nadpis7"/>
      </w:pPr>
      <w:r>
        <w:t>Varianta I. – Zachování současného stavu</w:t>
      </w:r>
    </w:p>
    <w:p w14:paraId="7C171AE1" w14:textId="77777777" w:rsidR="006B3B31" w:rsidRDefault="006B3B31" w:rsidP="006B3B31">
      <w:r>
        <w:t>Výhody:</w:t>
      </w:r>
    </w:p>
    <w:p w14:paraId="1D6F1A5C" w14:textId="5D402BEA" w:rsidR="006B3B31" w:rsidRDefault="006B3B31" w:rsidP="006B3B31">
      <w:r w:rsidRPr="000B3106">
        <w:t xml:space="preserve">Zachování </w:t>
      </w:r>
      <w:r>
        <w:t>současného</w:t>
      </w:r>
      <w:r w:rsidRPr="000B3106">
        <w:t xml:space="preserve"> stavu umožňuje zjednodušený</w:t>
      </w:r>
      <w:r>
        <w:t xml:space="preserve"> režim ohlášení hazardní hry za </w:t>
      </w:r>
      <w:r w:rsidRPr="000B3106">
        <w:t>předpokladu, že ohlašovatel předloží správnímu orgánu ohlášení</w:t>
      </w:r>
      <w:r>
        <w:t xml:space="preserve"> bez vady</w:t>
      </w:r>
      <w:r w:rsidRPr="000B3106">
        <w:t xml:space="preserve">. </w:t>
      </w:r>
    </w:p>
    <w:p w14:paraId="4A52EF32" w14:textId="77777777" w:rsidR="006B3B31" w:rsidRDefault="006B3B31" w:rsidP="006B3B31">
      <w:r>
        <w:t>Nevýhody:</w:t>
      </w:r>
    </w:p>
    <w:p w14:paraId="6AAF3EB5" w14:textId="77777777" w:rsidR="006B3B31" w:rsidRDefault="006B3B31" w:rsidP="006B3B31">
      <w:r>
        <w:t>V</w:t>
      </w:r>
      <w:r w:rsidRPr="000B3106">
        <w:t xml:space="preserve"> případě, kdy například k ohlášení n</w:t>
      </w:r>
      <w:r>
        <w:t xml:space="preserve">ejsou doloženy všechny zákonné </w:t>
      </w:r>
      <w:r w:rsidRPr="000B3106">
        <w:t>náležitosti, správní orgán vydá rozhodnutí o zákazu</w:t>
      </w:r>
      <w:r>
        <w:t xml:space="preserve"> provozování ohlášené hazardní </w:t>
      </w:r>
      <w:r w:rsidRPr="000B3106">
        <w:t>hry, aniž by měl možnost vyzvat ohlašovatele k doplnění.</w:t>
      </w:r>
    </w:p>
    <w:p w14:paraId="60059505" w14:textId="69B5816E" w:rsidR="006B3B31" w:rsidRPr="000B3106" w:rsidRDefault="006B3B31" w:rsidP="006B3B31">
      <w:pPr>
        <w:pStyle w:val="Nadpis7"/>
      </w:pPr>
      <w:r>
        <w:t>Varianta II</w:t>
      </w:r>
      <w:r w:rsidR="00217CCE">
        <w:t>.</w:t>
      </w:r>
      <w:r>
        <w:t xml:space="preserve"> – Odstranění vad ohlášení před vydáním rozhodnutí</w:t>
      </w:r>
    </w:p>
    <w:p w14:paraId="5132D6E7" w14:textId="2A931CD5" w:rsidR="006B3B31" w:rsidRDefault="006B3B31" w:rsidP="006B3B31">
      <w:r w:rsidRPr="00344039">
        <w:t>V této variantě</w:t>
      </w:r>
      <w:r w:rsidR="00E223FC">
        <w:t xml:space="preserve"> </w:t>
      </w:r>
      <w:r>
        <w:t>by došlo k úpravě § 108 zákona o hazardních hrách</w:t>
      </w:r>
      <w:r w:rsidR="001E5B06">
        <w:t>. O</w:t>
      </w:r>
      <w:r w:rsidRPr="00344039">
        <w:t>becním úřadům</w:t>
      </w:r>
      <w:r>
        <w:t xml:space="preserve"> </w:t>
      </w:r>
      <w:r w:rsidR="001E5B06">
        <w:t xml:space="preserve">by </w:t>
      </w:r>
      <w:r>
        <w:t>bylo</w:t>
      </w:r>
      <w:r w:rsidRPr="00344039">
        <w:t xml:space="preserve"> umožněno</w:t>
      </w:r>
      <w:r w:rsidR="00E223FC">
        <w:t xml:space="preserve"> </w:t>
      </w:r>
      <w:r w:rsidRPr="00344039">
        <w:t>obdobně jako podle § 37</w:t>
      </w:r>
      <w:r>
        <w:t xml:space="preserve"> odst. 3 </w:t>
      </w:r>
      <w:r w:rsidRPr="00344039">
        <w:t>správního řádu pomo</w:t>
      </w:r>
      <w:r w:rsidR="001E5B06">
        <w:t>ci</w:t>
      </w:r>
      <w:r w:rsidRPr="00344039">
        <w:t xml:space="preserve"> ohlašovateli odstranit nedost</w:t>
      </w:r>
      <w:r>
        <w:t>atky ohlášení nebo jej vyzva</w:t>
      </w:r>
      <w:r w:rsidR="001E5B06">
        <w:t>t</w:t>
      </w:r>
      <w:r>
        <w:t xml:space="preserve"> k jejich odstranění. Nejednalo by</w:t>
      </w:r>
      <w:r w:rsidRPr="00344039">
        <w:t xml:space="preserve"> se však o postup podle § 37 odst. 3</w:t>
      </w:r>
      <w:r>
        <w:t xml:space="preserve"> správního řádu. Záleželo</w:t>
      </w:r>
      <w:r w:rsidRPr="00344039">
        <w:t xml:space="preserve"> </w:t>
      </w:r>
      <w:r>
        <w:t xml:space="preserve">by </w:t>
      </w:r>
      <w:r w:rsidR="006F3FDD">
        <w:t>na </w:t>
      </w:r>
      <w:r>
        <w:t xml:space="preserve">posouzení </w:t>
      </w:r>
      <w:r w:rsidRPr="00344039">
        <w:t>obecního úř</w:t>
      </w:r>
      <w:r>
        <w:t>adu, zda takto bude postupovat</w:t>
      </w:r>
      <w:r w:rsidR="001E5B06">
        <w:t>. O</w:t>
      </w:r>
      <w:r w:rsidRPr="00344039">
        <w:t>becní úřad nemá p</w:t>
      </w:r>
      <w:r>
        <w:t xml:space="preserve">rostor ohlašovateli poskytnout přiměřenou lhůtu, </w:t>
      </w:r>
      <w:r w:rsidRPr="00344039">
        <w:t>je totiž</w:t>
      </w:r>
      <w:r>
        <w:t xml:space="preserve"> povinen</w:t>
      </w:r>
      <w:r w:rsidRPr="00344039">
        <w:t xml:space="preserve"> bez </w:t>
      </w:r>
      <w:r>
        <w:t xml:space="preserve">ohledu na to, zda této možnosti </w:t>
      </w:r>
      <w:r w:rsidRPr="00344039">
        <w:t>využije,</w:t>
      </w:r>
      <w:r>
        <w:t xml:space="preserve"> </w:t>
      </w:r>
      <w:r w:rsidRPr="00344039">
        <w:t>či nikoliv, vydat rozhodnutí podle § 108 odst.</w:t>
      </w:r>
      <w:r>
        <w:t xml:space="preserve"> 2</w:t>
      </w:r>
      <w:r w:rsidRPr="00344039">
        <w:t xml:space="preserve"> </w:t>
      </w:r>
      <w:r>
        <w:t>zákona o hazardních hrách</w:t>
      </w:r>
      <w:r w:rsidRPr="00344039">
        <w:t xml:space="preserve"> do 15 dnů.</w:t>
      </w:r>
    </w:p>
    <w:p w14:paraId="266B3FF3" w14:textId="77777777" w:rsidR="006B3B31" w:rsidRDefault="006B3B31" w:rsidP="006B3B31">
      <w:r>
        <w:t>Výhody:</w:t>
      </w:r>
    </w:p>
    <w:p w14:paraId="7B81138F" w14:textId="7E70D25B" w:rsidR="006B3B31" w:rsidRDefault="006B3B31" w:rsidP="006B3B31">
      <w:pPr>
        <w:rPr>
          <w:rFonts w:cs="Arial"/>
        </w:rPr>
      </w:pPr>
      <w:r>
        <w:rPr>
          <w:rFonts w:cs="Arial"/>
        </w:rPr>
        <w:t xml:space="preserve">Při zachování zjednodušeného režimu ohlášení, tato varianta </w:t>
      </w:r>
      <w:r w:rsidR="001E5B06">
        <w:rPr>
          <w:rFonts w:cs="Arial"/>
        </w:rPr>
        <w:t xml:space="preserve">umožňuje </w:t>
      </w:r>
      <w:r>
        <w:rPr>
          <w:rFonts w:cs="Arial"/>
        </w:rPr>
        <w:t xml:space="preserve">snadno </w:t>
      </w:r>
      <w:r w:rsidR="00E223FC">
        <w:rPr>
          <w:rFonts w:cs="Arial"/>
        </w:rPr>
        <w:t xml:space="preserve">odstranit </w:t>
      </w:r>
      <w:r>
        <w:rPr>
          <w:rFonts w:cs="Arial"/>
        </w:rPr>
        <w:t>opravitelné nedostatky ohlášení. Zároveň je zcela na rozhodnutí obecního úřadu, zda posoudí nedostatek ohlášení za snadno opravitelný</w:t>
      </w:r>
      <w:r w:rsidR="00E223FC">
        <w:rPr>
          <w:rFonts w:cs="Arial"/>
        </w:rPr>
        <w:t>,</w:t>
      </w:r>
      <w:r>
        <w:rPr>
          <w:rFonts w:cs="Arial"/>
        </w:rPr>
        <w:t xml:space="preserve"> a </w:t>
      </w:r>
      <w:r w:rsidR="00E223FC">
        <w:rPr>
          <w:rFonts w:cs="Arial"/>
        </w:rPr>
        <w:t xml:space="preserve">zda </w:t>
      </w:r>
      <w:r>
        <w:rPr>
          <w:rFonts w:cs="Arial"/>
        </w:rPr>
        <w:t>tohoto postupu</w:t>
      </w:r>
      <w:r w:rsidR="001E5B06">
        <w:rPr>
          <w:rFonts w:cs="Arial"/>
        </w:rPr>
        <w:t xml:space="preserve"> využije</w:t>
      </w:r>
      <w:r>
        <w:rPr>
          <w:rFonts w:cs="Arial"/>
        </w:rPr>
        <w:t xml:space="preserve">. Motivací pro obecní úřady by </w:t>
      </w:r>
      <w:r w:rsidR="006F3FDD">
        <w:rPr>
          <w:rFonts w:cs="Arial"/>
        </w:rPr>
        <w:t>měla být menší administrativní náročnost</w:t>
      </w:r>
      <w:r>
        <w:rPr>
          <w:rFonts w:cs="Arial"/>
        </w:rPr>
        <w:t xml:space="preserve"> </w:t>
      </w:r>
      <w:r w:rsidR="006F3FDD">
        <w:rPr>
          <w:rFonts w:cs="Arial"/>
        </w:rPr>
        <w:t xml:space="preserve">požadavku na </w:t>
      </w:r>
      <w:r>
        <w:rPr>
          <w:rFonts w:cs="Arial"/>
        </w:rPr>
        <w:t xml:space="preserve">odstranění nedostatku </w:t>
      </w:r>
      <w:r w:rsidR="006F3FDD">
        <w:rPr>
          <w:rFonts w:cs="Arial"/>
        </w:rPr>
        <w:t>v porovnání s</w:t>
      </w:r>
      <w:r>
        <w:rPr>
          <w:rFonts w:cs="Arial"/>
        </w:rPr>
        <w:t xml:space="preserve"> vydání</w:t>
      </w:r>
      <w:r w:rsidR="006F3FDD">
        <w:rPr>
          <w:rFonts w:cs="Arial"/>
        </w:rPr>
        <w:t>m</w:t>
      </w:r>
      <w:r>
        <w:rPr>
          <w:rFonts w:cs="Arial"/>
        </w:rPr>
        <w:t xml:space="preserve"> rozhodnutí o zákazu provozování ohlášené hazardní hry. Pro ohlašovatele je pak výhodou, že v závislosti na rozhodnutí obecního úřadu mohou dostat možnost odstranit lehce opravitelné vady, </w:t>
      </w:r>
      <w:r>
        <w:rPr>
          <w:rFonts w:cs="Arial"/>
        </w:rPr>
        <w:lastRenderedPageBreak/>
        <w:t>v důsledku kterých by při zachování stávajícího stavu právní úpravy došlo</w:t>
      </w:r>
      <w:r w:rsidR="004F7FA9">
        <w:rPr>
          <w:rFonts w:cs="Arial"/>
        </w:rPr>
        <w:t xml:space="preserve"> k vydání rozhodnutí o</w:t>
      </w:r>
      <w:r w:rsidR="00FE2A3A">
        <w:rPr>
          <w:rFonts w:cs="Arial"/>
        </w:rPr>
        <w:t> </w:t>
      </w:r>
      <w:r w:rsidR="004F7FA9">
        <w:rPr>
          <w:rFonts w:cs="Arial"/>
        </w:rPr>
        <w:t xml:space="preserve"> zákazu o </w:t>
      </w:r>
      <w:r>
        <w:rPr>
          <w:rFonts w:cs="Arial"/>
        </w:rPr>
        <w:t>provozování ohlášené hazardní hry.</w:t>
      </w:r>
    </w:p>
    <w:p w14:paraId="21D83D54" w14:textId="77777777" w:rsidR="006B3B31" w:rsidRDefault="006B3B31" w:rsidP="006B3B31">
      <w:pPr>
        <w:rPr>
          <w:rFonts w:cs="Arial"/>
        </w:rPr>
      </w:pPr>
      <w:r>
        <w:rPr>
          <w:rFonts w:cs="Arial"/>
        </w:rPr>
        <w:t>Nevýhody:</w:t>
      </w:r>
    </w:p>
    <w:p w14:paraId="7FB57409" w14:textId="7C33D4FB" w:rsidR="006B3B31" w:rsidRDefault="006B3B31" w:rsidP="006B3B31">
      <w:r>
        <w:t>Nevýhodou této varianty je, že ohlašovateli nevzniká právo na odstranění vady. Záleží na rozhodnutí konkrétního obecn</w:t>
      </w:r>
      <w:r w:rsidR="000F344F">
        <w:t>ího úřadu v konkrétní věci, zda </w:t>
      </w:r>
      <w:r>
        <w:t>navrhovaného odstavce využije či nikoliv. Z pohledu obecního úřadu je pak zjevnou nevýhodou zachování lhůty. V případech, kdy ohlašovatel nebude okamžitě spolupracovat na odstranění vad ohlášení, obecní úřad vydá do 15</w:t>
      </w:r>
      <w:r w:rsidR="000F344F">
        <w:t> </w:t>
      </w:r>
      <w:r>
        <w:t>dnů od ohlášení rozhodnutí o zákazu provozování hazardní hry.</w:t>
      </w:r>
    </w:p>
    <w:p w14:paraId="6F318A22" w14:textId="77777777" w:rsidR="006B3B31" w:rsidRDefault="006B3B31" w:rsidP="006B3B31">
      <w:pPr>
        <w:pStyle w:val="Nadpis7"/>
      </w:pPr>
      <w:r>
        <w:t>Hodnocení variant</w:t>
      </w:r>
    </w:p>
    <w:p w14:paraId="5A8D26C6" w14:textId="77777777" w:rsidR="006B3B31" w:rsidRDefault="006B3B31" w:rsidP="006B3B31">
      <w:pPr>
        <w:rPr>
          <w:rFonts w:cs="Arial"/>
        </w:rPr>
      </w:pPr>
      <w:r>
        <w:t xml:space="preserve">Jako nejvhodnější varianta řešení se jeví varianta II., tedy taková změna zákona o hazardních hrách, která by umožnila obecnímu úřadu před vydáním rozhodnutí pomoci odstranit ohlašovateli případné nedostatky ohlášení nebo ho vyzvat k jejich odstranění. </w:t>
      </w:r>
      <w:r>
        <w:rPr>
          <w:rFonts w:cs="Arial"/>
        </w:rPr>
        <w:t>Tato varianta zachovává výhody stávající právní úpravy a odstraňuje její nevýhody. Stále by ale přetrvávala lhůta 15 dnů, ve které musí obecní úřad vydat případné rozhodnutí o zákazu ohlášené hazardní hry.</w:t>
      </w:r>
    </w:p>
    <w:p w14:paraId="74154D79" w14:textId="77777777" w:rsidR="006B3B31" w:rsidRDefault="006B3B31" w:rsidP="00AF112D">
      <w:pPr>
        <w:pStyle w:val="Nadpis6"/>
      </w:pPr>
      <w:bookmarkStart w:id="66" w:name="_Toc73529699"/>
      <w:bookmarkStart w:id="67" w:name="_Toc73608990"/>
      <w:r w:rsidRPr="00A72CF2">
        <w:t>Podání odvolání proti rozhodnutí o zákazu provozování ohlašované hazardní hry</w:t>
      </w:r>
      <w:bookmarkEnd w:id="66"/>
      <w:bookmarkEnd w:id="67"/>
    </w:p>
    <w:p w14:paraId="704A0919" w14:textId="1430C35D" w:rsidR="006B3B31" w:rsidRDefault="006B3B31" w:rsidP="006B3B31">
      <w:r>
        <w:t xml:space="preserve">Ohlašovatel může proti rozhodnutí o zákazu provozování ohlášené hazardní hry podat odvolání. Jelikož zákon o hazardních hrách proces odvolání neupravuje, </w:t>
      </w:r>
      <w:r w:rsidR="002C7DF3">
        <w:t xml:space="preserve">je </w:t>
      </w:r>
      <w:r>
        <w:t xml:space="preserve">podle </w:t>
      </w:r>
      <w:r w:rsidRPr="00DA3EB4">
        <w:t>§</w:t>
      </w:r>
      <w:r w:rsidR="00FE2A3A">
        <w:t> </w:t>
      </w:r>
      <w:r w:rsidRPr="00DA3EB4">
        <w:t>83</w:t>
      </w:r>
      <w:r w:rsidR="00FE2A3A">
        <w:t> </w:t>
      </w:r>
      <w:r w:rsidRPr="00DA3EB4">
        <w:t>odst.</w:t>
      </w:r>
      <w:r w:rsidR="00FE2A3A">
        <w:t> </w:t>
      </w:r>
      <w:r w:rsidRPr="00DA3EB4">
        <w:t>1 správního řádu</w:t>
      </w:r>
      <w:r>
        <w:t xml:space="preserve"> možné proti rozhodnutí podat odvolání </w:t>
      </w:r>
      <w:r w:rsidR="00523FC6">
        <w:t>ve lhůtě 15 </w:t>
      </w:r>
      <w:r w:rsidRPr="00DA3EB4">
        <w:t>dnů po jeho oznámení</w:t>
      </w:r>
      <w:r>
        <w:t xml:space="preserve">. </w:t>
      </w:r>
      <w:r w:rsidRPr="00FA33E9">
        <w:t>Lhůta pro podání odvolání se počítá ode dne následujícího po uplynutí 15 denní lhůty pro vyvěšení rozhodnutí na úřední desce obecního úřadu v</w:t>
      </w:r>
      <w:r w:rsidR="004F7FA9">
        <w:t> souladu s </w:t>
      </w:r>
      <w:r>
        <w:t>§ </w:t>
      </w:r>
      <w:r w:rsidRPr="00FA33E9">
        <w:t>25 odst. 2 správního řádu.</w:t>
      </w:r>
      <w:r>
        <w:t xml:space="preserve"> </w:t>
      </w:r>
      <w:r w:rsidRPr="00FA33E9">
        <w:t>Včas podané odvolání má podle § 85 odst.</w:t>
      </w:r>
      <w:r>
        <w:t> </w:t>
      </w:r>
      <w:r w:rsidRPr="00FA33E9">
        <w:t>1 správního řádu odkladný účinek.</w:t>
      </w:r>
      <w:r>
        <w:t xml:space="preserve"> </w:t>
      </w:r>
      <w:r w:rsidRPr="00FA33E9">
        <w:t>P</w:t>
      </w:r>
      <w:r>
        <w:t>řestože</w:t>
      </w:r>
      <w:r w:rsidRPr="00FA33E9">
        <w:t xml:space="preserve"> odvolání má odkladný účinek, tato skutečnost nemůže způsobit fikci rozhodnutí ve věci a možnost řádného provozování ohlášené hazardní hry.</w:t>
      </w:r>
    </w:p>
    <w:p w14:paraId="634C04E2" w14:textId="06972A1E" w:rsidR="006B3B31" w:rsidRDefault="000F344F" w:rsidP="006B3B31">
      <w:r>
        <w:t>O</w:t>
      </w:r>
      <w:r w:rsidR="006B3B31">
        <w:t>becná pravidla odvolání (zejména lhůty) pod</w:t>
      </w:r>
      <w:r>
        <w:t>le správního řádu ve spojení se </w:t>
      </w:r>
      <w:r w:rsidR="006B3B31">
        <w:t xml:space="preserve">specifickou zjednodušenou právní úpravou ohlášení hazardní hry v praktické rovině velmi </w:t>
      </w:r>
      <w:r>
        <w:t xml:space="preserve">limitují či </w:t>
      </w:r>
      <w:r w:rsidR="006B3B31">
        <w:t>znemožňují využití odvolání proti rozhodnutí o zákazu provozování ohlášené hazardní hry s cílem umožnit její konání v ohlášeném termínu.</w:t>
      </w:r>
    </w:p>
    <w:p w14:paraId="7664353B" w14:textId="77777777" w:rsidR="006B3B31" w:rsidRDefault="006B3B31" w:rsidP="006B3B31">
      <w:pPr>
        <w:pStyle w:val="Nadpis7"/>
      </w:pPr>
      <w:r>
        <w:t>Varianta I. – Zachování současného stavu</w:t>
      </w:r>
    </w:p>
    <w:p w14:paraId="7D5AFE2F" w14:textId="77777777" w:rsidR="006B3B31" w:rsidRDefault="006B3B31" w:rsidP="006B3B31">
      <w:r>
        <w:t>Výhody:</w:t>
      </w:r>
    </w:p>
    <w:p w14:paraId="26D644B1" w14:textId="77777777" w:rsidR="006B3B31" w:rsidRDefault="006B3B31" w:rsidP="006B3B31">
      <w:r>
        <w:t xml:space="preserve">Zachováním současného stavu může obecní úřad efektivně zakázat provozování ohlášené hazardní hry, která není v souladu se zákonem o hazardních hrách. </w:t>
      </w:r>
    </w:p>
    <w:p w14:paraId="0515F845" w14:textId="77777777" w:rsidR="006B3B31" w:rsidRDefault="006B3B31" w:rsidP="006B3B31">
      <w:r>
        <w:t>Nevýhody:</w:t>
      </w:r>
    </w:p>
    <w:p w14:paraId="36E22ADC" w14:textId="6AB493D9" w:rsidR="006B3B31" w:rsidRDefault="006B3B31" w:rsidP="006B3B31">
      <w:r>
        <w:t>O</w:t>
      </w:r>
      <w:r w:rsidRPr="00061A11">
        <w:t>hlašovatel fakticky nemá prostor se bránit proti rozho</w:t>
      </w:r>
      <w:r>
        <w:t>dnutí o zákazu provozová</w:t>
      </w:r>
      <w:r w:rsidRPr="00061A11">
        <w:t>n</w:t>
      </w:r>
      <w:r>
        <w:t xml:space="preserve">í ohlášené hazardní hry, </w:t>
      </w:r>
      <w:r w:rsidR="000F344F">
        <w:t>aniž by</w:t>
      </w:r>
      <w:r w:rsidRPr="00061A11">
        <w:t xml:space="preserve"> ohlášená ha</w:t>
      </w:r>
      <w:r w:rsidR="00523FC6">
        <w:t>zardní hra mohla proběhnout bez </w:t>
      </w:r>
      <w:r w:rsidRPr="00061A11">
        <w:t>posunutí termínu.</w:t>
      </w:r>
    </w:p>
    <w:p w14:paraId="1D9311D1" w14:textId="77777777" w:rsidR="006B3B31" w:rsidRDefault="006B3B31" w:rsidP="006B3B31">
      <w:pPr>
        <w:pStyle w:val="Nadpis7"/>
      </w:pPr>
      <w:r>
        <w:lastRenderedPageBreak/>
        <w:t>Varianta II. – Jednoznačné stanovení termínu doručení rozhodnutí</w:t>
      </w:r>
    </w:p>
    <w:p w14:paraId="2E1F34E0" w14:textId="429167D5" w:rsidR="006B3B31" w:rsidRDefault="006B3B31" w:rsidP="006B3B31">
      <w:r w:rsidRPr="0003049A">
        <w:t xml:space="preserve">Tato varianta </w:t>
      </w:r>
      <w:r>
        <w:t xml:space="preserve">je inspirována </w:t>
      </w:r>
      <w:r w:rsidRPr="0003049A">
        <w:t>§ 11</w:t>
      </w:r>
      <w:r>
        <w:t xml:space="preserve"> odst. 2 </w:t>
      </w:r>
      <w:r w:rsidRPr="0003049A">
        <w:t>zákona č. 84/1990 Sb., o</w:t>
      </w:r>
      <w:r>
        <w:t> </w:t>
      </w:r>
      <w:r w:rsidRPr="0003049A">
        <w:t>právu shromažďovacím, ve znění pozdějších předpisů</w:t>
      </w:r>
      <w:r w:rsidR="002C7DF3">
        <w:t xml:space="preserve"> (dále jen jako „zákon o právu shromažďovacím“)</w:t>
      </w:r>
      <w:r>
        <w:t>.</w:t>
      </w:r>
      <w:r w:rsidRPr="0003049A">
        <w:t xml:space="preserve"> </w:t>
      </w:r>
      <w:r>
        <w:t>V této variantě je jednoznačně stanoven termín doručení rozhodnutí. Lhůta pro odvolání by začala běžet následující den po vyvěšení rozhodnutí, a nikoliv až následující den po 15 denní lhůtě pro vyvěšení.</w:t>
      </w:r>
    </w:p>
    <w:p w14:paraId="7E3C46D2" w14:textId="77777777" w:rsidR="006B3B31" w:rsidRDefault="006B3B31" w:rsidP="006B3B31">
      <w:r>
        <w:t>Výhody:</w:t>
      </w:r>
    </w:p>
    <w:p w14:paraId="6975D122" w14:textId="1417DC25" w:rsidR="006B3B31" w:rsidRDefault="006B3B31" w:rsidP="006B3B31">
      <w:r>
        <w:t>Došlo by k jasnějšímu vymezení doručení rozhodnutí a zároveň ke zkrácen</w:t>
      </w:r>
      <w:r w:rsidR="000F344F">
        <w:t>í doby od </w:t>
      </w:r>
      <w:r>
        <w:t>vydání prvoinstančního rozhodnutí do vydání případného rozhodnutí o odvolání.</w:t>
      </w:r>
    </w:p>
    <w:p w14:paraId="67E50673" w14:textId="77777777" w:rsidR="006B3B31" w:rsidRDefault="006B3B31" w:rsidP="006B3B31">
      <w:r>
        <w:t>Nevýhody:</w:t>
      </w:r>
    </w:p>
    <w:p w14:paraId="583568B4" w14:textId="49D6A4C4" w:rsidR="006B3B31" w:rsidRDefault="006B3B31" w:rsidP="006B3B31">
      <w:r>
        <w:t>Ohlašovateli by se zkrátila doba, v rámci které může po</w:t>
      </w:r>
      <w:r w:rsidR="004F7FA9">
        <w:t>dat odvolání proti rozhodnutí o </w:t>
      </w:r>
      <w:r>
        <w:t>zákazu provozování ohlášené hazardní hry. Na druhou stranu zpravidla v zájmu ohlašovatele je, aby bylo co nejdříve rozhodnuto o jeho odvolání. Uvedené je posíleno rovněž tím, že je mu rozhodnutí o zákazu zasíláno na vědomí.</w:t>
      </w:r>
    </w:p>
    <w:p w14:paraId="13FEB60F" w14:textId="77777777" w:rsidR="006B3B31" w:rsidRDefault="006B3B31" w:rsidP="006B3B31">
      <w:pPr>
        <w:pStyle w:val="Nadpis7"/>
      </w:pPr>
      <w:r>
        <w:t>Varianta III. – Rozhodnutí o odvolání do 15 dnů od jeho podání</w:t>
      </w:r>
    </w:p>
    <w:p w14:paraId="2D9B09CF" w14:textId="65FE9915" w:rsidR="006B3B31" w:rsidRDefault="006B3B31" w:rsidP="006B3B31">
      <w:r w:rsidRPr="0003049A">
        <w:t xml:space="preserve">Tato varianta </w:t>
      </w:r>
      <w:r>
        <w:t xml:space="preserve">je inspirována </w:t>
      </w:r>
      <w:r w:rsidRPr="0003049A">
        <w:t>§ 11</w:t>
      </w:r>
      <w:r>
        <w:t xml:space="preserve"> odst. 3 </w:t>
      </w:r>
      <w:r w:rsidRPr="005854F8">
        <w:t>zákona o</w:t>
      </w:r>
      <w:r>
        <w:t> </w:t>
      </w:r>
      <w:r w:rsidRPr="005854F8">
        <w:t>právu shromažďovacím.</w:t>
      </w:r>
      <w:r>
        <w:t xml:space="preserve"> V této variantě by odvolacímu orgánu ze zákona byla stanovena lhůta pro vydání rozhodnutí o odvolání, a to </w:t>
      </w:r>
      <w:r w:rsidR="00FE2A3A">
        <w:t xml:space="preserve">ve lhůtě </w:t>
      </w:r>
      <w:r>
        <w:t>15 dnů od podání odvolání.</w:t>
      </w:r>
    </w:p>
    <w:p w14:paraId="2FD4120F" w14:textId="77777777" w:rsidR="006B3B31" w:rsidRDefault="006B3B31" w:rsidP="006B3B31">
      <w:r>
        <w:t>Výhody:</w:t>
      </w:r>
    </w:p>
    <w:p w14:paraId="75C58457" w14:textId="0FAAA8F8" w:rsidR="006B3B31" w:rsidRDefault="006B3B31" w:rsidP="006B3B31">
      <w:r>
        <w:t>Ohlašovateli by byl zákonem garantován nejzazší termín, kdy by mohlo být pravomocně rozhodnuto o tom, zda může provoz</w:t>
      </w:r>
      <w:r w:rsidR="000F344F">
        <w:t>ovat ohlášenou hazardní hru. Od </w:t>
      </w:r>
      <w:r>
        <w:t xml:space="preserve">podání ohlášení by obecní úřad musel rozhodnout o zákazu provozování ohlášené hazardní hry do 15 dnů. Následující den </w:t>
      </w:r>
      <w:r w:rsidR="002C7DF3">
        <w:t xml:space="preserve">po </w:t>
      </w:r>
      <w:r>
        <w:t xml:space="preserve">vyvěšení rozhodnutí by ohlašovateli </w:t>
      </w:r>
      <w:r w:rsidR="002C7DF3">
        <w:t xml:space="preserve">začala běžet </w:t>
      </w:r>
      <w:r>
        <w:t>15 denní lhůta pro podání odvolání. Do 15 dnů od podání odvolání by odvolací orgán musel rozhodnout. De facto by tedy byl zákonem stanovený nejzazší termín pro rozhodnutí o odvolání do 46 dnů od podání ohlášení.</w:t>
      </w:r>
    </w:p>
    <w:p w14:paraId="3572F4F8" w14:textId="77777777" w:rsidR="006B3B31" w:rsidRDefault="006B3B31" w:rsidP="006B3B31">
      <w:r>
        <w:t>Nevýhody:</w:t>
      </w:r>
    </w:p>
    <w:p w14:paraId="162C8F36" w14:textId="166ED7FA" w:rsidR="006B3B31" w:rsidRDefault="006B3B31" w:rsidP="006B3B31">
      <w:r>
        <w:t>Odvolávacímu orgánu by byla stanovena pov</w:t>
      </w:r>
      <w:r w:rsidR="00901213">
        <w:t>innost rozhodnout o odvolání do </w:t>
      </w:r>
      <w:r>
        <w:t xml:space="preserve">15 dnů. V tomto kontextu by bylo nutné rovněž vyjasnit postup, pokud by k vydání takového rozhodnutí nedošlo. </w:t>
      </w:r>
    </w:p>
    <w:p w14:paraId="467EB82C" w14:textId="381E31FF" w:rsidR="006B3B31" w:rsidRDefault="006B3B31" w:rsidP="006B3B31">
      <w:pPr>
        <w:pStyle w:val="Nadpis7"/>
      </w:pPr>
      <w:r>
        <w:t xml:space="preserve">Varianta IV. – </w:t>
      </w:r>
      <w:r w:rsidR="00901213">
        <w:t xml:space="preserve">Prodloužení </w:t>
      </w:r>
      <w:r>
        <w:t>lhůty pro ohlášení hazardní hry obecnímu úřadu</w:t>
      </w:r>
    </w:p>
    <w:p w14:paraId="066C5A9C" w14:textId="1C4E0DDB" w:rsidR="006B3B31" w:rsidRDefault="006B3B31" w:rsidP="006B3B31">
      <w:r>
        <w:t xml:space="preserve">Předpokladem </w:t>
      </w:r>
      <w:r w:rsidR="002F1AA6">
        <w:t>pro tuto variantu je schválení v</w:t>
      </w:r>
      <w:r>
        <w:t xml:space="preserve">arianty II. a III. Za předpokladu, že je zákonem stanovený nejzazší termín pro rozhodnutí o odvolání do 46 dnů od podání ohlášení, je vhodné upravit lhůtu pro podání ohlášení podle </w:t>
      </w:r>
      <w:r w:rsidRPr="007C4469">
        <w:t xml:space="preserve">§ 106 </w:t>
      </w:r>
      <w:r>
        <w:t>zákona o hazardních hrách z</w:t>
      </w:r>
      <w:r w:rsidR="002C7DF3">
        <w:t> </w:t>
      </w:r>
      <w:r>
        <w:t>30</w:t>
      </w:r>
      <w:r w:rsidR="002C7DF3">
        <w:t xml:space="preserve"> dní</w:t>
      </w:r>
      <w:r>
        <w:t xml:space="preserve"> na 60 dnů. I s ohledem na dobu potřebnou pro doručení</w:t>
      </w:r>
      <w:r w:rsidR="004F7FA9">
        <w:t xml:space="preserve"> rozhodnutí o </w:t>
      </w:r>
      <w:r>
        <w:t>odvolání a možné prodlevy mezi vydáním rozhodnutí o zákazu provozování ohlášené hazardní hry a jeho vyvěšením.</w:t>
      </w:r>
    </w:p>
    <w:p w14:paraId="05DCD85C" w14:textId="77777777" w:rsidR="006B3B31" w:rsidRDefault="006B3B31" w:rsidP="006B3B31">
      <w:r>
        <w:t>Výhody:</w:t>
      </w:r>
    </w:p>
    <w:p w14:paraId="0464F20E" w14:textId="49A0E0A5" w:rsidR="006B3B31" w:rsidRDefault="006B3B31" w:rsidP="006B3B31">
      <w:r>
        <w:t>Výhodou této varianty je, že ohlašovateli dává možnost využít opravného prostředku tak, že</w:t>
      </w:r>
      <w:r w:rsidR="002C7DF3">
        <w:t xml:space="preserve"> by</w:t>
      </w:r>
      <w:r>
        <w:t xml:space="preserve"> v případě zrušení původního rozhodnutí ohlašovatel mohl provozovat hazardní hru v ohlášeném termínu.</w:t>
      </w:r>
    </w:p>
    <w:p w14:paraId="2FA6B224" w14:textId="77777777" w:rsidR="006B3B31" w:rsidRDefault="006B3B31" w:rsidP="006B3B31">
      <w:r>
        <w:lastRenderedPageBreak/>
        <w:t>Nevýhody:</w:t>
      </w:r>
    </w:p>
    <w:p w14:paraId="290CEB9E" w14:textId="77777777" w:rsidR="006B3B31" w:rsidRDefault="006B3B31" w:rsidP="006B3B31">
      <w:r>
        <w:t>Nutnost předpokládat konání ohlašované hazardní hry s delším časovým odstupem.</w:t>
      </w:r>
    </w:p>
    <w:p w14:paraId="6FB7CC62" w14:textId="77777777" w:rsidR="006B3B31" w:rsidRDefault="006B3B31" w:rsidP="006B3B31">
      <w:pPr>
        <w:pStyle w:val="Nadpis7"/>
      </w:pPr>
      <w:r>
        <w:t>Hodnocení variant</w:t>
      </w:r>
    </w:p>
    <w:p w14:paraId="7928D072" w14:textId="2378E6B1" w:rsidR="006B3B31" w:rsidRDefault="006B3B31" w:rsidP="006B3B31">
      <w:r w:rsidRPr="00983B0D">
        <w:t xml:space="preserve">Za nejvhodnější variantu řešení jsou považovány </w:t>
      </w:r>
      <w:r>
        <w:t xml:space="preserve">změny ve </w:t>
      </w:r>
      <w:r w:rsidR="004F7FA9">
        <w:t>v</w:t>
      </w:r>
      <w:r w:rsidRPr="00983B0D">
        <w:t xml:space="preserve">ariantách </w:t>
      </w:r>
      <w:r>
        <w:t>II. – IV.</w:t>
      </w:r>
      <w:r w:rsidR="00523FC6">
        <w:t>, tedy </w:t>
      </w:r>
      <w:r>
        <w:t>úprava § 108 zákona o hazardních hrách tak</w:t>
      </w:r>
      <w:r w:rsidRPr="00983B0D">
        <w:t xml:space="preserve">, aby </w:t>
      </w:r>
      <w:r>
        <w:t>rozhodnutí bylo doručeno vyvěšením</w:t>
      </w:r>
      <w:r w:rsidR="00901213">
        <w:t>,</w:t>
      </w:r>
      <w:r w:rsidR="002C7DF3">
        <w:t xml:space="preserve"> a</w:t>
      </w:r>
      <w:r>
        <w:t xml:space="preserve"> aby kompetentní správní orgán rozhodl o odvolání do 15 dnů od jeho podání. </w:t>
      </w:r>
      <w:r w:rsidR="002C7DF3">
        <w:t>D</w:t>
      </w:r>
      <w:r>
        <w:t xml:space="preserve">ále také </w:t>
      </w:r>
      <w:r w:rsidR="002C7DF3">
        <w:t xml:space="preserve">prodloužení </w:t>
      </w:r>
      <w:r>
        <w:t>lhůt</w:t>
      </w:r>
      <w:r w:rsidR="002C7DF3">
        <w:t>y</w:t>
      </w:r>
      <w:r>
        <w:t xml:space="preserve"> pro ohlášení obecnímu úřadu podle § 106 zákona o hazardních hrách na 60 dnů přede dnem předpokládaného zahájení provozování hazardních her.</w:t>
      </w:r>
      <w:r w:rsidRPr="00983B0D">
        <w:t xml:space="preserve"> </w:t>
      </w:r>
      <w:r>
        <w:t>Výhoda spojení těchto variant dohromady by spočívala v možnosti ohlašovatele využít opravného prostředku tak, že</w:t>
      </w:r>
      <w:r w:rsidR="002C7DF3">
        <w:t xml:space="preserve"> by</w:t>
      </w:r>
      <w:r>
        <w:t xml:space="preserve"> v případě zrušení původního rozhodnutí ohlašovatel stále mohl provozovat hazardní hru v původně ohlášeném termínu.</w:t>
      </w:r>
    </w:p>
    <w:p w14:paraId="082C094A" w14:textId="44931CA2" w:rsidR="006B3B31" w:rsidRDefault="006B3B31" w:rsidP="00AF112D">
      <w:pPr>
        <w:pStyle w:val="Nadpis6"/>
      </w:pPr>
      <w:bookmarkStart w:id="68" w:name="_Toc73529700"/>
      <w:bookmarkStart w:id="69" w:name="_Toc73608991"/>
      <w:r w:rsidRPr="00676FE1">
        <w:t>V ohlášení není stanoven přesný termín konání</w:t>
      </w:r>
      <w:r w:rsidR="0009229E">
        <w:t xml:space="preserve"> ohlašované hazardní hry</w:t>
      </w:r>
      <w:bookmarkEnd w:id="68"/>
      <w:bookmarkEnd w:id="69"/>
    </w:p>
    <w:p w14:paraId="1C6D0BEA" w14:textId="77777777" w:rsidR="006B3B31" w:rsidRDefault="006B3B31" w:rsidP="006B3B31">
      <w:r w:rsidRPr="00676FE1">
        <w:t xml:space="preserve">Podle § 107 odst. 1 písm. c) </w:t>
      </w:r>
      <w:r>
        <w:t>zákona o hazardních hrách</w:t>
      </w:r>
      <w:r w:rsidRPr="00676FE1">
        <w:t xml:space="preserve"> je doba, po kterou bude ohlašovaná hazardní hra provozována, stanoven</w:t>
      </w:r>
      <w:r>
        <w:t>a</w:t>
      </w:r>
      <w:r w:rsidRPr="00676FE1">
        <w:t xml:space="preserve"> přesným dnem jejího zahájení a</w:t>
      </w:r>
      <w:r>
        <w:t> </w:t>
      </w:r>
      <w:r w:rsidRPr="00676FE1">
        <w:t>ukončení. To značně komplikuje kontrolu dané hazardní hry na místě, jelikož není znám přesný čas konání.</w:t>
      </w:r>
    </w:p>
    <w:p w14:paraId="1E6ED40C" w14:textId="77777777" w:rsidR="006B3B31" w:rsidRDefault="006B3B31" w:rsidP="006B3B31">
      <w:pPr>
        <w:pStyle w:val="Nadpis7"/>
      </w:pPr>
      <w:r>
        <w:t>Varianta I. – Zachování současného stavu</w:t>
      </w:r>
    </w:p>
    <w:p w14:paraId="1CC98124" w14:textId="77777777" w:rsidR="006B3B31" w:rsidRDefault="006B3B31" w:rsidP="006B3B31">
      <w:r>
        <w:t>Výhody:</w:t>
      </w:r>
    </w:p>
    <w:p w14:paraId="796BFF11" w14:textId="77777777" w:rsidR="006B3B31" w:rsidRDefault="006B3B31" w:rsidP="006B3B31">
      <w:r w:rsidRPr="003A2A92">
        <w:t xml:space="preserve">Zachování </w:t>
      </w:r>
      <w:r>
        <w:t>současného</w:t>
      </w:r>
      <w:r w:rsidRPr="003A2A92">
        <w:t xml:space="preserve"> stavu umožňuje jednodušší režim pro provozování hazardní hry. </w:t>
      </w:r>
    </w:p>
    <w:p w14:paraId="3F2529D5" w14:textId="77777777" w:rsidR="006B3B31" w:rsidRDefault="006B3B31" w:rsidP="006B3B31">
      <w:r>
        <w:t>Nevýhody:</w:t>
      </w:r>
    </w:p>
    <w:p w14:paraId="0FC2B78F" w14:textId="77777777" w:rsidR="006B3B31" w:rsidRDefault="006B3B31" w:rsidP="006B3B31">
      <w:r>
        <w:t>K</w:t>
      </w:r>
      <w:r w:rsidRPr="003A2A92">
        <w:t>omplikuje</w:t>
      </w:r>
      <w:r>
        <w:t xml:space="preserve"> se</w:t>
      </w:r>
      <w:r w:rsidRPr="003A2A92">
        <w:t xml:space="preserve"> plánování kontroly ohlášené hazardní hry, neboť není znám přesný čas jejího konání.</w:t>
      </w:r>
    </w:p>
    <w:p w14:paraId="3C08A0FF" w14:textId="77777777" w:rsidR="006B3B31" w:rsidRDefault="006B3B31" w:rsidP="006B3B31">
      <w:pPr>
        <w:pStyle w:val="Nadpis7"/>
      </w:pPr>
      <w:r>
        <w:t>Varianta II. – Stanovení přesného času ohlášené hazardní hry</w:t>
      </w:r>
    </w:p>
    <w:p w14:paraId="32152B62" w14:textId="77777777" w:rsidR="006B3B31" w:rsidRDefault="006B3B31" w:rsidP="006B3B31">
      <w:r>
        <w:t>V této variantě se navrhuje taková změna zákona o hazardních hrách, která by pro ohlašovatele zavedla povinnost, aby uvedl přesný den a čas zahájení ohlášené hazardní hry a den jejího ukončení. U ukončení by nebyl požadovaný přesný čas, pouze den, a to s ohledem na to, že čas ukončení hazardní hry se dá stěží odhadnout.</w:t>
      </w:r>
    </w:p>
    <w:p w14:paraId="712E12C9" w14:textId="77777777" w:rsidR="006B3B31" w:rsidRDefault="006B3B31" w:rsidP="006B3B31">
      <w:r>
        <w:t>Výhody:</w:t>
      </w:r>
    </w:p>
    <w:p w14:paraId="0F938E1A" w14:textId="77777777" w:rsidR="006B3B31" w:rsidRDefault="006B3B31" w:rsidP="006B3B31">
      <w:r>
        <w:t>Uvedením přesného času zahájení hazardní hry, je umožněn efektivnější výkon kontroly.</w:t>
      </w:r>
    </w:p>
    <w:p w14:paraId="2ABF3045" w14:textId="77777777" w:rsidR="006B3B31" w:rsidRDefault="006B3B31" w:rsidP="006B3B31">
      <w:r>
        <w:t>Nevýhody:</w:t>
      </w:r>
    </w:p>
    <w:p w14:paraId="03ABA315" w14:textId="77777777" w:rsidR="006B3B31" w:rsidRDefault="006B3B31" w:rsidP="006B3B31">
      <w:r>
        <w:t>Vyšší nároky na provozovatele při ohlášení hazardní hry.</w:t>
      </w:r>
    </w:p>
    <w:p w14:paraId="6A9C1233" w14:textId="77777777" w:rsidR="006B3B31" w:rsidRDefault="006B3B31" w:rsidP="006B3B31">
      <w:pPr>
        <w:pStyle w:val="Nadpis7"/>
      </w:pPr>
      <w:r>
        <w:t>Hodnocení variant</w:t>
      </w:r>
    </w:p>
    <w:p w14:paraId="007329DD" w14:textId="2F6C813E" w:rsidR="006B3B31" w:rsidRDefault="006B3B31" w:rsidP="006B3B31">
      <w:r>
        <w:t>Jako nejvho</w:t>
      </w:r>
      <w:r w:rsidR="002F1AA6">
        <w:t>dnější varianta řešení se jeví v</w:t>
      </w:r>
      <w:r>
        <w:t>arianta II., tedy úprava zákona o hazardních hrách, která by stanovovala mezi náležitosti ohlášení kromě dne zahájení a doby, po kterou bude ohlašovaná hazardní hra provozována, i přesný čas. Tak by byl umožněn efektivnější výkon kontroly, jelik</w:t>
      </w:r>
      <w:r w:rsidR="00DD5492">
        <w:t>ož orgány dozoru by věděly, kdy </w:t>
      </w:r>
      <w:r>
        <w:t xml:space="preserve">přesně ohlašovaná </w:t>
      </w:r>
      <w:r>
        <w:lastRenderedPageBreak/>
        <w:t>hazardní hra začíná. Nároky na provozovatele při ohlášení hazardní hry by se zvýšily pouze minimálně.</w:t>
      </w:r>
    </w:p>
    <w:p w14:paraId="1EE8EDBC" w14:textId="4E679178" w:rsidR="009A4D4B" w:rsidRPr="0009229E" w:rsidRDefault="0009229E" w:rsidP="005C68C5">
      <w:r>
        <w:t xml:space="preserve">Další související oblasti obsahuje </w:t>
      </w:r>
      <w:r w:rsidR="006730E7">
        <w:t>Příloha č. 5</w:t>
      </w:r>
      <w:r w:rsidR="00A23D85">
        <w:t> </w:t>
      </w:r>
      <w:r>
        <w:t>Druhy hazardních her.</w:t>
      </w:r>
    </w:p>
    <w:p w14:paraId="530933AA" w14:textId="5D54224A" w:rsidR="006C6138" w:rsidRPr="0009229E" w:rsidRDefault="006C6138" w:rsidP="0009229E">
      <w:pPr>
        <w:pStyle w:val="Nadpis3"/>
      </w:pPr>
      <w:bookmarkStart w:id="70" w:name="_Toc71631362"/>
      <w:bookmarkStart w:id="71" w:name="_Toc73529701"/>
      <w:bookmarkStart w:id="72" w:name="_Toc73608992"/>
      <w:r w:rsidRPr="0009229E">
        <w:t xml:space="preserve">Seznam tabulek, </w:t>
      </w:r>
      <w:bookmarkEnd w:id="70"/>
      <w:r w:rsidR="002776E6">
        <w:t>obrázků a grafů</w:t>
      </w:r>
      <w:bookmarkEnd w:id="71"/>
      <w:bookmarkEnd w:id="72"/>
    </w:p>
    <w:p w14:paraId="5EEA3727" w14:textId="77777777" w:rsidR="002776E6" w:rsidRDefault="009A4D4B" w:rsidP="00217CCE">
      <w:pPr>
        <w:pStyle w:val="Nadpis4"/>
        <w:rPr>
          <w:noProof/>
        </w:rPr>
      </w:pPr>
      <w:bookmarkStart w:id="73" w:name="_Toc71631366"/>
      <w:bookmarkStart w:id="74" w:name="_Toc73529702"/>
      <w:bookmarkStart w:id="75" w:name="_Toc73608993"/>
      <w:r w:rsidRPr="0009229E">
        <w:t>Tabulky</w:t>
      </w:r>
      <w:bookmarkEnd w:id="73"/>
      <w:bookmarkEnd w:id="74"/>
      <w:bookmarkEnd w:id="75"/>
      <w:r w:rsidR="00217CCE" w:rsidRPr="0009229E">
        <w:fldChar w:fldCharType="begin"/>
      </w:r>
      <w:r w:rsidR="00217CCE" w:rsidRPr="0009229E">
        <w:instrText xml:space="preserve"> TOC \h \z \c "Tabulka č." </w:instrText>
      </w:r>
      <w:r w:rsidR="00217CCE" w:rsidRPr="0009229E">
        <w:fldChar w:fldCharType="separate"/>
      </w:r>
    </w:p>
    <w:p w14:paraId="5A52B194" w14:textId="10360425" w:rsidR="002776E6" w:rsidRPr="002776E6" w:rsidRDefault="00F32808">
      <w:pPr>
        <w:pStyle w:val="Seznamobrzk"/>
        <w:tabs>
          <w:tab w:val="right" w:leader="dot" w:pos="9062"/>
        </w:tabs>
        <w:rPr>
          <w:rFonts w:asciiTheme="minorHAnsi" w:eastAsiaTheme="minorEastAsia" w:hAnsiTheme="minorHAnsi"/>
          <w:noProof/>
          <w:sz w:val="22"/>
          <w:lang w:eastAsia="cs-CZ"/>
        </w:rPr>
      </w:pPr>
      <w:hyperlink w:anchor="_Toc73529535" w:history="1">
        <w:r w:rsidR="002776E6" w:rsidRPr="002776E6">
          <w:rPr>
            <w:rStyle w:val="Hypertextovodkaz"/>
            <w:noProof/>
          </w:rPr>
          <w:t>Tabulka č. 1: Výše kauce dle druhu hazardní hry</w:t>
        </w:r>
        <w:r w:rsidR="002776E6" w:rsidRPr="002776E6">
          <w:rPr>
            <w:noProof/>
            <w:webHidden/>
          </w:rPr>
          <w:tab/>
        </w:r>
        <w:r w:rsidR="002776E6" w:rsidRPr="002776E6">
          <w:rPr>
            <w:noProof/>
            <w:webHidden/>
          </w:rPr>
          <w:fldChar w:fldCharType="begin"/>
        </w:r>
        <w:r w:rsidR="002776E6" w:rsidRPr="002776E6">
          <w:rPr>
            <w:noProof/>
            <w:webHidden/>
          </w:rPr>
          <w:instrText xml:space="preserve"> PAGEREF _Toc73529535 \h </w:instrText>
        </w:r>
        <w:r w:rsidR="002776E6" w:rsidRPr="002776E6">
          <w:rPr>
            <w:noProof/>
            <w:webHidden/>
          </w:rPr>
        </w:r>
        <w:r w:rsidR="002776E6" w:rsidRPr="002776E6">
          <w:rPr>
            <w:noProof/>
            <w:webHidden/>
          </w:rPr>
          <w:fldChar w:fldCharType="separate"/>
        </w:r>
        <w:r w:rsidR="002776E6" w:rsidRPr="002776E6">
          <w:rPr>
            <w:noProof/>
            <w:webHidden/>
          </w:rPr>
          <w:t>20</w:t>
        </w:r>
        <w:r w:rsidR="002776E6" w:rsidRPr="002776E6">
          <w:rPr>
            <w:noProof/>
            <w:webHidden/>
          </w:rPr>
          <w:fldChar w:fldCharType="end"/>
        </w:r>
      </w:hyperlink>
    </w:p>
    <w:p w14:paraId="31734F83" w14:textId="0B984E6A" w:rsidR="002776E6" w:rsidRPr="002776E6" w:rsidRDefault="00F32808">
      <w:pPr>
        <w:pStyle w:val="Seznamobrzk"/>
        <w:tabs>
          <w:tab w:val="right" w:leader="dot" w:pos="9062"/>
        </w:tabs>
        <w:rPr>
          <w:rFonts w:asciiTheme="minorHAnsi" w:eastAsiaTheme="minorEastAsia" w:hAnsiTheme="minorHAnsi"/>
          <w:noProof/>
          <w:sz w:val="22"/>
          <w:lang w:eastAsia="cs-CZ"/>
        </w:rPr>
      </w:pPr>
      <w:hyperlink w:anchor="_Toc73529536" w:history="1">
        <w:r w:rsidR="002776E6" w:rsidRPr="002776E6">
          <w:rPr>
            <w:rStyle w:val="Hypertextovodkaz"/>
            <w:noProof/>
          </w:rPr>
          <w:t>Tabulka č. 2: Komparace podmínek pro udělení licence k provozování hazardních her se zaměřením na finanční, respektive ekonomické požadavky</w:t>
        </w:r>
        <w:r w:rsidR="002776E6" w:rsidRPr="002776E6">
          <w:rPr>
            <w:noProof/>
            <w:webHidden/>
          </w:rPr>
          <w:tab/>
        </w:r>
        <w:r w:rsidR="002776E6" w:rsidRPr="002776E6">
          <w:rPr>
            <w:noProof/>
            <w:webHidden/>
          </w:rPr>
          <w:fldChar w:fldCharType="begin"/>
        </w:r>
        <w:r w:rsidR="002776E6" w:rsidRPr="002776E6">
          <w:rPr>
            <w:noProof/>
            <w:webHidden/>
          </w:rPr>
          <w:instrText xml:space="preserve"> PAGEREF _Toc73529536 \h </w:instrText>
        </w:r>
        <w:r w:rsidR="002776E6" w:rsidRPr="002776E6">
          <w:rPr>
            <w:noProof/>
            <w:webHidden/>
          </w:rPr>
        </w:r>
        <w:r w:rsidR="002776E6" w:rsidRPr="002776E6">
          <w:rPr>
            <w:noProof/>
            <w:webHidden/>
          </w:rPr>
          <w:fldChar w:fldCharType="separate"/>
        </w:r>
        <w:r w:rsidR="002776E6" w:rsidRPr="002776E6">
          <w:rPr>
            <w:noProof/>
            <w:webHidden/>
          </w:rPr>
          <w:t>42</w:t>
        </w:r>
        <w:r w:rsidR="002776E6" w:rsidRPr="002776E6">
          <w:rPr>
            <w:noProof/>
            <w:webHidden/>
          </w:rPr>
          <w:fldChar w:fldCharType="end"/>
        </w:r>
      </w:hyperlink>
    </w:p>
    <w:p w14:paraId="2FBE18C7" w14:textId="76A43ACE" w:rsidR="002776E6" w:rsidRPr="002776E6" w:rsidRDefault="00F32808">
      <w:pPr>
        <w:pStyle w:val="Seznamobrzk"/>
        <w:tabs>
          <w:tab w:val="right" w:leader="dot" w:pos="9062"/>
        </w:tabs>
        <w:rPr>
          <w:rFonts w:asciiTheme="minorHAnsi" w:eastAsiaTheme="minorEastAsia" w:hAnsiTheme="minorHAnsi"/>
          <w:noProof/>
          <w:sz w:val="22"/>
          <w:lang w:eastAsia="cs-CZ"/>
        </w:rPr>
      </w:pPr>
      <w:hyperlink w:anchor="_Toc73529537" w:history="1">
        <w:r w:rsidR="002776E6" w:rsidRPr="002776E6">
          <w:rPr>
            <w:rStyle w:val="Hypertextovodkaz"/>
            <w:noProof/>
          </w:rPr>
          <w:t>Tabulka č. 3: Druhy hazardních her a jejich výhry</w:t>
        </w:r>
        <w:r w:rsidR="002776E6" w:rsidRPr="002776E6">
          <w:rPr>
            <w:noProof/>
            <w:webHidden/>
          </w:rPr>
          <w:tab/>
        </w:r>
        <w:r w:rsidR="002776E6" w:rsidRPr="002776E6">
          <w:rPr>
            <w:noProof/>
            <w:webHidden/>
          </w:rPr>
          <w:fldChar w:fldCharType="begin"/>
        </w:r>
        <w:r w:rsidR="002776E6" w:rsidRPr="002776E6">
          <w:rPr>
            <w:noProof/>
            <w:webHidden/>
          </w:rPr>
          <w:instrText xml:space="preserve"> PAGEREF _Toc73529537 \h </w:instrText>
        </w:r>
        <w:r w:rsidR="002776E6" w:rsidRPr="002776E6">
          <w:rPr>
            <w:noProof/>
            <w:webHidden/>
          </w:rPr>
        </w:r>
        <w:r w:rsidR="002776E6" w:rsidRPr="002776E6">
          <w:rPr>
            <w:noProof/>
            <w:webHidden/>
          </w:rPr>
          <w:fldChar w:fldCharType="separate"/>
        </w:r>
        <w:r w:rsidR="002776E6" w:rsidRPr="002776E6">
          <w:rPr>
            <w:noProof/>
            <w:webHidden/>
          </w:rPr>
          <w:t>49</w:t>
        </w:r>
        <w:r w:rsidR="002776E6" w:rsidRPr="002776E6">
          <w:rPr>
            <w:noProof/>
            <w:webHidden/>
          </w:rPr>
          <w:fldChar w:fldCharType="end"/>
        </w:r>
      </w:hyperlink>
    </w:p>
    <w:p w14:paraId="137D30DE" w14:textId="179230C8" w:rsidR="00217CCE" w:rsidRDefault="00217CCE" w:rsidP="002776E6">
      <w:r w:rsidRPr="0009229E">
        <w:fldChar w:fldCharType="end"/>
      </w:r>
    </w:p>
    <w:p w14:paraId="4B906003" w14:textId="501F5DAD" w:rsidR="002776E6" w:rsidRDefault="002776E6" w:rsidP="002776E6">
      <w:r>
        <w:t>Obrázky a grafy nejsou v této části zahrnuty.</w:t>
      </w:r>
    </w:p>
    <w:p w14:paraId="5E59A1E5" w14:textId="5F0E3EF0" w:rsidR="00242537" w:rsidRDefault="00242537" w:rsidP="002776E6"/>
    <w:p w14:paraId="46926A1E" w14:textId="77777777" w:rsidR="00A6636D" w:rsidRDefault="00242537" w:rsidP="00742A28">
      <w:pPr>
        <w:pStyle w:val="Nadpis3"/>
        <w:rPr>
          <w:noProof/>
        </w:rPr>
      </w:pPr>
      <w:bookmarkStart w:id="76" w:name="_Toc73529703"/>
      <w:bookmarkStart w:id="77" w:name="_Toc73608994"/>
      <w:r>
        <w:t>Obsah</w:t>
      </w:r>
      <w:bookmarkEnd w:id="76"/>
      <w:bookmarkEnd w:id="77"/>
      <w:r w:rsidR="00742A28">
        <w:fldChar w:fldCharType="begin"/>
      </w:r>
      <w:r w:rsidR="00742A28">
        <w:instrText xml:space="preserve"> TOC \o "1-6" \h \z \u </w:instrText>
      </w:r>
      <w:r w:rsidR="00742A28">
        <w:fldChar w:fldCharType="separate"/>
      </w:r>
    </w:p>
    <w:p w14:paraId="186A511B" w14:textId="632402B0" w:rsidR="00A6636D" w:rsidRDefault="00F32808">
      <w:pPr>
        <w:pStyle w:val="Obsah3"/>
        <w:tabs>
          <w:tab w:val="left" w:pos="1200"/>
          <w:tab w:val="right" w:leader="dot" w:pos="9062"/>
        </w:tabs>
        <w:rPr>
          <w:rFonts w:asciiTheme="minorHAnsi" w:eastAsiaTheme="minorEastAsia" w:hAnsiTheme="minorHAnsi"/>
          <w:noProof/>
          <w:sz w:val="22"/>
          <w:lang w:eastAsia="cs-CZ"/>
        </w:rPr>
      </w:pPr>
      <w:hyperlink w:anchor="_Toc73608966" w:history="1">
        <w:r w:rsidR="00A6636D" w:rsidRPr="00E608BF">
          <w:rPr>
            <w:rStyle w:val="Hypertextovodkaz"/>
            <w:noProof/>
          </w:rPr>
          <w:t>1.1</w:t>
        </w:r>
        <w:r w:rsidR="00A6636D">
          <w:rPr>
            <w:rFonts w:asciiTheme="minorHAnsi" w:eastAsiaTheme="minorEastAsia" w:hAnsiTheme="minorHAnsi"/>
            <w:noProof/>
            <w:sz w:val="22"/>
            <w:lang w:eastAsia="cs-CZ"/>
          </w:rPr>
          <w:tab/>
        </w:r>
        <w:r w:rsidR="00A6636D" w:rsidRPr="00E608BF">
          <w:rPr>
            <w:rStyle w:val="Hypertextovodkaz"/>
            <w:noProof/>
          </w:rPr>
          <w:t>Konkrétní popis regulace obsažené v zákoně o loteriích</w:t>
        </w:r>
        <w:r w:rsidR="00A6636D">
          <w:rPr>
            <w:noProof/>
            <w:webHidden/>
          </w:rPr>
          <w:tab/>
        </w:r>
        <w:r w:rsidR="00A6636D">
          <w:rPr>
            <w:noProof/>
            <w:webHidden/>
          </w:rPr>
          <w:fldChar w:fldCharType="begin"/>
        </w:r>
        <w:r w:rsidR="00A6636D">
          <w:rPr>
            <w:noProof/>
            <w:webHidden/>
          </w:rPr>
          <w:instrText xml:space="preserve"> PAGEREF _Toc73608966 \h </w:instrText>
        </w:r>
        <w:r w:rsidR="00A6636D">
          <w:rPr>
            <w:noProof/>
            <w:webHidden/>
          </w:rPr>
        </w:r>
        <w:r w:rsidR="00A6636D">
          <w:rPr>
            <w:noProof/>
            <w:webHidden/>
          </w:rPr>
          <w:fldChar w:fldCharType="separate"/>
        </w:r>
        <w:r w:rsidR="00A6636D">
          <w:rPr>
            <w:noProof/>
            <w:webHidden/>
          </w:rPr>
          <w:t>1</w:t>
        </w:r>
        <w:r w:rsidR="00A6636D">
          <w:rPr>
            <w:noProof/>
            <w:webHidden/>
          </w:rPr>
          <w:fldChar w:fldCharType="end"/>
        </w:r>
      </w:hyperlink>
    </w:p>
    <w:p w14:paraId="41B634FA" w14:textId="2C2CA7E7"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67" w:history="1">
        <w:r w:rsidR="00A6636D" w:rsidRPr="00E608BF">
          <w:rPr>
            <w:rStyle w:val="Hypertextovodkaz"/>
            <w:noProof/>
          </w:rPr>
          <w:t>A.</w:t>
        </w:r>
        <w:r w:rsidR="00A6636D">
          <w:rPr>
            <w:rFonts w:asciiTheme="minorHAnsi" w:eastAsiaTheme="minorEastAsia" w:hAnsiTheme="minorHAnsi"/>
            <w:noProof/>
            <w:sz w:val="22"/>
            <w:lang w:eastAsia="cs-CZ"/>
          </w:rPr>
          <w:tab/>
        </w:r>
        <w:r w:rsidR="00A6636D" w:rsidRPr="00E608BF">
          <w:rPr>
            <w:rStyle w:val="Hypertextovodkaz"/>
            <w:noProof/>
          </w:rPr>
          <w:t>Povolení k provozování loterií a jiných podobných her</w:t>
        </w:r>
        <w:r w:rsidR="00A6636D">
          <w:rPr>
            <w:noProof/>
            <w:webHidden/>
          </w:rPr>
          <w:tab/>
        </w:r>
        <w:r w:rsidR="00A6636D">
          <w:rPr>
            <w:noProof/>
            <w:webHidden/>
          </w:rPr>
          <w:fldChar w:fldCharType="begin"/>
        </w:r>
        <w:r w:rsidR="00A6636D">
          <w:rPr>
            <w:noProof/>
            <w:webHidden/>
          </w:rPr>
          <w:instrText xml:space="preserve"> PAGEREF _Toc73608967 \h </w:instrText>
        </w:r>
        <w:r w:rsidR="00A6636D">
          <w:rPr>
            <w:noProof/>
            <w:webHidden/>
          </w:rPr>
        </w:r>
        <w:r w:rsidR="00A6636D">
          <w:rPr>
            <w:noProof/>
            <w:webHidden/>
          </w:rPr>
          <w:fldChar w:fldCharType="separate"/>
        </w:r>
        <w:r w:rsidR="00A6636D">
          <w:rPr>
            <w:noProof/>
            <w:webHidden/>
          </w:rPr>
          <w:t>1</w:t>
        </w:r>
        <w:r w:rsidR="00A6636D">
          <w:rPr>
            <w:noProof/>
            <w:webHidden/>
          </w:rPr>
          <w:fldChar w:fldCharType="end"/>
        </w:r>
      </w:hyperlink>
    </w:p>
    <w:p w14:paraId="061B2F32" w14:textId="4382E9F3"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68" w:history="1">
        <w:r w:rsidR="00A6636D" w:rsidRPr="00E608BF">
          <w:rPr>
            <w:rStyle w:val="Hypertextovodkaz"/>
            <w:noProof/>
          </w:rPr>
          <w:t>B.</w:t>
        </w:r>
        <w:r w:rsidR="00A6636D">
          <w:rPr>
            <w:rFonts w:asciiTheme="minorHAnsi" w:eastAsiaTheme="minorEastAsia" w:hAnsiTheme="minorHAnsi"/>
            <w:noProof/>
            <w:sz w:val="22"/>
            <w:lang w:eastAsia="cs-CZ"/>
          </w:rPr>
          <w:tab/>
        </w:r>
        <w:r w:rsidR="00A6636D" w:rsidRPr="00E608BF">
          <w:rPr>
            <w:rStyle w:val="Hypertextovodkaz"/>
            <w:noProof/>
          </w:rPr>
          <w:t>Ohlášení hazardní hry, tombola a turnaj malého rozsahu</w:t>
        </w:r>
        <w:r w:rsidR="00A6636D">
          <w:rPr>
            <w:noProof/>
            <w:webHidden/>
          </w:rPr>
          <w:tab/>
        </w:r>
        <w:r w:rsidR="00A6636D">
          <w:rPr>
            <w:noProof/>
            <w:webHidden/>
          </w:rPr>
          <w:fldChar w:fldCharType="begin"/>
        </w:r>
        <w:r w:rsidR="00A6636D">
          <w:rPr>
            <w:noProof/>
            <w:webHidden/>
          </w:rPr>
          <w:instrText xml:space="preserve"> PAGEREF _Toc73608968 \h </w:instrText>
        </w:r>
        <w:r w:rsidR="00A6636D">
          <w:rPr>
            <w:noProof/>
            <w:webHidden/>
          </w:rPr>
        </w:r>
        <w:r w:rsidR="00A6636D">
          <w:rPr>
            <w:noProof/>
            <w:webHidden/>
          </w:rPr>
          <w:fldChar w:fldCharType="separate"/>
        </w:r>
        <w:r w:rsidR="00A6636D">
          <w:rPr>
            <w:noProof/>
            <w:webHidden/>
          </w:rPr>
          <w:t>2</w:t>
        </w:r>
        <w:r w:rsidR="00A6636D">
          <w:rPr>
            <w:noProof/>
            <w:webHidden/>
          </w:rPr>
          <w:fldChar w:fldCharType="end"/>
        </w:r>
      </w:hyperlink>
    </w:p>
    <w:p w14:paraId="5BEE3281" w14:textId="7AFDD5D7" w:rsidR="00A6636D" w:rsidRDefault="00F32808">
      <w:pPr>
        <w:pStyle w:val="Obsah3"/>
        <w:tabs>
          <w:tab w:val="left" w:pos="1200"/>
          <w:tab w:val="right" w:leader="dot" w:pos="9062"/>
        </w:tabs>
        <w:rPr>
          <w:rFonts w:asciiTheme="minorHAnsi" w:eastAsiaTheme="minorEastAsia" w:hAnsiTheme="minorHAnsi"/>
          <w:noProof/>
          <w:sz w:val="22"/>
          <w:lang w:eastAsia="cs-CZ"/>
        </w:rPr>
      </w:pPr>
      <w:hyperlink w:anchor="_Toc73608969" w:history="1">
        <w:r w:rsidR="00A6636D" w:rsidRPr="00E608BF">
          <w:rPr>
            <w:rStyle w:val="Hypertextovodkaz"/>
            <w:noProof/>
          </w:rPr>
          <w:t>1.2</w:t>
        </w:r>
        <w:r w:rsidR="00A6636D">
          <w:rPr>
            <w:rFonts w:asciiTheme="minorHAnsi" w:eastAsiaTheme="minorEastAsia" w:hAnsiTheme="minorHAnsi"/>
            <w:noProof/>
            <w:sz w:val="22"/>
            <w:lang w:eastAsia="cs-CZ"/>
          </w:rPr>
          <w:tab/>
        </w:r>
        <w:r w:rsidR="00A6636D" w:rsidRPr="00E608BF">
          <w:rPr>
            <w:rStyle w:val="Hypertextovodkaz"/>
            <w:noProof/>
          </w:rPr>
          <w:t>Konkrétní popis regulace obsažené v zákoně o hazardních hrách</w:t>
        </w:r>
        <w:r w:rsidR="00A6636D">
          <w:rPr>
            <w:noProof/>
            <w:webHidden/>
          </w:rPr>
          <w:tab/>
        </w:r>
        <w:r w:rsidR="00A6636D">
          <w:rPr>
            <w:noProof/>
            <w:webHidden/>
          </w:rPr>
          <w:fldChar w:fldCharType="begin"/>
        </w:r>
        <w:r w:rsidR="00A6636D">
          <w:rPr>
            <w:noProof/>
            <w:webHidden/>
          </w:rPr>
          <w:instrText xml:space="preserve"> PAGEREF _Toc73608969 \h </w:instrText>
        </w:r>
        <w:r w:rsidR="00A6636D">
          <w:rPr>
            <w:noProof/>
            <w:webHidden/>
          </w:rPr>
        </w:r>
        <w:r w:rsidR="00A6636D">
          <w:rPr>
            <w:noProof/>
            <w:webHidden/>
          </w:rPr>
          <w:fldChar w:fldCharType="separate"/>
        </w:r>
        <w:r w:rsidR="00A6636D">
          <w:rPr>
            <w:noProof/>
            <w:webHidden/>
          </w:rPr>
          <w:t>2</w:t>
        </w:r>
        <w:r w:rsidR="00A6636D">
          <w:rPr>
            <w:noProof/>
            <w:webHidden/>
          </w:rPr>
          <w:fldChar w:fldCharType="end"/>
        </w:r>
      </w:hyperlink>
    </w:p>
    <w:p w14:paraId="5C14788C" w14:textId="5AA27B1E"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70" w:history="1">
        <w:r w:rsidR="00A6636D" w:rsidRPr="00E608BF">
          <w:rPr>
            <w:rStyle w:val="Hypertextovodkaz"/>
            <w:noProof/>
          </w:rPr>
          <w:t>A.</w:t>
        </w:r>
        <w:r w:rsidR="00A6636D">
          <w:rPr>
            <w:rFonts w:asciiTheme="minorHAnsi" w:eastAsiaTheme="minorEastAsia" w:hAnsiTheme="minorHAnsi"/>
            <w:noProof/>
            <w:sz w:val="22"/>
            <w:lang w:eastAsia="cs-CZ"/>
          </w:rPr>
          <w:tab/>
        </w:r>
        <w:r w:rsidR="00A6636D" w:rsidRPr="00E608BF">
          <w:rPr>
            <w:rStyle w:val="Hypertextovodkaz"/>
            <w:noProof/>
          </w:rPr>
          <w:t>Základní povolení</w:t>
        </w:r>
        <w:r w:rsidR="00A6636D">
          <w:rPr>
            <w:noProof/>
            <w:webHidden/>
          </w:rPr>
          <w:tab/>
        </w:r>
        <w:r w:rsidR="00A6636D">
          <w:rPr>
            <w:noProof/>
            <w:webHidden/>
          </w:rPr>
          <w:fldChar w:fldCharType="begin"/>
        </w:r>
        <w:r w:rsidR="00A6636D">
          <w:rPr>
            <w:noProof/>
            <w:webHidden/>
          </w:rPr>
          <w:instrText xml:space="preserve"> PAGEREF _Toc73608970 \h </w:instrText>
        </w:r>
        <w:r w:rsidR="00A6636D">
          <w:rPr>
            <w:noProof/>
            <w:webHidden/>
          </w:rPr>
        </w:r>
        <w:r w:rsidR="00A6636D">
          <w:rPr>
            <w:noProof/>
            <w:webHidden/>
          </w:rPr>
          <w:fldChar w:fldCharType="separate"/>
        </w:r>
        <w:r w:rsidR="00A6636D">
          <w:rPr>
            <w:noProof/>
            <w:webHidden/>
          </w:rPr>
          <w:t>2</w:t>
        </w:r>
        <w:r w:rsidR="00A6636D">
          <w:rPr>
            <w:noProof/>
            <w:webHidden/>
          </w:rPr>
          <w:fldChar w:fldCharType="end"/>
        </w:r>
      </w:hyperlink>
    </w:p>
    <w:p w14:paraId="18616C1A" w14:textId="5E19156D"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71" w:history="1">
        <w:r w:rsidR="00A6636D" w:rsidRPr="00E608BF">
          <w:rPr>
            <w:rStyle w:val="Hypertextovodkaz"/>
            <w:noProof/>
          </w:rPr>
          <w:t>B.</w:t>
        </w:r>
        <w:r w:rsidR="00A6636D">
          <w:rPr>
            <w:rFonts w:asciiTheme="minorHAnsi" w:eastAsiaTheme="minorEastAsia" w:hAnsiTheme="minorHAnsi"/>
            <w:noProof/>
            <w:sz w:val="22"/>
            <w:lang w:eastAsia="cs-CZ"/>
          </w:rPr>
          <w:tab/>
        </w:r>
        <w:r w:rsidR="00A6636D" w:rsidRPr="00E608BF">
          <w:rPr>
            <w:rStyle w:val="Hypertextovodkaz"/>
            <w:noProof/>
          </w:rPr>
          <w:t>Povolení k umístění herního prostoru</w:t>
        </w:r>
        <w:r w:rsidR="00A6636D">
          <w:rPr>
            <w:noProof/>
            <w:webHidden/>
          </w:rPr>
          <w:tab/>
        </w:r>
        <w:r w:rsidR="00A6636D">
          <w:rPr>
            <w:noProof/>
            <w:webHidden/>
          </w:rPr>
          <w:fldChar w:fldCharType="begin"/>
        </w:r>
        <w:r w:rsidR="00A6636D">
          <w:rPr>
            <w:noProof/>
            <w:webHidden/>
          </w:rPr>
          <w:instrText xml:space="preserve"> PAGEREF _Toc73608971 \h </w:instrText>
        </w:r>
        <w:r w:rsidR="00A6636D">
          <w:rPr>
            <w:noProof/>
            <w:webHidden/>
          </w:rPr>
        </w:r>
        <w:r w:rsidR="00A6636D">
          <w:rPr>
            <w:noProof/>
            <w:webHidden/>
          </w:rPr>
          <w:fldChar w:fldCharType="separate"/>
        </w:r>
        <w:r w:rsidR="00A6636D">
          <w:rPr>
            <w:noProof/>
            <w:webHidden/>
          </w:rPr>
          <w:t>19</w:t>
        </w:r>
        <w:r w:rsidR="00A6636D">
          <w:rPr>
            <w:noProof/>
            <w:webHidden/>
          </w:rPr>
          <w:fldChar w:fldCharType="end"/>
        </w:r>
      </w:hyperlink>
    </w:p>
    <w:p w14:paraId="6C7CE1BB" w14:textId="74674691"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72" w:history="1">
        <w:r w:rsidR="00A6636D" w:rsidRPr="00E608BF">
          <w:rPr>
            <w:rStyle w:val="Hypertextovodkaz"/>
            <w:noProof/>
          </w:rPr>
          <w:t>C.</w:t>
        </w:r>
        <w:r w:rsidR="00A6636D">
          <w:rPr>
            <w:rFonts w:asciiTheme="minorHAnsi" w:eastAsiaTheme="minorEastAsia" w:hAnsiTheme="minorHAnsi"/>
            <w:noProof/>
            <w:sz w:val="22"/>
            <w:lang w:eastAsia="cs-CZ"/>
          </w:rPr>
          <w:tab/>
        </w:r>
        <w:r w:rsidR="00A6636D" w:rsidRPr="00E608BF">
          <w:rPr>
            <w:rStyle w:val="Hypertextovodkaz"/>
            <w:noProof/>
          </w:rPr>
          <w:t>Ohlášení hazardní hry</w:t>
        </w:r>
        <w:r w:rsidR="00A6636D">
          <w:rPr>
            <w:noProof/>
            <w:webHidden/>
          </w:rPr>
          <w:tab/>
        </w:r>
        <w:r w:rsidR="00A6636D">
          <w:rPr>
            <w:noProof/>
            <w:webHidden/>
          </w:rPr>
          <w:fldChar w:fldCharType="begin"/>
        </w:r>
        <w:r w:rsidR="00A6636D">
          <w:rPr>
            <w:noProof/>
            <w:webHidden/>
          </w:rPr>
          <w:instrText xml:space="preserve"> PAGEREF _Toc73608972 \h </w:instrText>
        </w:r>
        <w:r w:rsidR="00A6636D">
          <w:rPr>
            <w:noProof/>
            <w:webHidden/>
          </w:rPr>
        </w:r>
        <w:r w:rsidR="00A6636D">
          <w:rPr>
            <w:noProof/>
            <w:webHidden/>
          </w:rPr>
          <w:fldChar w:fldCharType="separate"/>
        </w:r>
        <w:r w:rsidR="00A6636D">
          <w:rPr>
            <w:noProof/>
            <w:webHidden/>
          </w:rPr>
          <w:t>22</w:t>
        </w:r>
        <w:r w:rsidR="00A6636D">
          <w:rPr>
            <w:noProof/>
            <w:webHidden/>
          </w:rPr>
          <w:fldChar w:fldCharType="end"/>
        </w:r>
      </w:hyperlink>
    </w:p>
    <w:p w14:paraId="0DECBD4B" w14:textId="3E01AA9D" w:rsidR="00A6636D" w:rsidRDefault="00F32808">
      <w:pPr>
        <w:pStyle w:val="Obsah3"/>
        <w:tabs>
          <w:tab w:val="left" w:pos="1200"/>
          <w:tab w:val="right" w:leader="dot" w:pos="9062"/>
        </w:tabs>
        <w:rPr>
          <w:rFonts w:asciiTheme="minorHAnsi" w:eastAsiaTheme="minorEastAsia" w:hAnsiTheme="minorHAnsi"/>
          <w:noProof/>
          <w:sz w:val="22"/>
          <w:lang w:eastAsia="cs-CZ"/>
        </w:rPr>
      </w:pPr>
      <w:hyperlink w:anchor="_Toc73608973" w:history="1">
        <w:r w:rsidR="00A6636D" w:rsidRPr="00E608BF">
          <w:rPr>
            <w:rStyle w:val="Hypertextovodkaz"/>
            <w:noProof/>
          </w:rPr>
          <w:t>1.3</w:t>
        </w:r>
        <w:r w:rsidR="00A6636D">
          <w:rPr>
            <w:rFonts w:asciiTheme="minorHAnsi" w:eastAsiaTheme="minorEastAsia" w:hAnsiTheme="minorHAnsi"/>
            <w:noProof/>
            <w:sz w:val="22"/>
            <w:lang w:eastAsia="cs-CZ"/>
          </w:rPr>
          <w:tab/>
        </w:r>
        <w:r w:rsidR="00A6636D" w:rsidRPr="00E608BF">
          <w:rPr>
            <w:rStyle w:val="Hypertextovodkaz"/>
            <w:noProof/>
          </w:rPr>
          <w:t>Konkrétní popis nástrojů, včetně oblastí, na které by bylo vhodné se v budoucnu zaměřit, a návrh doporučení či možných variant řešení</w:t>
        </w:r>
        <w:r w:rsidR="00A6636D">
          <w:rPr>
            <w:noProof/>
            <w:webHidden/>
          </w:rPr>
          <w:tab/>
        </w:r>
        <w:r w:rsidR="00A6636D">
          <w:rPr>
            <w:noProof/>
            <w:webHidden/>
          </w:rPr>
          <w:fldChar w:fldCharType="begin"/>
        </w:r>
        <w:r w:rsidR="00A6636D">
          <w:rPr>
            <w:noProof/>
            <w:webHidden/>
          </w:rPr>
          <w:instrText xml:space="preserve"> PAGEREF _Toc73608973 \h </w:instrText>
        </w:r>
        <w:r w:rsidR="00A6636D">
          <w:rPr>
            <w:noProof/>
            <w:webHidden/>
          </w:rPr>
        </w:r>
        <w:r w:rsidR="00A6636D">
          <w:rPr>
            <w:noProof/>
            <w:webHidden/>
          </w:rPr>
          <w:fldChar w:fldCharType="separate"/>
        </w:r>
        <w:r w:rsidR="00A6636D">
          <w:rPr>
            <w:noProof/>
            <w:webHidden/>
          </w:rPr>
          <w:t>23</w:t>
        </w:r>
        <w:r w:rsidR="00A6636D">
          <w:rPr>
            <w:noProof/>
            <w:webHidden/>
          </w:rPr>
          <w:fldChar w:fldCharType="end"/>
        </w:r>
      </w:hyperlink>
    </w:p>
    <w:p w14:paraId="4E26B18C" w14:textId="780E07FA"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74" w:history="1">
        <w:r w:rsidR="00A6636D" w:rsidRPr="00E608BF">
          <w:rPr>
            <w:rStyle w:val="Hypertextovodkaz"/>
            <w:noProof/>
          </w:rPr>
          <w:t>A.</w:t>
        </w:r>
        <w:r w:rsidR="00A6636D">
          <w:rPr>
            <w:rFonts w:asciiTheme="minorHAnsi" w:eastAsiaTheme="minorEastAsia" w:hAnsiTheme="minorHAnsi"/>
            <w:noProof/>
            <w:sz w:val="22"/>
            <w:lang w:eastAsia="cs-CZ"/>
          </w:rPr>
          <w:tab/>
        </w:r>
        <w:r w:rsidR="00A6636D" w:rsidRPr="00E608BF">
          <w:rPr>
            <w:rStyle w:val="Hypertextovodkaz"/>
            <w:noProof/>
          </w:rPr>
          <w:t>Základní povolení</w:t>
        </w:r>
        <w:r w:rsidR="00A6636D">
          <w:rPr>
            <w:noProof/>
            <w:webHidden/>
          </w:rPr>
          <w:tab/>
        </w:r>
        <w:r w:rsidR="00A6636D">
          <w:rPr>
            <w:noProof/>
            <w:webHidden/>
          </w:rPr>
          <w:fldChar w:fldCharType="begin"/>
        </w:r>
        <w:r w:rsidR="00A6636D">
          <w:rPr>
            <w:noProof/>
            <w:webHidden/>
          </w:rPr>
          <w:instrText xml:space="preserve"> PAGEREF _Toc73608974 \h </w:instrText>
        </w:r>
        <w:r w:rsidR="00A6636D">
          <w:rPr>
            <w:noProof/>
            <w:webHidden/>
          </w:rPr>
        </w:r>
        <w:r w:rsidR="00A6636D">
          <w:rPr>
            <w:noProof/>
            <w:webHidden/>
          </w:rPr>
          <w:fldChar w:fldCharType="separate"/>
        </w:r>
        <w:r w:rsidR="00A6636D">
          <w:rPr>
            <w:noProof/>
            <w:webHidden/>
          </w:rPr>
          <w:t>23</w:t>
        </w:r>
        <w:r w:rsidR="00A6636D">
          <w:rPr>
            <w:noProof/>
            <w:webHidden/>
          </w:rPr>
          <w:fldChar w:fldCharType="end"/>
        </w:r>
      </w:hyperlink>
    </w:p>
    <w:p w14:paraId="3D7636C1" w14:textId="08C097C5"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75" w:history="1">
        <w:r w:rsidR="00A6636D" w:rsidRPr="00E608BF">
          <w:rPr>
            <w:rStyle w:val="Hypertextovodkaz"/>
            <w:noProof/>
          </w:rPr>
          <w:t>i.</w:t>
        </w:r>
        <w:r w:rsidR="00A6636D">
          <w:rPr>
            <w:rFonts w:asciiTheme="minorHAnsi" w:eastAsiaTheme="minorEastAsia" w:hAnsiTheme="minorHAnsi"/>
            <w:noProof/>
            <w:sz w:val="22"/>
            <w:lang w:eastAsia="cs-CZ"/>
          </w:rPr>
          <w:tab/>
        </w:r>
        <w:r w:rsidR="00A6636D" w:rsidRPr="00E608BF">
          <w:rPr>
            <w:rStyle w:val="Hypertextovodkaz"/>
            <w:noProof/>
          </w:rPr>
          <w:t>Požadavek na zřízení kontrolního orgánu</w:t>
        </w:r>
        <w:r w:rsidR="00A6636D">
          <w:rPr>
            <w:noProof/>
            <w:webHidden/>
          </w:rPr>
          <w:tab/>
        </w:r>
        <w:r w:rsidR="00A6636D">
          <w:rPr>
            <w:noProof/>
            <w:webHidden/>
          </w:rPr>
          <w:fldChar w:fldCharType="begin"/>
        </w:r>
        <w:r w:rsidR="00A6636D">
          <w:rPr>
            <w:noProof/>
            <w:webHidden/>
          </w:rPr>
          <w:instrText xml:space="preserve"> PAGEREF _Toc73608975 \h </w:instrText>
        </w:r>
        <w:r w:rsidR="00A6636D">
          <w:rPr>
            <w:noProof/>
            <w:webHidden/>
          </w:rPr>
        </w:r>
        <w:r w:rsidR="00A6636D">
          <w:rPr>
            <w:noProof/>
            <w:webHidden/>
          </w:rPr>
          <w:fldChar w:fldCharType="separate"/>
        </w:r>
        <w:r w:rsidR="00A6636D">
          <w:rPr>
            <w:noProof/>
            <w:webHidden/>
          </w:rPr>
          <w:t>23</w:t>
        </w:r>
        <w:r w:rsidR="00A6636D">
          <w:rPr>
            <w:noProof/>
            <w:webHidden/>
          </w:rPr>
          <w:fldChar w:fldCharType="end"/>
        </w:r>
      </w:hyperlink>
    </w:p>
    <w:p w14:paraId="7B1F5D5B" w14:textId="33B6BFBF"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76" w:history="1">
        <w:r w:rsidR="00A6636D" w:rsidRPr="00E608BF">
          <w:rPr>
            <w:rStyle w:val="Hypertextovodkaz"/>
            <w:noProof/>
          </w:rPr>
          <w:t>ii.</w:t>
        </w:r>
        <w:r w:rsidR="00A6636D">
          <w:rPr>
            <w:rFonts w:asciiTheme="minorHAnsi" w:eastAsiaTheme="minorEastAsia" w:hAnsiTheme="minorHAnsi"/>
            <w:noProof/>
            <w:sz w:val="22"/>
            <w:lang w:eastAsia="cs-CZ"/>
          </w:rPr>
          <w:tab/>
        </w:r>
        <w:r w:rsidR="00A6636D" w:rsidRPr="00E608BF">
          <w:rPr>
            <w:rStyle w:val="Hypertextovodkaz"/>
            <w:noProof/>
          </w:rPr>
          <w:t>Definice bezdlužnosti žadatele, resp. provozovatele</w:t>
        </w:r>
        <w:r w:rsidR="00A6636D">
          <w:rPr>
            <w:noProof/>
            <w:webHidden/>
          </w:rPr>
          <w:tab/>
        </w:r>
        <w:r w:rsidR="00A6636D">
          <w:rPr>
            <w:noProof/>
            <w:webHidden/>
          </w:rPr>
          <w:fldChar w:fldCharType="begin"/>
        </w:r>
        <w:r w:rsidR="00A6636D">
          <w:rPr>
            <w:noProof/>
            <w:webHidden/>
          </w:rPr>
          <w:instrText xml:space="preserve"> PAGEREF _Toc73608976 \h </w:instrText>
        </w:r>
        <w:r w:rsidR="00A6636D">
          <w:rPr>
            <w:noProof/>
            <w:webHidden/>
          </w:rPr>
        </w:r>
        <w:r w:rsidR="00A6636D">
          <w:rPr>
            <w:noProof/>
            <w:webHidden/>
          </w:rPr>
          <w:fldChar w:fldCharType="separate"/>
        </w:r>
        <w:r w:rsidR="00A6636D">
          <w:rPr>
            <w:noProof/>
            <w:webHidden/>
          </w:rPr>
          <w:t>26</w:t>
        </w:r>
        <w:r w:rsidR="00A6636D">
          <w:rPr>
            <w:noProof/>
            <w:webHidden/>
          </w:rPr>
          <w:fldChar w:fldCharType="end"/>
        </w:r>
      </w:hyperlink>
    </w:p>
    <w:p w14:paraId="7D4D64B1" w14:textId="42ACED70"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77" w:history="1">
        <w:r w:rsidR="00A6636D" w:rsidRPr="00E608BF">
          <w:rPr>
            <w:rStyle w:val="Hypertextovodkaz"/>
            <w:noProof/>
          </w:rPr>
          <w:t>iii.</w:t>
        </w:r>
        <w:r w:rsidR="00A6636D">
          <w:rPr>
            <w:rFonts w:asciiTheme="minorHAnsi" w:eastAsiaTheme="minorEastAsia" w:hAnsiTheme="minorHAnsi"/>
            <w:noProof/>
            <w:sz w:val="22"/>
            <w:lang w:eastAsia="cs-CZ"/>
          </w:rPr>
          <w:tab/>
        </w:r>
        <w:r w:rsidR="00A6636D" w:rsidRPr="00E608BF">
          <w:rPr>
            <w:rStyle w:val="Hypertextovodkaz"/>
            <w:noProof/>
          </w:rPr>
          <w:t>Potvrzení o bezdlužnosti a bezúhonnosti podle § 91 odst. 4 a § 92 odst. 4 zákona o hazardních hrách</w:t>
        </w:r>
        <w:r w:rsidR="00A6636D">
          <w:rPr>
            <w:noProof/>
            <w:webHidden/>
          </w:rPr>
          <w:tab/>
        </w:r>
        <w:r w:rsidR="00A6636D">
          <w:rPr>
            <w:noProof/>
            <w:webHidden/>
          </w:rPr>
          <w:fldChar w:fldCharType="begin"/>
        </w:r>
        <w:r w:rsidR="00A6636D">
          <w:rPr>
            <w:noProof/>
            <w:webHidden/>
          </w:rPr>
          <w:instrText xml:space="preserve"> PAGEREF _Toc73608977 \h </w:instrText>
        </w:r>
        <w:r w:rsidR="00A6636D">
          <w:rPr>
            <w:noProof/>
            <w:webHidden/>
          </w:rPr>
        </w:r>
        <w:r w:rsidR="00A6636D">
          <w:rPr>
            <w:noProof/>
            <w:webHidden/>
          </w:rPr>
          <w:fldChar w:fldCharType="separate"/>
        </w:r>
        <w:r w:rsidR="00A6636D">
          <w:rPr>
            <w:noProof/>
            <w:webHidden/>
          </w:rPr>
          <w:t>28</w:t>
        </w:r>
        <w:r w:rsidR="00A6636D">
          <w:rPr>
            <w:noProof/>
            <w:webHidden/>
          </w:rPr>
          <w:fldChar w:fldCharType="end"/>
        </w:r>
      </w:hyperlink>
    </w:p>
    <w:p w14:paraId="1D1CC53A" w14:textId="64CC8086"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78" w:history="1">
        <w:r w:rsidR="00A6636D" w:rsidRPr="00E608BF">
          <w:rPr>
            <w:rStyle w:val="Hypertextovodkaz"/>
            <w:noProof/>
          </w:rPr>
          <w:t>iv.</w:t>
        </w:r>
        <w:r w:rsidR="00A6636D">
          <w:rPr>
            <w:rFonts w:asciiTheme="minorHAnsi" w:eastAsiaTheme="minorEastAsia" w:hAnsiTheme="minorHAnsi"/>
            <w:noProof/>
            <w:sz w:val="22"/>
            <w:lang w:eastAsia="cs-CZ"/>
          </w:rPr>
          <w:tab/>
        </w:r>
        <w:r w:rsidR="00A6636D" w:rsidRPr="00E608BF">
          <w:rPr>
            <w:rStyle w:val="Hypertextovodkaz"/>
            <w:noProof/>
          </w:rPr>
          <w:t>Herní plán a jeho dokládání</w:t>
        </w:r>
        <w:r w:rsidR="00A6636D">
          <w:rPr>
            <w:noProof/>
            <w:webHidden/>
          </w:rPr>
          <w:tab/>
        </w:r>
        <w:r w:rsidR="00A6636D">
          <w:rPr>
            <w:noProof/>
            <w:webHidden/>
          </w:rPr>
          <w:fldChar w:fldCharType="begin"/>
        </w:r>
        <w:r w:rsidR="00A6636D">
          <w:rPr>
            <w:noProof/>
            <w:webHidden/>
          </w:rPr>
          <w:instrText xml:space="preserve"> PAGEREF _Toc73608978 \h </w:instrText>
        </w:r>
        <w:r w:rsidR="00A6636D">
          <w:rPr>
            <w:noProof/>
            <w:webHidden/>
          </w:rPr>
        </w:r>
        <w:r w:rsidR="00A6636D">
          <w:rPr>
            <w:noProof/>
            <w:webHidden/>
          </w:rPr>
          <w:fldChar w:fldCharType="separate"/>
        </w:r>
        <w:r w:rsidR="00A6636D">
          <w:rPr>
            <w:noProof/>
            <w:webHidden/>
          </w:rPr>
          <w:t>29</w:t>
        </w:r>
        <w:r w:rsidR="00A6636D">
          <w:rPr>
            <w:noProof/>
            <w:webHidden/>
          </w:rPr>
          <w:fldChar w:fldCharType="end"/>
        </w:r>
      </w:hyperlink>
    </w:p>
    <w:p w14:paraId="73C6FD56" w14:textId="4DC1D5B2"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79" w:history="1">
        <w:r w:rsidR="00A6636D" w:rsidRPr="00E608BF">
          <w:rPr>
            <w:rStyle w:val="Hypertextovodkaz"/>
            <w:noProof/>
          </w:rPr>
          <w:t>v.</w:t>
        </w:r>
        <w:r w:rsidR="00A6636D">
          <w:rPr>
            <w:rFonts w:asciiTheme="minorHAnsi" w:eastAsiaTheme="minorEastAsia" w:hAnsiTheme="minorHAnsi"/>
            <w:noProof/>
            <w:sz w:val="22"/>
            <w:lang w:eastAsia="cs-CZ"/>
          </w:rPr>
          <w:tab/>
        </w:r>
        <w:r w:rsidR="00A6636D" w:rsidRPr="00E608BF">
          <w:rPr>
            <w:rStyle w:val="Hypertextovodkaz"/>
            <w:noProof/>
          </w:rPr>
          <w:t>Dokládání herního plánu ve správním řízení z moci úřední</w:t>
        </w:r>
        <w:r w:rsidR="00A6636D">
          <w:rPr>
            <w:noProof/>
            <w:webHidden/>
          </w:rPr>
          <w:tab/>
        </w:r>
        <w:r w:rsidR="00A6636D">
          <w:rPr>
            <w:noProof/>
            <w:webHidden/>
          </w:rPr>
          <w:fldChar w:fldCharType="begin"/>
        </w:r>
        <w:r w:rsidR="00A6636D">
          <w:rPr>
            <w:noProof/>
            <w:webHidden/>
          </w:rPr>
          <w:instrText xml:space="preserve"> PAGEREF _Toc73608979 \h </w:instrText>
        </w:r>
        <w:r w:rsidR="00A6636D">
          <w:rPr>
            <w:noProof/>
            <w:webHidden/>
          </w:rPr>
        </w:r>
        <w:r w:rsidR="00A6636D">
          <w:rPr>
            <w:noProof/>
            <w:webHidden/>
          </w:rPr>
          <w:fldChar w:fldCharType="separate"/>
        </w:r>
        <w:r w:rsidR="00A6636D">
          <w:rPr>
            <w:noProof/>
            <w:webHidden/>
          </w:rPr>
          <w:t>32</w:t>
        </w:r>
        <w:r w:rsidR="00A6636D">
          <w:rPr>
            <w:noProof/>
            <w:webHidden/>
          </w:rPr>
          <w:fldChar w:fldCharType="end"/>
        </w:r>
      </w:hyperlink>
    </w:p>
    <w:p w14:paraId="33F1C015" w14:textId="162AFDAD"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0" w:history="1">
        <w:r w:rsidR="00A6636D" w:rsidRPr="00E608BF">
          <w:rPr>
            <w:rStyle w:val="Hypertextovodkaz"/>
            <w:noProof/>
          </w:rPr>
          <w:t>vi.</w:t>
        </w:r>
        <w:r w:rsidR="00A6636D">
          <w:rPr>
            <w:rFonts w:asciiTheme="minorHAnsi" w:eastAsiaTheme="minorEastAsia" w:hAnsiTheme="minorHAnsi"/>
            <w:noProof/>
            <w:sz w:val="22"/>
            <w:lang w:eastAsia="cs-CZ"/>
          </w:rPr>
          <w:tab/>
        </w:r>
        <w:r w:rsidR="00A6636D" w:rsidRPr="00E608BF">
          <w:rPr>
            <w:rStyle w:val="Hypertextovodkaz"/>
            <w:noProof/>
          </w:rPr>
          <w:t>Doba, na kterou je základní povolení vydáváno</w:t>
        </w:r>
        <w:r w:rsidR="00A6636D">
          <w:rPr>
            <w:noProof/>
            <w:webHidden/>
          </w:rPr>
          <w:tab/>
        </w:r>
        <w:r w:rsidR="00A6636D">
          <w:rPr>
            <w:noProof/>
            <w:webHidden/>
          </w:rPr>
          <w:fldChar w:fldCharType="begin"/>
        </w:r>
        <w:r w:rsidR="00A6636D">
          <w:rPr>
            <w:noProof/>
            <w:webHidden/>
          </w:rPr>
          <w:instrText xml:space="preserve"> PAGEREF _Toc73608980 \h </w:instrText>
        </w:r>
        <w:r w:rsidR="00A6636D">
          <w:rPr>
            <w:noProof/>
            <w:webHidden/>
          </w:rPr>
        </w:r>
        <w:r w:rsidR="00A6636D">
          <w:rPr>
            <w:noProof/>
            <w:webHidden/>
          </w:rPr>
          <w:fldChar w:fldCharType="separate"/>
        </w:r>
        <w:r w:rsidR="00A6636D">
          <w:rPr>
            <w:noProof/>
            <w:webHidden/>
          </w:rPr>
          <w:t>33</w:t>
        </w:r>
        <w:r w:rsidR="00A6636D">
          <w:rPr>
            <w:noProof/>
            <w:webHidden/>
          </w:rPr>
          <w:fldChar w:fldCharType="end"/>
        </w:r>
      </w:hyperlink>
    </w:p>
    <w:p w14:paraId="5C62B893" w14:textId="3F75C939"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1" w:history="1">
        <w:r w:rsidR="00A6636D" w:rsidRPr="00E608BF">
          <w:rPr>
            <w:rStyle w:val="Hypertextovodkaz"/>
            <w:noProof/>
          </w:rPr>
          <w:t>vii.</w:t>
        </w:r>
        <w:r w:rsidR="00A6636D">
          <w:rPr>
            <w:rFonts w:asciiTheme="minorHAnsi" w:eastAsiaTheme="minorEastAsia" w:hAnsiTheme="minorHAnsi"/>
            <w:noProof/>
            <w:sz w:val="22"/>
            <w:lang w:eastAsia="cs-CZ"/>
          </w:rPr>
          <w:tab/>
        </w:r>
        <w:r w:rsidR="00A6636D" w:rsidRPr="00E608BF">
          <w:rPr>
            <w:rStyle w:val="Hypertextovodkaz"/>
            <w:noProof/>
          </w:rPr>
          <w:t>Rozsah oprávnění stanovovat podmínky řádného provozování v základním povolení</w:t>
        </w:r>
        <w:r w:rsidR="00A6636D">
          <w:rPr>
            <w:noProof/>
            <w:webHidden/>
          </w:rPr>
          <w:tab/>
        </w:r>
        <w:r w:rsidR="00A6636D">
          <w:rPr>
            <w:noProof/>
            <w:webHidden/>
          </w:rPr>
          <w:fldChar w:fldCharType="begin"/>
        </w:r>
        <w:r w:rsidR="00A6636D">
          <w:rPr>
            <w:noProof/>
            <w:webHidden/>
          </w:rPr>
          <w:instrText xml:space="preserve"> PAGEREF _Toc73608981 \h </w:instrText>
        </w:r>
        <w:r w:rsidR="00A6636D">
          <w:rPr>
            <w:noProof/>
            <w:webHidden/>
          </w:rPr>
        </w:r>
        <w:r w:rsidR="00A6636D">
          <w:rPr>
            <w:noProof/>
            <w:webHidden/>
          </w:rPr>
          <w:fldChar w:fldCharType="separate"/>
        </w:r>
        <w:r w:rsidR="00A6636D">
          <w:rPr>
            <w:noProof/>
            <w:webHidden/>
          </w:rPr>
          <w:t>34</w:t>
        </w:r>
        <w:r w:rsidR="00A6636D">
          <w:rPr>
            <w:noProof/>
            <w:webHidden/>
          </w:rPr>
          <w:fldChar w:fldCharType="end"/>
        </w:r>
      </w:hyperlink>
    </w:p>
    <w:p w14:paraId="524FBC2A" w14:textId="65ABFA1F" w:rsidR="00A6636D" w:rsidRDefault="00F32808">
      <w:pPr>
        <w:pStyle w:val="Obsah6"/>
        <w:tabs>
          <w:tab w:val="left" w:pos="1767"/>
          <w:tab w:val="right" w:leader="dot" w:pos="9062"/>
        </w:tabs>
        <w:rPr>
          <w:rFonts w:asciiTheme="minorHAnsi" w:eastAsiaTheme="minorEastAsia" w:hAnsiTheme="minorHAnsi"/>
          <w:noProof/>
          <w:sz w:val="22"/>
          <w:lang w:eastAsia="cs-CZ"/>
        </w:rPr>
      </w:pPr>
      <w:hyperlink w:anchor="_Toc73608982" w:history="1">
        <w:r w:rsidR="00A6636D" w:rsidRPr="00E608BF">
          <w:rPr>
            <w:rStyle w:val="Hypertextovodkaz"/>
            <w:noProof/>
          </w:rPr>
          <w:t>viii.</w:t>
        </w:r>
        <w:r w:rsidR="00A6636D">
          <w:rPr>
            <w:rFonts w:asciiTheme="minorHAnsi" w:eastAsiaTheme="minorEastAsia" w:hAnsiTheme="minorHAnsi"/>
            <w:noProof/>
            <w:sz w:val="22"/>
            <w:lang w:eastAsia="cs-CZ"/>
          </w:rPr>
          <w:tab/>
        </w:r>
        <w:r w:rsidR="00A6636D" w:rsidRPr="00E608BF">
          <w:rPr>
            <w:rStyle w:val="Hypertextovodkaz"/>
            <w:noProof/>
          </w:rPr>
          <w:t>Vydávání navazujícího základního povolení</w:t>
        </w:r>
        <w:r w:rsidR="00A6636D">
          <w:rPr>
            <w:noProof/>
            <w:webHidden/>
          </w:rPr>
          <w:tab/>
        </w:r>
        <w:r w:rsidR="00A6636D">
          <w:rPr>
            <w:noProof/>
            <w:webHidden/>
          </w:rPr>
          <w:fldChar w:fldCharType="begin"/>
        </w:r>
        <w:r w:rsidR="00A6636D">
          <w:rPr>
            <w:noProof/>
            <w:webHidden/>
          </w:rPr>
          <w:instrText xml:space="preserve"> PAGEREF _Toc73608982 \h </w:instrText>
        </w:r>
        <w:r w:rsidR="00A6636D">
          <w:rPr>
            <w:noProof/>
            <w:webHidden/>
          </w:rPr>
        </w:r>
        <w:r w:rsidR="00A6636D">
          <w:rPr>
            <w:noProof/>
            <w:webHidden/>
          </w:rPr>
          <w:fldChar w:fldCharType="separate"/>
        </w:r>
        <w:r w:rsidR="00A6636D">
          <w:rPr>
            <w:noProof/>
            <w:webHidden/>
          </w:rPr>
          <w:t>35</w:t>
        </w:r>
        <w:r w:rsidR="00A6636D">
          <w:rPr>
            <w:noProof/>
            <w:webHidden/>
          </w:rPr>
          <w:fldChar w:fldCharType="end"/>
        </w:r>
      </w:hyperlink>
    </w:p>
    <w:p w14:paraId="57F26C27" w14:textId="42A837FF"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3" w:history="1">
        <w:r w:rsidR="00A6636D" w:rsidRPr="00E608BF">
          <w:rPr>
            <w:rStyle w:val="Hypertextovodkaz"/>
            <w:noProof/>
          </w:rPr>
          <w:t>ix.</w:t>
        </w:r>
        <w:r w:rsidR="00A6636D">
          <w:rPr>
            <w:rFonts w:asciiTheme="minorHAnsi" w:eastAsiaTheme="minorEastAsia" w:hAnsiTheme="minorHAnsi"/>
            <w:noProof/>
            <w:sz w:val="22"/>
            <w:lang w:eastAsia="cs-CZ"/>
          </w:rPr>
          <w:tab/>
        </w:r>
        <w:r w:rsidR="00A6636D" w:rsidRPr="00E608BF">
          <w:rPr>
            <w:rStyle w:val="Hypertextovodkaz"/>
            <w:noProof/>
          </w:rPr>
          <w:t>Zrušení nebo zánik základního povolení a podmínky vypořádání provozování hazardní hry</w:t>
        </w:r>
        <w:r w:rsidR="00A6636D">
          <w:rPr>
            <w:noProof/>
            <w:webHidden/>
          </w:rPr>
          <w:tab/>
        </w:r>
        <w:r w:rsidR="00A6636D">
          <w:rPr>
            <w:noProof/>
            <w:webHidden/>
          </w:rPr>
          <w:fldChar w:fldCharType="begin"/>
        </w:r>
        <w:r w:rsidR="00A6636D">
          <w:rPr>
            <w:noProof/>
            <w:webHidden/>
          </w:rPr>
          <w:instrText xml:space="preserve"> PAGEREF _Toc73608983 \h </w:instrText>
        </w:r>
        <w:r w:rsidR="00A6636D">
          <w:rPr>
            <w:noProof/>
            <w:webHidden/>
          </w:rPr>
        </w:r>
        <w:r w:rsidR="00A6636D">
          <w:rPr>
            <w:noProof/>
            <w:webHidden/>
          </w:rPr>
          <w:fldChar w:fldCharType="separate"/>
        </w:r>
        <w:r w:rsidR="00A6636D">
          <w:rPr>
            <w:noProof/>
            <w:webHidden/>
          </w:rPr>
          <w:t>37</w:t>
        </w:r>
        <w:r w:rsidR="00A6636D">
          <w:rPr>
            <w:noProof/>
            <w:webHidden/>
          </w:rPr>
          <w:fldChar w:fldCharType="end"/>
        </w:r>
      </w:hyperlink>
    </w:p>
    <w:p w14:paraId="0A2BE64B" w14:textId="725854B5"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4" w:history="1">
        <w:r w:rsidR="00A6636D" w:rsidRPr="00E608BF">
          <w:rPr>
            <w:rStyle w:val="Hypertextovodkaz"/>
            <w:noProof/>
          </w:rPr>
          <w:t>x.</w:t>
        </w:r>
        <w:r w:rsidR="00A6636D">
          <w:rPr>
            <w:rFonts w:asciiTheme="minorHAnsi" w:eastAsiaTheme="minorEastAsia" w:hAnsiTheme="minorHAnsi"/>
            <w:noProof/>
            <w:sz w:val="22"/>
            <w:lang w:eastAsia="cs-CZ"/>
          </w:rPr>
          <w:tab/>
        </w:r>
        <w:r w:rsidR="00A6636D" w:rsidRPr="00E608BF">
          <w:rPr>
            <w:rStyle w:val="Hypertextovodkaz"/>
            <w:noProof/>
          </w:rPr>
          <w:t>Přechod základního povolení a podrobnější podmínky postupu</w:t>
        </w:r>
        <w:r w:rsidR="00A6636D">
          <w:rPr>
            <w:noProof/>
            <w:webHidden/>
          </w:rPr>
          <w:tab/>
        </w:r>
        <w:r w:rsidR="00A6636D">
          <w:rPr>
            <w:noProof/>
            <w:webHidden/>
          </w:rPr>
          <w:fldChar w:fldCharType="begin"/>
        </w:r>
        <w:r w:rsidR="00A6636D">
          <w:rPr>
            <w:noProof/>
            <w:webHidden/>
          </w:rPr>
          <w:instrText xml:space="preserve"> PAGEREF _Toc73608984 \h </w:instrText>
        </w:r>
        <w:r w:rsidR="00A6636D">
          <w:rPr>
            <w:noProof/>
            <w:webHidden/>
          </w:rPr>
        </w:r>
        <w:r w:rsidR="00A6636D">
          <w:rPr>
            <w:noProof/>
            <w:webHidden/>
          </w:rPr>
          <w:fldChar w:fldCharType="separate"/>
        </w:r>
        <w:r w:rsidR="00A6636D">
          <w:rPr>
            <w:noProof/>
            <w:webHidden/>
          </w:rPr>
          <w:t>39</w:t>
        </w:r>
        <w:r w:rsidR="00A6636D">
          <w:rPr>
            <w:noProof/>
            <w:webHidden/>
          </w:rPr>
          <w:fldChar w:fldCharType="end"/>
        </w:r>
      </w:hyperlink>
    </w:p>
    <w:p w14:paraId="512E81B8" w14:textId="6C8A8AA0"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5" w:history="1">
        <w:r w:rsidR="00A6636D" w:rsidRPr="00E608BF">
          <w:rPr>
            <w:rStyle w:val="Hypertextovodkaz"/>
            <w:noProof/>
          </w:rPr>
          <w:t>xi.</w:t>
        </w:r>
        <w:r w:rsidR="00A6636D">
          <w:rPr>
            <w:rFonts w:asciiTheme="minorHAnsi" w:eastAsiaTheme="minorEastAsia" w:hAnsiTheme="minorHAnsi"/>
            <w:noProof/>
            <w:sz w:val="22"/>
            <w:lang w:eastAsia="cs-CZ"/>
          </w:rPr>
          <w:tab/>
        </w:r>
        <w:r w:rsidR="00A6636D" w:rsidRPr="00E608BF">
          <w:rPr>
            <w:rStyle w:val="Hypertextovodkaz"/>
            <w:noProof/>
          </w:rPr>
          <w:t>Požadavky na vlastní zdroje a průhledný a nezávadný původ zdrojů</w:t>
        </w:r>
        <w:r w:rsidR="00A6636D">
          <w:rPr>
            <w:noProof/>
            <w:webHidden/>
          </w:rPr>
          <w:tab/>
        </w:r>
        <w:r w:rsidR="00A6636D">
          <w:rPr>
            <w:noProof/>
            <w:webHidden/>
          </w:rPr>
          <w:fldChar w:fldCharType="begin"/>
        </w:r>
        <w:r w:rsidR="00A6636D">
          <w:rPr>
            <w:noProof/>
            <w:webHidden/>
          </w:rPr>
          <w:instrText xml:space="preserve"> PAGEREF _Toc73608985 \h </w:instrText>
        </w:r>
        <w:r w:rsidR="00A6636D">
          <w:rPr>
            <w:noProof/>
            <w:webHidden/>
          </w:rPr>
        </w:r>
        <w:r w:rsidR="00A6636D">
          <w:rPr>
            <w:noProof/>
            <w:webHidden/>
          </w:rPr>
          <w:fldChar w:fldCharType="separate"/>
        </w:r>
        <w:r w:rsidR="00A6636D">
          <w:rPr>
            <w:noProof/>
            <w:webHidden/>
          </w:rPr>
          <w:t>40</w:t>
        </w:r>
        <w:r w:rsidR="00A6636D">
          <w:rPr>
            <w:noProof/>
            <w:webHidden/>
          </w:rPr>
          <w:fldChar w:fldCharType="end"/>
        </w:r>
      </w:hyperlink>
    </w:p>
    <w:p w14:paraId="00334BB6" w14:textId="4D29666B"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86" w:history="1">
        <w:r w:rsidR="00A6636D" w:rsidRPr="00E608BF">
          <w:rPr>
            <w:rStyle w:val="Hypertextovodkaz"/>
            <w:noProof/>
          </w:rPr>
          <w:t>B.</w:t>
        </w:r>
        <w:r w:rsidR="00A6636D">
          <w:rPr>
            <w:rFonts w:asciiTheme="minorHAnsi" w:eastAsiaTheme="minorEastAsia" w:hAnsiTheme="minorHAnsi"/>
            <w:noProof/>
            <w:sz w:val="22"/>
            <w:lang w:eastAsia="cs-CZ"/>
          </w:rPr>
          <w:tab/>
        </w:r>
        <w:r w:rsidR="00A6636D" w:rsidRPr="00E608BF">
          <w:rPr>
            <w:rStyle w:val="Hypertextovodkaz"/>
            <w:noProof/>
          </w:rPr>
          <w:t>Povolení k umístění herního prostoru</w:t>
        </w:r>
        <w:r w:rsidR="00A6636D">
          <w:rPr>
            <w:noProof/>
            <w:webHidden/>
          </w:rPr>
          <w:tab/>
        </w:r>
        <w:r w:rsidR="00A6636D">
          <w:rPr>
            <w:noProof/>
            <w:webHidden/>
          </w:rPr>
          <w:fldChar w:fldCharType="begin"/>
        </w:r>
        <w:r w:rsidR="00A6636D">
          <w:rPr>
            <w:noProof/>
            <w:webHidden/>
          </w:rPr>
          <w:instrText xml:space="preserve"> PAGEREF _Toc73608986 \h </w:instrText>
        </w:r>
        <w:r w:rsidR="00A6636D">
          <w:rPr>
            <w:noProof/>
            <w:webHidden/>
          </w:rPr>
        </w:r>
        <w:r w:rsidR="00A6636D">
          <w:rPr>
            <w:noProof/>
            <w:webHidden/>
          </w:rPr>
          <w:fldChar w:fldCharType="separate"/>
        </w:r>
        <w:r w:rsidR="00A6636D">
          <w:rPr>
            <w:noProof/>
            <w:webHidden/>
          </w:rPr>
          <w:t>59</w:t>
        </w:r>
        <w:r w:rsidR="00A6636D">
          <w:rPr>
            <w:noProof/>
            <w:webHidden/>
          </w:rPr>
          <w:fldChar w:fldCharType="end"/>
        </w:r>
      </w:hyperlink>
    </w:p>
    <w:p w14:paraId="4AEC2CC1" w14:textId="4360EDAE"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7" w:history="1">
        <w:r w:rsidR="00A6636D" w:rsidRPr="00E608BF">
          <w:rPr>
            <w:rStyle w:val="Hypertextovodkaz"/>
            <w:noProof/>
          </w:rPr>
          <w:t>i.</w:t>
        </w:r>
        <w:r w:rsidR="00A6636D">
          <w:rPr>
            <w:rFonts w:asciiTheme="minorHAnsi" w:eastAsiaTheme="minorEastAsia" w:hAnsiTheme="minorHAnsi"/>
            <w:noProof/>
            <w:sz w:val="22"/>
            <w:lang w:eastAsia="cs-CZ"/>
          </w:rPr>
          <w:tab/>
        </w:r>
        <w:r w:rsidR="00A6636D" w:rsidRPr="00E608BF">
          <w:rPr>
            <w:rStyle w:val="Hypertextovodkaz"/>
            <w:noProof/>
          </w:rPr>
          <w:t>Schéma kamerového systému jako příloha k žádosti</w:t>
        </w:r>
        <w:r w:rsidR="00A6636D">
          <w:rPr>
            <w:noProof/>
            <w:webHidden/>
          </w:rPr>
          <w:tab/>
        </w:r>
        <w:r w:rsidR="00A6636D">
          <w:rPr>
            <w:noProof/>
            <w:webHidden/>
          </w:rPr>
          <w:fldChar w:fldCharType="begin"/>
        </w:r>
        <w:r w:rsidR="00A6636D">
          <w:rPr>
            <w:noProof/>
            <w:webHidden/>
          </w:rPr>
          <w:instrText xml:space="preserve"> PAGEREF _Toc73608987 \h </w:instrText>
        </w:r>
        <w:r w:rsidR="00A6636D">
          <w:rPr>
            <w:noProof/>
            <w:webHidden/>
          </w:rPr>
        </w:r>
        <w:r w:rsidR="00A6636D">
          <w:rPr>
            <w:noProof/>
            <w:webHidden/>
          </w:rPr>
          <w:fldChar w:fldCharType="separate"/>
        </w:r>
        <w:r w:rsidR="00A6636D">
          <w:rPr>
            <w:noProof/>
            <w:webHidden/>
          </w:rPr>
          <w:t>60</w:t>
        </w:r>
        <w:r w:rsidR="00A6636D">
          <w:rPr>
            <w:noProof/>
            <w:webHidden/>
          </w:rPr>
          <w:fldChar w:fldCharType="end"/>
        </w:r>
      </w:hyperlink>
    </w:p>
    <w:p w14:paraId="617DC553" w14:textId="660AAB9D" w:rsidR="00A6636D" w:rsidRDefault="00F32808">
      <w:pPr>
        <w:pStyle w:val="Obsah5"/>
        <w:tabs>
          <w:tab w:val="left" w:pos="1540"/>
          <w:tab w:val="right" w:leader="dot" w:pos="9062"/>
        </w:tabs>
        <w:rPr>
          <w:rFonts w:asciiTheme="minorHAnsi" w:eastAsiaTheme="minorEastAsia" w:hAnsiTheme="minorHAnsi"/>
          <w:noProof/>
          <w:sz w:val="22"/>
          <w:lang w:eastAsia="cs-CZ"/>
        </w:rPr>
      </w:pPr>
      <w:hyperlink w:anchor="_Toc73608988" w:history="1">
        <w:r w:rsidR="00A6636D" w:rsidRPr="00E608BF">
          <w:rPr>
            <w:rStyle w:val="Hypertextovodkaz"/>
            <w:noProof/>
          </w:rPr>
          <w:t>C.</w:t>
        </w:r>
        <w:r w:rsidR="00A6636D">
          <w:rPr>
            <w:rFonts w:asciiTheme="minorHAnsi" w:eastAsiaTheme="minorEastAsia" w:hAnsiTheme="minorHAnsi"/>
            <w:noProof/>
            <w:sz w:val="22"/>
            <w:lang w:eastAsia="cs-CZ"/>
          </w:rPr>
          <w:tab/>
        </w:r>
        <w:r w:rsidR="00A6636D" w:rsidRPr="00E608BF">
          <w:rPr>
            <w:rStyle w:val="Hypertextovodkaz"/>
            <w:noProof/>
          </w:rPr>
          <w:t>Ohlášení hazardní hry</w:t>
        </w:r>
        <w:r w:rsidR="00A6636D">
          <w:rPr>
            <w:noProof/>
            <w:webHidden/>
          </w:rPr>
          <w:tab/>
        </w:r>
        <w:r w:rsidR="00A6636D">
          <w:rPr>
            <w:noProof/>
            <w:webHidden/>
          </w:rPr>
          <w:fldChar w:fldCharType="begin"/>
        </w:r>
        <w:r w:rsidR="00A6636D">
          <w:rPr>
            <w:noProof/>
            <w:webHidden/>
          </w:rPr>
          <w:instrText xml:space="preserve"> PAGEREF _Toc73608988 \h </w:instrText>
        </w:r>
        <w:r w:rsidR="00A6636D">
          <w:rPr>
            <w:noProof/>
            <w:webHidden/>
          </w:rPr>
        </w:r>
        <w:r w:rsidR="00A6636D">
          <w:rPr>
            <w:noProof/>
            <w:webHidden/>
          </w:rPr>
          <w:fldChar w:fldCharType="separate"/>
        </w:r>
        <w:r w:rsidR="00A6636D">
          <w:rPr>
            <w:noProof/>
            <w:webHidden/>
          </w:rPr>
          <w:t>61</w:t>
        </w:r>
        <w:r w:rsidR="00A6636D">
          <w:rPr>
            <w:noProof/>
            <w:webHidden/>
          </w:rPr>
          <w:fldChar w:fldCharType="end"/>
        </w:r>
      </w:hyperlink>
    </w:p>
    <w:p w14:paraId="3107E7E1" w14:textId="5B18EE4B"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89" w:history="1">
        <w:r w:rsidR="00A6636D" w:rsidRPr="00E608BF">
          <w:rPr>
            <w:rStyle w:val="Hypertextovodkaz"/>
            <w:noProof/>
          </w:rPr>
          <w:t>i.</w:t>
        </w:r>
        <w:r w:rsidR="00A6636D">
          <w:rPr>
            <w:rFonts w:asciiTheme="minorHAnsi" w:eastAsiaTheme="minorEastAsia" w:hAnsiTheme="minorHAnsi"/>
            <w:noProof/>
            <w:sz w:val="22"/>
            <w:lang w:eastAsia="cs-CZ"/>
          </w:rPr>
          <w:tab/>
        </w:r>
        <w:r w:rsidR="00A6636D" w:rsidRPr="00E608BF">
          <w:rPr>
            <w:rStyle w:val="Hypertextovodkaz"/>
            <w:noProof/>
          </w:rPr>
          <w:t>Vydání rozhodnutí o zákazu je prvním úkonem v řízení</w:t>
        </w:r>
        <w:r w:rsidR="00A6636D">
          <w:rPr>
            <w:noProof/>
            <w:webHidden/>
          </w:rPr>
          <w:tab/>
        </w:r>
        <w:r w:rsidR="00A6636D">
          <w:rPr>
            <w:noProof/>
            <w:webHidden/>
          </w:rPr>
          <w:fldChar w:fldCharType="begin"/>
        </w:r>
        <w:r w:rsidR="00A6636D">
          <w:rPr>
            <w:noProof/>
            <w:webHidden/>
          </w:rPr>
          <w:instrText xml:space="preserve"> PAGEREF _Toc73608989 \h </w:instrText>
        </w:r>
        <w:r w:rsidR="00A6636D">
          <w:rPr>
            <w:noProof/>
            <w:webHidden/>
          </w:rPr>
        </w:r>
        <w:r w:rsidR="00A6636D">
          <w:rPr>
            <w:noProof/>
            <w:webHidden/>
          </w:rPr>
          <w:fldChar w:fldCharType="separate"/>
        </w:r>
        <w:r w:rsidR="00A6636D">
          <w:rPr>
            <w:noProof/>
            <w:webHidden/>
          </w:rPr>
          <w:t>61</w:t>
        </w:r>
        <w:r w:rsidR="00A6636D">
          <w:rPr>
            <w:noProof/>
            <w:webHidden/>
          </w:rPr>
          <w:fldChar w:fldCharType="end"/>
        </w:r>
      </w:hyperlink>
    </w:p>
    <w:p w14:paraId="17577DB4" w14:textId="11CF4859"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90" w:history="1">
        <w:r w:rsidR="00A6636D" w:rsidRPr="00E608BF">
          <w:rPr>
            <w:rStyle w:val="Hypertextovodkaz"/>
            <w:noProof/>
          </w:rPr>
          <w:t>ii.</w:t>
        </w:r>
        <w:r w:rsidR="00A6636D">
          <w:rPr>
            <w:rFonts w:asciiTheme="minorHAnsi" w:eastAsiaTheme="minorEastAsia" w:hAnsiTheme="minorHAnsi"/>
            <w:noProof/>
            <w:sz w:val="22"/>
            <w:lang w:eastAsia="cs-CZ"/>
          </w:rPr>
          <w:tab/>
        </w:r>
        <w:r w:rsidR="00A6636D" w:rsidRPr="00E608BF">
          <w:rPr>
            <w:rStyle w:val="Hypertextovodkaz"/>
            <w:noProof/>
          </w:rPr>
          <w:t>Podání odvolání proti rozhodnutí o zákazu provozování ohlašované hazardní hry</w:t>
        </w:r>
        <w:r w:rsidR="00A6636D">
          <w:rPr>
            <w:noProof/>
            <w:webHidden/>
          </w:rPr>
          <w:tab/>
        </w:r>
        <w:r w:rsidR="00A6636D">
          <w:rPr>
            <w:noProof/>
            <w:webHidden/>
          </w:rPr>
          <w:fldChar w:fldCharType="begin"/>
        </w:r>
        <w:r w:rsidR="00A6636D">
          <w:rPr>
            <w:noProof/>
            <w:webHidden/>
          </w:rPr>
          <w:instrText xml:space="preserve"> PAGEREF _Toc73608990 \h </w:instrText>
        </w:r>
        <w:r w:rsidR="00A6636D">
          <w:rPr>
            <w:noProof/>
            <w:webHidden/>
          </w:rPr>
        </w:r>
        <w:r w:rsidR="00A6636D">
          <w:rPr>
            <w:noProof/>
            <w:webHidden/>
          </w:rPr>
          <w:fldChar w:fldCharType="separate"/>
        </w:r>
        <w:r w:rsidR="00A6636D">
          <w:rPr>
            <w:noProof/>
            <w:webHidden/>
          </w:rPr>
          <w:t>62</w:t>
        </w:r>
        <w:r w:rsidR="00A6636D">
          <w:rPr>
            <w:noProof/>
            <w:webHidden/>
          </w:rPr>
          <w:fldChar w:fldCharType="end"/>
        </w:r>
      </w:hyperlink>
    </w:p>
    <w:p w14:paraId="127E2980" w14:textId="1262D39F" w:rsidR="00A6636D" w:rsidRDefault="00F32808">
      <w:pPr>
        <w:pStyle w:val="Obsah6"/>
        <w:tabs>
          <w:tab w:val="left" w:pos="1760"/>
          <w:tab w:val="right" w:leader="dot" w:pos="9062"/>
        </w:tabs>
        <w:rPr>
          <w:rFonts w:asciiTheme="minorHAnsi" w:eastAsiaTheme="minorEastAsia" w:hAnsiTheme="minorHAnsi"/>
          <w:noProof/>
          <w:sz w:val="22"/>
          <w:lang w:eastAsia="cs-CZ"/>
        </w:rPr>
      </w:pPr>
      <w:hyperlink w:anchor="_Toc73608991" w:history="1">
        <w:r w:rsidR="00A6636D" w:rsidRPr="00E608BF">
          <w:rPr>
            <w:rStyle w:val="Hypertextovodkaz"/>
            <w:noProof/>
          </w:rPr>
          <w:t>iii.</w:t>
        </w:r>
        <w:r w:rsidR="00A6636D">
          <w:rPr>
            <w:rFonts w:asciiTheme="minorHAnsi" w:eastAsiaTheme="minorEastAsia" w:hAnsiTheme="minorHAnsi"/>
            <w:noProof/>
            <w:sz w:val="22"/>
            <w:lang w:eastAsia="cs-CZ"/>
          </w:rPr>
          <w:tab/>
        </w:r>
        <w:r w:rsidR="00A6636D" w:rsidRPr="00E608BF">
          <w:rPr>
            <w:rStyle w:val="Hypertextovodkaz"/>
            <w:noProof/>
          </w:rPr>
          <w:t>V ohlášení není stanoven přesný termín konání ohlašované hazardní hry</w:t>
        </w:r>
        <w:r w:rsidR="00A6636D">
          <w:rPr>
            <w:noProof/>
            <w:webHidden/>
          </w:rPr>
          <w:tab/>
        </w:r>
        <w:r w:rsidR="00A6636D">
          <w:rPr>
            <w:noProof/>
            <w:webHidden/>
          </w:rPr>
          <w:fldChar w:fldCharType="begin"/>
        </w:r>
        <w:r w:rsidR="00A6636D">
          <w:rPr>
            <w:noProof/>
            <w:webHidden/>
          </w:rPr>
          <w:instrText xml:space="preserve"> PAGEREF _Toc73608991 \h </w:instrText>
        </w:r>
        <w:r w:rsidR="00A6636D">
          <w:rPr>
            <w:noProof/>
            <w:webHidden/>
          </w:rPr>
        </w:r>
        <w:r w:rsidR="00A6636D">
          <w:rPr>
            <w:noProof/>
            <w:webHidden/>
          </w:rPr>
          <w:fldChar w:fldCharType="separate"/>
        </w:r>
        <w:r w:rsidR="00A6636D">
          <w:rPr>
            <w:noProof/>
            <w:webHidden/>
          </w:rPr>
          <w:t>64</w:t>
        </w:r>
        <w:r w:rsidR="00A6636D">
          <w:rPr>
            <w:noProof/>
            <w:webHidden/>
          </w:rPr>
          <w:fldChar w:fldCharType="end"/>
        </w:r>
      </w:hyperlink>
    </w:p>
    <w:p w14:paraId="0D0AD571" w14:textId="3528E2BD" w:rsidR="00A6636D" w:rsidRDefault="00F32808">
      <w:pPr>
        <w:pStyle w:val="Obsah3"/>
        <w:tabs>
          <w:tab w:val="left" w:pos="1200"/>
          <w:tab w:val="right" w:leader="dot" w:pos="9062"/>
        </w:tabs>
        <w:rPr>
          <w:rFonts w:asciiTheme="minorHAnsi" w:eastAsiaTheme="minorEastAsia" w:hAnsiTheme="minorHAnsi"/>
          <w:noProof/>
          <w:sz w:val="22"/>
          <w:lang w:eastAsia="cs-CZ"/>
        </w:rPr>
      </w:pPr>
      <w:hyperlink w:anchor="_Toc73608992" w:history="1">
        <w:r w:rsidR="00A6636D" w:rsidRPr="00E608BF">
          <w:rPr>
            <w:rStyle w:val="Hypertextovodkaz"/>
            <w:noProof/>
          </w:rPr>
          <w:t>1.4</w:t>
        </w:r>
        <w:r w:rsidR="00A6636D">
          <w:rPr>
            <w:rFonts w:asciiTheme="minorHAnsi" w:eastAsiaTheme="minorEastAsia" w:hAnsiTheme="minorHAnsi"/>
            <w:noProof/>
            <w:sz w:val="22"/>
            <w:lang w:eastAsia="cs-CZ"/>
          </w:rPr>
          <w:tab/>
        </w:r>
        <w:r w:rsidR="00A6636D" w:rsidRPr="00E608BF">
          <w:rPr>
            <w:rStyle w:val="Hypertextovodkaz"/>
            <w:noProof/>
          </w:rPr>
          <w:t>Seznam tabulek, obrázků a grafů</w:t>
        </w:r>
        <w:r w:rsidR="00A6636D">
          <w:rPr>
            <w:noProof/>
            <w:webHidden/>
          </w:rPr>
          <w:tab/>
        </w:r>
        <w:r w:rsidR="00A6636D">
          <w:rPr>
            <w:noProof/>
            <w:webHidden/>
          </w:rPr>
          <w:fldChar w:fldCharType="begin"/>
        </w:r>
        <w:r w:rsidR="00A6636D">
          <w:rPr>
            <w:noProof/>
            <w:webHidden/>
          </w:rPr>
          <w:instrText xml:space="preserve"> PAGEREF _Toc73608992 \h </w:instrText>
        </w:r>
        <w:r w:rsidR="00A6636D">
          <w:rPr>
            <w:noProof/>
            <w:webHidden/>
          </w:rPr>
        </w:r>
        <w:r w:rsidR="00A6636D">
          <w:rPr>
            <w:noProof/>
            <w:webHidden/>
          </w:rPr>
          <w:fldChar w:fldCharType="separate"/>
        </w:r>
        <w:r w:rsidR="00A6636D">
          <w:rPr>
            <w:noProof/>
            <w:webHidden/>
          </w:rPr>
          <w:t>65</w:t>
        </w:r>
        <w:r w:rsidR="00A6636D">
          <w:rPr>
            <w:noProof/>
            <w:webHidden/>
          </w:rPr>
          <w:fldChar w:fldCharType="end"/>
        </w:r>
      </w:hyperlink>
    </w:p>
    <w:p w14:paraId="73AAFD88" w14:textId="1D02A9B0" w:rsidR="00A6636D" w:rsidRDefault="00F32808">
      <w:pPr>
        <w:pStyle w:val="Obsah4"/>
        <w:tabs>
          <w:tab w:val="left" w:pos="1540"/>
          <w:tab w:val="right" w:leader="dot" w:pos="9062"/>
        </w:tabs>
        <w:rPr>
          <w:rFonts w:asciiTheme="minorHAnsi" w:eastAsiaTheme="minorEastAsia" w:hAnsiTheme="minorHAnsi"/>
          <w:noProof/>
          <w:sz w:val="22"/>
          <w:lang w:eastAsia="cs-CZ"/>
        </w:rPr>
      </w:pPr>
      <w:hyperlink w:anchor="_Toc73608993" w:history="1">
        <w:r w:rsidR="00A6636D" w:rsidRPr="00E608BF">
          <w:rPr>
            <w:rStyle w:val="Hypertextovodkaz"/>
            <w:noProof/>
          </w:rPr>
          <w:t>1.4.1</w:t>
        </w:r>
        <w:r w:rsidR="00A6636D">
          <w:rPr>
            <w:rFonts w:asciiTheme="minorHAnsi" w:eastAsiaTheme="minorEastAsia" w:hAnsiTheme="minorHAnsi"/>
            <w:noProof/>
            <w:sz w:val="22"/>
            <w:lang w:eastAsia="cs-CZ"/>
          </w:rPr>
          <w:tab/>
        </w:r>
        <w:r w:rsidR="00A6636D" w:rsidRPr="00E608BF">
          <w:rPr>
            <w:rStyle w:val="Hypertextovodkaz"/>
            <w:noProof/>
          </w:rPr>
          <w:t>Tabulky</w:t>
        </w:r>
        <w:r w:rsidR="00A6636D">
          <w:rPr>
            <w:noProof/>
            <w:webHidden/>
          </w:rPr>
          <w:tab/>
        </w:r>
        <w:r w:rsidR="00A6636D">
          <w:rPr>
            <w:noProof/>
            <w:webHidden/>
          </w:rPr>
          <w:fldChar w:fldCharType="begin"/>
        </w:r>
        <w:r w:rsidR="00A6636D">
          <w:rPr>
            <w:noProof/>
            <w:webHidden/>
          </w:rPr>
          <w:instrText xml:space="preserve"> PAGEREF _Toc73608993 \h </w:instrText>
        </w:r>
        <w:r w:rsidR="00A6636D">
          <w:rPr>
            <w:noProof/>
            <w:webHidden/>
          </w:rPr>
        </w:r>
        <w:r w:rsidR="00A6636D">
          <w:rPr>
            <w:noProof/>
            <w:webHidden/>
          </w:rPr>
          <w:fldChar w:fldCharType="separate"/>
        </w:r>
        <w:r w:rsidR="00A6636D">
          <w:rPr>
            <w:noProof/>
            <w:webHidden/>
          </w:rPr>
          <w:t>65</w:t>
        </w:r>
        <w:r w:rsidR="00A6636D">
          <w:rPr>
            <w:noProof/>
            <w:webHidden/>
          </w:rPr>
          <w:fldChar w:fldCharType="end"/>
        </w:r>
      </w:hyperlink>
    </w:p>
    <w:p w14:paraId="01CD2E11" w14:textId="7324BDB2" w:rsidR="00A6636D" w:rsidRDefault="00F32808">
      <w:pPr>
        <w:pStyle w:val="Obsah3"/>
        <w:tabs>
          <w:tab w:val="left" w:pos="1200"/>
          <w:tab w:val="right" w:leader="dot" w:pos="9062"/>
        </w:tabs>
        <w:rPr>
          <w:rFonts w:asciiTheme="minorHAnsi" w:eastAsiaTheme="minorEastAsia" w:hAnsiTheme="minorHAnsi"/>
          <w:noProof/>
          <w:sz w:val="22"/>
          <w:lang w:eastAsia="cs-CZ"/>
        </w:rPr>
      </w:pPr>
      <w:hyperlink w:anchor="_Toc73608994" w:history="1">
        <w:r w:rsidR="00A6636D" w:rsidRPr="00E608BF">
          <w:rPr>
            <w:rStyle w:val="Hypertextovodkaz"/>
            <w:noProof/>
          </w:rPr>
          <w:t>1.5</w:t>
        </w:r>
        <w:r w:rsidR="00A6636D">
          <w:rPr>
            <w:rFonts w:asciiTheme="minorHAnsi" w:eastAsiaTheme="minorEastAsia" w:hAnsiTheme="minorHAnsi"/>
            <w:noProof/>
            <w:sz w:val="22"/>
            <w:lang w:eastAsia="cs-CZ"/>
          </w:rPr>
          <w:tab/>
        </w:r>
        <w:r w:rsidR="00A6636D" w:rsidRPr="00E608BF">
          <w:rPr>
            <w:rStyle w:val="Hypertextovodkaz"/>
            <w:noProof/>
          </w:rPr>
          <w:t>Obsah</w:t>
        </w:r>
        <w:r w:rsidR="00A6636D">
          <w:rPr>
            <w:noProof/>
            <w:webHidden/>
          </w:rPr>
          <w:tab/>
        </w:r>
        <w:r w:rsidR="00A6636D">
          <w:rPr>
            <w:noProof/>
            <w:webHidden/>
          </w:rPr>
          <w:fldChar w:fldCharType="begin"/>
        </w:r>
        <w:r w:rsidR="00A6636D">
          <w:rPr>
            <w:noProof/>
            <w:webHidden/>
          </w:rPr>
          <w:instrText xml:space="preserve"> PAGEREF _Toc73608994 \h </w:instrText>
        </w:r>
        <w:r w:rsidR="00A6636D">
          <w:rPr>
            <w:noProof/>
            <w:webHidden/>
          </w:rPr>
        </w:r>
        <w:r w:rsidR="00A6636D">
          <w:rPr>
            <w:noProof/>
            <w:webHidden/>
          </w:rPr>
          <w:fldChar w:fldCharType="separate"/>
        </w:r>
        <w:r w:rsidR="00A6636D">
          <w:rPr>
            <w:noProof/>
            <w:webHidden/>
          </w:rPr>
          <w:t>65</w:t>
        </w:r>
        <w:r w:rsidR="00A6636D">
          <w:rPr>
            <w:noProof/>
            <w:webHidden/>
          </w:rPr>
          <w:fldChar w:fldCharType="end"/>
        </w:r>
      </w:hyperlink>
    </w:p>
    <w:p w14:paraId="3C5EE838" w14:textId="7885B062" w:rsidR="002776E6" w:rsidRPr="002776E6" w:rsidRDefault="00742A28" w:rsidP="002776E6">
      <w:r>
        <w:fldChar w:fldCharType="end"/>
      </w:r>
    </w:p>
    <w:sectPr w:rsidR="002776E6" w:rsidRPr="002776E6" w:rsidSect="001374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6288B" w14:textId="77777777" w:rsidR="00741E63" w:rsidRDefault="00741E63" w:rsidP="000B15C0">
      <w:pPr>
        <w:spacing w:after="0"/>
      </w:pPr>
      <w:r>
        <w:separator/>
      </w:r>
    </w:p>
  </w:endnote>
  <w:endnote w:type="continuationSeparator" w:id="0">
    <w:p w14:paraId="23FBFCFB" w14:textId="77777777" w:rsidR="00741E63" w:rsidRDefault="00741E63" w:rsidP="000B15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w:altName w:val="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5624917"/>
      <w:docPartObj>
        <w:docPartGallery w:val="Page Numbers (Bottom of Page)"/>
        <w:docPartUnique/>
      </w:docPartObj>
    </w:sdtPr>
    <w:sdtEndPr/>
    <w:sdtContent>
      <w:p w14:paraId="2FC70D84" w14:textId="2C903166" w:rsidR="00741E63" w:rsidRDefault="00741E63">
        <w:pPr>
          <w:pStyle w:val="Zpat"/>
          <w:jc w:val="right"/>
        </w:pPr>
        <w:r>
          <w:fldChar w:fldCharType="begin"/>
        </w:r>
        <w:r>
          <w:instrText>PAGE   \* MERGEFORMAT</w:instrText>
        </w:r>
        <w:r>
          <w:fldChar w:fldCharType="separate"/>
        </w:r>
        <w:r w:rsidR="00F32808">
          <w:rPr>
            <w:noProof/>
          </w:rPr>
          <w:t>27</w:t>
        </w:r>
        <w:r>
          <w:fldChar w:fldCharType="end"/>
        </w:r>
      </w:p>
    </w:sdtContent>
  </w:sdt>
  <w:p w14:paraId="4169847C" w14:textId="77777777" w:rsidR="00741E63" w:rsidRDefault="00741E6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64E16A" w14:textId="77777777" w:rsidR="00741E63" w:rsidRDefault="00741E63" w:rsidP="000B15C0">
      <w:pPr>
        <w:spacing w:after="0"/>
      </w:pPr>
      <w:r>
        <w:separator/>
      </w:r>
    </w:p>
  </w:footnote>
  <w:footnote w:type="continuationSeparator" w:id="0">
    <w:p w14:paraId="19F0C722" w14:textId="77777777" w:rsidR="00741E63" w:rsidRDefault="00741E63" w:rsidP="000B15C0">
      <w:pPr>
        <w:spacing w:after="0"/>
      </w:pPr>
      <w:r>
        <w:continuationSeparator/>
      </w:r>
    </w:p>
  </w:footnote>
  <w:footnote w:id="1">
    <w:p w14:paraId="6F538155" w14:textId="22C80154" w:rsidR="00741E63" w:rsidRPr="00AD6FC5" w:rsidRDefault="00741E63" w:rsidP="006B3B31">
      <w:pPr>
        <w:pStyle w:val="Textpoznpodarou"/>
        <w:jc w:val="both"/>
        <w:rPr>
          <w:rFonts w:ascii="Arial" w:hAnsi="Arial" w:cs="Arial"/>
        </w:rPr>
      </w:pPr>
      <w:r w:rsidRPr="00AD6FC5">
        <w:rPr>
          <w:rStyle w:val="Znakapoznpodarou"/>
          <w:rFonts w:ascii="Arial" w:hAnsi="Arial" w:cs="Arial"/>
        </w:rPr>
        <w:footnoteRef/>
      </w:r>
      <w:r w:rsidRPr="00AD6FC5">
        <w:rPr>
          <w:rFonts w:ascii="Arial" w:hAnsi="Arial" w:cs="Arial"/>
        </w:rPr>
        <w:t xml:space="preserve"> Podle § 18 odst. 1 zákona o loteriích povolení k provozování výherní</w:t>
      </w:r>
      <w:r>
        <w:rPr>
          <w:rFonts w:ascii="Arial" w:hAnsi="Arial" w:cs="Arial"/>
        </w:rPr>
        <w:t>ch hracích přístrojů vydával na </w:t>
      </w:r>
      <w:r w:rsidRPr="00AD6FC5">
        <w:rPr>
          <w:rFonts w:ascii="Arial" w:hAnsi="Arial" w:cs="Arial"/>
        </w:rPr>
        <w:t>žádost a) obecní úřad pro svůj územní obvod, a to v přenesené působnosti, b) krajský ú</w:t>
      </w:r>
      <w:r>
        <w:rPr>
          <w:rFonts w:ascii="Arial" w:hAnsi="Arial" w:cs="Arial"/>
        </w:rPr>
        <w:t>řad pro </w:t>
      </w:r>
      <w:r w:rsidRPr="00AD6FC5">
        <w:rPr>
          <w:rFonts w:ascii="Arial" w:hAnsi="Arial" w:cs="Arial"/>
        </w:rPr>
        <w:t>svůj správní obvod, byla-li provozovatelem výherního hracího přístroje obec ve svém územním obvodu, c)</w:t>
      </w:r>
      <w:r>
        <w:rPr>
          <w:rFonts w:ascii="Arial" w:hAnsi="Arial" w:cs="Arial"/>
        </w:rPr>
        <w:t> </w:t>
      </w:r>
      <w:r w:rsidRPr="00AD6FC5">
        <w:rPr>
          <w:rFonts w:ascii="Arial" w:hAnsi="Arial" w:cs="Arial"/>
        </w:rPr>
        <w:t>Ministerstvo financí, byl-li výherní hrací přístroj na českou měnu provozován v kasinu a</w:t>
      </w:r>
      <w:r>
        <w:rPr>
          <w:rFonts w:ascii="Arial" w:hAnsi="Arial" w:cs="Arial"/>
        </w:rPr>
        <w:t> </w:t>
      </w:r>
      <w:r w:rsidRPr="00AD6FC5">
        <w:rPr>
          <w:rFonts w:ascii="Arial" w:hAnsi="Arial" w:cs="Arial"/>
        </w:rPr>
        <w:t>u výherních hracích přístrojů na cizí měnu.</w:t>
      </w:r>
    </w:p>
  </w:footnote>
  <w:footnote w:id="2">
    <w:p w14:paraId="719580E7" w14:textId="77777777" w:rsidR="00741E63" w:rsidRPr="00AD6FC5" w:rsidRDefault="00741E63" w:rsidP="006B3B31">
      <w:pPr>
        <w:pStyle w:val="Textpoznpodarou"/>
        <w:jc w:val="both"/>
        <w:rPr>
          <w:rFonts w:ascii="Arial" w:hAnsi="Arial" w:cs="Arial"/>
        </w:rPr>
      </w:pPr>
      <w:r w:rsidRPr="00AD6FC5">
        <w:rPr>
          <w:rStyle w:val="Znakapoznpodarou"/>
          <w:rFonts w:ascii="Arial" w:hAnsi="Arial" w:cs="Arial"/>
        </w:rPr>
        <w:footnoteRef/>
      </w:r>
      <w:r w:rsidRPr="00AD6FC5">
        <w:rPr>
          <w:rFonts w:ascii="Arial" w:hAnsi="Arial" w:cs="Arial"/>
        </w:rPr>
        <w:t xml:space="preserve"> Povolení mohlo být vydáno za předpokladu, že v povolení budou všechny podmínky provozování takové loterie a jiné podobné hry podrobně stanoveny. Ministerstvo financí v této souvislosti stanovilo provozovateli, aby učinil opatření k zamezení hry osobám, které nedovršily věku 18 let, a k zajištění veřejného pořádku. Přiměřeně se aplikovala ustanovení části první až čtvrté zákona o loteriích.</w:t>
      </w:r>
    </w:p>
  </w:footnote>
  <w:footnote w:id="3">
    <w:p w14:paraId="0140FA3F" w14:textId="107F9085" w:rsidR="00741E63" w:rsidRDefault="00741E63">
      <w:pPr>
        <w:pStyle w:val="Textpoznpodarou"/>
      </w:pPr>
      <w:r>
        <w:rPr>
          <w:rStyle w:val="Znakapoznpodarou"/>
        </w:rPr>
        <w:footnoteRef/>
      </w:r>
      <w:r>
        <w:t xml:space="preserve"> </w:t>
      </w:r>
      <w:hyperlink r:id="rId1" w:history="1">
        <w:r w:rsidRPr="0060788F">
          <w:rPr>
            <w:rStyle w:val="Hypertextovodkaz"/>
            <w:rFonts w:cs="Arial"/>
            <w:color w:val="auto"/>
          </w:rPr>
          <w:t>https://www.mfcr.cz/cs/legislativa/metodiky/2016/metodicky-pokyn-a-formular-k-vyplneni-za-26062</w:t>
        </w:r>
      </w:hyperlink>
    </w:p>
  </w:footnote>
  <w:footnote w:id="4">
    <w:p w14:paraId="0F7F14D5" w14:textId="77777777" w:rsidR="00741E63" w:rsidRPr="00A714D5" w:rsidRDefault="00741E63" w:rsidP="006B3B31">
      <w:pPr>
        <w:pStyle w:val="Textpoznpodarou"/>
        <w:jc w:val="both"/>
        <w:rPr>
          <w:rFonts w:ascii="Arial" w:hAnsi="Arial" w:cs="Arial"/>
        </w:rPr>
      </w:pPr>
      <w:r w:rsidRPr="00A714D5">
        <w:rPr>
          <w:rStyle w:val="Znakapoznpodarou"/>
          <w:rFonts w:ascii="Arial" w:hAnsi="Arial" w:cs="Arial"/>
        </w:rPr>
        <w:footnoteRef/>
      </w:r>
      <w:r w:rsidRPr="00A714D5">
        <w:rPr>
          <w:rFonts w:ascii="Arial" w:hAnsi="Arial" w:cs="Arial"/>
        </w:rPr>
        <w:t xml:space="preserve"> Provozovatelem hazardní hry může být také Česká republika – viz § 6 odst. 1 písm. a) zákona o hazardních hrách.</w:t>
      </w:r>
    </w:p>
  </w:footnote>
  <w:footnote w:id="5">
    <w:p w14:paraId="194EED0C" w14:textId="72F77483" w:rsidR="00741E63" w:rsidRPr="00647C5B" w:rsidRDefault="00741E63" w:rsidP="006B3B31">
      <w:pPr>
        <w:pStyle w:val="Textpoznpodarou"/>
        <w:jc w:val="both"/>
        <w:rPr>
          <w:rFonts w:ascii="Arial" w:hAnsi="Arial" w:cs="Arial"/>
        </w:rPr>
      </w:pPr>
      <w:r w:rsidRPr="00647C5B">
        <w:rPr>
          <w:rStyle w:val="Znakapoznpodarou"/>
          <w:rFonts w:ascii="Arial" w:hAnsi="Arial" w:cs="Arial"/>
        </w:rPr>
        <w:footnoteRef/>
      </w:r>
      <w:r w:rsidRPr="00647C5B">
        <w:rPr>
          <w:rFonts w:ascii="Arial" w:hAnsi="Arial" w:cs="Arial"/>
        </w:rPr>
        <w:t xml:space="preserve"> Tyto doklady je nezbytné doložit ze všech států, kde se osoba zdržovala uvedenou dobu v posledních 5 letech, nepostačí vybrat pouze jeden, kde se zdržovala nejdéle.</w:t>
      </w:r>
    </w:p>
  </w:footnote>
  <w:footnote w:id="6">
    <w:p w14:paraId="03E8ABA5" w14:textId="53DC0FDC" w:rsidR="00741E63" w:rsidRPr="009A7F93" w:rsidRDefault="00741E63" w:rsidP="006B3B31">
      <w:pPr>
        <w:pStyle w:val="Textpoznpodarou"/>
        <w:jc w:val="both"/>
        <w:rPr>
          <w:rFonts w:ascii="Arial" w:hAnsi="Arial" w:cs="Arial"/>
        </w:rPr>
      </w:pPr>
      <w:r w:rsidRPr="009A7F93">
        <w:rPr>
          <w:rStyle w:val="Znakapoznpodarou"/>
          <w:rFonts w:ascii="Arial" w:hAnsi="Arial" w:cs="Arial"/>
        </w:rPr>
        <w:footnoteRef/>
      </w:r>
      <w:r w:rsidRPr="009A7F93">
        <w:rPr>
          <w:rFonts w:ascii="Arial" w:hAnsi="Arial" w:cs="Arial"/>
        </w:rPr>
        <w:t xml:space="preserve"> § 13 zákona č. 133/2000 Sb., o evidenci obyvatel a rodných číslech</w:t>
      </w:r>
      <w:r>
        <w:rPr>
          <w:rFonts w:ascii="Arial" w:hAnsi="Arial" w:cs="Arial"/>
        </w:rPr>
        <w:t xml:space="preserve"> a o změně některých zákonů, ve </w:t>
      </w:r>
      <w:r w:rsidRPr="009A7F93">
        <w:rPr>
          <w:rFonts w:ascii="Arial" w:hAnsi="Arial" w:cs="Arial"/>
        </w:rPr>
        <w:t>znění pozdějších předpisů.</w:t>
      </w:r>
    </w:p>
  </w:footnote>
  <w:footnote w:id="7">
    <w:p w14:paraId="100D9AF5" w14:textId="77777777" w:rsidR="00741E63" w:rsidRPr="00C1553D" w:rsidRDefault="00741E63" w:rsidP="006B3B31">
      <w:pPr>
        <w:pStyle w:val="Textpoznpodarou"/>
        <w:jc w:val="both"/>
        <w:rPr>
          <w:rFonts w:ascii="Arial" w:hAnsi="Arial" w:cs="Arial"/>
        </w:rPr>
      </w:pPr>
      <w:r w:rsidRPr="00C1553D">
        <w:rPr>
          <w:rStyle w:val="Znakapoznpodarou"/>
          <w:rFonts w:ascii="Arial" w:hAnsi="Arial" w:cs="Arial"/>
        </w:rPr>
        <w:footnoteRef/>
      </w:r>
      <w:r w:rsidRPr="00C1553D">
        <w:rPr>
          <w:rFonts w:ascii="Arial" w:hAnsi="Arial" w:cs="Arial"/>
        </w:rPr>
        <w:t xml:space="preserve"> § 6 zákona č. 297/2016 Sb. o službách vytvářejících důvěru pro elektronické transakce, ve znění pozdějších předpisů.</w:t>
      </w:r>
    </w:p>
  </w:footnote>
  <w:footnote w:id="8">
    <w:p w14:paraId="74FE5D73" w14:textId="1BF2F006" w:rsidR="00741E63" w:rsidRPr="00C1553D" w:rsidRDefault="00741E63" w:rsidP="006B3B31">
      <w:pPr>
        <w:spacing w:after="0"/>
        <w:rPr>
          <w:rFonts w:cs="Arial"/>
          <w:sz w:val="20"/>
          <w:szCs w:val="20"/>
        </w:rPr>
      </w:pPr>
      <w:r w:rsidRPr="00C1553D">
        <w:rPr>
          <w:rStyle w:val="Znakapoznpodarou"/>
          <w:rFonts w:cs="Arial"/>
          <w:sz w:val="20"/>
          <w:szCs w:val="20"/>
        </w:rPr>
        <w:footnoteRef/>
      </w:r>
      <w:r w:rsidRPr="00C1553D">
        <w:rPr>
          <w:rFonts w:cs="Arial"/>
          <w:sz w:val="20"/>
          <w:szCs w:val="20"/>
        </w:rPr>
        <w:t> </w:t>
      </w:r>
      <w:r w:rsidRPr="00C918C3">
        <w:rPr>
          <w:rFonts w:cs="Arial"/>
          <w:sz w:val="20"/>
          <w:szCs w:val="20"/>
        </w:rPr>
        <w:t>Seznam smluvních států Haagské úmluvy</w:t>
      </w:r>
      <w:r>
        <w:rPr>
          <w:rFonts w:cs="Arial"/>
          <w:sz w:val="20"/>
          <w:szCs w:val="20"/>
        </w:rPr>
        <w:t xml:space="preserve">. </w:t>
      </w:r>
      <w:r w:rsidRPr="00A45F8E">
        <w:rPr>
          <w:rFonts w:cs="Arial"/>
          <w:sz w:val="20"/>
          <w:szCs w:val="20"/>
        </w:rPr>
        <w:t>Hague Conference on Private International Law</w:t>
      </w:r>
      <w:r w:rsidRPr="00C918C3">
        <w:rPr>
          <w:rFonts w:cs="Arial"/>
          <w:sz w:val="20"/>
          <w:szCs w:val="20"/>
        </w:rPr>
        <w:t xml:space="preserve"> [online]. [cit. 2021-6-2]. Dostupné z: https://www.hcch.net/en/instruments/conventions/status-table/?cid=41</w:t>
      </w:r>
    </w:p>
  </w:footnote>
  <w:footnote w:id="9">
    <w:p w14:paraId="5D540AAC" w14:textId="49BAB539" w:rsidR="00741E63" w:rsidRPr="00F57B73" w:rsidRDefault="00741E63" w:rsidP="006B3B31">
      <w:pPr>
        <w:spacing w:after="0"/>
        <w:rPr>
          <w:rFonts w:cs="Arial"/>
          <w:sz w:val="20"/>
          <w:szCs w:val="20"/>
        </w:rPr>
      </w:pPr>
      <w:r w:rsidRPr="00C1553D">
        <w:rPr>
          <w:rStyle w:val="Znakapoznpodarou"/>
          <w:rFonts w:cs="Arial"/>
          <w:sz w:val="20"/>
          <w:szCs w:val="20"/>
        </w:rPr>
        <w:footnoteRef/>
      </w:r>
      <w:r w:rsidRPr="00C1553D">
        <w:rPr>
          <w:rFonts w:cs="Arial"/>
          <w:sz w:val="20"/>
          <w:szCs w:val="20"/>
        </w:rPr>
        <w:t xml:space="preserve"> </w:t>
      </w:r>
      <w:r w:rsidRPr="00A45F8E">
        <w:rPr>
          <w:rFonts w:cs="Arial"/>
          <w:sz w:val="20"/>
          <w:szCs w:val="20"/>
        </w:rPr>
        <w:t>Dvoustranné smlouvy. Justice.cz - Ministerstvo spravedlnosti [online</w:t>
      </w:r>
      <w:r>
        <w:rPr>
          <w:rFonts w:cs="Arial"/>
          <w:sz w:val="20"/>
          <w:szCs w:val="20"/>
        </w:rPr>
        <w:t>]. [cit. 2021-6-2]. Dostupné z: </w:t>
      </w:r>
      <w:r w:rsidRPr="00A45F8E">
        <w:rPr>
          <w:rFonts w:cs="Arial"/>
          <w:sz w:val="20"/>
          <w:szCs w:val="20"/>
        </w:rPr>
        <w:t>https://justice.cz/web/msp/dvoustranne-smlouvy</w:t>
      </w:r>
    </w:p>
  </w:footnote>
  <w:footnote w:id="10">
    <w:p w14:paraId="7C2A5919" w14:textId="77777777" w:rsidR="00741E63" w:rsidRPr="00F57B73" w:rsidRDefault="00741E63" w:rsidP="006167E0">
      <w:pPr>
        <w:pStyle w:val="Textpoznpodarou"/>
        <w:jc w:val="both"/>
        <w:rPr>
          <w:rFonts w:ascii="Arial" w:hAnsi="Arial" w:cs="Arial"/>
        </w:rPr>
      </w:pPr>
      <w:r w:rsidRPr="00F57B73">
        <w:rPr>
          <w:rStyle w:val="Znakapoznpodarou"/>
          <w:rFonts w:ascii="Arial" w:hAnsi="Arial" w:cs="Arial"/>
        </w:rPr>
        <w:footnoteRef/>
      </w:r>
      <w:r w:rsidRPr="00F57B73">
        <w:rPr>
          <w:rFonts w:ascii="Arial" w:hAnsi="Arial" w:cs="Arial"/>
        </w:rPr>
        <w:t xml:space="preserve"> § 33 správního řádu.</w:t>
      </w:r>
    </w:p>
  </w:footnote>
  <w:footnote w:id="11">
    <w:p w14:paraId="7FA91481" w14:textId="77777777" w:rsidR="00741E63" w:rsidRPr="006246AB" w:rsidRDefault="00741E63" w:rsidP="006167E0">
      <w:pPr>
        <w:pStyle w:val="Textpoznpodarou"/>
        <w:jc w:val="both"/>
        <w:rPr>
          <w:rFonts w:ascii="Arial" w:hAnsi="Arial" w:cs="Arial"/>
        </w:rPr>
      </w:pPr>
      <w:r w:rsidRPr="00F57B73">
        <w:rPr>
          <w:rStyle w:val="Znakapoznpodarou"/>
          <w:rFonts w:ascii="Arial" w:hAnsi="Arial" w:cs="Arial"/>
        </w:rPr>
        <w:footnoteRef/>
      </w:r>
      <w:r w:rsidRPr="00F57B73">
        <w:rPr>
          <w:rFonts w:ascii="Arial" w:hAnsi="Arial" w:cs="Arial"/>
        </w:rPr>
        <w:t xml:space="preserve"> Z uvedeného důvodu je přistupováno k tomu, že v případech doplnění nebo oprav doložených výstupních dokumentů pověřenou osobou, je nezbytné, aby originál nebo úředně ověřenou kopii takové opravy dodal samotný žadatel, nikoliv pověřená osoba. Pověřená osoba totiž není oprávněna jednat za žadatele v rámci daného správního řízení.</w:t>
      </w:r>
    </w:p>
  </w:footnote>
  <w:footnote w:id="12">
    <w:p w14:paraId="1484A5F5" w14:textId="50168DA9" w:rsidR="00741E63" w:rsidRPr="006167E0" w:rsidRDefault="00741E63" w:rsidP="006B3B31">
      <w:pPr>
        <w:pStyle w:val="Default"/>
        <w:jc w:val="both"/>
        <w:rPr>
          <w:rFonts w:ascii="Arial" w:hAnsi="Arial" w:cs="Arial"/>
          <w:sz w:val="20"/>
          <w:szCs w:val="20"/>
        </w:rPr>
      </w:pPr>
      <w:r w:rsidRPr="006167E0">
        <w:rPr>
          <w:rStyle w:val="Znakapoznpodarou"/>
          <w:rFonts w:ascii="Arial" w:hAnsi="Arial" w:cs="Arial"/>
          <w:sz w:val="20"/>
          <w:szCs w:val="20"/>
        </w:rPr>
        <w:footnoteRef/>
      </w:r>
      <w:r w:rsidRPr="006167E0">
        <w:rPr>
          <w:rFonts w:ascii="Arial" w:hAnsi="Arial" w:cs="Arial"/>
          <w:sz w:val="20"/>
          <w:szCs w:val="20"/>
        </w:rPr>
        <w:t xml:space="preserve"> Poučení o opravném prostředku znělo následovně: </w:t>
      </w:r>
      <w:r w:rsidRPr="006167E0">
        <w:rPr>
          <w:rFonts w:ascii="Arial" w:hAnsi="Arial" w:cs="Arial"/>
          <w:i/>
          <w:iCs/>
          <w:sz w:val="20"/>
          <w:szCs w:val="20"/>
        </w:rPr>
        <w:t>„Proti tomuto rozhodnutí lze v rozsahu, který se týká předmětu této zm</w:t>
      </w:r>
      <w:r>
        <w:rPr>
          <w:rFonts w:ascii="Arial" w:hAnsi="Arial" w:cs="Arial"/>
          <w:i/>
          <w:iCs/>
          <w:sz w:val="20"/>
          <w:szCs w:val="20"/>
        </w:rPr>
        <w:t>ěny, u M</w:t>
      </w:r>
      <w:r w:rsidRPr="006167E0">
        <w:rPr>
          <w:rFonts w:ascii="Arial" w:hAnsi="Arial" w:cs="Arial"/>
          <w:i/>
          <w:iCs/>
          <w:sz w:val="20"/>
          <w:szCs w:val="20"/>
        </w:rPr>
        <w:t>inisterstva</w:t>
      </w:r>
      <w:r>
        <w:rPr>
          <w:rFonts w:ascii="Arial" w:hAnsi="Arial" w:cs="Arial"/>
          <w:i/>
          <w:iCs/>
          <w:sz w:val="20"/>
          <w:szCs w:val="20"/>
        </w:rPr>
        <w:t xml:space="preserve"> financí</w:t>
      </w:r>
      <w:r w:rsidRPr="006167E0">
        <w:rPr>
          <w:rFonts w:ascii="Arial" w:hAnsi="Arial" w:cs="Arial"/>
          <w:i/>
          <w:iCs/>
          <w:sz w:val="20"/>
          <w:szCs w:val="20"/>
        </w:rPr>
        <w:t xml:space="preserve"> podat rozklad podle ustanovení § 152 odst. 1 správního řádu, a to ve lhůtě 15 dnů od dne oznámení rozhodnutí.[…]”. </w:t>
      </w:r>
    </w:p>
    <w:p w14:paraId="3FDF5CAE" w14:textId="77777777" w:rsidR="00741E63" w:rsidRDefault="00741E63" w:rsidP="006B3B31">
      <w:pPr>
        <w:pStyle w:val="Textpoznpodarou"/>
      </w:pPr>
    </w:p>
  </w:footnote>
  <w:footnote w:id="13">
    <w:p w14:paraId="76F34D48" w14:textId="77777777" w:rsidR="00741E63" w:rsidRPr="00A8773C" w:rsidRDefault="00741E63" w:rsidP="006B3B31">
      <w:pPr>
        <w:pStyle w:val="Textpoznpodarou"/>
        <w:jc w:val="both"/>
        <w:rPr>
          <w:rFonts w:ascii="Arial" w:hAnsi="Arial" w:cs="Arial"/>
        </w:rPr>
      </w:pPr>
      <w:r w:rsidRPr="00A8773C">
        <w:rPr>
          <w:rStyle w:val="Znakapoznpodarou"/>
          <w:rFonts w:ascii="Arial" w:hAnsi="Arial" w:cs="Arial"/>
        </w:rPr>
        <w:footnoteRef/>
      </w:r>
      <w:r w:rsidRPr="00A8773C">
        <w:rPr>
          <w:rFonts w:ascii="Arial" w:hAnsi="Arial" w:cs="Arial"/>
        </w:rPr>
        <w:t xml:space="preserve"> Podmínka je následující znění: </w:t>
      </w:r>
      <w:r w:rsidRPr="00A8773C">
        <w:rPr>
          <w:rFonts w:ascii="Arial" w:hAnsi="Arial" w:cs="Arial"/>
          <w:i/>
        </w:rPr>
        <w:t>„Nejpozději ke dni nabytí právní moci, případně účinnosti, tohoto rozhodnutí provozovatel zruší uživatelská konta účastníků hazardních her a vypořádá jejich zůstatky obdobným způsobem popsaným v článku X herního plánu.“</w:t>
      </w:r>
    </w:p>
  </w:footnote>
  <w:footnote w:id="14">
    <w:p w14:paraId="6EE8CDB2" w14:textId="29692145" w:rsidR="00741E63" w:rsidRPr="000C4A43" w:rsidRDefault="00741E63" w:rsidP="006B3B31">
      <w:pPr>
        <w:pStyle w:val="Textpoznpodarou"/>
        <w:jc w:val="both"/>
        <w:rPr>
          <w:rFonts w:ascii="Arial" w:hAnsi="Arial" w:cs="Arial"/>
        </w:rPr>
      </w:pPr>
      <w:r w:rsidRPr="000C4A43">
        <w:rPr>
          <w:rStyle w:val="Znakapoznpodarou"/>
          <w:rFonts w:ascii="Arial" w:hAnsi="Arial" w:cs="Arial"/>
        </w:rPr>
        <w:footnoteRef/>
      </w:r>
      <w:r w:rsidRPr="000C4A43">
        <w:rPr>
          <w:rFonts w:ascii="Arial" w:hAnsi="Arial" w:cs="Arial"/>
        </w:rPr>
        <w:t xml:space="preserve"> Rozsudek NSS ze dne 18. 9. 2015 č. j. 5 As 147/2014-53, rozsud</w:t>
      </w:r>
      <w:r>
        <w:rPr>
          <w:rFonts w:ascii="Arial" w:hAnsi="Arial" w:cs="Arial"/>
        </w:rPr>
        <w:t>ek NSS ze dne 4. 12. 2019 č. j. </w:t>
      </w:r>
      <w:r w:rsidRPr="000C4A43">
        <w:rPr>
          <w:rFonts w:ascii="Arial" w:hAnsi="Arial" w:cs="Arial"/>
        </w:rPr>
        <w:t>10 As 252/2019-256, rozsudek NSS ze dne 13. 6. 2013 č.</w:t>
      </w:r>
      <w:r>
        <w:rPr>
          <w:rFonts w:ascii="Arial" w:hAnsi="Arial" w:cs="Arial"/>
        </w:rPr>
        <w:t xml:space="preserve"> </w:t>
      </w:r>
      <w:r w:rsidRPr="000C4A43">
        <w:rPr>
          <w:rFonts w:ascii="Arial" w:hAnsi="Arial" w:cs="Arial"/>
        </w:rPr>
        <w:t>j.</w:t>
      </w:r>
      <w:r>
        <w:rPr>
          <w:rFonts w:ascii="Arial" w:hAnsi="Arial" w:cs="Arial"/>
        </w:rPr>
        <w:t xml:space="preserve"> 6 </w:t>
      </w:r>
      <w:r w:rsidRPr="000C4A43">
        <w:rPr>
          <w:rFonts w:ascii="Arial" w:hAnsi="Arial" w:cs="Arial"/>
        </w:rPr>
        <w:t>Ads 139/2012 – 58.</w:t>
      </w:r>
    </w:p>
  </w:footnote>
  <w:footnote w:id="15">
    <w:p w14:paraId="74282052" w14:textId="77777777" w:rsidR="00741E63" w:rsidRPr="00130261" w:rsidRDefault="00741E63" w:rsidP="006B3B31">
      <w:pPr>
        <w:pStyle w:val="Textpoznpodarou"/>
        <w:jc w:val="both"/>
        <w:rPr>
          <w:rFonts w:ascii="Arial" w:hAnsi="Arial" w:cs="Arial"/>
        </w:rPr>
      </w:pPr>
      <w:r w:rsidRPr="00130261">
        <w:rPr>
          <w:rStyle w:val="Znakapoznpodarou"/>
          <w:rFonts w:ascii="Arial" w:hAnsi="Arial" w:cs="Arial"/>
        </w:rPr>
        <w:footnoteRef/>
      </w:r>
      <w:r w:rsidRPr="00130261">
        <w:rPr>
          <w:rFonts w:ascii="Arial" w:hAnsi="Arial" w:cs="Arial"/>
        </w:rPr>
        <w:t xml:space="preserve"> § 456 odst. 2 zákona č. 90/2012 Sb., o obchodních společnostech a družstvech (zákon o</w:t>
      </w:r>
      <w:r>
        <w:rPr>
          <w:rFonts w:ascii="Arial" w:hAnsi="Arial" w:cs="Arial"/>
        </w:rPr>
        <w:t> </w:t>
      </w:r>
      <w:r w:rsidRPr="00130261">
        <w:rPr>
          <w:rFonts w:ascii="Arial" w:hAnsi="Arial" w:cs="Arial"/>
        </w:rPr>
        <w:t>obchodních korporacích), ve znění pozdějších předpisů stanoví, že správní radě přísluší obchodní vedení a dohled nad činností společnosti.</w:t>
      </w:r>
    </w:p>
  </w:footnote>
  <w:footnote w:id="16">
    <w:p w14:paraId="426CD0F7" w14:textId="77777777" w:rsidR="00741E63" w:rsidRPr="002F2B13" w:rsidRDefault="00741E63" w:rsidP="006B3B31">
      <w:pPr>
        <w:pStyle w:val="Textpoznpodarou"/>
        <w:jc w:val="both"/>
        <w:rPr>
          <w:rFonts w:ascii="Arial" w:hAnsi="Arial" w:cs="Arial"/>
        </w:rPr>
      </w:pPr>
      <w:r w:rsidRPr="002F2B13">
        <w:rPr>
          <w:rStyle w:val="Znakapoznpodarou"/>
          <w:rFonts w:ascii="Arial" w:hAnsi="Arial" w:cs="Arial"/>
        </w:rPr>
        <w:footnoteRef/>
      </w:r>
      <w:r w:rsidRPr="002F2B13">
        <w:rPr>
          <w:rFonts w:ascii="Arial" w:hAnsi="Arial" w:cs="Arial"/>
        </w:rPr>
        <w:t xml:space="preserve"> Bydliště definuje § 80 odst. 1 </w:t>
      </w:r>
      <w:r>
        <w:rPr>
          <w:rFonts w:ascii="Arial" w:hAnsi="Arial" w:cs="Arial"/>
        </w:rPr>
        <w:t>občanského zákoníku</w:t>
      </w:r>
      <w:r w:rsidRPr="002F2B13">
        <w:rPr>
          <w:rFonts w:ascii="Arial" w:hAnsi="Arial" w:cs="Arial"/>
        </w:rPr>
        <w:t>: „</w:t>
      </w:r>
      <w:r w:rsidRPr="002F2B13">
        <w:rPr>
          <w:rFonts w:ascii="Arial" w:hAnsi="Arial" w:cs="Arial"/>
          <w:i/>
        </w:rPr>
        <w:t>Člověk má bydliště v místě, kde se zdržuje s</w:t>
      </w:r>
      <w:r>
        <w:rPr>
          <w:rFonts w:ascii="Arial" w:hAnsi="Arial" w:cs="Arial"/>
          <w:i/>
        </w:rPr>
        <w:t> </w:t>
      </w:r>
      <w:r w:rsidRPr="002F2B13">
        <w:rPr>
          <w:rFonts w:ascii="Arial" w:hAnsi="Arial" w:cs="Arial"/>
          <w:i/>
        </w:rPr>
        <w:t>úmyslem žít tam s výhradou změny okolností trvale; takový úmysl může vyplývat z jeho prohlášení nebo z okolností případu</w:t>
      </w:r>
      <w:r w:rsidRPr="002F2B13">
        <w:rPr>
          <w:rFonts w:ascii="Arial" w:hAnsi="Arial" w:cs="Arial"/>
        </w:rPr>
        <w:t>.“</w:t>
      </w:r>
    </w:p>
  </w:footnote>
  <w:footnote w:id="17">
    <w:p w14:paraId="63997237" w14:textId="77777777" w:rsidR="00741E63" w:rsidRPr="00622A54" w:rsidRDefault="00741E63" w:rsidP="006B3B31">
      <w:pPr>
        <w:pStyle w:val="Textpoznpodarou"/>
        <w:jc w:val="both"/>
        <w:rPr>
          <w:rFonts w:ascii="Arial" w:hAnsi="Arial" w:cs="Arial"/>
        </w:rPr>
      </w:pPr>
      <w:r w:rsidRPr="00622A54">
        <w:rPr>
          <w:rStyle w:val="Znakapoznpodarou"/>
          <w:rFonts w:ascii="Arial" w:hAnsi="Arial" w:cs="Arial"/>
        </w:rPr>
        <w:footnoteRef/>
      </w:r>
      <w:r w:rsidRPr="00622A54">
        <w:rPr>
          <w:rFonts w:ascii="Arial" w:hAnsi="Arial" w:cs="Arial"/>
        </w:rPr>
        <w:t xml:space="preserve"> Na provoz podniku musí být vyčleněno dostatečné množství finančních prostředků.</w:t>
      </w:r>
    </w:p>
  </w:footnote>
  <w:footnote w:id="18">
    <w:p w14:paraId="10BF83B2" w14:textId="77777777" w:rsidR="00741E63" w:rsidRPr="00622A54" w:rsidRDefault="00741E63" w:rsidP="006B3B31">
      <w:pPr>
        <w:pStyle w:val="Textpoznpodarou"/>
        <w:jc w:val="both"/>
        <w:rPr>
          <w:rFonts w:ascii="Arial" w:hAnsi="Arial" w:cs="Arial"/>
        </w:rPr>
      </w:pPr>
      <w:r w:rsidRPr="00622A54">
        <w:rPr>
          <w:rStyle w:val="Znakapoznpodarou"/>
          <w:rFonts w:ascii="Arial" w:hAnsi="Arial" w:cs="Arial"/>
        </w:rPr>
        <w:footnoteRef/>
      </w:r>
      <w:r w:rsidRPr="00622A54">
        <w:rPr>
          <w:rFonts w:ascii="Arial" w:hAnsi="Arial" w:cs="Arial"/>
        </w:rPr>
        <w:t xml:space="preserve"> Francie má zavedenou tzv. záruku hráčských aktiv, kdy provozovatel odůvodňuje/dokládá existenci cenného papíru, svěřen</w:t>
      </w:r>
      <w:r>
        <w:rPr>
          <w:rFonts w:ascii="Arial" w:hAnsi="Arial" w:cs="Arial"/>
        </w:rPr>
        <w:t>ec</w:t>
      </w:r>
      <w:r w:rsidRPr="00622A54">
        <w:rPr>
          <w:rFonts w:ascii="Arial" w:hAnsi="Arial" w:cs="Arial"/>
        </w:rPr>
        <w:t>kého fondu, pojištění, vázaného účtu nebo jiného nástroje či mechanismu, který za všech okolností zaručuje splacení všech aktiv, které byly poskytnuty ze strany hráčů.</w:t>
      </w:r>
    </w:p>
  </w:footnote>
  <w:footnote w:id="19">
    <w:p w14:paraId="1E2C03BB" w14:textId="77777777" w:rsidR="00741E63" w:rsidRDefault="00741E63" w:rsidP="006B3B31">
      <w:pPr>
        <w:pStyle w:val="Textpoznpodarou"/>
        <w:jc w:val="both"/>
      </w:pPr>
      <w:r w:rsidRPr="00622A54">
        <w:rPr>
          <w:rStyle w:val="Znakapoznpodarou"/>
          <w:rFonts w:ascii="Arial" w:hAnsi="Arial" w:cs="Arial"/>
        </w:rPr>
        <w:footnoteRef/>
      </w:r>
      <w:r w:rsidRPr="00622A54">
        <w:rPr>
          <w:rFonts w:ascii="Arial" w:hAnsi="Arial" w:cs="Arial"/>
        </w:rPr>
        <w:t xml:space="preserve"> Litva má nastavenou podmínku, která se pohybuje na rozmezí finanční záruky a finanční udržitelnosti, kdy je požadována existence finančních prostředků, která však může zůstat na účtu společnosti.</w:t>
      </w:r>
    </w:p>
  </w:footnote>
  <w:footnote w:id="20">
    <w:p w14:paraId="1997DC07" w14:textId="1E9CC404" w:rsidR="00741E63" w:rsidRPr="004F7FA9" w:rsidRDefault="00741E63" w:rsidP="004F7FA9">
      <w:pPr>
        <w:pStyle w:val="Textpoznpodarou"/>
        <w:jc w:val="both"/>
        <w:rPr>
          <w:rFonts w:ascii="Arial" w:hAnsi="Arial" w:cs="Arial"/>
        </w:rPr>
      </w:pPr>
      <w:r w:rsidRPr="004F7FA9">
        <w:rPr>
          <w:rStyle w:val="Znakapoznpodarou"/>
          <w:rFonts w:ascii="Arial" w:hAnsi="Arial" w:cs="Arial"/>
        </w:rPr>
        <w:footnoteRef/>
      </w:r>
      <w:r w:rsidRPr="004F7FA9">
        <w:rPr>
          <w:rFonts w:ascii="Arial" w:hAnsi="Arial" w:cs="Arial"/>
        </w:rPr>
        <w:t xml:space="preserve"> </w:t>
      </w:r>
      <w:r w:rsidRPr="00505AB5">
        <w:rPr>
          <w:rFonts w:ascii="Arial" w:hAnsi="Arial" w:cs="Arial"/>
        </w:rPr>
        <w:t>Metodický pokyn a formulář k vyplnění žádosti o vydání povolení k umístění herního prostoru. Ministerstvo financí [online</w:t>
      </w:r>
      <w:r>
        <w:rPr>
          <w:rFonts w:ascii="Arial" w:hAnsi="Arial" w:cs="Arial"/>
        </w:rPr>
        <w:t>]. [cit. 2021-6-2]. Dostupné z: </w:t>
      </w:r>
      <w:r w:rsidRPr="00505AB5">
        <w:rPr>
          <w:rFonts w:ascii="Arial" w:hAnsi="Arial" w:cs="Arial"/>
        </w:rPr>
        <w:t>https://www.mfcr.cz/cs/legislativa/metodiky/2016/metodicky-pokyn-a-formular-k-vyplneni-za-26913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BB4D1" w14:textId="6A14D9F2" w:rsidR="00741E63" w:rsidRPr="008533C8" w:rsidRDefault="00741E63" w:rsidP="0045079E">
    <w:pPr>
      <w:pStyle w:val="Zhlav"/>
      <w:jc w:val="right"/>
      <w:rPr>
        <w:sz w:val="20"/>
      </w:rPr>
    </w:pPr>
    <w:r w:rsidRPr="008533C8">
      <w:rPr>
        <w:sz w:val="20"/>
      </w:rPr>
      <w:t xml:space="preserve">Příloha č. </w:t>
    </w:r>
    <w:r w:rsidR="00F32808">
      <w:rPr>
        <w:sz w:val="20"/>
      </w:rPr>
      <w:t>9</w:t>
    </w:r>
    <w:r w:rsidRPr="008533C8">
      <w:rPr>
        <w:sz w:val="20"/>
      </w:rPr>
      <w:t xml:space="preserve"> Hodnocení dopadů regulace zákona o hazardních hrách a souvisejících právních předpisů</w:t>
    </w:r>
  </w:p>
  <w:p w14:paraId="52C0700A" w14:textId="77777777" w:rsidR="00741E63" w:rsidRDefault="00741E6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B6307"/>
    <w:multiLevelType w:val="hybridMultilevel"/>
    <w:tmpl w:val="9F003C40"/>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773337"/>
    <w:multiLevelType w:val="multilevel"/>
    <w:tmpl w:val="17AC78A6"/>
    <w:lvl w:ilvl="0">
      <w:start w:val="1"/>
      <w:numFmt w:val="upperLetter"/>
      <w:pStyle w:val="Nadpis5"/>
      <w:lvlText w:val="%1."/>
      <w:lvlJc w:val="left"/>
      <w:pPr>
        <w:ind w:left="717" w:hanging="360"/>
      </w:pPr>
      <w:rPr>
        <w:rFonts w:hint="default"/>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decimal"/>
      <w:isLg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4AA0057"/>
    <w:multiLevelType w:val="hybridMultilevel"/>
    <w:tmpl w:val="66621C1E"/>
    <w:lvl w:ilvl="0" w:tplc="F3E666E0">
      <w:start w:val="1"/>
      <w:numFmt w:val="bullet"/>
      <w:lvlText w:val=""/>
      <w:lvlJc w:val="left"/>
      <w:pPr>
        <w:ind w:left="720" w:hanging="360"/>
      </w:pPr>
      <w:rPr>
        <w:rFonts w:ascii="Symbol" w:hAnsi="Symbo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3B5FB1"/>
    <w:multiLevelType w:val="hybridMultilevel"/>
    <w:tmpl w:val="BDA03EF4"/>
    <w:lvl w:ilvl="0" w:tplc="61E273E4">
      <w:start w:val="1"/>
      <w:numFmt w:val="lowerRoman"/>
      <w:pStyle w:val="Nadpis6"/>
      <w:lvlText w:val="%1."/>
      <w:lvlJc w:val="right"/>
      <w:pPr>
        <w:ind w:left="502"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2E30856"/>
    <w:multiLevelType w:val="hybridMultilevel"/>
    <w:tmpl w:val="9F6471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9654466"/>
    <w:multiLevelType w:val="hybridMultilevel"/>
    <w:tmpl w:val="9290458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3D81AA4"/>
    <w:multiLevelType w:val="hybridMultilevel"/>
    <w:tmpl w:val="332C77D2"/>
    <w:lvl w:ilvl="0" w:tplc="42AAD64E">
      <w:start w:val="1"/>
      <w:numFmt w:val="decimal"/>
      <w:pStyle w:val="slovanodstavec"/>
      <w:suff w:val="space"/>
      <w:lvlText w:val="[%1]"/>
      <w:lvlJc w:val="left"/>
      <w:pPr>
        <w:ind w:left="284" w:firstLine="0"/>
      </w:pPr>
      <w:rPr>
        <w:rFonts w:hint="default"/>
        <w:b w:val="0"/>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7" w15:restartNumberingAfterBreak="0">
    <w:nsid w:val="387E72AA"/>
    <w:multiLevelType w:val="hybridMultilevel"/>
    <w:tmpl w:val="4C884E74"/>
    <w:lvl w:ilvl="0" w:tplc="33A236F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58737E6B"/>
    <w:multiLevelType w:val="hybridMultilevel"/>
    <w:tmpl w:val="62A834B2"/>
    <w:lvl w:ilvl="0" w:tplc="6D94407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F3A0050"/>
    <w:multiLevelType w:val="multilevel"/>
    <w:tmpl w:val="DEDEAB28"/>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1003"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Nadpis7"/>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10"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6BF26585"/>
    <w:multiLevelType w:val="hybridMultilevel"/>
    <w:tmpl w:val="21FAF0FA"/>
    <w:lvl w:ilvl="0" w:tplc="061E03B6">
      <w:start w:val="1"/>
      <w:numFmt w:val="upperLetter"/>
      <w:lvlText w:val="%1."/>
      <w:lvlJc w:val="lef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1FB70A6"/>
    <w:multiLevelType w:val="hybridMultilevel"/>
    <w:tmpl w:val="A02A033C"/>
    <w:lvl w:ilvl="0" w:tplc="20305B7C">
      <w:start w:val="1"/>
      <w:numFmt w:val="decimal"/>
      <w:pStyle w:val="Dvodovzprvakbodu"/>
      <w:suff w:val="space"/>
      <w:lvlText w:val="K bodu %1"/>
      <w:lvlJc w:val="left"/>
      <w:pPr>
        <w:ind w:left="0" w:firstLine="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9"/>
  </w:num>
  <w:num w:numId="2">
    <w:abstractNumId w:val="11"/>
  </w:num>
  <w:num w:numId="3">
    <w:abstractNumId w:val="3"/>
  </w:num>
  <w:num w:numId="4">
    <w:abstractNumId w:val="3"/>
    <w:lvlOverride w:ilvl="0">
      <w:startOverride w:val="1"/>
    </w:lvlOverride>
  </w:num>
  <w:num w:numId="5">
    <w:abstractNumId w:val="8"/>
  </w:num>
  <w:num w:numId="6">
    <w:abstractNumId w:val="1"/>
  </w:num>
  <w:num w:numId="7">
    <w:abstractNumId w:val="3"/>
    <w:lvlOverride w:ilvl="0">
      <w:startOverride w:val="1"/>
    </w:lvlOverride>
  </w:num>
  <w:num w:numId="8">
    <w:abstractNumId w:val="6"/>
  </w:num>
  <w:num w:numId="9">
    <w:abstractNumId w:val="3"/>
    <w:lvlOverride w:ilvl="0">
      <w:startOverride w:val="1"/>
    </w:lvlOverride>
  </w:num>
  <w:num w:numId="10">
    <w:abstractNumId w:val="0"/>
  </w:num>
  <w:num w:numId="11">
    <w:abstractNumId w:val="3"/>
    <w:lvlOverride w:ilvl="0">
      <w:startOverride w:val="1"/>
    </w:lvlOverride>
  </w:num>
  <w:num w:numId="12">
    <w:abstractNumId w:val="3"/>
    <w:lvlOverride w:ilvl="0">
      <w:startOverride w:val="1"/>
    </w:lvlOverride>
  </w:num>
  <w:num w:numId="13">
    <w:abstractNumId w:val="2"/>
  </w:num>
  <w:num w:numId="14">
    <w:abstractNumId w:val="5"/>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12"/>
  </w:num>
  <w:num w:numId="20">
    <w:abstractNumId w:val="4"/>
  </w:num>
  <w:num w:numId="21">
    <w:abstractNumId w:val="7"/>
  </w:num>
  <w:num w:numId="22">
    <w:abstractNumId w:val="10"/>
  </w:num>
  <w:num w:numId="23">
    <w:abstractNumId w:val="3"/>
    <w:lvlOverride w:ilvl="0">
      <w:startOverride w:val="1"/>
    </w:lvlOverride>
  </w:num>
  <w:num w:numId="24">
    <w:abstractNumId w:val="3"/>
    <w:lvlOverride w:ilvl="0">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4257"/>
    <w:rsid w:val="00004CAA"/>
    <w:rsid w:val="00005302"/>
    <w:rsid w:val="00007B49"/>
    <w:rsid w:val="000105E5"/>
    <w:rsid w:val="00013073"/>
    <w:rsid w:val="00014CAE"/>
    <w:rsid w:val="00021A93"/>
    <w:rsid w:val="000221D3"/>
    <w:rsid w:val="00022940"/>
    <w:rsid w:val="00026175"/>
    <w:rsid w:val="00027647"/>
    <w:rsid w:val="00053691"/>
    <w:rsid w:val="00066D81"/>
    <w:rsid w:val="0007706F"/>
    <w:rsid w:val="00077666"/>
    <w:rsid w:val="00080B69"/>
    <w:rsid w:val="00080D2A"/>
    <w:rsid w:val="0008162A"/>
    <w:rsid w:val="000836D4"/>
    <w:rsid w:val="0009229E"/>
    <w:rsid w:val="0009269F"/>
    <w:rsid w:val="00093CD6"/>
    <w:rsid w:val="0009655B"/>
    <w:rsid w:val="00097F70"/>
    <w:rsid w:val="000A21C0"/>
    <w:rsid w:val="000A2846"/>
    <w:rsid w:val="000A28D2"/>
    <w:rsid w:val="000A50E7"/>
    <w:rsid w:val="000B01A0"/>
    <w:rsid w:val="000B0DFE"/>
    <w:rsid w:val="000B15C0"/>
    <w:rsid w:val="000B16B5"/>
    <w:rsid w:val="000B2632"/>
    <w:rsid w:val="000B406A"/>
    <w:rsid w:val="000B58A2"/>
    <w:rsid w:val="000C0A07"/>
    <w:rsid w:val="000C198C"/>
    <w:rsid w:val="000C27B8"/>
    <w:rsid w:val="000C38C0"/>
    <w:rsid w:val="000C52C2"/>
    <w:rsid w:val="000C5BEF"/>
    <w:rsid w:val="000C6602"/>
    <w:rsid w:val="000D01F0"/>
    <w:rsid w:val="000D04BD"/>
    <w:rsid w:val="000E4FD5"/>
    <w:rsid w:val="000E5B21"/>
    <w:rsid w:val="000E6348"/>
    <w:rsid w:val="000F26C0"/>
    <w:rsid w:val="000F344F"/>
    <w:rsid w:val="0010145E"/>
    <w:rsid w:val="00102FAA"/>
    <w:rsid w:val="00104E85"/>
    <w:rsid w:val="00105566"/>
    <w:rsid w:val="00105739"/>
    <w:rsid w:val="00110F51"/>
    <w:rsid w:val="00113174"/>
    <w:rsid w:val="001134E1"/>
    <w:rsid w:val="00113992"/>
    <w:rsid w:val="0011442F"/>
    <w:rsid w:val="00115126"/>
    <w:rsid w:val="001374C4"/>
    <w:rsid w:val="00142D3F"/>
    <w:rsid w:val="00142E24"/>
    <w:rsid w:val="00146097"/>
    <w:rsid w:val="00151439"/>
    <w:rsid w:val="00156AD0"/>
    <w:rsid w:val="00160092"/>
    <w:rsid w:val="001608EB"/>
    <w:rsid w:val="001613B6"/>
    <w:rsid w:val="001627C6"/>
    <w:rsid w:val="00171027"/>
    <w:rsid w:val="00171292"/>
    <w:rsid w:val="00176A3A"/>
    <w:rsid w:val="001770A0"/>
    <w:rsid w:val="0018359B"/>
    <w:rsid w:val="00185EB7"/>
    <w:rsid w:val="00186C25"/>
    <w:rsid w:val="0018733A"/>
    <w:rsid w:val="001875E6"/>
    <w:rsid w:val="00187F36"/>
    <w:rsid w:val="001A0F13"/>
    <w:rsid w:val="001A3165"/>
    <w:rsid w:val="001A58FF"/>
    <w:rsid w:val="001B5AA0"/>
    <w:rsid w:val="001C327C"/>
    <w:rsid w:val="001C5AA1"/>
    <w:rsid w:val="001C6495"/>
    <w:rsid w:val="001D0695"/>
    <w:rsid w:val="001D1A8B"/>
    <w:rsid w:val="001E5B06"/>
    <w:rsid w:val="001E6B79"/>
    <w:rsid w:val="001F0F94"/>
    <w:rsid w:val="001F10A5"/>
    <w:rsid w:val="001F3D5C"/>
    <w:rsid w:val="001F505B"/>
    <w:rsid w:val="001F6039"/>
    <w:rsid w:val="00205047"/>
    <w:rsid w:val="00212609"/>
    <w:rsid w:val="00212908"/>
    <w:rsid w:val="00212DD1"/>
    <w:rsid w:val="00217926"/>
    <w:rsid w:val="00217CCE"/>
    <w:rsid w:val="00221D0B"/>
    <w:rsid w:val="002325D6"/>
    <w:rsid w:val="00242537"/>
    <w:rsid w:val="00243706"/>
    <w:rsid w:val="002447E0"/>
    <w:rsid w:val="00244A60"/>
    <w:rsid w:val="00246176"/>
    <w:rsid w:val="00252F3F"/>
    <w:rsid w:val="00253244"/>
    <w:rsid w:val="00255283"/>
    <w:rsid w:val="00255450"/>
    <w:rsid w:val="00256B59"/>
    <w:rsid w:val="00262235"/>
    <w:rsid w:val="00272425"/>
    <w:rsid w:val="00272E43"/>
    <w:rsid w:val="002776E6"/>
    <w:rsid w:val="00280B85"/>
    <w:rsid w:val="00283300"/>
    <w:rsid w:val="0028393C"/>
    <w:rsid w:val="00291A25"/>
    <w:rsid w:val="002A127E"/>
    <w:rsid w:val="002A3493"/>
    <w:rsid w:val="002A436B"/>
    <w:rsid w:val="002A6FEA"/>
    <w:rsid w:val="002A71F0"/>
    <w:rsid w:val="002C04B6"/>
    <w:rsid w:val="002C479A"/>
    <w:rsid w:val="002C697B"/>
    <w:rsid w:val="002C73AB"/>
    <w:rsid w:val="002C7DF3"/>
    <w:rsid w:val="002D0576"/>
    <w:rsid w:val="002D264D"/>
    <w:rsid w:val="002D389C"/>
    <w:rsid w:val="002D3A0B"/>
    <w:rsid w:val="002D502D"/>
    <w:rsid w:val="002E0B98"/>
    <w:rsid w:val="002E0DEB"/>
    <w:rsid w:val="002E13BB"/>
    <w:rsid w:val="002E6EC3"/>
    <w:rsid w:val="002F025A"/>
    <w:rsid w:val="002F042E"/>
    <w:rsid w:val="002F0AB2"/>
    <w:rsid w:val="002F1AA6"/>
    <w:rsid w:val="002F6E38"/>
    <w:rsid w:val="002F7CCB"/>
    <w:rsid w:val="00300B5A"/>
    <w:rsid w:val="00302FDF"/>
    <w:rsid w:val="00304091"/>
    <w:rsid w:val="0030629E"/>
    <w:rsid w:val="003110CD"/>
    <w:rsid w:val="00312257"/>
    <w:rsid w:val="00314835"/>
    <w:rsid w:val="00326066"/>
    <w:rsid w:val="00332623"/>
    <w:rsid w:val="003405C9"/>
    <w:rsid w:val="0034328E"/>
    <w:rsid w:val="00345AB2"/>
    <w:rsid w:val="00346482"/>
    <w:rsid w:val="003519E5"/>
    <w:rsid w:val="00351D41"/>
    <w:rsid w:val="003529F1"/>
    <w:rsid w:val="00355872"/>
    <w:rsid w:val="00355C85"/>
    <w:rsid w:val="00356E50"/>
    <w:rsid w:val="0035740C"/>
    <w:rsid w:val="00365ED5"/>
    <w:rsid w:val="00367E3E"/>
    <w:rsid w:val="00371C23"/>
    <w:rsid w:val="00372887"/>
    <w:rsid w:val="00374764"/>
    <w:rsid w:val="00380BDE"/>
    <w:rsid w:val="003972F8"/>
    <w:rsid w:val="003B0BE0"/>
    <w:rsid w:val="003B66F3"/>
    <w:rsid w:val="003B6C8F"/>
    <w:rsid w:val="003C3B30"/>
    <w:rsid w:val="003C60E7"/>
    <w:rsid w:val="003D18CD"/>
    <w:rsid w:val="003D24FE"/>
    <w:rsid w:val="003D7045"/>
    <w:rsid w:val="003E096A"/>
    <w:rsid w:val="003E0AC7"/>
    <w:rsid w:val="003F10B6"/>
    <w:rsid w:val="003F387B"/>
    <w:rsid w:val="003F3C0C"/>
    <w:rsid w:val="003F4861"/>
    <w:rsid w:val="00401956"/>
    <w:rsid w:val="0041134D"/>
    <w:rsid w:val="00425E48"/>
    <w:rsid w:val="00430225"/>
    <w:rsid w:val="004325D3"/>
    <w:rsid w:val="004411E4"/>
    <w:rsid w:val="00441501"/>
    <w:rsid w:val="00441A86"/>
    <w:rsid w:val="0045079E"/>
    <w:rsid w:val="00461CDF"/>
    <w:rsid w:val="00462D07"/>
    <w:rsid w:val="004655AF"/>
    <w:rsid w:val="00474584"/>
    <w:rsid w:val="0047503E"/>
    <w:rsid w:val="004850EA"/>
    <w:rsid w:val="00487953"/>
    <w:rsid w:val="00490B1D"/>
    <w:rsid w:val="004926A8"/>
    <w:rsid w:val="00492738"/>
    <w:rsid w:val="004958BE"/>
    <w:rsid w:val="004A016E"/>
    <w:rsid w:val="004A65D7"/>
    <w:rsid w:val="004B30A2"/>
    <w:rsid w:val="004B315F"/>
    <w:rsid w:val="004B565C"/>
    <w:rsid w:val="004B56B8"/>
    <w:rsid w:val="004C29BC"/>
    <w:rsid w:val="004C3D53"/>
    <w:rsid w:val="004C4C28"/>
    <w:rsid w:val="004C633C"/>
    <w:rsid w:val="004D16B0"/>
    <w:rsid w:val="004D51B3"/>
    <w:rsid w:val="004D6B92"/>
    <w:rsid w:val="004D71A1"/>
    <w:rsid w:val="004E2D3E"/>
    <w:rsid w:val="004E4434"/>
    <w:rsid w:val="004E5980"/>
    <w:rsid w:val="004E792B"/>
    <w:rsid w:val="004F0469"/>
    <w:rsid w:val="004F377E"/>
    <w:rsid w:val="004F7FA9"/>
    <w:rsid w:val="00505AB5"/>
    <w:rsid w:val="005104A7"/>
    <w:rsid w:val="00513AB2"/>
    <w:rsid w:val="00517AF9"/>
    <w:rsid w:val="00523FC6"/>
    <w:rsid w:val="00530E81"/>
    <w:rsid w:val="00530F7F"/>
    <w:rsid w:val="0053147B"/>
    <w:rsid w:val="00536221"/>
    <w:rsid w:val="005400B5"/>
    <w:rsid w:val="005434CB"/>
    <w:rsid w:val="0054392E"/>
    <w:rsid w:val="005479DF"/>
    <w:rsid w:val="00551308"/>
    <w:rsid w:val="00552B9C"/>
    <w:rsid w:val="00554064"/>
    <w:rsid w:val="00557CBF"/>
    <w:rsid w:val="00560FF2"/>
    <w:rsid w:val="00564B7A"/>
    <w:rsid w:val="005668D0"/>
    <w:rsid w:val="00566A5F"/>
    <w:rsid w:val="0056765F"/>
    <w:rsid w:val="00573400"/>
    <w:rsid w:val="0057379B"/>
    <w:rsid w:val="005759AC"/>
    <w:rsid w:val="005800BA"/>
    <w:rsid w:val="005817E0"/>
    <w:rsid w:val="00585E81"/>
    <w:rsid w:val="00586306"/>
    <w:rsid w:val="00590069"/>
    <w:rsid w:val="0059012E"/>
    <w:rsid w:val="0059042D"/>
    <w:rsid w:val="00591183"/>
    <w:rsid w:val="00594ACC"/>
    <w:rsid w:val="005A2D9E"/>
    <w:rsid w:val="005A3711"/>
    <w:rsid w:val="005A3887"/>
    <w:rsid w:val="005A46BA"/>
    <w:rsid w:val="005A53A9"/>
    <w:rsid w:val="005B14F0"/>
    <w:rsid w:val="005B1C9D"/>
    <w:rsid w:val="005B7826"/>
    <w:rsid w:val="005B7872"/>
    <w:rsid w:val="005C17BC"/>
    <w:rsid w:val="005C5CB0"/>
    <w:rsid w:val="005C68C5"/>
    <w:rsid w:val="005C72F1"/>
    <w:rsid w:val="005D1ED1"/>
    <w:rsid w:val="005D57F0"/>
    <w:rsid w:val="005D6419"/>
    <w:rsid w:val="005E0822"/>
    <w:rsid w:val="005E1892"/>
    <w:rsid w:val="005E483F"/>
    <w:rsid w:val="005E7CF9"/>
    <w:rsid w:val="005F0913"/>
    <w:rsid w:val="005F2BF7"/>
    <w:rsid w:val="0060728E"/>
    <w:rsid w:val="00607CAF"/>
    <w:rsid w:val="00610772"/>
    <w:rsid w:val="00614A99"/>
    <w:rsid w:val="006167E0"/>
    <w:rsid w:val="00620052"/>
    <w:rsid w:val="0062249A"/>
    <w:rsid w:val="00623962"/>
    <w:rsid w:val="00624C9A"/>
    <w:rsid w:val="006255CB"/>
    <w:rsid w:val="0062638C"/>
    <w:rsid w:val="00631134"/>
    <w:rsid w:val="0063359E"/>
    <w:rsid w:val="00633850"/>
    <w:rsid w:val="0064721A"/>
    <w:rsid w:val="00651FFD"/>
    <w:rsid w:val="006550C2"/>
    <w:rsid w:val="006577BF"/>
    <w:rsid w:val="00661F7B"/>
    <w:rsid w:val="006623FB"/>
    <w:rsid w:val="00663D26"/>
    <w:rsid w:val="006646BC"/>
    <w:rsid w:val="00664DD7"/>
    <w:rsid w:val="0067013C"/>
    <w:rsid w:val="006730E7"/>
    <w:rsid w:val="00675437"/>
    <w:rsid w:val="0067719F"/>
    <w:rsid w:val="00682014"/>
    <w:rsid w:val="0068376E"/>
    <w:rsid w:val="0068398A"/>
    <w:rsid w:val="0068742F"/>
    <w:rsid w:val="00696215"/>
    <w:rsid w:val="006A33C7"/>
    <w:rsid w:val="006A6EB5"/>
    <w:rsid w:val="006A7F20"/>
    <w:rsid w:val="006B0917"/>
    <w:rsid w:val="006B3B31"/>
    <w:rsid w:val="006B6038"/>
    <w:rsid w:val="006C1388"/>
    <w:rsid w:val="006C373E"/>
    <w:rsid w:val="006C6138"/>
    <w:rsid w:val="006E2226"/>
    <w:rsid w:val="006E2F93"/>
    <w:rsid w:val="006E491B"/>
    <w:rsid w:val="006F0DCD"/>
    <w:rsid w:val="006F3FDD"/>
    <w:rsid w:val="006F5B28"/>
    <w:rsid w:val="006F6635"/>
    <w:rsid w:val="006F6833"/>
    <w:rsid w:val="00700AF7"/>
    <w:rsid w:val="007029FF"/>
    <w:rsid w:val="00716167"/>
    <w:rsid w:val="00716452"/>
    <w:rsid w:val="00732D8A"/>
    <w:rsid w:val="007337CD"/>
    <w:rsid w:val="00741E63"/>
    <w:rsid w:val="00742A28"/>
    <w:rsid w:val="00743824"/>
    <w:rsid w:val="00744F4D"/>
    <w:rsid w:val="00755B08"/>
    <w:rsid w:val="00757025"/>
    <w:rsid w:val="007617AC"/>
    <w:rsid w:val="00764ED9"/>
    <w:rsid w:val="0076677F"/>
    <w:rsid w:val="00771199"/>
    <w:rsid w:val="007738BF"/>
    <w:rsid w:val="007773F8"/>
    <w:rsid w:val="00780296"/>
    <w:rsid w:val="00782572"/>
    <w:rsid w:val="007858C5"/>
    <w:rsid w:val="0079024E"/>
    <w:rsid w:val="007A02EE"/>
    <w:rsid w:val="007A1BCF"/>
    <w:rsid w:val="007A1D1F"/>
    <w:rsid w:val="007A56D6"/>
    <w:rsid w:val="007A5916"/>
    <w:rsid w:val="007A68EE"/>
    <w:rsid w:val="007B0331"/>
    <w:rsid w:val="007B27DD"/>
    <w:rsid w:val="007B40AE"/>
    <w:rsid w:val="007B56BD"/>
    <w:rsid w:val="007C16F1"/>
    <w:rsid w:val="007C268C"/>
    <w:rsid w:val="007C6C67"/>
    <w:rsid w:val="007D4ED3"/>
    <w:rsid w:val="007D6671"/>
    <w:rsid w:val="007D6A29"/>
    <w:rsid w:val="007E0AFD"/>
    <w:rsid w:val="007E3008"/>
    <w:rsid w:val="007E65E4"/>
    <w:rsid w:val="007F08A8"/>
    <w:rsid w:val="007F210B"/>
    <w:rsid w:val="007F6299"/>
    <w:rsid w:val="0080488B"/>
    <w:rsid w:val="00804C0F"/>
    <w:rsid w:val="00806EFA"/>
    <w:rsid w:val="00807112"/>
    <w:rsid w:val="0081036E"/>
    <w:rsid w:val="0081072A"/>
    <w:rsid w:val="00812239"/>
    <w:rsid w:val="00812C06"/>
    <w:rsid w:val="00813A0C"/>
    <w:rsid w:val="00815D76"/>
    <w:rsid w:val="0081764C"/>
    <w:rsid w:val="0082296B"/>
    <w:rsid w:val="00825AC3"/>
    <w:rsid w:val="00826453"/>
    <w:rsid w:val="00826BD3"/>
    <w:rsid w:val="008315E5"/>
    <w:rsid w:val="00832F49"/>
    <w:rsid w:val="00833F03"/>
    <w:rsid w:val="0084015B"/>
    <w:rsid w:val="008422B0"/>
    <w:rsid w:val="00842920"/>
    <w:rsid w:val="00845E7B"/>
    <w:rsid w:val="00845F94"/>
    <w:rsid w:val="008460A8"/>
    <w:rsid w:val="00847F0E"/>
    <w:rsid w:val="008533C8"/>
    <w:rsid w:val="00855246"/>
    <w:rsid w:val="00857710"/>
    <w:rsid w:val="008670C9"/>
    <w:rsid w:val="00880008"/>
    <w:rsid w:val="00884687"/>
    <w:rsid w:val="00893738"/>
    <w:rsid w:val="00895FEA"/>
    <w:rsid w:val="008A16A9"/>
    <w:rsid w:val="008A2BD4"/>
    <w:rsid w:val="008A3F48"/>
    <w:rsid w:val="008C315E"/>
    <w:rsid w:val="008C7024"/>
    <w:rsid w:val="008D17F6"/>
    <w:rsid w:val="008D3782"/>
    <w:rsid w:val="008D4CD9"/>
    <w:rsid w:val="008E5C1F"/>
    <w:rsid w:val="008F29F4"/>
    <w:rsid w:val="00901213"/>
    <w:rsid w:val="00903E37"/>
    <w:rsid w:val="00910CB5"/>
    <w:rsid w:val="009131FD"/>
    <w:rsid w:val="009161F9"/>
    <w:rsid w:val="00916F46"/>
    <w:rsid w:val="00923C0E"/>
    <w:rsid w:val="0093049B"/>
    <w:rsid w:val="00931FB4"/>
    <w:rsid w:val="00944C4F"/>
    <w:rsid w:val="0094557C"/>
    <w:rsid w:val="00946740"/>
    <w:rsid w:val="00947176"/>
    <w:rsid w:val="009514AA"/>
    <w:rsid w:val="00951A32"/>
    <w:rsid w:val="00955065"/>
    <w:rsid w:val="00966AF9"/>
    <w:rsid w:val="0097002E"/>
    <w:rsid w:val="00970F4B"/>
    <w:rsid w:val="00972B08"/>
    <w:rsid w:val="00974162"/>
    <w:rsid w:val="00974E31"/>
    <w:rsid w:val="00975D49"/>
    <w:rsid w:val="00980A89"/>
    <w:rsid w:val="009A0C66"/>
    <w:rsid w:val="009A0D1C"/>
    <w:rsid w:val="009A22BE"/>
    <w:rsid w:val="009A3AC9"/>
    <w:rsid w:val="009A4D4B"/>
    <w:rsid w:val="009A6498"/>
    <w:rsid w:val="009B160E"/>
    <w:rsid w:val="009B2B2A"/>
    <w:rsid w:val="009B6AF5"/>
    <w:rsid w:val="009C2EFD"/>
    <w:rsid w:val="009C4326"/>
    <w:rsid w:val="009C4AD8"/>
    <w:rsid w:val="009C5A9E"/>
    <w:rsid w:val="009C6020"/>
    <w:rsid w:val="009C68FB"/>
    <w:rsid w:val="009D1012"/>
    <w:rsid w:val="009D203E"/>
    <w:rsid w:val="009D39D1"/>
    <w:rsid w:val="009D57AA"/>
    <w:rsid w:val="009D7420"/>
    <w:rsid w:val="009E00DD"/>
    <w:rsid w:val="009E1F67"/>
    <w:rsid w:val="009E70FA"/>
    <w:rsid w:val="009E7C9E"/>
    <w:rsid w:val="009F0ED0"/>
    <w:rsid w:val="009F23FC"/>
    <w:rsid w:val="009F6BB3"/>
    <w:rsid w:val="00A018B6"/>
    <w:rsid w:val="00A14435"/>
    <w:rsid w:val="00A1754F"/>
    <w:rsid w:val="00A23D85"/>
    <w:rsid w:val="00A24288"/>
    <w:rsid w:val="00A302AF"/>
    <w:rsid w:val="00A305C0"/>
    <w:rsid w:val="00A30B6D"/>
    <w:rsid w:val="00A33C07"/>
    <w:rsid w:val="00A354F8"/>
    <w:rsid w:val="00A42B7C"/>
    <w:rsid w:val="00A45F8E"/>
    <w:rsid w:val="00A46191"/>
    <w:rsid w:val="00A5554B"/>
    <w:rsid w:val="00A63AB4"/>
    <w:rsid w:val="00A6636D"/>
    <w:rsid w:val="00A77567"/>
    <w:rsid w:val="00A819C3"/>
    <w:rsid w:val="00A82ACD"/>
    <w:rsid w:val="00A836FA"/>
    <w:rsid w:val="00A86C84"/>
    <w:rsid w:val="00A87951"/>
    <w:rsid w:val="00A87DC8"/>
    <w:rsid w:val="00A87F1B"/>
    <w:rsid w:val="00A9637F"/>
    <w:rsid w:val="00AA1713"/>
    <w:rsid w:val="00AA2421"/>
    <w:rsid w:val="00AA6B32"/>
    <w:rsid w:val="00AA6E74"/>
    <w:rsid w:val="00AB0114"/>
    <w:rsid w:val="00AB1D84"/>
    <w:rsid w:val="00AB7708"/>
    <w:rsid w:val="00AC0A4E"/>
    <w:rsid w:val="00AC21B5"/>
    <w:rsid w:val="00AD3B22"/>
    <w:rsid w:val="00AE76A5"/>
    <w:rsid w:val="00AF112D"/>
    <w:rsid w:val="00AF25A0"/>
    <w:rsid w:val="00AF54BD"/>
    <w:rsid w:val="00AF5771"/>
    <w:rsid w:val="00AF64B2"/>
    <w:rsid w:val="00B01C1B"/>
    <w:rsid w:val="00B048E3"/>
    <w:rsid w:val="00B053C0"/>
    <w:rsid w:val="00B05746"/>
    <w:rsid w:val="00B06AF5"/>
    <w:rsid w:val="00B10479"/>
    <w:rsid w:val="00B11A9D"/>
    <w:rsid w:val="00B152A9"/>
    <w:rsid w:val="00B16116"/>
    <w:rsid w:val="00B16D56"/>
    <w:rsid w:val="00B16F90"/>
    <w:rsid w:val="00B2283F"/>
    <w:rsid w:val="00B26637"/>
    <w:rsid w:val="00B33A00"/>
    <w:rsid w:val="00B344C0"/>
    <w:rsid w:val="00B34DD0"/>
    <w:rsid w:val="00B374CB"/>
    <w:rsid w:val="00B434AF"/>
    <w:rsid w:val="00B451B8"/>
    <w:rsid w:val="00B46247"/>
    <w:rsid w:val="00B54E2E"/>
    <w:rsid w:val="00B56CAC"/>
    <w:rsid w:val="00B56EB6"/>
    <w:rsid w:val="00B60FFF"/>
    <w:rsid w:val="00B658DF"/>
    <w:rsid w:val="00B67E82"/>
    <w:rsid w:val="00B81E14"/>
    <w:rsid w:val="00B81EA8"/>
    <w:rsid w:val="00B848B3"/>
    <w:rsid w:val="00B91238"/>
    <w:rsid w:val="00B92D90"/>
    <w:rsid w:val="00B94AF8"/>
    <w:rsid w:val="00B94C24"/>
    <w:rsid w:val="00B96839"/>
    <w:rsid w:val="00BA368C"/>
    <w:rsid w:val="00BA3974"/>
    <w:rsid w:val="00BA6CE1"/>
    <w:rsid w:val="00BA6E89"/>
    <w:rsid w:val="00BA7C81"/>
    <w:rsid w:val="00BB021E"/>
    <w:rsid w:val="00BB319C"/>
    <w:rsid w:val="00BB477D"/>
    <w:rsid w:val="00BB724C"/>
    <w:rsid w:val="00BC0930"/>
    <w:rsid w:val="00BC1E08"/>
    <w:rsid w:val="00BC7198"/>
    <w:rsid w:val="00BC774D"/>
    <w:rsid w:val="00BC7E71"/>
    <w:rsid w:val="00BD153C"/>
    <w:rsid w:val="00BD44C2"/>
    <w:rsid w:val="00BD6797"/>
    <w:rsid w:val="00BE6341"/>
    <w:rsid w:val="00BE7F81"/>
    <w:rsid w:val="00C059C8"/>
    <w:rsid w:val="00C116DF"/>
    <w:rsid w:val="00C11CE2"/>
    <w:rsid w:val="00C12DA4"/>
    <w:rsid w:val="00C1553D"/>
    <w:rsid w:val="00C23581"/>
    <w:rsid w:val="00C26BE6"/>
    <w:rsid w:val="00C26C28"/>
    <w:rsid w:val="00C31D46"/>
    <w:rsid w:val="00C334E0"/>
    <w:rsid w:val="00C36E0E"/>
    <w:rsid w:val="00C419BB"/>
    <w:rsid w:val="00C452F0"/>
    <w:rsid w:val="00C4677D"/>
    <w:rsid w:val="00C52B93"/>
    <w:rsid w:val="00C53223"/>
    <w:rsid w:val="00C54BD1"/>
    <w:rsid w:val="00C55173"/>
    <w:rsid w:val="00C66301"/>
    <w:rsid w:val="00C757BB"/>
    <w:rsid w:val="00C82EB9"/>
    <w:rsid w:val="00C85A38"/>
    <w:rsid w:val="00C876E8"/>
    <w:rsid w:val="00C918C3"/>
    <w:rsid w:val="00CA7096"/>
    <w:rsid w:val="00CB0D72"/>
    <w:rsid w:val="00CB1C17"/>
    <w:rsid w:val="00CB7DA8"/>
    <w:rsid w:val="00CC288C"/>
    <w:rsid w:val="00CC28D0"/>
    <w:rsid w:val="00CC3ADA"/>
    <w:rsid w:val="00CC4544"/>
    <w:rsid w:val="00CC4C64"/>
    <w:rsid w:val="00CD1A21"/>
    <w:rsid w:val="00CD4076"/>
    <w:rsid w:val="00CD5C90"/>
    <w:rsid w:val="00CD6AF1"/>
    <w:rsid w:val="00CE3927"/>
    <w:rsid w:val="00CE510A"/>
    <w:rsid w:val="00CF1725"/>
    <w:rsid w:val="00CF1F22"/>
    <w:rsid w:val="00CF371A"/>
    <w:rsid w:val="00CF396C"/>
    <w:rsid w:val="00D01C46"/>
    <w:rsid w:val="00D038EB"/>
    <w:rsid w:val="00D1177F"/>
    <w:rsid w:val="00D200F4"/>
    <w:rsid w:val="00D267DD"/>
    <w:rsid w:val="00D268BB"/>
    <w:rsid w:val="00D270F6"/>
    <w:rsid w:val="00D439F3"/>
    <w:rsid w:val="00D50F42"/>
    <w:rsid w:val="00D554E8"/>
    <w:rsid w:val="00D55EFF"/>
    <w:rsid w:val="00D62F6D"/>
    <w:rsid w:val="00D657A9"/>
    <w:rsid w:val="00D75053"/>
    <w:rsid w:val="00D816CB"/>
    <w:rsid w:val="00D81DB7"/>
    <w:rsid w:val="00D82C69"/>
    <w:rsid w:val="00D82FF2"/>
    <w:rsid w:val="00D841C5"/>
    <w:rsid w:val="00D93732"/>
    <w:rsid w:val="00D97324"/>
    <w:rsid w:val="00DA2E14"/>
    <w:rsid w:val="00DA6ED0"/>
    <w:rsid w:val="00DB1B40"/>
    <w:rsid w:val="00DB5C92"/>
    <w:rsid w:val="00DB797D"/>
    <w:rsid w:val="00DC0204"/>
    <w:rsid w:val="00DC4D0E"/>
    <w:rsid w:val="00DC5A29"/>
    <w:rsid w:val="00DD296C"/>
    <w:rsid w:val="00DD5492"/>
    <w:rsid w:val="00DE3533"/>
    <w:rsid w:val="00DE5EC6"/>
    <w:rsid w:val="00DE69EF"/>
    <w:rsid w:val="00DF0790"/>
    <w:rsid w:val="00DF0B56"/>
    <w:rsid w:val="00DF3FFE"/>
    <w:rsid w:val="00DF518E"/>
    <w:rsid w:val="00DF5C96"/>
    <w:rsid w:val="00DF5F16"/>
    <w:rsid w:val="00DF7542"/>
    <w:rsid w:val="00E1370A"/>
    <w:rsid w:val="00E17489"/>
    <w:rsid w:val="00E222C6"/>
    <w:rsid w:val="00E223FC"/>
    <w:rsid w:val="00E30B2C"/>
    <w:rsid w:val="00E30FEE"/>
    <w:rsid w:val="00E312AE"/>
    <w:rsid w:val="00E320CE"/>
    <w:rsid w:val="00E429AF"/>
    <w:rsid w:val="00E501B5"/>
    <w:rsid w:val="00E51086"/>
    <w:rsid w:val="00E54387"/>
    <w:rsid w:val="00E67B87"/>
    <w:rsid w:val="00E74487"/>
    <w:rsid w:val="00E766E2"/>
    <w:rsid w:val="00E76D2D"/>
    <w:rsid w:val="00E824EE"/>
    <w:rsid w:val="00E87405"/>
    <w:rsid w:val="00E95AF3"/>
    <w:rsid w:val="00EA1A7E"/>
    <w:rsid w:val="00EA2745"/>
    <w:rsid w:val="00EA4222"/>
    <w:rsid w:val="00EA7158"/>
    <w:rsid w:val="00EB38DD"/>
    <w:rsid w:val="00EB3CDF"/>
    <w:rsid w:val="00EB413F"/>
    <w:rsid w:val="00EC0053"/>
    <w:rsid w:val="00EC1A08"/>
    <w:rsid w:val="00EC45AE"/>
    <w:rsid w:val="00EC4C1C"/>
    <w:rsid w:val="00EC7460"/>
    <w:rsid w:val="00EC7903"/>
    <w:rsid w:val="00ED675E"/>
    <w:rsid w:val="00ED74E9"/>
    <w:rsid w:val="00EE37F2"/>
    <w:rsid w:val="00EE4318"/>
    <w:rsid w:val="00EE45D9"/>
    <w:rsid w:val="00EF1C96"/>
    <w:rsid w:val="00EF2922"/>
    <w:rsid w:val="00EF47D3"/>
    <w:rsid w:val="00EF4A67"/>
    <w:rsid w:val="00EF59ED"/>
    <w:rsid w:val="00EF5BA7"/>
    <w:rsid w:val="00F01AC4"/>
    <w:rsid w:val="00F05F4C"/>
    <w:rsid w:val="00F111C5"/>
    <w:rsid w:val="00F114A6"/>
    <w:rsid w:val="00F1184C"/>
    <w:rsid w:val="00F12FC9"/>
    <w:rsid w:val="00F16D8B"/>
    <w:rsid w:val="00F17831"/>
    <w:rsid w:val="00F221A7"/>
    <w:rsid w:val="00F25086"/>
    <w:rsid w:val="00F27101"/>
    <w:rsid w:val="00F323D5"/>
    <w:rsid w:val="00F32808"/>
    <w:rsid w:val="00F33DCF"/>
    <w:rsid w:val="00F342E2"/>
    <w:rsid w:val="00F34B3D"/>
    <w:rsid w:val="00F36374"/>
    <w:rsid w:val="00F371B5"/>
    <w:rsid w:val="00F52FA0"/>
    <w:rsid w:val="00F5798F"/>
    <w:rsid w:val="00F62C6C"/>
    <w:rsid w:val="00F63AFC"/>
    <w:rsid w:val="00F660BF"/>
    <w:rsid w:val="00F73138"/>
    <w:rsid w:val="00F744D5"/>
    <w:rsid w:val="00F7512B"/>
    <w:rsid w:val="00F75C6C"/>
    <w:rsid w:val="00F75ED2"/>
    <w:rsid w:val="00F8265F"/>
    <w:rsid w:val="00F86E44"/>
    <w:rsid w:val="00FB2333"/>
    <w:rsid w:val="00FB6F7C"/>
    <w:rsid w:val="00FC1BB3"/>
    <w:rsid w:val="00FC65A7"/>
    <w:rsid w:val="00FD1121"/>
    <w:rsid w:val="00FE2A3A"/>
    <w:rsid w:val="00FF58AB"/>
    <w:rsid w:val="00FF6583"/>
    <w:rsid w:val="00FF6D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F242B"/>
  <w15:docId w15:val="{4AC0F984-6C15-4CDF-B380-A1B8CF53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80B85"/>
    <w:pPr>
      <w:spacing w:line="240" w:lineRule="auto"/>
      <w:jc w:val="both"/>
    </w:pPr>
    <w:rPr>
      <w:rFonts w:ascii="Arial" w:hAnsi="Arial"/>
      <w:sz w:val="24"/>
    </w:rPr>
  </w:style>
  <w:style w:type="paragraph" w:styleId="Nadpis1">
    <w:name w:val="heading 1"/>
    <w:basedOn w:val="Normln"/>
    <w:next w:val="Normln"/>
    <w:link w:val="Nadpis1Char"/>
    <w:uiPriority w:val="9"/>
    <w:qFormat/>
    <w:rsid w:val="00280B85"/>
    <w:pPr>
      <w:keepNext/>
      <w:keepLines/>
      <w:numPr>
        <w:numId w:val="1"/>
      </w:numPr>
      <w:spacing w:before="240" w:after="120" w:line="259" w:lineRule="auto"/>
      <w:ind w:left="0" w:firstLine="0"/>
      <w:outlineLvl w:val="0"/>
    </w:pPr>
    <w:rPr>
      <w:rFonts w:eastAsiaTheme="majorEastAsia" w:cstheme="majorBidi"/>
      <w:b/>
      <w:sz w:val="40"/>
      <w:szCs w:val="32"/>
    </w:rPr>
  </w:style>
  <w:style w:type="paragraph" w:styleId="Nadpis2">
    <w:name w:val="heading 2"/>
    <w:basedOn w:val="Normln"/>
    <w:next w:val="Normln"/>
    <w:link w:val="Nadpis2Char"/>
    <w:autoRedefine/>
    <w:uiPriority w:val="9"/>
    <w:unhideWhenUsed/>
    <w:qFormat/>
    <w:rsid w:val="00280B85"/>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09229E"/>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A018B6"/>
    <w:pPr>
      <w:keepNext/>
      <w:keepLines/>
      <w:numPr>
        <w:ilvl w:val="3"/>
        <w:numId w:val="1"/>
      </w:numPr>
      <w:spacing w:before="240" w:after="120"/>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AF112D"/>
    <w:pPr>
      <w:keepNext/>
      <w:keepLines/>
      <w:numPr>
        <w:numId w:val="6"/>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AF112D"/>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FF6D34"/>
    <w:pPr>
      <w:keepNext/>
      <w:keepLines/>
      <w:numPr>
        <w:ilvl w:val="6"/>
        <w:numId w:val="1"/>
      </w:numPr>
      <w:spacing w:before="240" w:after="120" w:line="259" w:lineRule="auto"/>
      <w:ind w:left="0" w:firstLine="0"/>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280B85"/>
    <w:pPr>
      <w:keepNext/>
      <w:keepLines/>
      <w:numPr>
        <w:ilvl w:val="7"/>
        <w:numId w:val="1"/>
      </w:numPr>
      <w:spacing w:before="240" w:after="120" w:line="259" w:lineRule="auto"/>
      <w:ind w:left="0" w:firstLine="0"/>
      <w:outlineLvl w:val="7"/>
    </w:pPr>
    <w:rPr>
      <w:rFonts w:eastAsiaTheme="majorEastAsia" w:cstheme="majorBidi"/>
      <w:b/>
      <w:color w:val="272727" w:themeColor="text1" w:themeTint="D8"/>
      <w:szCs w:val="21"/>
    </w:rPr>
  </w:style>
  <w:style w:type="paragraph" w:styleId="Nadpis9">
    <w:name w:val="heading 9"/>
    <w:basedOn w:val="Normln"/>
    <w:next w:val="Normln"/>
    <w:link w:val="Nadpis9Char"/>
    <w:uiPriority w:val="9"/>
    <w:semiHidden/>
    <w:unhideWhenUsed/>
    <w:qFormat/>
    <w:rsid w:val="00A018B6"/>
    <w:pPr>
      <w:keepNext/>
      <w:keepLines/>
      <w:numPr>
        <w:ilvl w:val="8"/>
        <w:numId w:val="1"/>
      </w:numPr>
      <w:spacing w:before="240" w:after="120"/>
      <w:ind w:left="1582" w:hanging="1582"/>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80B85"/>
    <w:rPr>
      <w:rFonts w:ascii="Arial" w:eastAsiaTheme="majorEastAsia" w:hAnsi="Arial" w:cstheme="majorBidi"/>
      <w:b/>
      <w:sz w:val="40"/>
      <w:szCs w:val="32"/>
    </w:rPr>
  </w:style>
  <w:style w:type="character" w:customStyle="1" w:styleId="Nadpis2Char">
    <w:name w:val="Nadpis 2 Char"/>
    <w:basedOn w:val="Standardnpsmoodstavce"/>
    <w:link w:val="Nadpis2"/>
    <w:uiPriority w:val="9"/>
    <w:rsid w:val="00280B85"/>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09229E"/>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A018B6"/>
    <w:rPr>
      <w:rFonts w:ascii="Arial" w:eastAsiaTheme="majorEastAsia" w:hAnsi="Arial" w:cstheme="majorBidi"/>
      <w:b/>
      <w:iCs/>
      <w:sz w:val="28"/>
    </w:rPr>
  </w:style>
  <w:style w:type="character" w:customStyle="1" w:styleId="Nadpis5Char">
    <w:name w:val="Nadpis 5 Char"/>
    <w:basedOn w:val="Standardnpsmoodstavce"/>
    <w:link w:val="Nadpis5"/>
    <w:uiPriority w:val="9"/>
    <w:rsid w:val="00AF112D"/>
    <w:rPr>
      <w:rFonts w:ascii="Arial" w:eastAsiaTheme="majorEastAsia" w:hAnsi="Arial" w:cstheme="majorBidi"/>
      <w:b/>
      <w:sz w:val="24"/>
    </w:rPr>
  </w:style>
  <w:style w:type="character" w:customStyle="1" w:styleId="Nadpis6Char">
    <w:name w:val="Nadpis 6 Char"/>
    <w:basedOn w:val="Standardnpsmoodstavce"/>
    <w:link w:val="Nadpis6"/>
    <w:uiPriority w:val="9"/>
    <w:rsid w:val="00AF112D"/>
    <w:rPr>
      <w:rFonts w:ascii="Arial" w:eastAsiaTheme="majorEastAsia" w:hAnsi="Arial" w:cstheme="majorBidi"/>
      <w:b/>
      <w:sz w:val="24"/>
    </w:rPr>
  </w:style>
  <w:style w:type="character" w:customStyle="1" w:styleId="Nadpis7Char">
    <w:name w:val="Nadpis 7 Char"/>
    <w:basedOn w:val="Standardnpsmoodstavce"/>
    <w:link w:val="Nadpis7"/>
    <w:uiPriority w:val="9"/>
    <w:rsid w:val="00FF6D34"/>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280B85"/>
    <w:rPr>
      <w:rFonts w:ascii="Arial" w:eastAsiaTheme="majorEastAsia" w:hAnsi="Arial" w:cstheme="majorBidi"/>
      <w:b/>
      <w:color w:val="272727" w:themeColor="text1" w:themeTint="D8"/>
      <w:sz w:val="24"/>
      <w:szCs w:val="21"/>
    </w:rPr>
  </w:style>
  <w:style w:type="character" w:customStyle="1" w:styleId="Nadpis9Char">
    <w:name w:val="Nadpis 9 Char"/>
    <w:basedOn w:val="Standardnpsmoodstavce"/>
    <w:link w:val="Nadpis9"/>
    <w:uiPriority w:val="9"/>
    <w:semiHidden/>
    <w:rsid w:val="00A018B6"/>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qFormat/>
    <w:rsid w:val="006F5B28"/>
    <w:rPr>
      <w:sz w:val="16"/>
      <w:szCs w:val="16"/>
    </w:rPr>
  </w:style>
  <w:style w:type="paragraph" w:styleId="Textkomente">
    <w:name w:val="annotation text"/>
    <w:basedOn w:val="Normln"/>
    <w:link w:val="TextkomenteChar"/>
    <w:uiPriority w:val="99"/>
    <w:unhideWhenUsed/>
    <w:qFormat/>
    <w:rsid w:val="006F5B28"/>
    <w:rPr>
      <w:sz w:val="20"/>
      <w:szCs w:val="20"/>
    </w:rPr>
  </w:style>
  <w:style w:type="character" w:customStyle="1" w:styleId="TextkomenteChar">
    <w:name w:val="Text komentáře Char"/>
    <w:basedOn w:val="Standardnpsmoodstavce"/>
    <w:link w:val="Textkomente"/>
    <w:uiPriority w:val="99"/>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character" w:customStyle="1" w:styleId="OdstavecseseznamemChar">
    <w:name w:val="Odstavec se seznamem Char"/>
    <w:basedOn w:val="Standardnpsmoodstavce"/>
    <w:link w:val="Odstavecseseznamem"/>
    <w:uiPriority w:val="99"/>
    <w:locked/>
    <w:rsid w:val="006B3B31"/>
    <w:rPr>
      <w:rFonts w:ascii="Calibri" w:eastAsia="Calibri" w:hAnsi="Calibri" w:cs="Times New Roman"/>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paragraph" w:styleId="Nadpisobsahu">
    <w:name w:val="TOC Heading"/>
    <w:basedOn w:val="Nadpis1"/>
    <w:next w:val="Normln"/>
    <w:uiPriority w:val="39"/>
    <w:unhideWhenUsed/>
    <w:qFormat/>
    <w:rsid w:val="003519E5"/>
    <w:pPr>
      <w:numPr>
        <w:numId w:val="0"/>
      </w:numPr>
      <w:spacing w:before="480" w:after="0" w:line="276" w:lineRule="auto"/>
      <w:jc w:val="left"/>
      <w:outlineLvl w:val="9"/>
    </w:pPr>
    <w:rPr>
      <w:rFonts w:asciiTheme="majorHAnsi" w:hAnsiTheme="majorHAnsi"/>
      <w:bCs/>
      <w:color w:val="2E74B5" w:themeColor="accent1" w:themeShade="BF"/>
      <w:sz w:val="28"/>
      <w:szCs w:val="28"/>
      <w:lang w:eastAsia="cs-CZ"/>
    </w:rPr>
  </w:style>
  <w:style w:type="paragraph" w:styleId="Obsah2">
    <w:name w:val="toc 2"/>
    <w:basedOn w:val="Normln"/>
    <w:next w:val="Normln"/>
    <w:autoRedefine/>
    <w:uiPriority w:val="39"/>
    <w:unhideWhenUsed/>
    <w:rsid w:val="003519E5"/>
    <w:pPr>
      <w:spacing w:after="100"/>
      <w:ind w:left="240"/>
    </w:pPr>
  </w:style>
  <w:style w:type="paragraph" w:styleId="Obsah3">
    <w:name w:val="toc 3"/>
    <w:basedOn w:val="Normln"/>
    <w:next w:val="Normln"/>
    <w:autoRedefine/>
    <w:uiPriority w:val="39"/>
    <w:unhideWhenUsed/>
    <w:rsid w:val="003519E5"/>
    <w:pPr>
      <w:spacing w:after="100"/>
      <w:ind w:left="480"/>
    </w:pPr>
  </w:style>
  <w:style w:type="paragraph" w:styleId="Obsah1">
    <w:name w:val="toc 1"/>
    <w:basedOn w:val="Normln"/>
    <w:next w:val="Normln"/>
    <w:autoRedefine/>
    <w:uiPriority w:val="39"/>
    <w:unhideWhenUsed/>
    <w:rsid w:val="00614A99"/>
    <w:pPr>
      <w:spacing w:after="100"/>
    </w:pPr>
  </w:style>
  <w:style w:type="paragraph" w:styleId="Textpoznpodarou">
    <w:name w:val="footnote text"/>
    <w:basedOn w:val="Normln"/>
    <w:link w:val="TextpoznpodarouChar"/>
    <w:uiPriority w:val="99"/>
    <w:semiHidden/>
    <w:unhideWhenUsed/>
    <w:rsid w:val="000B15C0"/>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semiHidden/>
    <w:rsid w:val="000B15C0"/>
    <w:rPr>
      <w:sz w:val="20"/>
      <w:szCs w:val="20"/>
    </w:rPr>
  </w:style>
  <w:style w:type="character" w:styleId="Znakapoznpodarou">
    <w:name w:val="footnote reference"/>
    <w:basedOn w:val="Standardnpsmoodstavce"/>
    <w:uiPriority w:val="99"/>
    <w:semiHidden/>
    <w:unhideWhenUsed/>
    <w:rsid w:val="000B15C0"/>
    <w:rPr>
      <w:vertAlign w:val="superscript"/>
    </w:rPr>
  </w:style>
  <w:style w:type="paragraph" w:styleId="Normlnweb">
    <w:name w:val="Normal (Web)"/>
    <w:basedOn w:val="Normln"/>
    <w:uiPriority w:val="99"/>
    <w:unhideWhenUsed/>
    <w:rsid w:val="00CE3927"/>
    <w:pPr>
      <w:spacing w:before="100" w:beforeAutospacing="1" w:after="100" w:afterAutospacing="1"/>
      <w:jc w:val="left"/>
    </w:pPr>
    <w:rPr>
      <w:rFonts w:ascii="Times New Roman" w:eastAsia="Times New Roman" w:hAnsi="Times New Roman" w:cs="Times New Roman"/>
      <w:szCs w:val="24"/>
      <w:lang w:eastAsia="cs-CZ"/>
    </w:rPr>
  </w:style>
  <w:style w:type="character" w:styleId="Siln">
    <w:name w:val="Strong"/>
    <w:basedOn w:val="Standardnpsmoodstavce"/>
    <w:uiPriority w:val="22"/>
    <w:qFormat/>
    <w:rsid w:val="00CE3927"/>
    <w:rPr>
      <w:b/>
      <w:bCs/>
    </w:rPr>
  </w:style>
  <w:style w:type="paragraph" w:styleId="Revize">
    <w:name w:val="Revision"/>
    <w:hidden/>
    <w:uiPriority w:val="99"/>
    <w:semiHidden/>
    <w:rsid w:val="00013073"/>
    <w:pPr>
      <w:spacing w:after="0" w:line="240" w:lineRule="auto"/>
    </w:pPr>
    <w:rPr>
      <w:rFonts w:ascii="Arial" w:hAnsi="Arial"/>
      <w:sz w:val="24"/>
    </w:rPr>
  </w:style>
  <w:style w:type="character" w:customStyle="1" w:styleId="tlid-translation">
    <w:name w:val="tlid-translation"/>
    <w:basedOn w:val="Standardnpsmoodstavce"/>
    <w:rsid w:val="009D57AA"/>
  </w:style>
  <w:style w:type="paragraph" w:customStyle="1" w:styleId="Default">
    <w:name w:val="Default"/>
    <w:rsid w:val="009D57AA"/>
    <w:pPr>
      <w:autoSpaceDE w:val="0"/>
      <w:autoSpaceDN w:val="0"/>
      <w:adjustRightInd w:val="0"/>
      <w:spacing w:after="0" w:line="240" w:lineRule="auto"/>
    </w:pPr>
    <w:rPr>
      <w:rFonts w:ascii="Cambria" w:hAnsi="Cambria" w:cs="Cambria"/>
      <w:color w:val="000000"/>
      <w:sz w:val="24"/>
      <w:szCs w:val="24"/>
    </w:rPr>
  </w:style>
  <w:style w:type="character" w:styleId="Sledovanodkaz">
    <w:name w:val="FollowedHyperlink"/>
    <w:basedOn w:val="Standardnpsmoodstavce"/>
    <w:uiPriority w:val="99"/>
    <w:semiHidden/>
    <w:unhideWhenUsed/>
    <w:rsid w:val="00BB724C"/>
    <w:rPr>
      <w:color w:val="954F72" w:themeColor="followedHyperlink"/>
      <w:u w:val="single"/>
    </w:rPr>
  </w:style>
  <w:style w:type="paragraph" w:styleId="Zhlav">
    <w:name w:val="header"/>
    <w:basedOn w:val="Normln"/>
    <w:link w:val="ZhlavChar"/>
    <w:uiPriority w:val="99"/>
    <w:unhideWhenUsed/>
    <w:rsid w:val="00C116DF"/>
    <w:pPr>
      <w:tabs>
        <w:tab w:val="center" w:pos="4536"/>
        <w:tab w:val="right" w:pos="9072"/>
      </w:tabs>
      <w:spacing w:after="0"/>
    </w:pPr>
  </w:style>
  <w:style w:type="character" w:customStyle="1" w:styleId="ZhlavChar">
    <w:name w:val="Záhlaví Char"/>
    <w:basedOn w:val="Standardnpsmoodstavce"/>
    <w:link w:val="Zhlav"/>
    <w:uiPriority w:val="99"/>
    <w:rsid w:val="00C116DF"/>
    <w:rPr>
      <w:rFonts w:ascii="Arial" w:hAnsi="Arial"/>
      <w:sz w:val="24"/>
    </w:rPr>
  </w:style>
  <w:style w:type="paragraph" w:styleId="Zpat">
    <w:name w:val="footer"/>
    <w:basedOn w:val="Normln"/>
    <w:link w:val="ZpatChar"/>
    <w:uiPriority w:val="99"/>
    <w:unhideWhenUsed/>
    <w:rsid w:val="00C116DF"/>
    <w:pPr>
      <w:tabs>
        <w:tab w:val="center" w:pos="4536"/>
        <w:tab w:val="right" w:pos="9072"/>
      </w:tabs>
      <w:spacing w:after="0"/>
    </w:pPr>
  </w:style>
  <w:style w:type="character" w:customStyle="1" w:styleId="ZpatChar">
    <w:name w:val="Zápatí Char"/>
    <w:basedOn w:val="Standardnpsmoodstavce"/>
    <w:link w:val="Zpat"/>
    <w:uiPriority w:val="99"/>
    <w:rsid w:val="00C116DF"/>
    <w:rPr>
      <w:rFonts w:ascii="Arial" w:hAnsi="Arial"/>
      <w:sz w:val="24"/>
    </w:rPr>
  </w:style>
  <w:style w:type="paragraph" w:customStyle="1" w:styleId="Textdopisu">
    <w:name w:val="Text dopisu"/>
    <w:basedOn w:val="Normln"/>
    <w:qFormat/>
    <w:rsid w:val="002E13BB"/>
    <w:pPr>
      <w:spacing w:after="240"/>
    </w:pPr>
    <w:rPr>
      <w:rFonts w:eastAsia="Times New Roman" w:cs="Arial"/>
      <w:szCs w:val="20"/>
      <w:lang w:eastAsia="cs-CZ"/>
    </w:rPr>
  </w:style>
  <w:style w:type="paragraph" w:customStyle="1" w:styleId="slovanodstavec">
    <w:name w:val="Číslovaný odstavec"/>
    <w:basedOn w:val="Normln"/>
    <w:qFormat/>
    <w:rsid w:val="00B658DF"/>
    <w:pPr>
      <w:numPr>
        <w:numId w:val="8"/>
      </w:numPr>
      <w:ind w:left="0"/>
    </w:pPr>
    <w:rPr>
      <w:rFonts w:asciiTheme="minorHAnsi" w:hAnsiTheme="minorHAnsi"/>
      <w:sz w:val="23"/>
      <w:szCs w:val="23"/>
    </w:rPr>
  </w:style>
  <w:style w:type="character" w:customStyle="1" w:styleId="upd">
    <w:name w:val="upd"/>
    <w:basedOn w:val="Standardnpsmoodstavce"/>
    <w:rsid w:val="00D816CB"/>
  </w:style>
  <w:style w:type="character" w:styleId="Zdraznn">
    <w:name w:val="Emphasis"/>
    <w:basedOn w:val="Standardnpsmoodstavce"/>
    <w:uiPriority w:val="20"/>
    <w:qFormat/>
    <w:rsid w:val="00C23581"/>
    <w:rPr>
      <w:i/>
      <w:iCs/>
    </w:rPr>
  </w:style>
  <w:style w:type="paragraph" w:customStyle="1" w:styleId="Dvodovzprva">
    <w:name w:val="Důvodová zpráva"/>
    <w:basedOn w:val="Normln"/>
    <w:link w:val="DvodovzprvaChar"/>
    <w:uiPriority w:val="99"/>
    <w:qFormat/>
    <w:rsid w:val="00DF0790"/>
    <w:pPr>
      <w:spacing w:before="120" w:after="0"/>
    </w:pPr>
    <w:rPr>
      <w:rFonts w:eastAsia="Times New Roman" w:cs="Times New Roman"/>
      <w:color w:val="0000FF"/>
      <w:szCs w:val="20"/>
      <w:lang w:eastAsia="cs-CZ"/>
    </w:rPr>
  </w:style>
  <w:style w:type="character" w:customStyle="1" w:styleId="DvodovzprvaChar">
    <w:name w:val="Důvodová zpráva Char"/>
    <w:link w:val="Dvodovzprva"/>
    <w:uiPriority w:val="99"/>
    <w:locked/>
    <w:rsid w:val="00DF0790"/>
    <w:rPr>
      <w:rFonts w:ascii="Arial" w:eastAsia="Times New Roman" w:hAnsi="Arial" w:cs="Times New Roman"/>
      <w:color w:val="0000FF"/>
      <w:sz w:val="24"/>
      <w:szCs w:val="20"/>
      <w:lang w:eastAsia="cs-CZ"/>
    </w:rPr>
  </w:style>
  <w:style w:type="paragraph" w:customStyle="1" w:styleId="Dvodovzprvakbodu">
    <w:name w:val="Důvodová zpráva (k bodu)"/>
    <w:basedOn w:val="Dvodovzprva"/>
    <w:next w:val="Dvodovzprva"/>
    <w:qFormat/>
    <w:rsid w:val="00DF0790"/>
    <w:pPr>
      <w:keepNext/>
      <w:numPr>
        <w:numId w:val="19"/>
      </w:numPr>
      <w:tabs>
        <w:tab w:val="num" w:pos="360"/>
      </w:tabs>
      <w:ind w:left="502" w:hanging="360"/>
      <w:outlineLvl w:val="7"/>
    </w:pPr>
    <w:rPr>
      <w:b/>
    </w:rPr>
  </w:style>
  <w:style w:type="paragraph" w:styleId="Seznamobrzk">
    <w:name w:val="table of figures"/>
    <w:basedOn w:val="Normln"/>
    <w:next w:val="Normln"/>
    <w:uiPriority w:val="99"/>
    <w:unhideWhenUsed/>
    <w:rsid w:val="00764ED9"/>
    <w:pPr>
      <w:spacing w:after="0"/>
    </w:pPr>
  </w:style>
  <w:style w:type="paragraph" w:customStyle="1" w:styleId="text">
    <w:name w:val="text"/>
    <w:basedOn w:val="Normln"/>
    <w:rsid w:val="00A14435"/>
    <w:pPr>
      <w:spacing w:before="120" w:after="0"/>
      <w:ind w:firstLine="357"/>
    </w:pPr>
    <w:rPr>
      <w:rFonts w:ascii="Times New Roman" w:eastAsia="Calibri" w:hAnsi="Times New Roman" w:cs="Times New Roman"/>
      <w:szCs w:val="24"/>
      <w:lang w:eastAsia="cs-CZ"/>
    </w:rPr>
  </w:style>
  <w:style w:type="paragraph" w:customStyle="1" w:styleId="zdvodnn">
    <w:name w:val="zdůvodnění"/>
    <w:basedOn w:val="Normln"/>
    <w:rsid w:val="00A14435"/>
    <w:pPr>
      <w:keepNext/>
      <w:spacing w:before="240" w:after="120"/>
    </w:pPr>
    <w:rPr>
      <w:rFonts w:ascii="Times New Roman" w:eastAsia="Calibri" w:hAnsi="Times New Roman" w:cs="Times New Roman"/>
      <w:b/>
      <w:bCs/>
      <w:szCs w:val="24"/>
      <w:lang w:eastAsia="cs-CZ"/>
    </w:rPr>
  </w:style>
  <w:style w:type="character" w:customStyle="1" w:styleId="acopre1">
    <w:name w:val="acopre1"/>
    <w:basedOn w:val="Standardnpsmoodstavce"/>
    <w:rsid w:val="00A14435"/>
  </w:style>
  <w:style w:type="paragraph" w:styleId="Obsah5">
    <w:name w:val="toc 5"/>
    <w:basedOn w:val="Normln"/>
    <w:next w:val="Normln"/>
    <w:autoRedefine/>
    <w:uiPriority w:val="39"/>
    <w:unhideWhenUsed/>
    <w:rsid w:val="00742A28"/>
    <w:pPr>
      <w:spacing w:after="100"/>
      <w:ind w:left="960"/>
    </w:pPr>
  </w:style>
  <w:style w:type="paragraph" w:styleId="Obsah6">
    <w:name w:val="toc 6"/>
    <w:basedOn w:val="Normln"/>
    <w:next w:val="Normln"/>
    <w:autoRedefine/>
    <w:uiPriority w:val="39"/>
    <w:unhideWhenUsed/>
    <w:rsid w:val="00742A28"/>
    <w:pPr>
      <w:spacing w:after="100"/>
      <w:ind w:left="1200"/>
    </w:pPr>
  </w:style>
  <w:style w:type="paragraph" w:styleId="Obsah4">
    <w:name w:val="toc 4"/>
    <w:basedOn w:val="Normln"/>
    <w:next w:val="Normln"/>
    <w:autoRedefine/>
    <w:uiPriority w:val="39"/>
    <w:unhideWhenUsed/>
    <w:rsid w:val="00742A28"/>
    <w:pPr>
      <w:spacing w:after="10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690230">
      <w:bodyDiv w:val="1"/>
      <w:marLeft w:val="0"/>
      <w:marRight w:val="0"/>
      <w:marTop w:val="0"/>
      <w:marBottom w:val="0"/>
      <w:divBdr>
        <w:top w:val="none" w:sz="0" w:space="0" w:color="auto"/>
        <w:left w:val="none" w:sz="0" w:space="0" w:color="auto"/>
        <w:bottom w:val="none" w:sz="0" w:space="0" w:color="auto"/>
        <w:right w:val="none" w:sz="0" w:space="0" w:color="auto"/>
      </w:divBdr>
      <w:divsChild>
        <w:div w:id="1047489237">
          <w:marLeft w:val="0"/>
          <w:marRight w:val="0"/>
          <w:marTop w:val="0"/>
          <w:marBottom w:val="0"/>
          <w:divBdr>
            <w:top w:val="none" w:sz="0" w:space="0" w:color="auto"/>
            <w:left w:val="none" w:sz="0" w:space="0" w:color="auto"/>
            <w:bottom w:val="none" w:sz="0" w:space="0" w:color="auto"/>
            <w:right w:val="none" w:sz="0" w:space="0" w:color="auto"/>
          </w:divBdr>
        </w:div>
      </w:divsChild>
    </w:div>
    <w:div w:id="764694837">
      <w:bodyDiv w:val="1"/>
      <w:marLeft w:val="0"/>
      <w:marRight w:val="0"/>
      <w:marTop w:val="0"/>
      <w:marBottom w:val="0"/>
      <w:divBdr>
        <w:top w:val="none" w:sz="0" w:space="0" w:color="auto"/>
        <w:left w:val="none" w:sz="0" w:space="0" w:color="auto"/>
        <w:bottom w:val="none" w:sz="0" w:space="0" w:color="auto"/>
        <w:right w:val="none" w:sz="0" w:space="0" w:color="auto"/>
      </w:divBdr>
    </w:div>
    <w:div w:id="977151306">
      <w:bodyDiv w:val="1"/>
      <w:marLeft w:val="0"/>
      <w:marRight w:val="0"/>
      <w:marTop w:val="0"/>
      <w:marBottom w:val="0"/>
      <w:divBdr>
        <w:top w:val="none" w:sz="0" w:space="0" w:color="auto"/>
        <w:left w:val="none" w:sz="0" w:space="0" w:color="auto"/>
        <w:bottom w:val="none" w:sz="0" w:space="0" w:color="auto"/>
        <w:right w:val="none" w:sz="0" w:space="0" w:color="auto"/>
      </w:divBdr>
    </w:div>
    <w:div w:id="1440444377">
      <w:bodyDiv w:val="1"/>
      <w:marLeft w:val="0"/>
      <w:marRight w:val="0"/>
      <w:marTop w:val="0"/>
      <w:marBottom w:val="0"/>
      <w:divBdr>
        <w:top w:val="none" w:sz="0" w:space="0" w:color="auto"/>
        <w:left w:val="none" w:sz="0" w:space="0" w:color="auto"/>
        <w:bottom w:val="none" w:sz="0" w:space="0" w:color="auto"/>
        <w:right w:val="none" w:sz="0" w:space="0" w:color="auto"/>
      </w:divBdr>
      <w:divsChild>
        <w:div w:id="1205409752">
          <w:marLeft w:val="360"/>
          <w:marRight w:val="0"/>
          <w:marTop w:val="200"/>
          <w:marBottom w:val="0"/>
          <w:divBdr>
            <w:top w:val="none" w:sz="0" w:space="0" w:color="auto"/>
            <w:left w:val="none" w:sz="0" w:space="0" w:color="auto"/>
            <w:bottom w:val="none" w:sz="0" w:space="0" w:color="auto"/>
            <w:right w:val="none" w:sz="0" w:space="0" w:color="auto"/>
          </w:divBdr>
        </w:div>
        <w:div w:id="243758223">
          <w:marLeft w:val="360"/>
          <w:marRight w:val="0"/>
          <w:marTop w:val="200"/>
          <w:marBottom w:val="0"/>
          <w:divBdr>
            <w:top w:val="none" w:sz="0" w:space="0" w:color="auto"/>
            <w:left w:val="none" w:sz="0" w:space="0" w:color="auto"/>
            <w:bottom w:val="none" w:sz="0" w:space="0" w:color="auto"/>
            <w:right w:val="none" w:sz="0" w:space="0" w:color="auto"/>
          </w:divBdr>
        </w:div>
        <w:div w:id="657272405">
          <w:marLeft w:val="360"/>
          <w:marRight w:val="0"/>
          <w:marTop w:val="200"/>
          <w:marBottom w:val="0"/>
          <w:divBdr>
            <w:top w:val="none" w:sz="0" w:space="0" w:color="auto"/>
            <w:left w:val="none" w:sz="0" w:space="0" w:color="auto"/>
            <w:bottom w:val="none" w:sz="0" w:space="0" w:color="auto"/>
            <w:right w:val="none" w:sz="0" w:space="0" w:color="auto"/>
          </w:divBdr>
        </w:div>
        <w:div w:id="866724259">
          <w:marLeft w:val="360"/>
          <w:marRight w:val="0"/>
          <w:marTop w:val="200"/>
          <w:marBottom w:val="0"/>
          <w:divBdr>
            <w:top w:val="none" w:sz="0" w:space="0" w:color="auto"/>
            <w:left w:val="none" w:sz="0" w:space="0" w:color="auto"/>
            <w:bottom w:val="none" w:sz="0" w:space="0" w:color="auto"/>
            <w:right w:val="none" w:sz="0" w:space="0" w:color="auto"/>
          </w:divBdr>
        </w:div>
      </w:divsChild>
    </w:div>
    <w:div w:id="1684815081">
      <w:bodyDiv w:val="1"/>
      <w:marLeft w:val="0"/>
      <w:marRight w:val="0"/>
      <w:marTop w:val="0"/>
      <w:marBottom w:val="0"/>
      <w:divBdr>
        <w:top w:val="none" w:sz="0" w:space="0" w:color="auto"/>
        <w:left w:val="none" w:sz="0" w:space="0" w:color="auto"/>
        <w:bottom w:val="none" w:sz="0" w:space="0" w:color="auto"/>
        <w:right w:val="none" w:sz="0" w:space="0" w:color="auto"/>
      </w:divBdr>
      <w:divsChild>
        <w:div w:id="875190998">
          <w:marLeft w:val="0"/>
          <w:marRight w:val="0"/>
          <w:marTop w:val="0"/>
          <w:marBottom w:val="0"/>
          <w:divBdr>
            <w:top w:val="none" w:sz="0" w:space="0" w:color="auto"/>
            <w:left w:val="none" w:sz="0" w:space="0" w:color="auto"/>
            <w:bottom w:val="none" w:sz="0" w:space="0" w:color="auto"/>
            <w:right w:val="none" w:sz="0" w:space="0" w:color="auto"/>
          </w:divBdr>
        </w:div>
      </w:divsChild>
    </w:div>
    <w:div w:id="1922181634">
      <w:bodyDiv w:val="1"/>
      <w:marLeft w:val="0"/>
      <w:marRight w:val="0"/>
      <w:marTop w:val="0"/>
      <w:marBottom w:val="0"/>
      <w:divBdr>
        <w:top w:val="none" w:sz="0" w:space="0" w:color="auto"/>
        <w:left w:val="none" w:sz="0" w:space="0" w:color="auto"/>
        <w:bottom w:val="none" w:sz="0" w:space="0" w:color="auto"/>
        <w:right w:val="none" w:sz="0" w:space="0" w:color="auto"/>
      </w:divBdr>
    </w:div>
    <w:div w:id="2077123608">
      <w:bodyDiv w:val="1"/>
      <w:marLeft w:val="0"/>
      <w:marRight w:val="0"/>
      <w:marTop w:val="0"/>
      <w:marBottom w:val="0"/>
      <w:divBdr>
        <w:top w:val="none" w:sz="0" w:space="0" w:color="auto"/>
        <w:left w:val="none" w:sz="0" w:space="0" w:color="auto"/>
        <w:bottom w:val="none" w:sz="0" w:space="0" w:color="auto"/>
        <w:right w:val="none" w:sz="0" w:space="0" w:color="auto"/>
      </w:divBdr>
      <w:divsChild>
        <w:div w:id="65256073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15321\Documents\workspace\Hazard\regulace%20hazardu%20v%20&#268;R%20a%20ve%20sv&#283;t&#283;\Licen&#269;n&#237;%20podm&#237;nky%20k%20provozov&#225;n&#237;%20hazardu%20ve%20sv&#283;t&#283;.xlsx" TargetMode="External"/><Relationship Id="rId18" Type="http://schemas.openxmlformats.org/officeDocument/2006/relationships/hyperlink" Target="file:///C:\Users\15321\Documents\workspace\Hazard\regulace%20hazardu%20v%20&#268;R%20a%20ve%20sv&#283;t&#283;\Licen&#269;n&#237;%20podm&#237;nky%20k%20provozov&#225;n&#237;%20hazardu%20ve%20sv&#283;t&#283;.xls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15321\Documents\workspace\Hazard\regulace%20hazardu%20v%20&#268;R%20a%20ve%20sv&#283;t&#283;\Licen&#269;n&#237;%20podm&#237;nky%20k%20provozov&#225;n&#237;%20hazardu%20ve%20sv&#283;t&#283;.xlsx" TargetMode="External"/><Relationship Id="rId7" Type="http://schemas.openxmlformats.org/officeDocument/2006/relationships/endnotes" Target="endnotes.xml"/><Relationship Id="rId12" Type="http://schemas.openxmlformats.org/officeDocument/2006/relationships/hyperlink" Target="file:///C:\Users\15321\Documents\workspace\Hazard\regulace%20hazardu%20v%20&#268;R%20a%20ve%20sv&#283;t&#283;\Licen&#269;n&#237;%20podm&#237;nky%20k%20provozov&#225;n&#237;%20hazardu%20ve%20sv&#283;t&#283;.xlsx" TargetMode="External"/><Relationship Id="rId17" Type="http://schemas.openxmlformats.org/officeDocument/2006/relationships/hyperlink" Target="file:///C:\Users\15321\Documents\workspace\Hazard\regulace%20hazardu%20v%20&#268;R%20a%20ve%20sv&#283;t&#283;\Licen&#269;n&#237;%20podm&#237;nky%20k%20provozov&#225;n&#237;%20hazardu%20ve%20sv&#283;t&#283;.xls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5321\Documents\workspace\Hazard\regulace%20hazardu%20v%20&#268;R%20a%20ve%20sv&#283;t&#283;\Licen&#269;n&#237;%20podm&#237;nky%20k%20provozov&#225;n&#237;%20hazardu%20ve%20sv&#283;t&#283;.xlsx" TargetMode="External"/><Relationship Id="rId20" Type="http://schemas.openxmlformats.org/officeDocument/2006/relationships/hyperlink" Target="file:///C:\Users\15321\Documents\workspace\Hazard\regulace%20hazardu%20v%20&#268;R%20a%20ve%20sv&#283;t&#283;\Licen&#269;n&#237;%20podm&#237;nky%20k%20provozov&#225;n&#237;%20hazardu%20ve%20sv&#283;t&#283;.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5321\Documents\workspace\Hazard\regulace%20hazardu%20v%20&#268;R%20a%20ve%20sv&#283;t&#283;\Licen&#269;n&#237;%20podm&#237;nky%20k%20provozov&#225;n&#237;%20hazardu%20ve%20sv&#283;t&#283;.xlsx" TargetMode="External"/><Relationship Id="rId24" Type="http://schemas.openxmlformats.org/officeDocument/2006/relationships/hyperlink" Target="file:///C:\Users\15321\Documents\workspace\Hazard\regulace%20hazardu%20v%20&#268;R%20a%20ve%20sv&#283;t&#283;\Licen&#269;n&#237;%20podm&#237;nky%20k%20provozov&#225;n&#237;%20hazardu%20ve%20sv&#283;t&#283;.xlsx" TargetMode="External"/><Relationship Id="rId5" Type="http://schemas.openxmlformats.org/officeDocument/2006/relationships/webSettings" Target="webSettings.xml"/><Relationship Id="rId15" Type="http://schemas.openxmlformats.org/officeDocument/2006/relationships/hyperlink" Target="file:///C:\Users\15321\Documents\workspace\Hazard\regulace%20hazardu%20v%20&#268;R%20a%20ve%20sv&#283;t&#283;\Licen&#269;n&#237;%20podm&#237;nky%20k%20provozov&#225;n&#237;%20hazardu%20ve%20sv&#283;t&#283;.xlsx" TargetMode="External"/><Relationship Id="rId23" Type="http://schemas.openxmlformats.org/officeDocument/2006/relationships/hyperlink" Target="file:///C:\Users\15321\Documents\workspace\Hazard\regulace%20hazardu%20v%20&#268;R%20a%20ve%20sv&#283;t&#283;\Licen&#269;n&#237;%20podm&#237;nky%20k%20provozov&#225;n&#237;%20hazardu%20ve%20sv&#283;t&#283;.xlsx" TargetMode="External"/><Relationship Id="rId10" Type="http://schemas.openxmlformats.org/officeDocument/2006/relationships/footer" Target="footer1.xml"/><Relationship Id="rId19" Type="http://schemas.openxmlformats.org/officeDocument/2006/relationships/hyperlink" Target="file:///C:\Users\15321\Documents\workspace\Hazard\regulace%20hazardu%20v%20&#268;R%20a%20ve%20sv&#283;t&#283;\Licen&#269;n&#237;%20podm&#237;nky%20k%20provozov&#225;n&#237;%20hazardu%20ve%20sv&#283;t&#283;.xls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15321\Documents\workspace\Hazard\regulace%20hazardu%20v%20&#268;R%20a%20ve%20sv&#283;t&#283;\Licen&#269;n&#237;%20podm&#237;nky%20k%20provozov&#225;n&#237;%20hazardu%20ve%20sv&#283;t&#283;.xlsx" TargetMode="External"/><Relationship Id="rId22" Type="http://schemas.openxmlformats.org/officeDocument/2006/relationships/hyperlink" Target="file:///C:\Users\15321\Documents\workspace\Hazard\regulace%20hazardu%20v%20&#268;R%20a%20ve%20sv&#283;t&#283;\Licen&#269;n&#237;%20podm&#237;nky%20k%20provozov&#225;n&#237;%20hazardu%20ve%20sv&#283;t&#283;.xls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mfcr.cz/cs/legislativa/metodiky/2016/metodicky-pokyn-a-formular-k-vyplneni-za-26062"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1491C-F1E6-4FC0-9754-6BD6BF72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65</Pages>
  <Words>27248</Words>
  <Characters>160769</Characters>
  <Application>Microsoft Office Word</Application>
  <DocSecurity>0</DocSecurity>
  <Lines>1339</Lines>
  <Paragraphs>375</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187642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Poláková Karolína</dc:creator>
  <cp:lastModifiedBy>Matějková Diana Bc.</cp:lastModifiedBy>
  <cp:revision>3</cp:revision>
  <dcterms:created xsi:type="dcterms:W3CDTF">2021-06-03T15:07:00Z</dcterms:created>
  <dcterms:modified xsi:type="dcterms:W3CDTF">2021-06-08T13:01:00Z</dcterms:modified>
</cp:coreProperties>
</file>