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0ED24A" w14:textId="77777777" w:rsidR="002E6EC3" w:rsidRPr="0092512A" w:rsidRDefault="00D35BB0" w:rsidP="008274BD">
      <w:pPr>
        <w:pStyle w:val="Nadpis2"/>
        <w:numPr>
          <w:ilvl w:val="0"/>
          <w:numId w:val="0"/>
        </w:numPr>
        <w:ind w:left="578"/>
      </w:pPr>
      <w:bookmarkStart w:id="0" w:name="_Toc73534439"/>
      <w:bookmarkStart w:id="1" w:name="_Toc73607317"/>
      <w:bookmarkStart w:id="2" w:name="_Toc73608045"/>
      <w:r w:rsidRPr="0092512A">
        <w:t>Kauce</w:t>
      </w:r>
      <w:bookmarkEnd w:id="0"/>
      <w:bookmarkEnd w:id="1"/>
      <w:bookmarkEnd w:id="2"/>
    </w:p>
    <w:p w14:paraId="65A64270" w14:textId="77777777" w:rsidR="004411E4" w:rsidRPr="0092512A" w:rsidRDefault="004411E4" w:rsidP="00C96FDA">
      <w:pPr>
        <w:pStyle w:val="Nadpis3"/>
      </w:pPr>
      <w:bookmarkStart w:id="3" w:name="_Toc73608046"/>
      <w:r w:rsidRPr="0092512A">
        <w:t>Konkrétní popis regulace obsažené</w:t>
      </w:r>
      <w:r w:rsidR="00111F2C">
        <w:t xml:space="preserve"> </w:t>
      </w:r>
      <w:r w:rsidRPr="0092512A">
        <w:t>v</w:t>
      </w:r>
      <w:r w:rsidR="00111F2C">
        <w:t xml:space="preserve"> </w:t>
      </w:r>
      <w:r w:rsidRPr="0092512A">
        <w:t>zákoně o</w:t>
      </w:r>
      <w:r w:rsidR="00111F2C">
        <w:t> </w:t>
      </w:r>
      <w:r w:rsidRPr="0092512A">
        <w:t>loteriích</w:t>
      </w:r>
      <w:bookmarkEnd w:id="3"/>
    </w:p>
    <w:p w14:paraId="364FAF8F" w14:textId="3B548696" w:rsidR="00DF06F6" w:rsidRDefault="00A96523" w:rsidP="00DF06F6">
      <w:r w:rsidRPr="0092512A">
        <w:t>K zajištění pohledá</w:t>
      </w:r>
      <w:bookmarkStart w:id="4" w:name="_GoBack"/>
      <w:bookmarkEnd w:id="4"/>
      <w:r w:rsidRPr="0092512A">
        <w:t xml:space="preserve">vek státu, obcí a </w:t>
      </w:r>
      <w:r w:rsidRPr="00DA206E">
        <w:t xml:space="preserve">výplat </w:t>
      </w:r>
      <w:r w:rsidR="000974C4">
        <w:t xml:space="preserve">výher </w:t>
      </w:r>
      <w:r w:rsidRPr="008643E9">
        <w:t>sázejícím</w:t>
      </w:r>
      <w:r w:rsidRPr="0092512A">
        <w:t xml:space="preserve"> byl zákonem </w:t>
      </w:r>
      <w:r w:rsidR="00051097" w:rsidRPr="0092512A">
        <w:t>o</w:t>
      </w:r>
      <w:r w:rsidR="002D6F6B">
        <w:t> </w:t>
      </w:r>
      <w:r w:rsidR="00051097" w:rsidRPr="0092512A">
        <w:t xml:space="preserve">loteriích </w:t>
      </w:r>
      <w:r w:rsidRPr="0092512A">
        <w:t xml:space="preserve">zřízen </w:t>
      </w:r>
      <w:r w:rsidRPr="000E4FFA">
        <w:rPr>
          <w:b/>
        </w:rPr>
        <w:t>institut jistot</w:t>
      </w:r>
      <w:r w:rsidRPr="0092512A">
        <w:t xml:space="preserve">, kdy </w:t>
      </w:r>
      <w:r w:rsidR="001D33EC" w:rsidRPr="000E4FFA">
        <w:rPr>
          <w:b/>
        </w:rPr>
        <w:t>žadatel</w:t>
      </w:r>
      <w:r w:rsidR="001D33EC">
        <w:t xml:space="preserve"> o</w:t>
      </w:r>
      <w:r w:rsidR="002D6F6B">
        <w:t> </w:t>
      </w:r>
      <w:r w:rsidR="001D33EC">
        <w:t>povolení</w:t>
      </w:r>
      <w:r w:rsidR="001D33EC" w:rsidRPr="0092512A">
        <w:t xml:space="preserve"> </w:t>
      </w:r>
      <w:r w:rsidRPr="000E4FFA">
        <w:rPr>
          <w:b/>
        </w:rPr>
        <w:t>byl povinen složit na</w:t>
      </w:r>
      <w:r w:rsidRPr="0092512A">
        <w:t xml:space="preserve"> </w:t>
      </w:r>
      <w:r w:rsidR="00F85D54">
        <w:t>speciálně zřízený</w:t>
      </w:r>
      <w:r w:rsidR="00EA2A91" w:rsidRPr="00EA2A91">
        <w:t xml:space="preserve"> </w:t>
      </w:r>
      <w:r w:rsidR="00F85D54">
        <w:rPr>
          <w:b/>
        </w:rPr>
        <w:t>účet</w:t>
      </w:r>
      <w:r w:rsidR="000E4FFA">
        <w:rPr>
          <w:rStyle w:val="Znakapoznpodarou"/>
        </w:rPr>
        <w:footnoteReference w:id="2"/>
      </w:r>
      <w:r w:rsidRPr="0092512A">
        <w:t xml:space="preserve"> u</w:t>
      </w:r>
      <w:r w:rsidR="002D6F6B">
        <w:t> </w:t>
      </w:r>
      <w:r w:rsidRPr="0092512A">
        <w:t xml:space="preserve">banky nebo spořitelního a </w:t>
      </w:r>
      <w:r w:rsidR="001D33EC" w:rsidRPr="0092512A">
        <w:t>úvěr</w:t>
      </w:r>
      <w:r w:rsidR="001D33EC">
        <w:t>ního</w:t>
      </w:r>
      <w:r w:rsidR="001D33EC" w:rsidRPr="0092512A">
        <w:t xml:space="preserve"> </w:t>
      </w:r>
      <w:r w:rsidRPr="0092512A">
        <w:t xml:space="preserve">družstva </w:t>
      </w:r>
      <w:r w:rsidRPr="00F85D54">
        <w:rPr>
          <w:b/>
        </w:rPr>
        <w:t>peněžní částku</w:t>
      </w:r>
      <w:r w:rsidR="00055A7B">
        <w:t>, jejíž výše byla stanovena v závislosti na okruhu provozovaných loterií a jiných podobných her</w:t>
      </w:r>
      <w:r w:rsidR="00055A7B" w:rsidRPr="0092512A">
        <w:t>.</w:t>
      </w:r>
      <w:r w:rsidR="00055A7B" w:rsidRPr="00341909">
        <w:rPr>
          <w:rFonts w:cs="Arial"/>
        </w:rPr>
        <w:t xml:space="preserve"> </w:t>
      </w:r>
      <w:r w:rsidR="00055A7B" w:rsidRPr="00B23B11">
        <w:rPr>
          <w:rFonts w:cs="Arial"/>
        </w:rPr>
        <w:t xml:space="preserve">Přesné stanovení částek pro jednotlivé </w:t>
      </w:r>
      <w:r w:rsidR="00055A7B">
        <w:rPr>
          <w:rFonts w:cs="Arial"/>
        </w:rPr>
        <w:t>okruhy loterií a jiných podobných her</w:t>
      </w:r>
      <w:r w:rsidR="00055A7B" w:rsidRPr="00B23B11">
        <w:rPr>
          <w:rFonts w:cs="Arial"/>
        </w:rPr>
        <w:t xml:space="preserve"> upravoval</w:t>
      </w:r>
      <w:r w:rsidR="00055A7B" w:rsidRPr="00713B9D">
        <w:rPr>
          <w:rFonts w:cs="Arial"/>
        </w:rPr>
        <w:t xml:space="preserve"> §</w:t>
      </w:r>
      <w:r w:rsidR="00972925">
        <w:rPr>
          <w:rFonts w:cs="Arial"/>
        </w:rPr>
        <w:t> </w:t>
      </w:r>
      <w:r w:rsidR="00055A7B" w:rsidRPr="00713B9D">
        <w:rPr>
          <w:rFonts w:cs="Arial"/>
        </w:rPr>
        <w:t>4b</w:t>
      </w:r>
      <w:r w:rsidR="00972925">
        <w:rPr>
          <w:rFonts w:cs="Arial"/>
        </w:rPr>
        <w:t> </w:t>
      </w:r>
      <w:r w:rsidR="00055A7B" w:rsidRPr="00713B9D">
        <w:rPr>
          <w:rFonts w:cs="Arial"/>
        </w:rPr>
        <w:t>zákona o loteriích</w:t>
      </w:r>
      <w:r w:rsidR="00055A7B">
        <w:rPr>
          <w:rStyle w:val="Znakapoznpodarou"/>
          <w:rFonts w:cs="Arial"/>
        </w:rPr>
        <w:footnoteReference w:id="3"/>
      </w:r>
      <w:r w:rsidR="00055A7B" w:rsidRPr="00713B9D">
        <w:rPr>
          <w:rFonts w:cs="Arial"/>
        </w:rPr>
        <w:t>.</w:t>
      </w:r>
      <w:r w:rsidR="00055A7B" w:rsidRPr="0092512A">
        <w:t xml:space="preserve"> </w:t>
      </w:r>
      <w:r w:rsidR="00DF06F6" w:rsidRPr="00F85D54">
        <w:rPr>
          <w:b/>
        </w:rPr>
        <w:t>Peněžní prostředky složené na účtu byly skládány v plné výši</w:t>
      </w:r>
      <w:r w:rsidR="00DF06F6">
        <w:t>, jak uváděl zákon o</w:t>
      </w:r>
      <w:r w:rsidR="00A92C3E">
        <w:t> </w:t>
      </w:r>
      <w:r w:rsidR="00DF06F6">
        <w:t>loteriích, a</w:t>
      </w:r>
      <w:r w:rsidR="00A92C3E">
        <w:t> </w:t>
      </w:r>
      <w:r w:rsidR="00DF06F6" w:rsidRPr="0092512A">
        <w:t xml:space="preserve">uvolňovány </w:t>
      </w:r>
      <w:r w:rsidR="00FB44CF">
        <w:t xml:space="preserve">byly </w:t>
      </w:r>
      <w:r w:rsidR="00DF06F6" w:rsidRPr="0092512A">
        <w:t xml:space="preserve">po předchozím souhlasu správního orgánu </w:t>
      </w:r>
      <w:r w:rsidR="00DF06F6">
        <w:t>teprve tehdy, jestliže uplynula lhůta, na kterou bylo povolení vydáno, nebo bylo povolení zrušeno anebo činnost skončila a byl vyúčtován provoz loterie nebo jiné podobné hry</w:t>
      </w:r>
      <w:r w:rsidR="00DF06F6" w:rsidRPr="0092512A">
        <w:t>.</w:t>
      </w:r>
      <w:r w:rsidR="00DF06F6">
        <w:t xml:space="preserve"> Vzhledem </w:t>
      </w:r>
      <w:r w:rsidR="004F7B7E">
        <w:t>k této koncepci</w:t>
      </w:r>
      <w:r w:rsidR="00DF06F6">
        <w:t xml:space="preserve"> nemohlo dojít ke snižování jistoty v průběhu daného provozu.</w:t>
      </w:r>
    </w:p>
    <w:p w14:paraId="2A0ED7DE" w14:textId="63102C94" w:rsidR="00A96523" w:rsidRDefault="000F699E" w:rsidP="006F7053">
      <w:r>
        <w:rPr>
          <w:shd w:val="clear" w:color="auto" w:fill="FFFFFF"/>
        </w:rPr>
        <w:t xml:space="preserve">Žadatel byl povinen prokázat původ peněžních prostředků použitých na složení jistoty. Na jistotu nesměly být použity peněžní prostředky z půjček a úvěrů. </w:t>
      </w:r>
      <w:r w:rsidRPr="0092512A">
        <w:rPr>
          <w:shd w:val="clear" w:color="auto" w:fill="FFFFFF"/>
        </w:rPr>
        <w:t xml:space="preserve">Složení jistoty ověřilo Ministerstvo financí, popřípadě </w:t>
      </w:r>
      <w:r w:rsidRPr="00035091">
        <w:rPr>
          <w:shd w:val="clear" w:color="auto" w:fill="FFFFFF"/>
        </w:rPr>
        <w:t>jiný povolující orgán</w:t>
      </w:r>
      <w:r>
        <w:rPr>
          <w:shd w:val="clear" w:color="auto" w:fill="FFFFFF"/>
        </w:rPr>
        <w:t xml:space="preserve">. </w:t>
      </w:r>
      <w:r w:rsidR="001D33EC">
        <w:t>Žadatel</w:t>
      </w:r>
      <w:r w:rsidR="001D33EC" w:rsidRPr="0092512A">
        <w:t xml:space="preserve"> </w:t>
      </w:r>
      <w:r w:rsidR="00A96523" w:rsidRPr="0092512A">
        <w:t>byl povinen k žádosti doložit</w:t>
      </w:r>
      <w:r w:rsidR="00B5155A">
        <w:t xml:space="preserve"> povolujícímu orgánu</w:t>
      </w:r>
      <w:r w:rsidR="00A96523" w:rsidRPr="0092512A">
        <w:t xml:space="preserve"> potvrzení banky o</w:t>
      </w:r>
      <w:r w:rsidR="00111F2C">
        <w:t> </w:t>
      </w:r>
      <w:r w:rsidR="00A96523" w:rsidRPr="0092512A">
        <w:t>zřízení účtu a</w:t>
      </w:r>
      <w:r w:rsidR="001D33EC">
        <w:t> </w:t>
      </w:r>
      <w:r w:rsidR="00A96523" w:rsidRPr="0092512A">
        <w:t>složení jistoty</w:t>
      </w:r>
      <w:r w:rsidR="001D33EC">
        <w:t xml:space="preserve">, v případě </w:t>
      </w:r>
      <w:r w:rsidR="00B5155A">
        <w:t>výherních hracích přístrojů se uvedená potvrzení dokládala též příslušnému finančnímu úřadu</w:t>
      </w:r>
      <w:r w:rsidR="00A96523" w:rsidRPr="00035091">
        <w:rPr>
          <w:shd w:val="clear" w:color="auto" w:fill="FFFFFF"/>
        </w:rPr>
        <w:t xml:space="preserve">. </w:t>
      </w:r>
      <w:r w:rsidR="00A96523" w:rsidRPr="00035091">
        <w:t>Platnost</w:t>
      </w:r>
      <w:r w:rsidR="00A96523" w:rsidRPr="0092512A">
        <w:t xml:space="preserve"> potvrzení byla stanovena na dobu 12</w:t>
      </w:r>
      <w:r w:rsidR="00A92C3E">
        <w:t> </w:t>
      </w:r>
      <w:r w:rsidR="00A96523" w:rsidRPr="0092512A">
        <w:t xml:space="preserve">měsíců </w:t>
      </w:r>
      <w:r w:rsidR="00051097" w:rsidRPr="0092512A">
        <w:t>s</w:t>
      </w:r>
      <w:r w:rsidR="00A92C3E">
        <w:t> </w:t>
      </w:r>
      <w:r w:rsidR="00051097" w:rsidRPr="0092512A">
        <w:t>výjimkou</w:t>
      </w:r>
      <w:r w:rsidR="00A96523" w:rsidRPr="0092512A">
        <w:t xml:space="preserve"> výherních hracích přístrojů, </w:t>
      </w:r>
      <w:r w:rsidR="00051097" w:rsidRPr="0092512A">
        <w:t>kde</w:t>
      </w:r>
      <w:r w:rsidR="00A96523" w:rsidRPr="0092512A">
        <w:t xml:space="preserve"> byla platnost potvrzení </w:t>
      </w:r>
      <w:r w:rsidR="00051097" w:rsidRPr="0092512A">
        <w:t xml:space="preserve">stanovena na dobu </w:t>
      </w:r>
      <w:r w:rsidR="00A96523" w:rsidRPr="0092512A">
        <w:t>24</w:t>
      </w:r>
      <w:r w:rsidR="00A92C3E">
        <w:t> </w:t>
      </w:r>
      <w:r w:rsidR="00A96523" w:rsidRPr="0092512A">
        <w:t xml:space="preserve">měsíců. </w:t>
      </w:r>
    </w:p>
    <w:p w14:paraId="167C2E1A" w14:textId="633B0AB7" w:rsidR="004411E4" w:rsidRPr="0092512A" w:rsidRDefault="00356E50" w:rsidP="00C96FDA">
      <w:pPr>
        <w:pStyle w:val="Nadpis3"/>
      </w:pPr>
      <w:bookmarkStart w:id="5" w:name="_Toc73608047"/>
      <w:r w:rsidRPr="0092512A">
        <w:t>Konkrétní pop</w:t>
      </w:r>
      <w:r w:rsidR="002537D6">
        <w:t xml:space="preserve">is regulace obsažené v </w:t>
      </w:r>
      <w:r w:rsidR="008274BD">
        <w:t>zákoně o </w:t>
      </w:r>
      <w:r w:rsidRPr="0092512A">
        <w:t>hazardních hrách</w:t>
      </w:r>
      <w:bookmarkEnd w:id="5"/>
    </w:p>
    <w:p w14:paraId="350155BE" w14:textId="2CD4E874" w:rsidR="00521758" w:rsidRDefault="00A96523" w:rsidP="009A17A9">
      <w:r w:rsidRPr="00757664">
        <w:t xml:space="preserve">Zákon </w:t>
      </w:r>
      <w:r w:rsidR="00051097" w:rsidRPr="00757664">
        <w:t>o hazardních hrách</w:t>
      </w:r>
      <w:r w:rsidRPr="00757664">
        <w:t xml:space="preserve"> upravuje obdobný institut, jako tomu bylo v p</w:t>
      </w:r>
      <w:r w:rsidR="00814139" w:rsidRPr="00757664">
        <w:t xml:space="preserve">řípadě zákona o loteriích, a to </w:t>
      </w:r>
      <w:r w:rsidRPr="00757664">
        <w:t>institut kaucí</w:t>
      </w:r>
      <w:r w:rsidR="008C4054" w:rsidRPr="00757664">
        <w:t xml:space="preserve">. </w:t>
      </w:r>
      <w:r w:rsidR="00E76D7B" w:rsidRPr="00F85D54">
        <w:rPr>
          <w:b/>
        </w:rPr>
        <w:t>Smyslem</w:t>
      </w:r>
      <w:r w:rsidR="00E76D7B" w:rsidRPr="00757664">
        <w:t xml:space="preserve"> institutu </w:t>
      </w:r>
      <w:r w:rsidR="00E76D7B" w:rsidRPr="00F85D54">
        <w:rPr>
          <w:b/>
        </w:rPr>
        <w:t>kaucí je</w:t>
      </w:r>
      <w:r w:rsidR="00E76D7B" w:rsidRPr="00757664">
        <w:t xml:space="preserve"> </w:t>
      </w:r>
      <w:r w:rsidR="00E76D7B" w:rsidRPr="00757664">
        <w:rPr>
          <w:b/>
        </w:rPr>
        <w:t>zajištění vymahatelnosti závazků provozovatele vůči státu a sázejícím</w:t>
      </w:r>
      <w:r w:rsidR="00E76D7B" w:rsidRPr="00757664">
        <w:t xml:space="preserve">. </w:t>
      </w:r>
      <w:r w:rsidR="00521758" w:rsidRPr="00757664">
        <w:t xml:space="preserve">Právní úprava výslovně upravuje okruh nedoplatků, k jejichž zajištění má kauce sloužit, a to v podobě </w:t>
      </w:r>
      <w:r w:rsidR="00521758" w:rsidRPr="00757664">
        <w:rPr>
          <w:b/>
        </w:rPr>
        <w:t>a)</w:t>
      </w:r>
      <w:r w:rsidR="00A92C3E">
        <w:rPr>
          <w:b/>
        </w:rPr>
        <w:t> </w:t>
      </w:r>
      <w:r w:rsidR="00521758" w:rsidRPr="00757664">
        <w:rPr>
          <w:b/>
        </w:rPr>
        <w:t>daně</w:t>
      </w:r>
      <w:r w:rsidR="00521758" w:rsidRPr="00757664">
        <w:t xml:space="preserve"> z hazardních her a jejího příslušenství, </w:t>
      </w:r>
      <w:r w:rsidR="00521758" w:rsidRPr="00757664">
        <w:rPr>
          <w:b/>
        </w:rPr>
        <w:t>b)</w:t>
      </w:r>
      <w:r w:rsidR="00A92C3E">
        <w:rPr>
          <w:b/>
        </w:rPr>
        <w:t> </w:t>
      </w:r>
      <w:r w:rsidR="00521758" w:rsidRPr="00757664">
        <w:rPr>
          <w:b/>
        </w:rPr>
        <w:t>pokut uložených za přestupek</w:t>
      </w:r>
      <w:r w:rsidR="00521758" w:rsidRPr="00757664">
        <w:t xml:space="preserve"> podle zákona o hazardních hrách, </w:t>
      </w:r>
      <w:r w:rsidR="00521758" w:rsidRPr="00757664">
        <w:rPr>
          <w:b/>
        </w:rPr>
        <w:t>c)</w:t>
      </w:r>
      <w:r w:rsidR="00A92C3E">
        <w:rPr>
          <w:b/>
        </w:rPr>
        <w:t> </w:t>
      </w:r>
      <w:r w:rsidR="00814139" w:rsidRPr="00757664">
        <w:rPr>
          <w:b/>
        </w:rPr>
        <w:t>nevyplacené výhry</w:t>
      </w:r>
      <w:r w:rsidR="00814139" w:rsidRPr="00757664">
        <w:t xml:space="preserve"> sázejícímu, o </w:t>
      </w:r>
      <w:r w:rsidR="00521758" w:rsidRPr="00757664">
        <w:t>které bylo příslušným orgánem veřejné moci pravomocně roz</w:t>
      </w:r>
      <w:r w:rsidR="000A1167">
        <w:t>hodnuto, že má být vyplacena, a </w:t>
      </w:r>
      <w:r w:rsidR="00521758" w:rsidRPr="00757664">
        <w:t>která byla sázejícím přihlášena u</w:t>
      </w:r>
      <w:r w:rsidR="00960A36" w:rsidRPr="00757664">
        <w:t> </w:t>
      </w:r>
      <w:r w:rsidR="00814139" w:rsidRPr="00757664">
        <w:t>M</w:t>
      </w:r>
      <w:r w:rsidR="00521758" w:rsidRPr="00757664">
        <w:t>inisterstva</w:t>
      </w:r>
      <w:r w:rsidR="00814139" w:rsidRPr="00757664">
        <w:t xml:space="preserve"> financí k uhrazení z </w:t>
      </w:r>
      <w:r w:rsidR="00521758" w:rsidRPr="00757664">
        <w:t>kauce.</w:t>
      </w:r>
      <w:r w:rsidR="00521758">
        <w:t xml:space="preserve"> </w:t>
      </w:r>
      <w:r w:rsidR="004F7B7E">
        <w:t xml:space="preserve">Cílem </w:t>
      </w:r>
      <w:r w:rsidR="00521758">
        <w:t>tohoto institutu je tedy obdobně jako u</w:t>
      </w:r>
      <w:r w:rsidR="00960A36">
        <w:t> </w:t>
      </w:r>
      <w:r w:rsidR="00521758">
        <w:t>předchozí právní úpravy zajištění zákonem definovaného okruhu nedoplatk</w:t>
      </w:r>
      <w:r w:rsidR="00960A36">
        <w:t>ů</w:t>
      </w:r>
      <w:r w:rsidR="00521758">
        <w:t xml:space="preserve"> vzniklých v souvislosti s provozem hazardních her.</w:t>
      </w:r>
    </w:p>
    <w:p w14:paraId="0F4319A4" w14:textId="7E6B538F" w:rsidR="00BB0287" w:rsidRDefault="006A31FB" w:rsidP="009A17A9">
      <w:r w:rsidRPr="0092512A">
        <w:t>Zákon o</w:t>
      </w:r>
      <w:r w:rsidR="000F699E">
        <w:t> </w:t>
      </w:r>
      <w:r w:rsidRPr="0092512A">
        <w:t xml:space="preserve">hazardních hrách </w:t>
      </w:r>
      <w:r>
        <w:t xml:space="preserve">stanoví </w:t>
      </w:r>
      <w:r w:rsidR="000F699E">
        <w:t xml:space="preserve">dva </w:t>
      </w:r>
      <w:r w:rsidR="00C63BBD">
        <w:t xml:space="preserve">možné </w:t>
      </w:r>
      <w:r w:rsidR="000F699E">
        <w:t>způsoby</w:t>
      </w:r>
      <w:r w:rsidRPr="0092512A">
        <w:t xml:space="preserve"> </w:t>
      </w:r>
      <w:r>
        <w:t>poskytnutí kauce, a</w:t>
      </w:r>
      <w:r w:rsidR="00A92C3E">
        <w:t> </w:t>
      </w:r>
      <w:r>
        <w:t xml:space="preserve">to </w:t>
      </w:r>
      <w:r w:rsidRPr="00FB44CF">
        <w:rPr>
          <w:b/>
        </w:rPr>
        <w:t xml:space="preserve">složením peněžních prostředků na zvláštní účet </w:t>
      </w:r>
      <w:r w:rsidRPr="00FB44CF">
        <w:t>Ministerstva financí</w:t>
      </w:r>
      <w:r w:rsidRPr="0092512A">
        <w:t xml:space="preserve"> </w:t>
      </w:r>
      <w:r w:rsidR="000F699E">
        <w:t xml:space="preserve">nebo </w:t>
      </w:r>
      <w:r w:rsidR="000F699E" w:rsidRPr="00FB44CF">
        <w:rPr>
          <w:b/>
        </w:rPr>
        <w:lastRenderedPageBreak/>
        <w:t>poskytnutím</w:t>
      </w:r>
      <w:r w:rsidRPr="00FB44CF">
        <w:rPr>
          <w:b/>
        </w:rPr>
        <w:t xml:space="preserve"> bankovní záruky</w:t>
      </w:r>
      <w:r w:rsidR="009E6D97">
        <w:t>,</w:t>
      </w:r>
      <w:r w:rsidRPr="0092512A">
        <w:t xml:space="preserve"> </w:t>
      </w:r>
      <w:r w:rsidR="00521758">
        <w:t>kterou přijalo Ministerstvo financí. Bankovní záruku</w:t>
      </w:r>
      <w:r w:rsidR="00521758" w:rsidRPr="0092512A">
        <w:t xml:space="preserve"> </w:t>
      </w:r>
      <w:r w:rsidRPr="0092512A">
        <w:t>může poskytnout pouze instituce vymezená v</w:t>
      </w:r>
      <w:r w:rsidR="00A92C3E">
        <w:t> </w:t>
      </w:r>
      <w:r w:rsidRPr="0092512A">
        <w:t>§</w:t>
      </w:r>
      <w:r w:rsidR="00A92C3E">
        <w:t> </w:t>
      </w:r>
      <w:r w:rsidRPr="0092512A">
        <w:t>89</w:t>
      </w:r>
      <w:r w:rsidR="00A92C3E">
        <w:t> </w:t>
      </w:r>
      <w:r w:rsidRPr="0092512A">
        <w:t>odst.</w:t>
      </w:r>
      <w:r w:rsidR="00A92C3E">
        <w:t> </w:t>
      </w:r>
      <w:r w:rsidRPr="0092512A">
        <w:t>3, resp. §</w:t>
      </w:r>
      <w:r w:rsidR="00A92C3E">
        <w:t> </w:t>
      </w:r>
      <w:r w:rsidRPr="0092512A">
        <w:t>100</w:t>
      </w:r>
      <w:r w:rsidR="00A92C3E">
        <w:t> </w:t>
      </w:r>
      <w:r w:rsidRPr="0092512A">
        <w:t>odst.</w:t>
      </w:r>
      <w:r w:rsidR="00A92C3E">
        <w:t> </w:t>
      </w:r>
      <w:r w:rsidRPr="0092512A">
        <w:t>3 zákona o</w:t>
      </w:r>
      <w:r w:rsidR="00A92C3E">
        <w:t> </w:t>
      </w:r>
      <w:r w:rsidRPr="0092512A">
        <w:t>hazardních hrách</w:t>
      </w:r>
      <w:r w:rsidR="00173F82">
        <w:t>.</w:t>
      </w:r>
      <w:r w:rsidRPr="0092512A">
        <w:t xml:space="preserve"> </w:t>
      </w:r>
      <w:r w:rsidR="00173F82">
        <w:t>J</w:t>
      </w:r>
      <w:r w:rsidRPr="0092512A">
        <w:t>edná se například o</w:t>
      </w:r>
      <w:r w:rsidR="00A92C3E">
        <w:t> </w:t>
      </w:r>
      <w:r w:rsidRPr="0092512A">
        <w:t xml:space="preserve">banku, spořitelní a </w:t>
      </w:r>
      <w:r w:rsidR="00E97B72" w:rsidRPr="0092512A">
        <w:t>úvěr</w:t>
      </w:r>
      <w:r w:rsidR="00E97B72">
        <w:t xml:space="preserve">ní </w:t>
      </w:r>
      <w:r w:rsidRPr="0092512A">
        <w:t>družstvo nebo zahraniční banku se sídlem v jiném členském státě EU.</w:t>
      </w:r>
      <w:r w:rsidR="00661718">
        <w:t xml:space="preserve"> </w:t>
      </w:r>
      <w:r w:rsidR="00BB0287">
        <w:t xml:space="preserve">Vzory záručních listin zveřejnilo Ministerstvo financí na svých </w:t>
      </w:r>
      <w:r w:rsidR="00BB0287" w:rsidRPr="00AE2C09">
        <w:t>internetových stránkách</w:t>
      </w:r>
      <w:r w:rsidR="008F1BCA" w:rsidRPr="00AE2C09">
        <w:rPr>
          <w:rStyle w:val="Znakapoznpodarou"/>
        </w:rPr>
        <w:footnoteReference w:id="4"/>
      </w:r>
      <w:r w:rsidR="00BB0287" w:rsidRPr="00AE2C09">
        <w:t xml:space="preserve"> </w:t>
      </w:r>
      <w:r w:rsidR="00BC69D2" w:rsidRPr="00AE2C09">
        <w:t>Bankovní záruka a</w:t>
      </w:r>
      <w:r w:rsidR="009D0EB1">
        <w:t> </w:t>
      </w:r>
      <w:r w:rsidR="00BC69D2" w:rsidRPr="00AE2C09">
        <w:t xml:space="preserve"> vztahy na základě ní vzniklé s</w:t>
      </w:r>
      <w:r w:rsidR="00AE2C09">
        <w:t xml:space="preserve">e </w:t>
      </w:r>
      <w:r w:rsidR="00E97B72">
        <w:t xml:space="preserve">musí řídit </w:t>
      </w:r>
      <w:r w:rsidR="00AE2C09">
        <w:t>českým právem a </w:t>
      </w:r>
      <w:r w:rsidR="00BC69D2" w:rsidRPr="00BC69D2">
        <w:t xml:space="preserve">zároveň tato bankovní záruka </w:t>
      </w:r>
      <w:r w:rsidR="00E97B72">
        <w:t>musí z</w:t>
      </w:r>
      <w:r w:rsidR="00EA7AB9">
        <w:t>a</w:t>
      </w:r>
      <w:r w:rsidR="00E97B72">
        <w:t>kl</w:t>
      </w:r>
      <w:r w:rsidR="006F4FFC">
        <w:t>á</w:t>
      </w:r>
      <w:r w:rsidR="00E97B72">
        <w:t>dat</w:t>
      </w:r>
      <w:r w:rsidR="00E97B72" w:rsidRPr="00BC69D2">
        <w:t xml:space="preserve"> </w:t>
      </w:r>
      <w:r w:rsidR="00BC69D2" w:rsidRPr="00BC69D2">
        <w:t>pravomoc českých soudů</w:t>
      </w:r>
      <w:r w:rsidR="00E97B72">
        <w:t>, jinak by nedošlo k jejímu přijetí ze strany Ministerstva financí</w:t>
      </w:r>
      <w:r w:rsidR="00BC69D2" w:rsidRPr="00BC69D2">
        <w:t>.</w:t>
      </w:r>
    </w:p>
    <w:p w14:paraId="1C3B6439" w14:textId="453FD916" w:rsidR="00700679" w:rsidRDefault="00700679" w:rsidP="009A17A9">
      <w:r>
        <w:t>K žádosti o základní povolení, resp. o</w:t>
      </w:r>
      <w:r w:rsidR="00A92C3E">
        <w:t> </w:t>
      </w:r>
      <w:r>
        <w:t>povolení k umístění herního prostoru, je žadatel povinen přiložit doklad o</w:t>
      </w:r>
      <w:r w:rsidR="00A92C3E">
        <w:t> </w:t>
      </w:r>
      <w:r>
        <w:t>poskytnutí kauce (§ 88</w:t>
      </w:r>
      <w:r w:rsidR="00A92C3E">
        <w:t> </w:t>
      </w:r>
      <w:r>
        <w:t>odst.</w:t>
      </w:r>
      <w:r w:rsidR="00A92C3E">
        <w:t> </w:t>
      </w:r>
      <w:r>
        <w:t>2</w:t>
      </w:r>
      <w:r w:rsidR="00A92C3E">
        <w:t> </w:t>
      </w:r>
      <w:r>
        <w:t>písm.</w:t>
      </w:r>
      <w:r w:rsidR="00A92C3E">
        <w:t> </w:t>
      </w:r>
      <w:r>
        <w:t>c) a</w:t>
      </w:r>
      <w:r w:rsidR="00A92C3E">
        <w:t> </w:t>
      </w:r>
      <w:r>
        <w:t>§</w:t>
      </w:r>
      <w:r w:rsidR="00A92C3E">
        <w:t> </w:t>
      </w:r>
      <w:r>
        <w:t>99</w:t>
      </w:r>
      <w:r w:rsidR="00A92C3E">
        <w:t> </w:t>
      </w:r>
      <w:r>
        <w:t>odst.</w:t>
      </w:r>
      <w:r w:rsidR="00A92C3E">
        <w:t> </w:t>
      </w:r>
      <w:r>
        <w:t>2</w:t>
      </w:r>
      <w:r w:rsidR="00A92C3E">
        <w:t> </w:t>
      </w:r>
      <w:r>
        <w:t>písm.</w:t>
      </w:r>
      <w:r w:rsidR="008363FA">
        <w:t> </w:t>
      </w:r>
      <w:r>
        <w:t>c) zákona o</w:t>
      </w:r>
      <w:r w:rsidR="00A92C3E">
        <w:t> </w:t>
      </w:r>
      <w:r>
        <w:t>hazardních hrách), který je povinnou náležitostí žádost</w:t>
      </w:r>
      <w:r w:rsidR="008363FA">
        <w:t>i</w:t>
      </w:r>
      <w:r>
        <w:t xml:space="preserve"> pro vydání příslušných povolení.</w:t>
      </w:r>
      <w:r w:rsidR="00EF7FE1">
        <w:t xml:space="preserve"> Právní úprava nevylučuje, aby byla kauce poskytnutá oběma způsoby, tedy aby v části byla kauce složena v podobě peněžních prostředků </w:t>
      </w:r>
      <w:r w:rsidR="007C6054">
        <w:t xml:space="preserve">na zvláštním účtu Ministerstva </w:t>
      </w:r>
      <w:r w:rsidR="00EF7FE1">
        <w:t>financí a v části byla poskytnuta bankovní záruka.</w:t>
      </w:r>
      <w:r w:rsidR="007C6054">
        <w:t xml:space="preserve"> Právě §</w:t>
      </w:r>
      <w:r w:rsidR="00A92C3E">
        <w:t> </w:t>
      </w:r>
      <w:r w:rsidR="007C6054">
        <w:t>90</w:t>
      </w:r>
      <w:r w:rsidR="00A92C3E">
        <w:t> </w:t>
      </w:r>
      <w:r w:rsidR="007C6054">
        <w:t>odst.</w:t>
      </w:r>
      <w:r w:rsidR="00A92C3E">
        <w:t> </w:t>
      </w:r>
      <w:r w:rsidR="007C6054">
        <w:t>6 zákona o</w:t>
      </w:r>
      <w:r w:rsidR="00A92C3E">
        <w:t> </w:t>
      </w:r>
      <w:r w:rsidR="007C6054">
        <w:t>hazardníc</w:t>
      </w:r>
      <w:r w:rsidR="00814139">
        <w:t>h hrách tuto situaci předvídá a </w:t>
      </w:r>
      <w:r w:rsidR="007C6054">
        <w:t>stanovuje Ministerstvu financí oprávnění určit si</w:t>
      </w:r>
      <w:r w:rsidR="00BB0287">
        <w:t>,</w:t>
      </w:r>
      <w:r w:rsidR="007C6054">
        <w:t xml:space="preserve"> v jakém pořadí mají být použity jednotlivé způsoby poskytnutí kauce.</w:t>
      </w:r>
    </w:p>
    <w:p w14:paraId="2D80A8AA" w14:textId="7C395191" w:rsidR="00DC6668" w:rsidRDefault="00514894" w:rsidP="00DC6668">
      <w:r w:rsidRPr="00AE2C09">
        <w:rPr>
          <w:b/>
        </w:rPr>
        <w:t>Výše kauce</w:t>
      </w:r>
      <w:r>
        <w:t xml:space="preserve"> </w:t>
      </w:r>
      <w:r w:rsidR="008B4FB8">
        <w:t xml:space="preserve">pro vydání základního povolení </w:t>
      </w:r>
      <w:r w:rsidR="00D120B7" w:rsidRPr="00D120B7">
        <w:t>podle §</w:t>
      </w:r>
      <w:r w:rsidR="009D17B6">
        <w:t> </w:t>
      </w:r>
      <w:r w:rsidR="00D120B7" w:rsidRPr="00D120B7">
        <w:t>89 zákona o hazardních hrách</w:t>
      </w:r>
      <w:r w:rsidR="00D120B7">
        <w:t xml:space="preserve"> </w:t>
      </w:r>
      <w:r w:rsidR="00700679" w:rsidRPr="00EB3D46">
        <w:rPr>
          <w:b/>
        </w:rPr>
        <w:t>je odvislá od provozovaného druhu hazardní hry a jeho způsobu provozu</w:t>
      </w:r>
      <w:r>
        <w:t>.</w:t>
      </w:r>
      <w:r>
        <w:rPr>
          <w:rStyle w:val="Znakapoznpodarou"/>
        </w:rPr>
        <w:footnoteReference w:id="5"/>
      </w:r>
      <w:r w:rsidR="00671BBE">
        <w:t xml:space="preserve"> </w:t>
      </w:r>
      <w:r w:rsidR="001562C0">
        <w:t>Tato k</w:t>
      </w:r>
      <w:r w:rsidR="00671BBE">
        <w:t xml:space="preserve">auce není skládána </w:t>
      </w:r>
      <w:r w:rsidR="008B4FB8">
        <w:t>v případě vydání základního povolení pro</w:t>
      </w:r>
      <w:r w:rsidR="00671BBE">
        <w:t xml:space="preserve"> </w:t>
      </w:r>
      <w:r w:rsidR="00671BBE" w:rsidRPr="0092512A">
        <w:t>technick</w:t>
      </w:r>
      <w:r w:rsidR="008B4FB8">
        <w:t>ou</w:t>
      </w:r>
      <w:r w:rsidR="00671BBE" w:rsidRPr="0092512A">
        <w:t xml:space="preserve"> hr</w:t>
      </w:r>
      <w:r w:rsidR="008B4FB8">
        <w:t>u</w:t>
      </w:r>
      <w:r w:rsidR="00671BBE" w:rsidRPr="0092512A">
        <w:t xml:space="preserve"> provozovan</w:t>
      </w:r>
      <w:r w:rsidR="008B4FB8">
        <w:t>ou</w:t>
      </w:r>
      <w:r w:rsidR="00671BBE" w:rsidRPr="0092512A">
        <w:t xml:space="preserve"> formou land-based</w:t>
      </w:r>
      <w:r w:rsidR="00EF5CE9">
        <w:t>,</w:t>
      </w:r>
      <w:r w:rsidR="00671BBE">
        <w:t xml:space="preserve"> </w:t>
      </w:r>
      <w:r w:rsidR="00671BBE" w:rsidRPr="0092512A">
        <w:t>bingo provozované formou land-based</w:t>
      </w:r>
      <w:r w:rsidR="00671BBE">
        <w:t xml:space="preserve"> a</w:t>
      </w:r>
      <w:r w:rsidR="009D17B6">
        <w:t> </w:t>
      </w:r>
      <w:r w:rsidR="00671BBE" w:rsidRPr="0092512A">
        <w:t>živ</w:t>
      </w:r>
      <w:r w:rsidR="008B4FB8">
        <w:t>ou</w:t>
      </w:r>
      <w:r w:rsidR="00671BBE" w:rsidRPr="0092512A">
        <w:t xml:space="preserve"> hr</w:t>
      </w:r>
      <w:r w:rsidR="008B4FB8">
        <w:t>u</w:t>
      </w:r>
      <w:r w:rsidR="00EF5CE9">
        <w:t xml:space="preserve"> provozovanou</w:t>
      </w:r>
      <w:r w:rsidR="00671BBE" w:rsidRPr="0092512A">
        <w:t xml:space="preserve"> formou land-based</w:t>
      </w:r>
      <w:r w:rsidR="00671BBE">
        <w:t xml:space="preserve">. </w:t>
      </w:r>
      <w:r w:rsidR="008B4FB8">
        <w:t xml:space="preserve">Uvedené hazardní hry jsou totiž provozovány v herních prostorech, a proto je pro zajištění případných nedoplatků vzniklých z tohoto provozu skládána kauce, která je </w:t>
      </w:r>
      <w:r w:rsidR="008B4FB8" w:rsidRPr="00DC6668">
        <w:t>podmínkou pro vydání povolení k umístění herního prostoru postupem podle §</w:t>
      </w:r>
      <w:r w:rsidR="009D17B6">
        <w:t> </w:t>
      </w:r>
      <w:r w:rsidR="008B4FB8" w:rsidRPr="00DC6668">
        <w:t>100 zákona o</w:t>
      </w:r>
      <w:r w:rsidR="009D17B6">
        <w:t> </w:t>
      </w:r>
      <w:r w:rsidR="008B4FB8" w:rsidRPr="00DC6668">
        <w:t>hazardních hrách a následující</w:t>
      </w:r>
      <w:r w:rsidR="007E678F" w:rsidRPr="00DC6668">
        <w:t>ch ustanovení</w:t>
      </w:r>
      <w:r w:rsidR="008B4FB8" w:rsidRPr="00DC6668">
        <w:t>. V</w:t>
      </w:r>
      <w:r w:rsidR="00EA0AE2" w:rsidRPr="00DC6668">
        <w:t>ýš</w:t>
      </w:r>
      <w:r w:rsidR="008B4FB8" w:rsidRPr="00DC6668">
        <w:t>e</w:t>
      </w:r>
      <w:r w:rsidR="00EA0AE2" w:rsidRPr="00DC6668">
        <w:t xml:space="preserve"> kauce</w:t>
      </w:r>
      <w:r w:rsidR="008B4FB8" w:rsidRPr="00DC6668">
        <w:t xml:space="preserve"> se </w:t>
      </w:r>
      <w:r w:rsidR="00F94C10" w:rsidRPr="00DC6668">
        <w:t>pak odvíjí od druhu herního prostoru (herna nebo kasino) a počtu povolení k umístění herního prostoru, kde je zároveň stanovena minimální a maximální výše kauce</w:t>
      </w:r>
      <w:r w:rsidR="00DC6668" w:rsidRPr="00DC6668">
        <w:t xml:space="preserve"> (</w:t>
      </w:r>
      <w:r w:rsidR="00EA0AE2" w:rsidRPr="00D120B7">
        <w:t>pro herny</w:t>
      </w:r>
      <w:r w:rsidR="001562C0" w:rsidRPr="00D120B7">
        <w:t xml:space="preserve"> min. 10 mil.</w:t>
      </w:r>
      <w:r w:rsidR="00735FB9">
        <w:t> Kč</w:t>
      </w:r>
      <w:r w:rsidR="001562C0" w:rsidRPr="00D120B7">
        <w:t>, max. 50 mil.</w:t>
      </w:r>
      <w:r w:rsidR="00735FB9">
        <w:t> Kč</w:t>
      </w:r>
      <w:r w:rsidR="001562C0" w:rsidRPr="00D120B7">
        <w:t xml:space="preserve"> a </w:t>
      </w:r>
      <w:r w:rsidR="00DC6668" w:rsidRPr="001D7108">
        <w:t xml:space="preserve">pro </w:t>
      </w:r>
      <w:r w:rsidR="00EA0AE2" w:rsidRPr="001D7108">
        <w:t xml:space="preserve">kasina </w:t>
      </w:r>
      <w:r w:rsidR="00EA0AE2" w:rsidRPr="00DC6668">
        <w:t>min. 20 mil.</w:t>
      </w:r>
      <w:r w:rsidR="00735FB9">
        <w:t> Kč</w:t>
      </w:r>
      <w:r w:rsidR="00EA0AE2" w:rsidRPr="00DC6668">
        <w:t>, max. 50 mil.</w:t>
      </w:r>
      <w:r w:rsidR="00735FB9">
        <w:t> Kč</w:t>
      </w:r>
      <w:r w:rsidR="00EA0AE2" w:rsidRPr="00DC6668">
        <w:t>)</w:t>
      </w:r>
      <w:r w:rsidR="00EA0AE2" w:rsidRPr="00DC6668">
        <w:rPr>
          <w:rStyle w:val="Znakapoznpodarou"/>
        </w:rPr>
        <w:footnoteReference w:id="6"/>
      </w:r>
      <w:r w:rsidR="00DF06F6" w:rsidRPr="00DC6668">
        <w:t xml:space="preserve"> </w:t>
      </w:r>
      <w:r w:rsidR="00DC6668" w:rsidRPr="00DC6668">
        <w:t>Provozovatel si tedy v souladu s novou právní úpravou může vybrat způsob složení kauce, a také ovlivnit její konečnou výši v podobě určení si rozsahu svého provozu, avšak za splnění minimálních částek daných zákonem o hazardních hrách</w:t>
      </w:r>
      <w:r w:rsidR="00DC6668" w:rsidRPr="00AE2C09">
        <w:t>. Podrobněji se tímto požadavkem bude zabývat následující část věnovaná konkrétním oblastem</w:t>
      </w:r>
      <w:r w:rsidR="00AB0874">
        <w:t xml:space="preserve">, na které je možné se </w:t>
      </w:r>
      <w:r w:rsidR="00DC6668" w:rsidRPr="00AE2C09">
        <w:t>v budoucnu</w:t>
      </w:r>
      <w:r w:rsidR="00AB0874" w:rsidRPr="00AB0874">
        <w:t xml:space="preserve"> </w:t>
      </w:r>
      <w:r w:rsidR="00AB0874">
        <w:t>zaměřit</w:t>
      </w:r>
      <w:r w:rsidR="00DC6668" w:rsidRPr="00AE2C09">
        <w:t>.</w:t>
      </w:r>
    </w:p>
    <w:p w14:paraId="3BD33FF3" w14:textId="7136B1AC" w:rsidR="0004592C" w:rsidRPr="0092512A" w:rsidRDefault="0004592C" w:rsidP="009A17A9">
      <w:r>
        <w:lastRenderedPageBreak/>
        <w:t xml:space="preserve">V návaznosti na tuto koncepci může docházet v rámci správy kauce k situacím, </w:t>
      </w:r>
      <w:r w:rsidR="0018450B">
        <w:t xml:space="preserve">kdy </w:t>
      </w:r>
      <w:r>
        <w:t>v důsledku zrušení nebo zániku příslušných povolení k umístění herního prostoru vznikne přeplatek na kauci</w:t>
      </w:r>
      <w:r w:rsidR="00E163DD">
        <w:t xml:space="preserve">, případně možnost požadovat úpravu bankovní záruky v podobě jejího snížení ze strany provozovatele. Uvedené plyne z odlišného způsobu určení výše skládané částky (oproti zákonu o loteriích), neboť ta je určena v případě herních prostorů v závislosti na jejich povoleném počtu, který se v průběhu provozování hazardních her může měnit. Uvedené sice může být shledáváno ze strany provozovatelů výhodou v tom smyslu, že nemusí </w:t>
      </w:r>
      <w:r w:rsidR="009554CD">
        <w:t xml:space="preserve">mít </w:t>
      </w:r>
      <w:r w:rsidR="00E163DD">
        <w:t>po celou dobu provozování hazardní hry složenou kauci ve vyšších částkách, na druhou stranu s</w:t>
      </w:r>
      <w:r w:rsidR="00553CD8">
        <w:t> </w:t>
      </w:r>
      <w:r w:rsidR="00E163DD">
        <w:t>sebou tato úprava přináší mnoho administrativní zátěže a</w:t>
      </w:r>
      <w:r w:rsidR="00553CD8">
        <w:t> </w:t>
      </w:r>
      <w:r w:rsidR="00E163DD">
        <w:t>problematických aspektů při praktickém výkonu.</w:t>
      </w:r>
    </w:p>
    <w:p w14:paraId="32491DFA" w14:textId="578566FB" w:rsidR="00EF7FE1" w:rsidRDefault="00E14F2E" w:rsidP="009A17A9">
      <w:r>
        <w:t>V</w:t>
      </w:r>
      <w:r w:rsidR="00553CD8">
        <w:t> </w:t>
      </w:r>
      <w:r w:rsidR="00A96523" w:rsidRPr="0092512A">
        <w:t>§</w:t>
      </w:r>
      <w:r w:rsidR="00553CD8">
        <w:t> </w:t>
      </w:r>
      <w:r w:rsidR="00A96523" w:rsidRPr="0092512A">
        <w:t>90 a 100a zákona o</w:t>
      </w:r>
      <w:r w:rsidR="00E85AA7">
        <w:t> </w:t>
      </w:r>
      <w:r w:rsidR="00A96523" w:rsidRPr="0092512A">
        <w:t xml:space="preserve">hazardních hrách </w:t>
      </w:r>
      <w:r>
        <w:t xml:space="preserve">je </w:t>
      </w:r>
      <w:r w:rsidR="00A96523" w:rsidRPr="0092512A">
        <w:t>uprav</w:t>
      </w:r>
      <w:r>
        <w:t>eno</w:t>
      </w:r>
      <w:r w:rsidR="00A96523" w:rsidRPr="0092512A">
        <w:t xml:space="preserve"> použití kauce v případě, kdy dojde k pravomocnému zrušení základního povolení, k jeho pravomocné změně, která má vliv na určení výše kauce</w:t>
      </w:r>
      <w:r w:rsidR="002955F8">
        <w:t>,</w:t>
      </w:r>
      <w:r w:rsidR="00A96523" w:rsidRPr="0092512A">
        <w:t xml:space="preserve"> nebo k</w:t>
      </w:r>
      <w:r w:rsidR="00E85AA7">
        <w:t> </w:t>
      </w:r>
      <w:r w:rsidR="00A96523" w:rsidRPr="0092512A">
        <w:t xml:space="preserve">zániku základního povolení, resp. pokud dojde k pravomocnému zrušení nebo zániku povolení k umístění herního prostoru. </w:t>
      </w:r>
      <w:r w:rsidR="0004592C">
        <w:t>K úhradě případných závazků vyjmenovaných v zákoně o</w:t>
      </w:r>
      <w:r w:rsidR="00E85AA7">
        <w:t> </w:t>
      </w:r>
      <w:r w:rsidR="0004592C">
        <w:t>hazardních hrách, případně k vrácení kauce je tedy možné přistoupit až poté, co dojde k rozhodn</w:t>
      </w:r>
      <w:r w:rsidR="00825DBF">
        <w:t>é</w:t>
      </w:r>
      <w:r w:rsidR="0004592C">
        <w:t xml:space="preserve"> skutečnosti </w:t>
      </w:r>
      <w:r w:rsidR="00EB3D46">
        <w:t>uvedené</w:t>
      </w:r>
      <w:r w:rsidR="0004592C">
        <w:t xml:space="preserve"> v zákoně. Po dobu existence příslušného povolení nelze tyto kroky učinit.</w:t>
      </w:r>
    </w:p>
    <w:p w14:paraId="3A0FCB59" w14:textId="175EA792" w:rsidR="006777D0" w:rsidRPr="00C64F7D" w:rsidRDefault="00585626" w:rsidP="006777D0">
      <w:r w:rsidRPr="00C64F7D">
        <w:t xml:space="preserve">V současné době </w:t>
      </w:r>
      <w:r w:rsidR="006777D0" w:rsidRPr="00C64F7D">
        <w:t>Ministerstvo financí v souladu s </w:t>
      </w:r>
      <w:r w:rsidR="00B701EF">
        <w:t xml:space="preserve"> §</w:t>
      </w:r>
      <w:r w:rsidR="00E85AA7">
        <w:t> </w:t>
      </w:r>
      <w:r w:rsidR="00B701EF">
        <w:t>114</w:t>
      </w:r>
      <w:r w:rsidR="00E85AA7">
        <w:t> </w:t>
      </w:r>
      <w:r w:rsidR="00B701EF">
        <w:t>písm.</w:t>
      </w:r>
      <w:r w:rsidR="00E85AA7">
        <w:t> </w:t>
      </w:r>
      <w:r w:rsidR="00B701EF">
        <w:t>j) zákona o </w:t>
      </w:r>
      <w:r w:rsidR="006777D0" w:rsidRPr="00C64F7D">
        <w:t>hazardních hrách spravuje kauce a</w:t>
      </w:r>
      <w:r w:rsidR="00E85AA7">
        <w:t> </w:t>
      </w:r>
      <w:r w:rsidR="006777D0" w:rsidRPr="00C64F7D">
        <w:t>za tímto účel</w:t>
      </w:r>
      <w:r w:rsidRPr="00C64F7D">
        <w:t>em</w:t>
      </w:r>
      <w:r w:rsidR="006777D0" w:rsidRPr="00C64F7D">
        <w:t xml:space="preserve"> poskytnuté kauce rovněž eviduje. </w:t>
      </w:r>
      <w:r w:rsidR="002955F8">
        <w:t>K</w:t>
      </w:r>
      <w:r w:rsidR="006777D0" w:rsidRPr="00C64F7D">
        <w:t>auci ve formě peněžních prostředků složených na zvláštním účtu Ministerstva financí</w:t>
      </w:r>
      <w:r w:rsidRPr="00C64F7D">
        <w:t xml:space="preserve"> poskytlo</w:t>
      </w:r>
      <w:r w:rsidR="006777D0" w:rsidRPr="00C64F7D">
        <w:t xml:space="preserve"> </w:t>
      </w:r>
      <w:r w:rsidR="002944D2">
        <w:t>31</w:t>
      </w:r>
      <w:r w:rsidR="006777D0" w:rsidRPr="00C64F7D">
        <w:t xml:space="preserve"> provozovatelů, kauci ve formě bankovní záruky poskytlo </w:t>
      </w:r>
      <w:r w:rsidR="000A1167">
        <w:t>24</w:t>
      </w:r>
      <w:r w:rsidR="006777D0" w:rsidRPr="00C64F7D">
        <w:t xml:space="preserve"> provozovatelů a kombinaci poskytnutí kauce složením peněžních prostředků na zvláštní účet Ministerstva financí a bankovní zárukou zvolilo </w:t>
      </w:r>
      <w:r w:rsidR="000A1167">
        <w:t>8</w:t>
      </w:r>
      <w:r w:rsidR="002955F8">
        <w:t> </w:t>
      </w:r>
      <w:r w:rsidR="006777D0" w:rsidRPr="00C64F7D">
        <w:t>provozovatelů</w:t>
      </w:r>
      <w:r w:rsidR="002955F8">
        <w:t xml:space="preserve"> </w:t>
      </w:r>
      <w:r w:rsidR="002955F8" w:rsidRPr="002955F8">
        <w:t>(stav ke dni 15.</w:t>
      </w:r>
      <w:r w:rsidR="008213C4">
        <w:t> 5. </w:t>
      </w:r>
      <w:r w:rsidR="002955F8" w:rsidRPr="002955F8">
        <w:t>2021)</w:t>
      </w:r>
      <w:r w:rsidR="006777D0" w:rsidRPr="002955F8">
        <w:t>.</w:t>
      </w:r>
      <w:r w:rsidR="006777D0" w:rsidRPr="00C64F7D">
        <w:t xml:space="preserve"> </w:t>
      </w:r>
      <w:r w:rsidR="006777D0" w:rsidRPr="00B17241">
        <w:rPr>
          <w:b/>
        </w:rPr>
        <w:t>Celková suma peněžních prostředků</w:t>
      </w:r>
      <w:r w:rsidR="006777D0" w:rsidRPr="00C64F7D">
        <w:t xml:space="preserve"> </w:t>
      </w:r>
      <w:r w:rsidR="006777D0" w:rsidRPr="00B17241">
        <w:rPr>
          <w:b/>
        </w:rPr>
        <w:t>složená</w:t>
      </w:r>
      <w:r w:rsidR="006777D0" w:rsidRPr="00C64F7D">
        <w:t xml:space="preserve"> </w:t>
      </w:r>
      <w:r w:rsidR="00E85AA7">
        <w:t>po</w:t>
      </w:r>
      <w:r w:rsidR="006777D0" w:rsidRPr="00C64F7D">
        <w:t>dle §</w:t>
      </w:r>
      <w:r w:rsidR="00E85AA7">
        <w:t> </w:t>
      </w:r>
      <w:r w:rsidR="006777D0" w:rsidRPr="00C64F7D">
        <w:t>89</w:t>
      </w:r>
      <w:r w:rsidR="00E85AA7">
        <w:t> </w:t>
      </w:r>
      <w:r w:rsidR="006777D0" w:rsidRPr="00C64F7D">
        <w:t>odst.</w:t>
      </w:r>
      <w:r w:rsidR="00E85AA7">
        <w:t> </w:t>
      </w:r>
      <w:r w:rsidR="006777D0" w:rsidRPr="00C64F7D">
        <w:t>1</w:t>
      </w:r>
      <w:r w:rsidR="00E85AA7">
        <w:t> </w:t>
      </w:r>
      <w:r w:rsidR="006777D0" w:rsidRPr="00C64F7D">
        <w:t>písm.</w:t>
      </w:r>
      <w:r w:rsidR="00E85AA7">
        <w:t> </w:t>
      </w:r>
      <w:r w:rsidR="006777D0" w:rsidRPr="00C64F7D">
        <w:t>a)</w:t>
      </w:r>
      <w:r w:rsidR="00E85AA7">
        <w:t> </w:t>
      </w:r>
      <w:r w:rsidR="006777D0" w:rsidRPr="00C64F7D">
        <w:t>/</w:t>
      </w:r>
      <w:r w:rsidR="00E85AA7">
        <w:t> </w:t>
      </w:r>
      <w:r w:rsidR="006777D0" w:rsidRPr="00C64F7D">
        <w:t>§</w:t>
      </w:r>
      <w:r w:rsidR="00E85AA7">
        <w:t> </w:t>
      </w:r>
      <w:r w:rsidR="006777D0" w:rsidRPr="00C64F7D">
        <w:t>100</w:t>
      </w:r>
      <w:r w:rsidR="00E85AA7">
        <w:t> </w:t>
      </w:r>
      <w:r w:rsidR="006777D0" w:rsidRPr="00C64F7D">
        <w:t>odst.</w:t>
      </w:r>
      <w:r w:rsidR="00E85AA7">
        <w:t> </w:t>
      </w:r>
      <w:r w:rsidR="006777D0" w:rsidRPr="00C64F7D">
        <w:t>1</w:t>
      </w:r>
      <w:r w:rsidR="00E85AA7">
        <w:t> </w:t>
      </w:r>
      <w:r w:rsidR="006777D0" w:rsidRPr="00C64F7D">
        <w:t>písm.</w:t>
      </w:r>
      <w:r w:rsidR="00E85AA7">
        <w:t> </w:t>
      </w:r>
      <w:r w:rsidR="006777D0" w:rsidRPr="00C64F7D">
        <w:t>a) zákona o</w:t>
      </w:r>
      <w:r w:rsidR="00E85AA7">
        <w:t> </w:t>
      </w:r>
      <w:r w:rsidR="006777D0" w:rsidRPr="00C64F7D">
        <w:t xml:space="preserve">hazardních hrách </w:t>
      </w:r>
      <w:r w:rsidR="006777D0" w:rsidRPr="00B17241">
        <w:rPr>
          <w:b/>
        </w:rPr>
        <w:t>na zvláštní účet</w:t>
      </w:r>
      <w:r w:rsidR="006777D0" w:rsidRPr="00C64F7D">
        <w:t xml:space="preserve"> Ministerstva financí </w:t>
      </w:r>
      <w:r w:rsidR="006777D0" w:rsidRPr="00B17241">
        <w:rPr>
          <w:b/>
        </w:rPr>
        <w:t>činí přibližně 1,</w:t>
      </w:r>
      <w:r w:rsidR="000A1167">
        <w:rPr>
          <w:b/>
        </w:rPr>
        <w:t>3</w:t>
      </w:r>
      <w:r w:rsidR="00E85AA7">
        <w:rPr>
          <w:b/>
        </w:rPr>
        <w:t> </w:t>
      </w:r>
      <w:r w:rsidR="006777D0" w:rsidRPr="00B17241">
        <w:rPr>
          <w:b/>
        </w:rPr>
        <w:t>mld.</w:t>
      </w:r>
      <w:r w:rsidR="00E85AA7">
        <w:rPr>
          <w:b/>
        </w:rPr>
        <w:t> </w:t>
      </w:r>
      <w:r w:rsidR="006777D0" w:rsidRPr="00B17241">
        <w:rPr>
          <w:b/>
        </w:rPr>
        <w:t>Kč</w:t>
      </w:r>
      <w:r w:rsidR="006777D0" w:rsidRPr="00C64F7D">
        <w:t xml:space="preserve"> a </w:t>
      </w:r>
      <w:r w:rsidR="006777D0" w:rsidRPr="000A1167">
        <w:rPr>
          <w:b/>
        </w:rPr>
        <w:t>c</w:t>
      </w:r>
      <w:r w:rsidR="006777D0" w:rsidRPr="00B17241">
        <w:rPr>
          <w:b/>
        </w:rPr>
        <w:t xml:space="preserve">elková výše </w:t>
      </w:r>
      <w:r w:rsidR="00F03739">
        <w:rPr>
          <w:b/>
        </w:rPr>
        <w:t>zajištění ve formě</w:t>
      </w:r>
      <w:r w:rsidR="006777D0" w:rsidRPr="00B17241">
        <w:rPr>
          <w:b/>
        </w:rPr>
        <w:t xml:space="preserve"> </w:t>
      </w:r>
      <w:r w:rsidR="00B17241" w:rsidRPr="00B17241">
        <w:rPr>
          <w:b/>
        </w:rPr>
        <w:t>bankovních záruk</w:t>
      </w:r>
      <w:r w:rsidR="00B17241">
        <w:t xml:space="preserve"> </w:t>
      </w:r>
      <w:r w:rsidR="00E85AA7">
        <w:t>po</w:t>
      </w:r>
      <w:r w:rsidR="006777D0" w:rsidRPr="00C64F7D">
        <w:t>dle §</w:t>
      </w:r>
      <w:r w:rsidR="00E85AA7">
        <w:t> </w:t>
      </w:r>
      <w:r w:rsidR="006777D0" w:rsidRPr="00C64F7D">
        <w:t>89</w:t>
      </w:r>
      <w:r w:rsidR="00E85AA7">
        <w:t> </w:t>
      </w:r>
      <w:r w:rsidR="006777D0" w:rsidRPr="00C64F7D">
        <w:t>odst.</w:t>
      </w:r>
      <w:r w:rsidR="00E85AA7">
        <w:t> </w:t>
      </w:r>
      <w:r w:rsidR="006777D0" w:rsidRPr="00C64F7D">
        <w:t>1</w:t>
      </w:r>
      <w:r w:rsidR="00E85AA7">
        <w:t> </w:t>
      </w:r>
      <w:r w:rsidR="006777D0" w:rsidRPr="00C64F7D">
        <w:t>písm.</w:t>
      </w:r>
      <w:r w:rsidR="00E85AA7">
        <w:t> </w:t>
      </w:r>
      <w:r w:rsidR="006777D0" w:rsidRPr="00C64F7D">
        <w:t>b)</w:t>
      </w:r>
      <w:r w:rsidR="00E85AA7">
        <w:t> </w:t>
      </w:r>
      <w:r w:rsidR="006777D0" w:rsidRPr="00C64F7D">
        <w:t>/</w:t>
      </w:r>
      <w:r w:rsidR="00E85AA7">
        <w:t> </w:t>
      </w:r>
      <w:r w:rsidR="006777D0" w:rsidRPr="00C64F7D">
        <w:t>§</w:t>
      </w:r>
      <w:r w:rsidR="00E85AA7">
        <w:t> </w:t>
      </w:r>
      <w:r w:rsidR="006777D0" w:rsidRPr="00C64F7D">
        <w:t>100</w:t>
      </w:r>
      <w:r w:rsidR="00E85AA7">
        <w:t> </w:t>
      </w:r>
      <w:r w:rsidR="006777D0" w:rsidRPr="00C64F7D">
        <w:t>odst.</w:t>
      </w:r>
      <w:r w:rsidR="00E85AA7">
        <w:t> </w:t>
      </w:r>
      <w:r w:rsidR="006777D0" w:rsidRPr="00C64F7D">
        <w:t>1</w:t>
      </w:r>
      <w:r w:rsidR="00E85AA7">
        <w:t> </w:t>
      </w:r>
      <w:r w:rsidR="006777D0" w:rsidRPr="00C64F7D">
        <w:t>písm.</w:t>
      </w:r>
      <w:r w:rsidR="00822216">
        <w:t> </w:t>
      </w:r>
      <w:r w:rsidR="006777D0" w:rsidRPr="00C64F7D">
        <w:t>b) zákona o</w:t>
      </w:r>
      <w:r w:rsidR="00E85AA7">
        <w:t> </w:t>
      </w:r>
      <w:r w:rsidR="006777D0" w:rsidRPr="00C64F7D">
        <w:t xml:space="preserve">hazardních hrách </w:t>
      </w:r>
      <w:r w:rsidR="006777D0" w:rsidRPr="00B17241">
        <w:rPr>
          <w:b/>
        </w:rPr>
        <w:t>činí přibližně 1,</w:t>
      </w:r>
      <w:r w:rsidR="000A1167">
        <w:rPr>
          <w:b/>
        </w:rPr>
        <w:t>5</w:t>
      </w:r>
      <w:r w:rsidR="006777D0" w:rsidRPr="00B17241">
        <w:rPr>
          <w:b/>
        </w:rPr>
        <w:t> mld.</w:t>
      </w:r>
      <w:r w:rsidR="00E85AA7">
        <w:rPr>
          <w:b/>
        </w:rPr>
        <w:t> </w:t>
      </w:r>
      <w:r w:rsidR="006777D0" w:rsidRPr="00B17241">
        <w:rPr>
          <w:b/>
        </w:rPr>
        <w:t>Kč.</w:t>
      </w:r>
      <w:r w:rsidR="006777D0" w:rsidRPr="00C64F7D">
        <w:t xml:space="preserve"> </w:t>
      </w:r>
    </w:p>
    <w:p w14:paraId="0AF8F2C5" w14:textId="0D12B999" w:rsidR="006777D0" w:rsidRPr="00C64F7D" w:rsidRDefault="006777D0" w:rsidP="006777D0">
      <w:pPr>
        <w:rPr>
          <w:i/>
          <w:iCs/>
        </w:rPr>
      </w:pPr>
      <w:r w:rsidRPr="00C64F7D">
        <w:t>V případě složení peněžních prostředků na zvláštní účet Ministerstva financí je provozovatel povinen prokázat původ peněžních prostředků. Zákon o</w:t>
      </w:r>
      <w:r w:rsidR="00856859">
        <w:t> </w:t>
      </w:r>
      <w:r w:rsidRPr="00C64F7D">
        <w:t xml:space="preserve">hazardních hrách obsahuje pouze obecnou informaci o prokázání původu peněžních prostředků, nestanovuje tedy přesné podmínky (dokumenty), kterými je nezbytné danou skutečnost prokázat. Zpravidla bývá původ peněžních prostředků prokazován doložením účetní závěrky ověřené auditorem s výrokem bez výhrad spolu s prohlášením (označením), jaké peněžní prostředky v položkách zde uvedených byly pro složení peněžních prostředků použity. Případně je původ dokládán smlouvou o úvěru nebo zápůjčce. Zákonná úprava oproti předchozí úpravě nezakazuje použít pro kauci peněžní prostředky získané na základě úvěru nebo zápůjčky.  </w:t>
      </w:r>
    </w:p>
    <w:p w14:paraId="0B863674" w14:textId="7C517FF4" w:rsidR="006777D0" w:rsidRPr="00C64F7D" w:rsidRDefault="006777D0" w:rsidP="006777D0">
      <w:r w:rsidRPr="00EB3D46">
        <w:rPr>
          <w:b/>
        </w:rPr>
        <w:t>Účinností zákona č.</w:t>
      </w:r>
      <w:r w:rsidR="00856859">
        <w:rPr>
          <w:b/>
        </w:rPr>
        <w:t> </w:t>
      </w:r>
      <w:r w:rsidRPr="00EB3D46">
        <w:rPr>
          <w:b/>
        </w:rPr>
        <w:t>527/2020</w:t>
      </w:r>
      <w:r w:rsidR="00856859">
        <w:rPr>
          <w:b/>
        </w:rPr>
        <w:t> </w:t>
      </w:r>
      <w:r w:rsidRPr="00EB3D46">
        <w:rPr>
          <w:b/>
        </w:rPr>
        <w:t>Sb. došlo od 1.</w:t>
      </w:r>
      <w:r w:rsidR="00856859">
        <w:rPr>
          <w:b/>
        </w:rPr>
        <w:t> </w:t>
      </w:r>
      <w:r w:rsidRPr="00EB3D46">
        <w:rPr>
          <w:b/>
        </w:rPr>
        <w:t>1.</w:t>
      </w:r>
      <w:r w:rsidR="00856859">
        <w:rPr>
          <w:b/>
        </w:rPr>
        <w:t> </w:t>
      </w:r>
      <w:r w:rsidRPr="00EB3D46">
        <w:rPr>
          <w:b/>
        </w:rPr>
        <w:t>2021</w:t>
      </w:r>
      <w:r w:rsidRPr="00C64F7D">
        <w:t xml:space="preserve"> ke změně způsobu použití kauce</w:t>
      </w:r>
      <w:r w:rsidR="00856859">
        <w:t>,</w:t>
      </w:r>
      <w:r w:rsidRPr="00C64F7D">
        <w:t xml:space="preserve"> a</w:t>
      </w:r>
      <w:r w:rsidR="00856859">
        <w:t> </w:t>
      </w:r>
      <w:r w:rsidRPr="00C64F7D">
        <w:t>to zejména v podobě přidání konkrétních ustanovení upravujících způsob použití kauce složených pro herní prostory (§</w:t>
      </w:r>
      <w:r w:rsidR="00856859">
        <w:t> </w:t>
      </w:r>
      <w:r w:rsidRPr="00C64F7D">
        <w:t>100a zákona o</w:t>
      </w:r>
      <w:r w:rsidR="00856859">
        <w:t> </w:t>
      </w:r>
      <w:r w:rsidRPr="00C64F7D">
        <w:t xml:space="preserve">hazardních hrách). Nově </w:t>
      </w:r>
      <w:r w:rsidRPr="00EB3D46">
        <w:rPr>
          <w:b/>
        </w:rPr>
        <w:t>dochází k rozlišení způsobu vrácení přeplatku na kauci poskytnuté při vydávání základního povolení a poskytnuté při podání žádosti</w:t>
      </w:r>
      <w:r w:rsidR="00F03739">
        <w:rPr>
          <w:b/>
        </w:rPr>
        <w:t xml:space="preserve"> o</w:t>
      </w:r>
      <w:r w:rsidR="00856859">
        <w:rPr>
          <w:b/>
        </w:rPr>
        <w:t> </w:t>
      </w:r>
      <w:r w:rsidRPr="00EB3D46">
        <w:rPr>
          <w:b/>
        </w:rPr>
        <w:t>povolení k</w:t>
      </w:r>
      <w:r w:rsidR="00F03739">
        <w:rPr>
          <w:b/>
        </w:rPr>
        <w:t> </w:t>
      </w:r>
      <w:r w:rsidRPr="00EB3D46">
        <w:rPr>
          <w:b/>
        </w:rPr>
        <w:t>umístění herního prostoru</w:t>
      </w:r>
      <w:r w:rsidRPr="00C64F7D">
        <w:t>.</w:t>
      </w:r>
    </w:p>
    <w:p w14:paraId="36E3AD2C" w14:textId="492908B5" w:rsidR="006777D0" w:rsidRPr="00C64F7D" w:rsidRDefault="006777D0" w:rsidP="006777D0">
      <w:r w:rsidRPr="00C64F7D">
        <w:lastRenderedPageBreak/>
        <w:t>V případě základního povolení vzniká provozovateli přeplatek na kauci poskytnuté formou složených peněžních prostředků podle §</w:t>
      </w:r>
      <w:r w:rsidR="00856859">
        <w:t> </w:t>
      </w:r>
      <w:r w:rsidRPr="00C64F7D">
        <w:t>89</w:t>
      </w:r>
      <w:r w:rsidR="00856859">
        <w:t> </w:t>
      </w:r>
      <w:r w:rsidRPr="00C64F7D">
        <w:t>odst.</w:t>
      </w:r>
      <w:r w:rsidR="00856859">
        <w:t> </w:t>
      </w:r>
      <w:r w:rsidRPr="00C64F7D">
        <w:t>1</w:t>
      </w:r>
      <w:r w:rsidR="00856859">
        <w:t> </w:t>
      </w:r>
      <w:r w:rsidRPr="00C64F7D">
        <w:t>písm.</w:t>
      </w:r>
      <w:r w:rsidR="00856859">
        <w:t> </w:t>
      </w:r>
      <w:r w:rsidRPr="00C64F7D">
        <w:t>a) zákona o hazardních hrách v situaci, kdy došlo k pravomocnému zrušení základního povolení, k jeho změně, která má vliv na určení výše kauce</w:t>
      </w:r>
      <w:r w:rsidR="002955F8">
        <w:t>,</w:t>
      </w:r>
      <w:r w:rsidRPr="00C64F7D">
        <w:t xml:space="preserve"> nebo k jeho zániku. Ministerstvo financí je povinno vrátit vratitelný přeplatek do devadesáti dnů ode dne vzniku tohoto přeplatku, tato lhůta neběží v případech stanovených v  § 90</w:t>
      </w:r>
      <w:r w:rsidR="00D4325E">
        <w:t> </w:t>
      </w:r>
      <w:r w:rsidRPr="00C64F7D">
        <w:t>odst.</w:t>
      </w:r>
      <w:r w:rsidR="00D4325E">
        <w:t> </w:t>
      </w:r>
      <w:r w:rsidRPr="00C64F7D">
        <w:t>2 zákona o hazardních hrách</w:t>
      </w:r>
      <w:r w:rsidRPr="00C64F7D">
        <w:rPr>
          <w:rStyle w:val="Znakapoznpodarou"/>
        </w:rPr>
        <w:footnoteReference w:id="7"/>
      </w:r>
      <w:r w:rsidR="005C0440">
        <w:t>.</w:t>
      </w:r>
      <w:r w:rsidRPr="00C64F7D">
        <w:t xml:space="preserve"> V případě </w:t>
      </w:r>
      <w:r w:rsidR="00F03739">
        <w:t xml:space="preserve">kauce složené pro provozování na základě </w:t>
      </w:r>
      <w:r w:rsidRPr="00C64F7D">
        <w:t>základního povolení tedy Ministerstvo financí vrací případný</w:t>
      </w:r>
      <w:r w:rsidR="00F03739">
        <w:t xml:space="preserve"> vratitelný</w:t>
      </w:r>
      <w:r w:rsidRPr="00C64F7D">
        <w:t xml:space="preserve"> přeplatek provozovatele ve lhůtách v zákoně uvedených </w:t>
      </w:r>
      <w:r w:rsidR="00F03739">
        <w:t xml:space="preserve">i </w:t>
      </w:r>
      <w:r w:rsidRPr="00C64F7D">
        <w:t>bez žádosti provozovatele.</w:t>
      </w:r>
    </w:p>
    <w:p w14:paraId="57775131" w14:textId="1AF0CF7C" w:rsidR="006777D0" w:rsidRPr="00C64F7D" w:rsidRDefault="006777D0" w:rsidP="006777D0">
      <w:r w:rsidRPr="00C64F7D">
        <w:t>V případě povolení k umístění herního prostoru, pokud se jedná o</w:t>
      </w:r>
      <w:r w:rsidR="00D4325E">
        <w:t> </w:t>
      </w:r>
      <w:r w:rsidRPr="00C64F7D">
        <w:t>kauci poskytnutou formou složených peněžních prostředků na zvláštním účtu Ministerstva financí podle §</w:t>
      </w:r>
      <w:r w:rsidR="00D4325E">
        <w:t> </w:t>
      </w:r>
      <w:r w:rsidRPr="00C64F7D">
        <w:t>100</w:t>
      </w:r>
      <w:r w:rsidR="00D4325E">
        <w:t> </w:t>
      </w:r>
      <w:r w:rsidRPr="00C64F7D">
        <w:t>odst.</w:t>
      </w:r>
      <w:r w:rsidR="00D4325E">
        <w:t> </w:t>
      </w:r>
      <w:r w:rsidRPr="00C64F7D">
        <w:t>1</w:t>
      </w:r>
      <w:r w:rsidR="00D4325E">
        <w:t> </w:t>
      </w:r>
      <w:r w:rsidRPr="00C64F7D">
        <w:t>písm.</w:t>
      </w:r>
      <w:r w:rsidR="00D4325E">
        <w:t> </w:t>
      </w:r>
      <w:r w:rsidRPr="00C64F7D">
        <w:t xml:space="preserve">a) zákona o hazardních hrách, nově v případě vzniku přeplatku na této kauci vrací Ministerstvo financí vratitelný přeplatek do </w:t>
      </w:r>
      <w:r w:rsidR="00956995">
        <w:t>90</w:t>
      </w:r>
      <w:r w:rsidR="00D4325E">
        <w:t> </w:t>
      </w:r>
      <w:r w:rsidRPr="00C64F7D">
        <w:t>dnů ode dne doručení žádosti provozovatele o jeho vrácení. Také zde může docházet ke stavění běhu lhůty, pakliže jsou naplněny podmínky uvedené v</w:t>
      </w:r>
      <w:r w:rsidR="00D4325E">
        <w:t> </w:t>
      </w:r>
      <w:r w:rsidRPr="00C64F7D">
        <w:t>§ 100a</w:t>
      </w:r>
      <w:r w:rsidR="00D4325E">
        <w:t> </w:t>
      </w:r>
      <w:r w:rsidRPr="00C64F7D">
        <w:t>odst.</w:t>
      </w:r>
      <w:r w:rsidR="00D4325E">
        <w:t> </w:t>
      </w:r>
      <w:r w:rsidRPr="00C64F7D">
        <w:t>2</w:t>
      </w:r>
      <w:r w:rsidRPr="00C64F7D">
        <w:rPr>
          <w:rStyle w:val="Znakapoznpodarou"/>
        </w:rPr>
        <w:footnoteReference w:id="8"/>
      </w:r>
      <w:r w:rsidR="005C0440">
        <w:t xml:space="preserve"> zákona o </w:t>
      </w:r>
      <w:r w:rsidRPr="00C64F7D">
        <w:t>hazardních hrách. Nově je tedy nezbytné, aby v tomto případě provozovatel podal výslovnou žádost o</w:t>
      </w:r>
      <w:r w:rsidR="00D4325E">
        <w:t> </w:t>
      </w:r>
      <w:r w:rsidRPr="00C64F7D">
        <w:t xml:space="preserve">vrácení takto vzniklého </w:t>
      </w:r>
      <w:r w:rsidR="00E1206D">
        <w:t xml:space="preserve">vratitelného </w:t>
      </w:r>
      <w:r w:rsidRPr="00C64F7D">
        <w:t>přeplatku, lhůta k vrácení pak běží od okamžiku doručení takové žádosti Ministerstvu financí.</w:t>
      </w:r>
    </w:p>
    <w:p w14:paraId="1772A756" w14:textId="0BEE9906" w:rsidR="001672D1" w:rsidRDefault="006777D0" w:rsidP="006777D0">
      <w:r w:rsidRPr="00C64F7D">
        <w:t xml:space="preserve">V obou případech </w:t>
      </w:r>
      <w:r w:rsidRPr="00587769">
        <w:rPr>
          <w:b/>
        </w:rPr>
        <w:t>Ministerstvo financí v rámci tzv. testu vratitelnosti zjišťuje</w:t>
      </w:r>
      <w:r w:rsidRPr="00C64F7D">
        <w:t xml:space="preserve">, zda jsou naplněny </w:t>
      </w:r>
      <w:r w:rsidRPr="00587769">
        <w:rPr>
          <w:b/>
        </w:rPr>
        <w:t>podmínky pro stavění běhu lhůty</w:t>
      </w:r>
      <w:r w:rsidRPr="00C64F7D">
        <w:t xml:space="preserve">, případně zda je u orgánů Finanční správy a orgánů Celní správy evidován nedoplatek provozovatele. Ministerstvo financí tak činí z vlastní úřední činnosti, a to tak, že žádá </w:t>
      </w:r>
      <w:r w:rsidR="000A1167">
        <w:t>o součinnost příslušné orgány a </w:t>
      </w:r>
      <w:r w:rsidRPr="00C64F7D">
        <w:t xml:space="preserve">informuje je tímto zároveň o možnosti požádat o úhradu případných nedoplatků ze složené kauce. V případě </w:t>
      </w:r>
      <w:r w:rsidRPr="002955F8">
        <w:t>internetových her</w:t>
      </w:r>
      <w:r w:rsidRPr="00C64F7D">
        <w:t xml:space="preserve"> byl oslovován odbor 39 Ministerstva financí – Správní činnosti, který do 31.</w:t>
      </w:r>
      <w:r w:rsidR="001A2FEB">
        <w:t> </w:t>
      </w:r>
      <w:r w:rsidRPr="00C64F7D">
        <w:t>12.</w:t>
      </w:r>
      <w:r w:rsidR="001A2FEB">
        <w:t> </w:t>
      </w:r>
      <w:r w:rsidRPr="00C64F7D">
        <w:t xml:space="preserve">2020 projednával přestupky v oblasti </w:t>
      </w:r>
      <w:r w:rsidRPr="002955F8">
        <w:t>internetových her.</w:t>
      </w:r>
      <w:r w:rsidRPr="00C64F7D">
        <w:t xml:space="preserve"> Po novelizaci zákona o</w:t>
      </w:r>
      <w:r w:rsidR="001A2FEB">
        <w:t> </w:t>
      </w:r>
      <w:r w:rsidRPr="00C64F7D">
        <w:t xml:space="preserve">hazardních hrách se příslušným orgánem stal Celní úřad pro Plzeňský kraj. </w:t>
      </w:r>
      <w:r w:rsidRPr="00AF5A8B">
        <w:rPr>
          <w:b/>
        </w:rPr>
        <w:t>Zároveň Ministerstvo financí zjišťuje, zda provozovateli nevznikly závazky uvedené v § 89</w:t>
      </w:r>
      <w:r w:rsidR="00D4325E">
        <w:rPr>
          <w:b/>
        </w:rPr>
        <w:t> </w:t>
      </w:r>
      <w:r w:rsidRPr="00AF5A8B">
        <w:rPr>
          <w:b/>
        </w:rPr>
        <w:t>odst.</w:t>
      </w:r>
      <w:r w:rsidR="00D4325E">
        <w:rPr>
          <w:b/>
        </w:rPr>
        <w:t> </w:t>
      </w:r>
      <w:r w:rsidRPr="00AF5A8B">
        <w:rPr>
          <w:b/>
        </w:rPr>
        <w:t>4</w:t>
      </w:r>
      <w:r w:rsidR="00D4325E">
        <w:rPr>
          <w:b/>
        </w:rPr>
        <w:t> </w:t>
      </w:r>
      <w:r w:rsidRPr="00AF5A8B">
        <w:rPr>
          <w:b/>
        </w:rPr>
        <w:t>písm.</w:t>
      </w:r>
      <w:r w:rsidR="00D4325E">
        <w:rPr>
          <w:b/>
        </w:rPr>
        <w:t> </w:t>
      </w:r>
      <w:r w:rsidRPr="00AF5A8B">
        <w:rPr>
          <w:b/>
        </w:rPr>
        <w:t>c) zákona o hazardních hrách.</w:t>
      </w:r>
      <w:r w:rsidRPr="00C64F7D">
        <w:t xml:space="preserve"> Dle tohoto </w:t>
      </w:r>
      <w:r w:rsidRPr="00AF5A8B">
        <w:t>ustanovení jsou z kauce provozovatele hrazeny nevyplacené výhry sázejících, o kterých bylo</w:t>
      </w:r>
      <w:r w:rsidRPr="00C64F7D">
        <w:t xml:space="preserve"> příslušným orgánem veřejné moci pravomocně rozhodnuto, že mají být vyplaceny, a</w:t>
      </w:r>
      <w:r w:rsidR="001A2FEB">
        <w:t> </w:t>
      </w:r>
      <w:r w:rsidRPr="00C64F7D">
        <w:t>které byly sázejícími přih</w:t>
      </w:r>
      <w:r w:rsidR="00AF5A8B">
        <w:t>lášeny u Ministerstva financí k </w:t>
      </w:r>
      <w:r w:rsidRPr="00C64F7D">
        <w:t>uhrazení z kauce. Za účelem zjištění těchto závazků zveřejňuje Ministerstvo financí na úřední desce Ministerstva financí informaci o možnosti podávat přihlášky k uhrazení nevyplacené výhry u</w:t>
      </w:r>
      <w:r w:rsidR="001A2FEB">
        <w:t> </w:t>
      </w:r>
      <w:r w:rsidRPr="00C64F7D">
        <w:t>konkrétního provozovatele, a</w:t>
      </w:r>
      <w:r w:rsidR="001A2FEB">
        <w:t> </w:t>
      </w:r>
      <w:r w:rsidRPr="00C64F7D">
        <w:t xml:space="preserve">to s ohledem na skutečnost, že nastaly zákonem předpokládané podmínky pro hrazení závazků provozovatele z přeplatku na kauci. Podrobnější informace k procesu přihlašování nevyplacených výher zveřejnilo Ministerstvo financí </w:t>
      </w:r>
      <w:r w:rsidRPr="00C64F7D">
        <w:lastRenderedPageBreak/>
        <w:t xml:space="preserve">na internetových </w:t>
      </w:r>
      <w:r w:rsidRPr="00AF5A8B">
        <w:t>stránkách pod následujícím odkazem.</w:t>
      </w:r>
      <w:r w:rsidRPr="00AF5A8B">
        <w:rPr>
          <w:rStyle w:val="Znakapoznpodarou"/>
        </w:rPr>
        <w:footnoteReference w:id="9"/>
      </w:r>
      <w:r w:rsidRPr="00AF5A8B">
        <w:t xml:space="preserve"> Dále Ministerstvo financí rovněž vydalo stanovisko</w:t>
      </w:r>
      <w:r w:rsidRPr="00C64F7D">
        <w:t xml:space="preserve"> k výkladu pojmu nevyplacená výhra dostupné na internetových</w:t>
      </w:r>
      <w:r w:rsidR="0050315D">
        <w:t xml:space="preserve"> stránkách M</w:t>
      </w:r>
      <w:r w:rsidRPr="00C64F7D">
        <w:t>inisterstva financí.</w:t>
      </w:r>
      <w:r w:rsidRPr="00C64F7D">
        <w:rPr>
          <w:rStyle w:val="Znakapoznpodarou"/>
        </w:rPr>
        <w:footnoteReference w:id="10"/>
      </w:r>
      <w:r w:rsidRPr="00C64F7D">
        <w:t xml:space="preserve"> </w:t>
      </w:r>
      <w:r w:rsidRPr="00AF5A8B">
        <w:rPr>
          <w:b/>
        </w:rPr>
        <w:t>Poté, co dojde ke zjištění případných nedoplatků ve smyslu §</w:t>
      </w:r>
      <w:r w:rsidR="001A2FEB">
        <w:rPr>
          <w:b/>
        </w:rPr>
        <w:t> </w:t>
      </w:r>
      <w:r w:rsidRPr="00AF5A8B">
        <w:rPr>
          <w:b/>
        </w:rPr>
        <w:t>89</w:t>
      </w:r>
      <w:r w:rsidR="001A2FEB">
        <w:rPr>
          <w:b/>
        </w:rPr>
        <w:t> </w:t>
      </w:r>
      <w:r w:rsidRPr="00AF5A8B">
        <w:rPr>
          <w:b/>
        </w:rPr>
        <w:t>odst.</w:t>
      </w:r>
      <w:r w:rsidR="001A2FEB">
        <w:rPr>
          <w:b/>
        </w:rPr>
        <w:t> </w:t>
      </w:r>
      <w:r w:rsidRPr="00AF5A8B">
        <w:rPr>
          <w:b/>
        </w:rPr>
        <w:t>4</w:t>
      </w:r>
      <w:r w:rsidR="001A2FEB">
        <w:rPr>
          <w:b/>
        </w:rPr>
        <w:t> </w:t>
      </w:r>
      <w:r w:rsidRPr="00AF5A8B">
        <w:rPr>
          <w:b/>
        </w:rPr>
        <w:t>písm.</w:t>
      </w:r>
      <w:r w:rsidR="001A2FEB">
        <w:rPr>
          <w:b/>
        </w:rPr>
        <w:t> </w:t>
      </w:r>
      <w:r w:rsidRPr="00AF5A8B">
        <w:rPr>
          <w:b/>
        </w:rPr>
        <w:t>c)</w:t>
      </w:r>
      <w:r w:rsidRPr="00C64F7D">
        <w:t xml:space="preserve"> zákona o</w:t>
      </w:r>
      <w:r w:rsidR="001A2FEB">
        <w:t> </w:t>
      </w:r>
      <w:r w:rsidRPr="00C64F7D">
        <w:t>hazardních hrách shora uvedeným postupem</w:t>
      </w:r>
      <w:r w:rsidR="00D41832">
        <w:t>,</w:t>
      </w:r>
      <w:r w:rsidRPr="00C64F7D">
        <w:t xml:space="preserve"> </w:t>
      </w:r>
      <w:r w:rsidRPr="00AF5A8B">
        <w:rPr>
          <w:b/>
        </w:rPr>
        <w:t>může být přistoupeno k jejich úhradě z poskytnuté kauce.</w:t>
      </w:r>
      <w:r w:rsidRPr="00C64F7D">
        <w:t xml:space="preserve"> </w:t>
      </w:r>
    </w:p>
    <w:p w14:paraId="248A3C40" w14:textId="2CA5D729" w:rsidR="006777D0" w:rsidRPr="00C64F7D" w:rsidRDefault="006777D0" w:rsidP="006777D0">
      <w:r w:rsidRPr="00C64F7D">
        <w:t>V případě kauce poskytnuté formou bankovní záruky je nezbytné zjištění nedoplatků u</w:t>
      </w:r>
      <w:r w:rsidR="00C96FDA">
        <w:t> </w:t>
      </w:r>
      <w:r w:rsidRPr="00C64F7D">
        <w:t>orgánů Finanční správy, orgánů Celní správy nebo Mi</w:t>
      </w:r>
      <w:r w:rsidR="00810DCD">
        <w:t>nisterstva financí (přihlášek k </w:t>
      </w:r>
      <w:r w:rsidRPr="00C64F7D">
        <w:t>uhrazení nevyplacených výher sázejícímu) k přesnému datu, tedy k</w:t>
      </w:r>
      <w:r w:rsidR="00AF5A8B">
        <w:t> </w:t>
      </w:r>
      <w:r w:rsidR="00AF5A8B" w:rsidRPr="008274BD">
        <w:t>90.</w:t>
      </w:r>
      <w:r w:rsidR="00C96FDA">
        <w:t> </w:t>
      </w:r>
      <w:r w:rsidRPr="00C64F7D">
        <w:t>dni ode dne rozhodné</w:t>
      </w:r>
      <w:r w:rsidR="00AF5A8B">
        <w:t xml:space="preserve"> skutečnosti uvedené v zákoně o </w:t>
      </w:r>
      <w:r w:rsidRPr="00C64F7D">
        <w:t>hazardních hrách.</w:t>
      </w:r>
      <w:r w:rsidRPr="00C64F7D">
        <w:rPr>
          <w:rStyle w:val="Znakapoznpodarou"/>
        </w:rPr>
        <w:footnoteReference w:id="11"/>
      </w:r>
      <w:r w:rsidRPr="00C64F7D">
        <w:t xml:space="preserve"> S odkazem na §</w:t>
      </w:r>
      <w:r w:rsidR="00C96FDA">
        <w:t> </w:t>
      </w:r>
      <w:r w:rsidRPr="00C64F7D">
        <w:t>90</w:t>
      </w:r>
      <w:r w:rsidR="00C96FDA">
        <w:t> </w:t>
      </w:r>
      <w:r w:rsidRPr="00C64F7D">
        <w:t>odst.</w:t>
      </w:r>
      <w:r w:rsidR="00C96FDA">
        <w:t> </w:t>
      </w:r>
      <w:r w:rsidRPr="00C64F7D">
        <w:t>4 nebo §</w:t>
      </w:r>
      <w:r w:rsidR="00C96FDA">
        <w:t> </w:t>
      </w:r>
      <w:r w:rsidRPr="00C64F7D">
        <w:t>100a</w:t>
      </w:r>
      <w:r w:rsidR="00C96FDA">
        <w:t> </w:t>
      </w:r>
      <w:r w:rsidRPr="00C64F7D">
        <w:t>odst.</w:t>
      </w:r>
      <w:r w:rsidR="00C96FDA">
        <w:t> </w:t>
      </w:r>
      <w:r w:rsidRPr="00C64F7D">
        <w:t xml:space="preserve">4 zákona o hazardních hrách vyzve Ministerstvo financí výstavce bankovní záruky k uhrazení nedoplatku nejdříve po </w:t>
      </w:r>
      <w:r w:rsidR="00AF5A8B">
        <w:t>90</w:t>
      </w:r>
      <w:r w:rsidR="00C96FDA">
        <w:t> </w:t>
      </w:r>
      <w:r w:rsidRPr="00C64F7D">
        <w:t xml:space="preserve">dnech, nejpozději však do </w:t>
      </w:r>
      <w:r w:rsidR="00AF5A8B">
        <w:t>6</w:t>
      </w:r>
      <w:r w:rsidR="00C96FDA">
        <w:t> </w:t>
      </w:r>
      <w:r w:rsidRPr="00C64F7D">
        <w:t>měsíců ode dne pravomocného zrušení základního povolení, jeho pravomocné změny (která má vliv na určení výše kauce) nebo zániku základního povolení, resp. pravomocného zrušení nebo zániku povolení k umístění herního prostoru. Výstavce bankovní záruky je povinen částku uhradit do 15</w:t>
      </w:r>
      <w:r w:rsidR="00C96FDA">
        <w:t> </w:t>
      </w:r>
      <w:r w:rsidRPr="00C64F7D">
        <w:t xml:space="preserve">dnů ode dne doručení výzvy. </w:t>
      </w:r>
    </w:p>
    <w:p w14:paraId="66362AF4" w14:textId="43D43F07" w:rsidR="006777D0" w:rsidRPr="00C64F7D" w:rsidRDefault="006777D0" w:rsidP="006777D0">
      <w:r w:rsidRPr="00C64F7D">
        <w:t xml:space="preserve">V případě kauce poskytnuté složením peněžních prostředků na zvláštním účtu Ministerstva financí musí Ministerstvo financí vrátit </w:t>
      </w:r>
      <w:r w:rsidR="00413C95">
        <w:t>případný vratitelný</w:t>
      </w:r>
      <w:r w:rsidR="00413C95" w:rsidRPr="00C64F7D">
        <w:t xml:space="preserve"> </w:t>
      </w:r>
      <w:r w:rsidRPr="00C64F7D">
        <w:t>přeplatek ve lhůtách stanovených zákonem o</w:t>
      </w:r>
      <w:r w:rsidR="00C96FDA">
        <w:t> </w:t>
      </w:r>
      <w:r w:rsidRPr="00C64F7D">
        <w:t>hazardních hrách, kdy vrácený přeplatek je tvořen částkou poskytnuté kauce ponížené o</w:t>
      </w:r>
      <w:r w:rsidR="00C96FDA">
        <w:t> </w:t>
      </w:r>
      <w:r w:rsidRPr="00C64F7D">
        <w:t>případné nedoplatky, jež byly uhrazeny příslušným subjektům. Lhůta uvedená v zákoně o</w:t>
      </w:r>
      <w:r w:rsidR="00C96FDA">
        <w:t> </w:t>
      </w:r>
      <w:r w:rsidRPr="00C64F7D">
        <w:t>hazardních hrách může být stavěna v případě, že je orgánem podle zákona o</w:t>
      </w:r>
      <w:r w:rsidR="00C96FDA">
        <w:t> </w:t>
      </w:r>
      <w:r w:rsidRPr="00C64F7D">
        <w:t>hazardních hrách nebo správcem daně vedeno řízení, jehož výsledkem může být rozhodnutí o stanovení daně, poplatku nebo jiného obdobného peněžitého plnění</w:t>
      </w:r>
      <w:r w:rsidR="00C96FDA">
        <w:t>,</w:t>
      </w:r>
      <w:r w:rsidRPr="00C64F7D">
        <w:t xml:space="preserve"> a</w:t>
      </w:r>
      <w:r w:rsidR="00C96FDA">
        <w:t> </w:t>
      </w:r>
      <w:r w:rsidRPr="00C64F7D">
        <w:t xml:space="preserve">které bylo zahájeno do </w:t>
      </w:r>
      <w:r w:rsidR="00AF5A8B">
        <w:t>90</w:t>
      </w:r>
      <w:r w:rsidR="00C96FDA">
        <w:t> </w:t>
      </w:r>
      <w:r w:rsidRPr="00C64F7D">
        <w:t xml:space="preserve">dnů ode dne rozhodné skutečnosti. Pokud jsou tedy s daným provozovatelem vedena příslušná řízení, může být proces vrácení případného </w:t>
      </w:r>
      <w:r w:rsidR="00413C95">
        <w:t xml:space="preserve">vratitelného </w:t>
      </w:r>
      <w:r w:rsidRPr="00C64F7D">
        <w:t>přeplatku časově náročnější.</w:t>
      </w:r>
    </w:p>
    <w:p w14:paraId="471ACC53" w14:textId="2B057599" w:rsidR="007C6054" w:rsidRDefault="007C6054" w:rsidP="009A17A9">
      <w:r>
        <w:t>Obecně lze tedy hodnotit, že právní úprava správy kauce je v zákoně o hazardních hrách obsažena mnohem podrobněji, než tomu bylo v předchozí právní úpravě. Právní úprava s určitým</w:t>
      </w:r>
      <w:r w:rsidR="003B1A77">
        <w:t>i</w:t>
      </w:r>
      <w:r>
        <w:t xml:space="preserve"> odchylkami vychází z právní úpravy kaucí skládaných za účelem registrace k povinném</w:t>
      </w:r>
      <w:r w:rsidR="003B1A77">
        <w:t>u</w:t>
      </w:r>
      <w:r>
        <w:t xml:space="preserve"> </w:t>
      </w:r>
      <w:r w:rsidR="003B1A77">
        <w:t>značení</w:t>
      </w:r>
      <w:r>
        <w:t xml:space="preserve"> lihu</w:t>
      </w:r>
      <w:r w:rsidR="003B1A77">
        <w:t xml:space="preserve"> podle zákona č.</w:t>
      </w:r>
      <w:r w:rsidR="00C96FDA">
        <w:t> </w:t>
      </w:r>
      <w:r w:rsidR="003B1A77">
        <w:t>307/2013</w:t>
      </w:r>
      <w:r w:rsidR="00C96FDA">
        <w:t> </w:t>
      </w:r>
      <w:r w:rsidR="003B1A77">
        <w:t>Sb.,</w:t>
      </w:r>
      <w:r w:rsidR="00C96FDA">
        <w:t> </w:t>
      </w:r>
      <w:r w:rsidR="003B1A77">
        <w:t>o povinném značení lihu, ve znění pozdějších předpisů</w:t>
      </w:r>
      <w:r w:rsidR="00C96FDA">
        <w:t>,</w:t>
      </w:r>
      <w:r>
        <w:t xml:space="preserve"> či </w:t>
      </w:r>
      <w:r w:rsidR="003B1A77">
        <w:t>kaucí skládaných distributory pohonných hmot podle zákona č.</w:t>
      </w:r>
      <w:r w:rsidR="00C96FDA">
        <w:t> </w:t>
      </w:r>
      <w:r w:rsidR="003B1A77">
        <w:t>311/2006</w:t>
      </w:r>
      <w:r w:rsidR="00C96FDA">
        <w:t> </w:t>
      </w:r>
      <w:r w:rsidR="003B1A77">
        <w:t>Sb.,</w:t>
      </w:r>
      <w:r w:rsidR="00C96FDA">
        <w:t xml:space="preserve"> </w:t>
      </w:r>
      <w:r w:rsidR="003B1A77">
        <w:t>o</w:t>
      </w:r>
      <w:r w:rsidR="00C96FDA">
        <w:t> </w:t>
      </w:r>
      <w:r w:rsidR="003B1A77">
        <w:t>pohonných hmotách a </w:t>
      </w:r>
      <w:r w:rsidR="003B1A77" w:rsidRPr="003B1A77">
        <w:t>čerpacích stanicích pohonných hmot a o změně některých souvisejících zákonů (zákon o pohonných hmotách)</w:t>
      </w:r>
      <w:r w:rsidR="003B1A77">
        <w:t>, ve znění pozdějších předpisů.</w:t>
      </w:r>
    </w:p>
    <w:p w14:paraId="6A1D6564" w14:textId="1EBCA173" w:rsidR="00356E50" w:rsidRDefault="00356E50" w:rsidP="00C96FDA">
      <w:pPr>
        <w:pStyle w:val="Nadpis3"/>
      </w:pPr>
      <w:bookmarkStart w:id="6" w:name="_Toc73608048"/>
      <w:r>
        <w:lastRenderedPageBreak/>
        <w:t>Konkrétní popis nástrojů, včet</w:t>
      </w:r>
      <w:r w:rsidR="00B5553F">
        <w:t xml:space="preserve">ně oblastí, na které by bylo </w:t>
      </w:r>
      <w:r>
        <w:t xml:space="preserve">vhodné </w:t>
      </w:r>
      <w:r w:rsidR="00DA79E6">
        <w:t xml:space="preserve">se </w:t>
      </w:r>
      <w:r>
        <w:t>v budoucnu zaměřit, a</w:t>
      </w:r>
      <w:r w:rsidR="00C96FDA">
        <w:t> </w:t>
      </w:r>
      <w:r>
        <w:t xml:space="preserve">návrh </w:t>
      </w:r>
      <w:r w:rsidR="00825DBF">
        <w:t xml:space="preserve">doporučení či </w:t>
      </w:r>
      <w:r w:rsidR="00DA79E6">
        <w:t xml:space="preserve">možných </w:t>
      </w:r>
      <w:r>
        <w:t>variant řešení</w:t>
      </w:r>
      <w:bookmarkEnd w:id="6"/>
    </w:p>
    <w:p w14:paraId="04C793FC" w14:textId="77777777" w:rsidR="00B63966" w:rsidRDefault="00FD0601" w:rsidP="00CC7BD4">
      <w:pPr>
        <w:pStyle w:val="Nadpis6"/>
      </w:pPr>
      <w:bookmarkStart w:id="7" w:name="_Toc73608049"/>
      <w:r>
        <w:t xml:space="preserve">Rozsah závazků </w:t>
      </w:r>
      <w:r w:rsidR="004B7424">
        <w:t>zajištěných kaucí</w:t>
      </w:r>
      <w:r w:rsidR="005E3F46">
        <w:t>, případně jiný způsob zajištění</w:t>
      </w:r>
      <w:bookmarkEnd w:id="7"/>
    </w:p>
    <w:p w14:paraId="7784D82D" w14:textId="1E399511" w:rsidR="00B63966" w:rsidRDefault="00B63966" w:rsidP="00B63966">
      <w:r w:rsidRPr="0069744D">
        <w:t>Zákon o hazardních hrách zavedl institut ka</w:t>
      </w:r>
      <w:r w:rsidR="00B30BD7">
        <w:t>uce, která je účelově vázána</w:t>
      </w:r>
      <w:r w:rsidR="00312E3B">
        <w:t>. P</w:t>
      </w:r>
      <w:r>
        <w:t xml:space="preserve">rimárním </w:t>
      </w:r>
      <w:r w:rsidRPr="0069744D">
        <w:t xml:space="preserve">smyslem zavedení tohoto institutu je zajištění schopnosti </w:t>
      </w:r>
      <w:r w:rsidR="008274BD">
        <w:t xml:space="preserve">provozovatele </w:t>
      </w:r>
      <w:r w:rsidRPr="0069744D">
        <w:t xml:space="preserve">dostát zákonným požadavkům a </w:t>
      </w:r>
      <w:r w:rsidRPr="00C07D43">
        <w:t>svým</w:t>
      </w:r>
      <w:r w:rsidRPr="0069744D">
        <w:t xml:space="preserve"> závazkům</w:t>
      </w:r>
      <w:r>
        <w:t xml:space="preserve">. Kauce je tedy </w:t>
      </w:r>
      <w:r w:rsidRPr="0069744D">
        <w:t>jednou ze základních záruk řádného provozování hazardních her na území České republiky</w:t>
      </w:r>
      <w:r w:rsidR="00E3785C">
        <w:t xml:space="preserve"> a</w:t>
      </w:r>
      <w:r w:rsidR="00312E3B">
        <w:t> </w:t>
      </w:r>
      <w:r w:rsidR="00413C95">
        <w:t>ochrany</w:t>
      </w:r>
      <w:r w:rsidR="00E3785C" w:rsidRPr="00F1360A">
        <w:t xml:space="preserve"> sázejících</w:t>
      </w:r>
      <w:r w:rsidR="00F1360A" w:rsidRPr="00F1360A">
        <w:t xml:space="preserve"> </w:t>
      </w:r>
      <w:r w:rsidR="00413C95">
        <w:t>v</w:t>
      </w:r>
      <w:r w:rsidR="00312E3B">
        <w:t> </w:t>
      </w:r>
      <w:r w:rsidR="00413C95">
        <w:t>podobě zajištění případných nevyplacených výher sázejících splňující</w:t>
      </w:r>
      <w:r w:rsidR="00934285">
        <w:t>ch</w:t>
      </w:r>
      <w:r w:rsidR="00413C95">
        <w:t xml:space="preserve"> zákonem dané podmínky</w:t>
      </w:r>
      <w:r w:rsidR="009F7FF3" w:rsidRPr="009C6253">
        <w:t>.</w:t>
      </w:r>
    </w:p>
    <w:p w14:paraId="3E6627F0" w14:textId="7DDD1E04" w:rsidR="00A8381D" w:rsidRDefault="00B63966" w:rsidP="00A52F0F">
      <w:pPr>
        <w:spacing w:line="259" w:lineRule="auto"/>
        <w:rPr>
          <w:rFonts w:cs="Arial"/>
          <w:szCs w:val="24"/>
        </w:rPr>
      </w:pPr>
      <w:r>
        <w:t xml:space="preserve">Stávající právní úprava </w:t>
      </w:r>
      <w:r w:rsidR="00C6623F">
        <w:t>v §</w:t>
      </w:r>
      <w:r w:rsidR="004B20BE">
        <w:t> </w:t>
      </w:r>
      <w:r w:rsidR="00C6623F">
        <w:t xml:space="preserve">89 </w:t>
      </w:r>
      <w:r w:rsidR="00D41832">
        <w:t xml:space="preserve">zákona o hazardních hrách </w:t>
      </w:r>
      <w:r>
        <w:t xml:space="preserve">vyjmenovává závazky provozovatele, které jsou hrazeny z poskytnuté kauce. </w:t>
      </w:r>
      <w:r w:rsidR="00E3785C" w:rsidRPr="00DD6E83">
        <w:rPr>
          <w:rFonts w:cs="Arial"/>
          <w:szCs w:val="24"/>
        </w:rPr>
        <w:t>Co se týče závazků</w:t>
      </w:r>
      <w:r w:rsidR="00FD43BA" w:rsidRPr="00DD6E83">
        <w:rPr>
          <w:rFonts w:cs="Arial"/>
          <w:szCs w:val="24"/>
        </w:rPr>
        <w:t xml:space="preserve"> provozovatele</w:t>
      </w:r>
      <w:r w:rsidR="00E3785C" w:rsidRPr="00DD6E83">
        <w:rPr>
          <w:rFonts w:cs="Arial"/>
          <w:szCs w:val="24"/>
        </w:rPr>
        <w:t xml:space="preserve"> v</w:t>
      </w:r>
      <w:r w:rsidR="009C6253">
        <w:rPr>
          <w:rFonts w:cs="Arial"/>
          <w:szCs w:val="24"/>
        </w:rPr>
        <w:t xml:space="preserve">zniklých </w:t>
      </w:r>
      <w:r w:rsidR="004B20BE">
        <w:rPr>
          <w:rFonts w:cs="Arial"/>
          <w:szCs w:val="24"/>
        </w:rPr>
        <w:t>po</w:t>
      </w:r>
      <w:r w:rsidR="009C6253">
        <w:rPr>
          <w:rFonts w:cs="Arial"/>
          <w:szCs w:val="24"/>
        </w:rPr>
        <w:t>dle §</w:t>
      </w:r>
      <w:r w:rsidR="004B20BE">
        <w:rPr>
          <w:rFonts w:cs="Arial"/>
          <w:szCs w:val="24"/>
        </w:rPr>
        <w:t> </w:t>
      </w:r>
      <w:r w:rsidR="009C6253">
        <w:rPr>
          <w:rFonts w:cs="Arial"/>
          <w:szCs w:val="24"/>
        </w:rPr>
        <w:t>89</w:t>
      </w:r>
      <w:r w:rsidR="004B20BE">
        <w:rPr>
          <w:rFonts w:cs="Arial"/>
          <w:szCs w:val="24"/>
        </w:rPr>
        <w:t> </w:t>
      </w:r>
      <w:r w:rsidR="009C6253">
        <w:rPr>
          <w:rFonts w:cs="Arial"/>
          <w:szCs w:val="24"/>
        </w:rPr>
        <w:t>odst.</w:t>
      </w:r>
      <w:r w:rsidR="004B20BE">
        <w:rPr>
          <w:rFonts w:cs="Arial"/>
          <w:szCs w:val="24"/>
        </w:rPr>
        <w:t> </w:t>
      </w:r>
      <w:r w:rsidR="009C6253">
        <w:rPr>
          <w:rFonts w:cs="Arial"/>
          <w:szCs w:val="24"/>
        </w:rPr>
        <w:t>4</w:t>
      </w:r>
      <w:r w:rsidR="004B20BE">
        <w:rPr>
          <w:rFonts w:cs="Arial"/>
          <w:szCs w:val="24"/>
        </w:rPr>
        <w:t> </w:t>
      </w:r>
      <w:r w:rsidR="009C6253">
        <w:rPr>
          <w:rFonts w:cs="Arial"/>
          <w:szCs w:val="24"/>
        </w:rPr>
        <w:t>písm. </w:t>
      </w:r>
      <w:r w:rsidR="00E3785C" w:rsidRPr="00DD6E83">
        <w:rPr>
          <w:rFonts w:cs="Arial"/>
          <w:szCs w:val="24"/>
        </w:rPr>
        <w:t>a)</w:t>
      </w:r>
      <w:r w:rsidR="004B20BE">
        <w:rPr>
          <w:rFonts w:cs="Arial"/>
          <w:szCs w:val="24"/>
        </w:rPr>
        <w:t> </w:t>
      </w:r>
      <w:r w:rsidR="00E3785C" w:rsidRPr="00DD6E83">
        <w:rPr>
          <w:rFonts w:cs="Arial"/>
          <w:szCs w:val="24"/>
        </w:rPr>
        <w:t>a</w:t>
      </w:r>
      <w:r w:rsidR="004B20BE">
        <w:rPr>
          <w:rFonts w:cs="Arial"/>
          <w:szCs w:val="24"/>
        </w:rPr>
        <w:t> </w:t>
      </w:r>
      <w:r w:rsidR="00E3785C" w:rsidRPr="00DD6E83">
        <w:rPr>
          <w:rFonts w:cs="Arial"/>
          <w:szCs w:val="24"/>
        </w:rPr>
        <w:t>b)</w:t>
      </w:r>
      <w:r w:rsidR="00FD43BA" w:rsidRPr="00DD6E83">
        <w:rPr>
          <w:rFonts w:cs="Arial"/>
          <w:szCs w:val="24"/>
        </w:rPr>
        <w:t xml:space="preserve"> zákona o</w:t>
      </w:r>
      <w:r w:rsidR="004B20BE">
        <w:rPr>
          <w:rFonts w:cs="Arial"/>
          <w:szCs w:val="24"/>
        </w:rPr>
        <w:t> </w:t>
      </w:r>
      <w:r w:rsidR="00FD43BA" w:rsidRPr="00DD6E83">
        <w:rPr>
          <w:rFonts w:cs="Arial"/>
          <w:szCs w:val="24"/>
        </w:rPr>
        <w:t>hazardních hrách,</w:t>
      </w:r>
      <w:r w:rsidR="00E3785C" w:rsidRPr="00DD6E83">
        <w:rPr>
          <w:rFonts w:cs="Arial"/>
          <w:szCs w:val="24"/>
        </w:rPr>
        <w:t xml:space="preserve"> tj. </w:t>
      </w:r>
      <w:r w:rsidR="00FD43BA" w:rsidRPr="00DD6E83">
        <w:rPr>
          <w:rFonts w:cs="Arial"/>
          <w:szCs w:val="24"/>
        </w:rPr>
        <w:t>úhrady</w:t>
      </w:r>
      <w:r w:rsidR="00E3785C" w:rsidRPr="00DD6E83">
        <w:rPr>
          <w:rFonts w:cs="Arial"/>
          <w:szCs w:val="24"/>
        </w:rPr>
        <w:t xml:space="preserve"> daně z hazardních her</w:t>
      </w:r>
      <w:r w:rsidR="00FD43BA" w:rsidRPr="00DD6E83">
        <w:rPr>
          <w:rFonts w:cs="Arial"/>
          <w:szCs w:val="24"/>
        </w:rPr>
        <w:t xml:space="preserve"> a</w:t>
      </w:r>
      <w:r w:rsidR="004B20BE">
        <w:rPr>
          <w:rFonts w:cs="Arial"/>
          <w:szCs w:val="24"/>
        </w:rPr>
        <w:t> </w:t>
      </w:r>
      <w:r w:rsidR="00FD43BA" w:rsidRPr="00DD6E83">
        <w:rPr>
          <w:rFonts w:cs="Arial"/>
          <w:szCs w:val="24"/>
        </w:rPr>
        <w:t>jejího příslušenství a</w:t>
      </w:r>
      <w:r w:rsidR="004B20BE">
        <w:rPr>
          <w:rFonts w:cs="Arial"/>
          <w:szCs w:val="24"/>
        </w:rPr>
        <w:t> </w:t>
      </w:r>
      <w:r w:rsidR="00FD43BA" w:rsidRPr="00DD6E83">
        <w:rPr>
          <w:rFonts w:cs="Arial"/>
          <w:szCs w:val="24"/>
        </w:rPr>
        <w:t>pokut</w:t>
      </w:r>
      <w:r w:rsidR="00E3785C" w:rsidRPr="00DD6E83">
        <w:rPr>
          <w:rFonts w:cs="Arial"/>
          <w:szCs w:val="24"/>
        </w:rPr>
        <w:t xml:space="preserve"> uložen</w:t>
      </w:r>
      <w:r w:rsidR="00FD43BA" w:rsidRPr="00DD6E83">
        <w:rPr>
          <w:rFonts w:cs="Arial"/>
          <w:szCs w:val="24"/>
        </w:rPr>
        <w:t>ých</w:t>
      </w:r>
      <w:r w:rsidR="00E3785C" w:rsidRPr="00DD6E83">
        <w:rPr>
          <w:rFonts w:cs="Arial"/>
          <w:szCs w:val="24"/>
        </w:rPr>
        <w:t xml:space="preserve"> za přestupek podle zákona o</w:t>
      </w:r>
      <w:r w:rsidR="004B20BE">
        <w:rPr>
          <w:rFonts w:cs="Arial"/>
          <w:szCs w:val="24"/>
        </w:rPr>
        <w:t> </w:t>
      </w:r>
      <w:r w:rsidR="00E3785C" w:rsidRPr="00DD6E83">
        <w:rPr>
          <w:rFonts w:cs="Arial"/>
          <w:szCs w:val="24"/>
        </w:rPr>
        <w:t>hazardních hrách</w:t>
      </w:r>
      <w:r w:rsidR="00FD43BA" w:rsidRPr="00DD6E83">
        <w:rPr>
          <w:rFonts w:cs="Arial"/>
          <w:szCs w:val="24"/>
        </w:rPr>
        <w:t>,</w:t>
      </w:r>
      <w:r w:rsidR="00E3785C" w:rsidRPr="00DD6E83">
        <w:rPr>
          <w:rFonts w:cs="Arial"/>
          <w:szCs w:val="24"/>
        </w:rPr>
        <w:t xml:space="preserve"> </w:t>
      </w:r>
      <w:r w:rsidR="00944469">
        <w:rPr>
          <w:rFonts w:cs="Arial"/>
          <w:szCs w:val="24"/>
        </w:rPr>
        <w:t>tedy závazků státu, není Ministerstvo financí toho názoru, že by mělo docházet k jinému způsobu zajištění</w:t>
      </w:r>
      <w:r w:rsidR="00E3785C" w:rsidRPr="00DD6E83">
        <w:rPr>
          <w:rFonts w:cs="Arial"/>
          <w:szCs w:val="24"/>
        </w:rPr>
        <w:t>.</w:t>
      </w:r>
      <w:r w:rsidR="00E362FD">
        <w:rPr>
          <w:rFonts w:cs="Arial"/>
          <w:szCs w:val="24"/>
        </w:rPr>
        <w:t xml:space="preserve"> </w:t>
      </w:r>
    </w:p>
    <w:p w14:paraId="70170A1C" w14:textId="3E177A20" w:rsidR="008C0AFE" w:rsidRDefault="002304CE" w:rsidP="00A52F0F">
      <w:pPr>
        <w:spacing w:line="259" w:lineRule="auto"/>
        <w:rPr>
          <w:rFonts w:cs="Arial"/>
          <w:szCs w:val="24"/>
        </w:rPr>
      </w:pPr>
      <w:r>
        <w:rPr>
          <w:rFonts w:cs="Arial"/>
          <w:szCs w:val="24"/>
        </w:rPr>
        <w:t>J</w:t>
      </w:r>
      <w:r w:rsidR="00FD43BA" w:rsidRPr="00DD6E83">
        <w:rPr>
          <w:rFonts w:cs="Arial"/>
          <w:szCs w:val="24"/>
        </w:rPr>
        <w:t xml:space="preserve">ako </w:t>
      </w:r>
      <w:r w:rsidR="001C03F2" w:rsidRPr="009C6253">
        <w:rPr>
          <w:rFonts w:cs="Arial"/>
          <w:b/>
          <w:szCs w:val="24"/>
        </w:rPr>
        <w:t>problematickou</w:t>
      </w:r>
      <w:r w:rsidR="00FD43BA" w:rsidRPr="009C6253">
        <w:rPr>
          <w:rFonts w:cs="Arial"/>
          <w:b/>
          <w:szCs w:val="24"/>
        </w:rPr>
        <w:t xml:space="preserve"> a sporn</w:t>
      </w:r>
      <w:r w:rsidR="001C03F2" w:rsidRPr="009C6253">
        <w:rPr>
          <w:rFonts w:cs="Arial"/>
          <w:b/>
          <w:szCs w:val="24"/>
        </w:rPr>
        <w:t>ou</w:t>
      </w:r>
      <w:r w:rsidR="001C03F2" w:rsidRPr="00DD6E83">
        <w:rPr>
          <w:rFonts w:cs="Arial"/>
          <w:szCs w:val="24"/>
        </w:rPr>
        <w:t xml:space="preserve"> spatřuje Ministerstvo financí </w:t>
      </w:r>
      <w:r w:rsidR="001C03F2" w:rsidRPr="009C6253">
        <w:rPr>
          <w:rFonts w:cs="Arial"/>
          <w:b/>
          <w:szCs w:val="24"/>
        </w:rPr>
        <w:t>samotnou</w:t>
      </w:r>
      <w:r w:rsidR="00E3785C" w:rsidRPr="009C6253">
        <w:rPr>
          <w:rFonts w:cs="Arial"/>
          <w:b/>
          <w:szCs w:val="24"/>
        </w:rPr>
        <w:t xml:space="preserve"> </w:t>
      </w:r>
      <w:r w:rsidR="001C03F2" w:rsidRPr="009C6253">
        <w:rPr>
          <w:rFonts w:cs="Arial"/>
          <w:b/>
          <w:szCs w:val="24"/>
        </w:rPr>
        <w:t>správu</w:t>
      </w:r>
      <w:r w:rsidR="00FD43BA" w:rsidRPr="009C6253">
        <w:rPr>
          <w:rFonts w:cs="Arial"/>
          <w:b/>
          <w:szCs w:val="24"/>
        </w:rPr>
        <w:t xml:space="preserve"> nevyplacených výher</w:t>
      </w:r>
      <w:r w:rsidR="006809EA" w:rsidRPr="009C6253">
        <w:rPr>
          <w:rFonts w:cs="Arial"/>
          <w:b/>
          <w:szCs w:val="24"/>
        </w:rPr>
        <w:t xml:space="preserve"> </w:t>
      </w:r>
      <w:r w:rsidR="006809EA" w:rsidRPr="00DD6E83">
        <w:rPr>
          <w:rFonts w:cs="Arial"/>
          <w:szCs w:val="24"/>
        </w:rPr>
        <w:t>stanovených v</w:t>
      </w:r>
      <w:r w:rsidR="004B20BE">
        <w:rPr>
          <w:rFonts w:cs="Arial"/>
          <w:szCs w:val="24"/>
        </w:rPr>
        <w:t> </w:t>
      </w:r>
      <w:r w:rsidR="000A1167">
        <w:rPr>
          <w:rFonts w:cs="Arial"/>
          <w:szCs w:val="24"/>
        </w:rPr>
        <w:t>§</w:t>
      </w:r>
      <w:r w:rsidR="004B20BE">
        <w:rPr>
          <w:rFonts w:cs="Arial"/>
          <w:szCs w:val="24"/>
        </w:rPr>
        <w:t> </w:t>
      </w:r>
      <w:r w:rsidR="000A1167">
        <w:rPr>
          <w:rFonts w:cs="Arial"/>
          <w:szCs w:val="24"/>
        </w:rPr>
        <w:t>89</w:t>
      </w:r>
      <w:r w:rsidR="004B20BE">
        <w:rPr>
          <w:rFonts w:cs="Arial"/>
          <w:szCs w:val="24"/>
        </w:rPr>
        <w:t> </w:t>
      </w:r>
      <w:r w:rsidR="000A1167">
        <w:rPr>
          <w:rFonts w:cs="Arial"/>
          <w:szCs w:val="24"/>
        </w:rPr>
        <w:t>odst.</w:t>
      </w:r>
      <w:r w:rsidR="004B20BE">
        <w:rPr>
          <w:rFonts w:cs="Arial"/>
          <w:szCs w:val="24"/>
        </w:rPr>
        <w:t> </w:t>
      </w:r>
      <w:r w:rsidR="000A1167">
        <w:rPr>
          <w:rFonts w:cs="Arial"/>
          <w:szCs w:val="24"/>
        </w:rPr>
        <w:t>4</w:t>
      </w:r>
      <w:r w:rsidR="004B20BE">
        <w:rPr>
          <w:rFonts w:cs="Arial"/>
          <w:szCs w:val="24"/>
        </w:rPr>
        <w:t> </w:t>
      </w:r>
      <w:r w:rsidR="000A1167">
        <w:rPr>
          <w:rFonts w:cs="Arial"/>
          <w:szCs w:val="24"/>
        </w:rPr>
        <w:t>písm.</w:t>
      </w:r>
      <w:r w:rsidR="004B20BE">
        <w:rPr>
          <w:rFonts w:cs="Arial"/>
          <w:szCs w:val="24"/>
        </w:rPr>
        <w:t> </w:t>
      </w:r>
      <w:r w:rsidR="000A1167">
        <w:rPr>
          <w:rFonts w:cs="Arial"/>
          <w:szCs w:val="24"/>
        </w:rPr>
        <w:t>c) zákona o </w:t>
      </w:r>
      <w:r w:rsidR="006809EA" w:rsidRPr="00DD6E83">
        <w:rPr>
          <w:rFonts w:cs="Arial"/>
          <w:szCs w:val="24"/>
        </w:rPr>
        <w:t xml:space="preserve">hazardních </w:t>
      </w:r>
      <w:r w:rsidR="001C03F2" w:rsidRPr="00DD6E83">
        <w:rPr>
          <w:rFonts w:cs="Arial"/>
          <w:szCs w:val="24"/>
        </w:rPr>
        <w:t>hrách</w:t>
      </w:r>
      <w:r w:rsidR="006809EA" w:rsidRPr="00DD6E83">
        <w:rPr>
          <w:rFonts w:cs="Arial"/>
          <w:szCs w:val="24"/>
        </w:rPr>
        <w:t xml:space="preserve">. V tomto případě </w:t>
      </w:r>
      <w:r w:rsidR="009C6253" w:rsidRPr="009C6253">
        <w:rPr>
          <w:rFonts w:cs="Arial"/>
          <w:b/>
          <w:szCs w:val="24"/>
        </w:rPr>
        <w:t>fakticky</w:t>
      </w:r>
      <w:r w:rsidR="006809EA" w:rsidRPr="009C6253">
        <w:rPr>
          <w:rFonts w:cs="Arial"/>
          <w:b/>
          <w:szCs w:val="24"/>
        </w:rPr>
        <w:t xml:space="preserve"> dochází k úhradě soukrom</w:t>
      </w:r>
      <w:r w:rsidR="001C03F2" w:rsidRPr="009C6253">
        <w:rPr>
          <w:rFonts w:cs="Arial"/>
          <w:b/>
          <w:szCs w:val="24"/>
        </w:rPr>
        <w:t>oprávních nároků</w:t>
      </w:r>
      <w:r w:rsidR="001C03F2" w:rsidRPr="00DD6E83">
        <w:rPr>
          <w:rFonts w:cs="Arial"/>
          <w:szCs w:val="24"/>
        </w:rPr>
        <w:t xml:space="preserve">, </w:t>
      </w:r>
      <w:r>
        <w:rPr>
          <w:rFonts w:cs="Arial"/>
          <w:szCs w:val="24"/>
        </w:rPr>
        <w:t xml:space="preserve">neboť je </w:t>
      </w:r>
      <w:r w:rsidR="006809EA" w:rsidRPr="00DD6E83">
        <w:rPr>
          <w:rFonts w:cs="Arial"/>
          <w:szCs w:val="24"/>
        </w:rPr>
        <w:t>tímto způsobem možné hradit pouze nevyplacené výhry, a</w:t>
      </w:r>
      <w:r w:rsidR="004E5440">
        <w:rPr>
          <w:rFonts w:cs="Arial"/>
          <w:szCs w:val="24"/>
        </w:rPr>
        <w:t> </w:t>
      </w:r>
      <w:r w:rsidR="006809EA" w:rsidRPr="00DD6E83">
        <w:rPr>
          <w:rFonts w:cs="Arial"/>
          <w:szCs w:val="24"/>
        </w:rPr>
        <w:t>to v užším slova smyslu. Přestože se je</w:t>
      </w:r>
      <w:r w:rsidR="00B01755" w:rsidRPr="00DD6E83">
        <w:rPr>
          <w:rFonts w:cs="Arial"/>
          <w:szCs w:val="24"/>
        </w:rPr>
        <w:t>dná o soukromoprávní nárok</w:t>
      </w:r>
      <w:r w:rsidR="001C03F2" w:rsidRPr="00DD6E83">
        <w:rPr>
          <w:rFonts w:cs="Arial"/>
          <w:szCs w:val="24"/>
        </w:rPr>
        <w:t>,</w:t>
      </w:r>
      <w:r w:rsidR="00B01755" w:rsidRPr="00DD6E83">
        <w:rPr>
          <w:rFonts w:cs="Arial"/>
          <w:szCs w:val="24"/>
        </w:rPr>
        <w:t xml:space="preserve"> je </w:t>
      </w:r>
      <w:r w:rsidR="00B01755" w:rsidRPr="009C6253">
        <w:rPr>
          <w:rFonts w:cs="Arial"/>
          <w:b/>
          <w:szCs w:val="24"/>
        </w:rPr>
        <w:t xml:space="preserve">nevyplacená výhra považována za nedoplatek dle </w:t>
      </w:r>
      <w:r w:rsidR="00DD6E83" w:rsidRPr="009C6253">
        <w:rPr>
          <w:rFonts w:cs="Arial"/>
          <w:b/>
          <w:szCs w:val="24"/>
        </w:rPr>
        <w:t>daňového řádu</w:t>
      </w:r>
      <w:r w:rsidR="005C1DB4" w:rsidRPr="009C6253">
        <w:rPr>
          <w:rStyle w:val="Znakapoznpodarou"/>
          <w:rFonts w:cs="Arial"/>
          <w:b/>
          <w:szCs w:val="24"/>
        </w:rPr>
        <w:footnoteReference w:id="12"/>
      </w:r>
      <w:r w:rsidR="00DD6E83" w:rsidRPr="009C6253">
        <w:rPr>
          <w:rFonts w:cs="Arial"/>
          <w:b/>
          <w:szCs w:val="24"/>
        </w:rPr>
        <w:t xml:space="preserve"> </w:t>
      </w:r>
      <w:r w:rsidR="00B01755" w:rsidRPr="009C6253">
        <w:rPr>
          <w:rFonts w:cs="Arial"/>
          <w:b/>
          <w:szCs w:val="24"/>
        </w:rPr>
        <w:t>a</w:t>
      </w:r>
      <w:r w:rsidR="004E5440">
        <w:rPr>
          <w:rFonts w:cs="Arial"/>
          <w:b/>
          <w:szCs w:val="24"/>
        </w:rPr>
        <w:t> </w:t>
      </w:r>
      <w:r w:rsidR="005E796C" w:rsidRPr="009C6253">
        <w:rPr>
          <w:rFonts w:cs="Arial"/>
          <w:b/>
          <w:szCs w:val="24"/>
        </w:rPr>
        <w:t>zároveň</w:t>
      </w:r>
      <w:r w:rsidR="00B01755" w:rsidRPr="009C6253">
        <w:rPr>
          <w:rFonts w:cs="Arial"/>
          <w:b/>
          <w:szCs w:val="24"/>
        </w:rPr>
        <w:t xml:space="preserve"> jsou náklady na vymáhání tohoto nedoplatku přeneseny na stát.</w:t>
      </w:r>
      <w:r w:rsidR="00B01755" w:rsidRPr="00DD6E83">
        <w:rPr>
          <w:rFonts w:cs="Arial"/>
          <w:szCs w:val="24"/>
        </w:rPr>
        <w:t xml:space="preserve"> Současně </w:t>
      </w:r>
      <w:r w:rsidR="0014148D">
        <w:rPr>
          <w:rFonts w:cs="Arial"/>
          <w:szCs w:val="24"/>
        </w:rPr>
        <w:t>však tento institut</w:t>
      </w:r>
      <w:r w:rsidR="00B01755" w:rsidRPr="00DD6E83">
        <w:rPr>
          <w:rFonts w:cs="Arial"/>
          <w:szCs w:val="24"/>
        </w:rPr>
        <w:t xml:space="preserve"> motivuje</w:t>
      </w:r>
      <w:r w:rsidR="0014148D">
        <w:rPr>
          <w:rFonts w:cs="Arial"/>
          <w:szCs w:val="24"/>
        </w:rPr>
        <w:t xml:space="preserve"> sázející</w:t>
      </w:r>
      <w:r w:rsidR="00B01755" w:rsidRPr="00DD6E83">
        <w:rPr>
          <w:rFonts w:cs="Arial"/>
          <w:szCs w:val="24"/>
        </w:rPr>
        <w:t xml:space="preserve"> k sázení u</w:t>
      </w:r>
      <w:r w:rsidR="004E5440">
        <w:rPr>
          <w:rFonts w:cs="Arial"/>
          <w:szCs w:val="24"/>
        </w:rPr>
        <w:t> </w:t>
      </w:r>
      <w:r w:rsidR="00B01755" w:rsidRPr="00DD6E83">
        <w:rPr>
          <w:rFonts w:cs="Arial"/>
          <w:szCs w:val="24"/>
        </w:rPr>
        <w:t xml:space="preserve">licencovaných provozovatelů, protože zde mají </w:t>
      </w:r>
      <w:r w:rsidR="0014148D">
        <w:rPr>
          <w:rFonts w:cs="Arial"/>
          <w:szCs w:val="24"/>
        </w:rPr>
        <w:t>určitou záruku</w:t>
      </w:r>
      <w:r w:rsidR="00B01755" w:rsidRPr="00DD6E83">
        <w:rPr>
          <w:rFonts w:cs="Arial"/>
          <w:szCs w:val="24"/>
        </w:rPr>
        <w:t>, že za splnění podmínek budou jejich nevyplacené výhry hrazeny ze složené kauce.</w:t>
      </w:r>
      <w:r w:rsidR="003F56A3" w:rsidRPr="00DD6E83">
        <w:rPr>
          <w:rFonts w:cs="Arial"/>
          <w:szCs w:val="24"/>
        </w:rPr>
        <w:t xml:space="preserve"> Jednou z podmínek, kterou sázející musí splnit pro </w:t>
      </w:r>
      <w:r w:rsidR="0014148D">
        <w:rPr>
          <w:rFonts w:cs="Arial"/>
          <w:szCs w:val="24"/>
        </w:rPr>
        <w:t>úhradu</w:t>
      </w:r>
      <w:r w:rsidR="0014148D" w:rsidRPr="00DD6E83">
        <w:rPr>
          <w:rFonts w:cs="Arial"/>
          <w:szCs w:val="24"/>
        </w:rPr>
        <w:t xml:space="preserve"> </w:t>
      </w:r>
      <w:r w:rsidR="003F56A3" w:rsidRPr="00DD6E83">
        <w:rPr>
          <w:rFonts w:cs="Arial"/>
          <w:szCs w:val="24"/>
        </w:rPr>
        <w:t>nevyplacené výhry</w:t>
      </w:r>
      <w:r w:rsidR="0014148D">
        <w:rPr>
          <w:rFonts w:cs="Arial"/>
          <w:szCs w:val="24"/>
        </w:rPr>
        <w:t xml:space="preserve"> z</w:t>
      </w:r>
      <w:r w:rsidR="004E5440">
        <w:rPr>
          <w:rFonts w:cs="Arial"/>
          <w:szCs w:val="24"/>
        </w:rPr>
        <w:t> </w:t>
      </w:r>
      <w:r w:rsidR="0014148D">
        <w:rPr>
          <w:rFonts w:cs="Arial"/>
          <w:szCs w:val="24"/>
        </w:rPr>
        <w:t>kauce</w:t>
      </w:r>
      <w:r w:rsidR="005E796C" w:rsidRPr="00DD6E83">
        <w:rPr>
          <w:rFonts w:cs="Arial"/>
          <w:szCs w:val="24"/>
        </w:rPr>
        <w:t>,</w:t>
      </w:r>
      <w:r w:rsidR="003F56A3" w:rsidRPr="00DD6E83">
        <w:rPr>
          <w:rFonts w:cs="Arial"/>
          <w:szCs w:val="24"/>
        </w:rPr>
        <w:t xml:space="preserve"> je doložení pravomocného rozhodnutí příslušného orgánu veřejné moci, kte</w:t>
      </w:r>
      <w:r w:rsidR="00343CCF" w:rsidRPr="00DD6E83">
        <w:rPr>
          <w:rFonts w:cs="Arial"/>
          <w:szCs w:val="24"/>
        </w:rPr>
        <w:t xml:space="preserve">rý rozhodl, že má být výhra vyplacena. </w:t>
      </w:r>
      <w:r w:rsidR="0014148D">
        <w:rPr>
          <w:rFonts w:cs="Arial"/>
          <w:szCs w:val="24"/>
        </w:rPr>
        <w:t xml:space="preserve">Tato podmínka </w:t>
      </w:r>
      <w:r>
        <w:rPr>
          <w:rFonts w:cs="Arial"/>
          <w:szCs w:val="24"/>
        </w:rPr>
        <w:t xml:space="preserve">sice </w:t>
      </w:r>
      <w:r w:rsidR="0014148D">
        <w:rPr>
          <w:rFonts w:cs="Arial"/>
          <w:szCs w:val="24"/>
        </w:rPr>
        <w:t xml:space="preserve">uplatnění nároku touto cestou významně omezuje, </w:t>
      </w:r>
      <w:r>
        <w:rPr>
          <w:rFonts w:cs="Arial"/>
          <w:szCs w:val="24"/>
        </w:rPr>
        <w:t xml:space="preserve">ale </w:t>
      </w:r>
      <w:r w:rsidR="0014148D">
        <w:rPr>
          <w:rFonts w:cs="Arial"/>
          <w:szCs w:val="24"/>
        </w:rPr>
        <w:t xml:space="preserve">bez její existence </w:t>
      </w:r>
      <w:r w:rsidR="00E91049">
        <w:rPr>
          <w:rFonts w:cs="Arial"/>
          <w:szCs w:val="24"/>
        </w:rPr>
        <w:t>si lze proces přiznávání nároku jen velmi obtížně představit</w:t>
      </w:r>
      <w:r>
        <w:rPr>
          <w:rFonts w:cs="Arial"/>
          <w:szCs w:val="24"/>
        </w:rPr>
        <w:t>.</w:t>
      </w:r>
      <w:r w:rsidR="00E91049">
        <w:rPr>
          <w:rFonts w:cs="Arial"/>
          <w:szCs w:val="24"/>
        </w:rPr>
        <w:t xml:space="preserve"> </w:t>
      </w:r>
      <w:r>
        <w:rPr>
          <w:rFonts w:cs="Arial"/>
          <w:szCs w:val="24"/>
        </w:rPr>
        <w:t xml:space="preserve"> V </w:t>
      </w:r>
      <w:r w:rsidR="00E91049">
        <w:rPr>
          <w:rFonts w:cs="Arial"/>
          <w:szCs w:val="24"/>
        </w:rPr>
        <w:t xml:space="preserve">poměrně krátkém časovém úseku na přihlašování výher by </w:t>
      </w:r>
      <w:r>
        <w:rPr>
          <w:rFonts w:cs="Arial"/>
          <w:szCs w:val="24"/>
        </w:rPr>
        <w:t xml:space="preserve">bez ní totiž </w:t>
      </w:r>
      <w:r w:rsidR="00E91049">
        <w:rPr>
          <w:rFonts w:cs="Arial"/>
          <w:szCs w:val="24"/>
        </w:rPr>
        <w:t>muselo ze strany správního orgánu, který kauci spravuje, navíc docházet k věcnému posuzování tvrzených nároků. Z toho důvodu je nezbytné již existencí zmíněného titulu v okamžiku přihlašování výhry disponovat.</w:t>
      </w:r>
      <w:r w:rsidR="0054136E">
        <w:rPr>
          <w:rFonts w:cs="Arial"/>
          <w:szCs w:val="24"/>
        </w:rPr>
        <w:t xml:space="preserve"> Toto je komplikováno tím, že primárně jde o</w:t>
      </w:r>
      <w:r w:rsidR="004E5440">
        <w:rPr>
          <w:rFonts w:cs="Arial"/>
          <w:szCs w:val="24"/>
        </w:rPr>
        <w:t> </w:t>
      </w:r>
      <w:r w:rsidR="0054136E">
        <w:rPr>
          <w:rFonts w:cs="Arial"/>
          <w:szCs w:val="24"/>
        </w:rPr>
        <w:t>civilněprávní vztah, tj. posouzení procesu kontraktace a</w:t>
      </w:r>
      <w:r w:rsidR="00FE3802">
        <w:rPr>
          <w:rFonts w:cs="Arial"/>
          <w:szCs w:val="24"/>
        </w:rPr>
        <w:t> </w:t>
      </w:r>
      <w:r w:rsidR="0054136E">
        <w:rPr>
          <w:rFonts w:cs="Arial"/>
          <w:szCs w:val="24"/>
        </w:rPr>
        <w:t>vzniku nároku se komplikuje nižší znalostí konkrétní situace ze strany orgánu veřejné správy, zejména v případech, pokud je provozovatel nesoučinný při předávání dokumentace. Dále t</w:t>
      </w:r>
      <w:r w:rsidR="007B228E">
        <w:rPr>
          <w:rFonts w:cs="Arial"/>
          <w:szCs w:val="24"/>
        </w:rPr>
        <w:t xml:space="preserve">oto samozřejmě naráží na efektivní využití kapacit jednotlivých orgánů – tj. případné důsledné plnění by požadovalo zajistit </w:t>
      </w:r>
      <w:r w:rsidR="0054136E">
        <w:rPr>
          <w:rFonts w:cs="Arial"/>
          <w:szCs w:val="24"/>
        </w:rPr>
        <w:t>volnou prázdnou kapacitu, která by byla k dispozici pro tyto nárazové, nicméně spíše raritní události, což nemusí být příliš efektivní.</w:t>
      </w:r>
    </w:p>
    <w:p w14:paraId="3EEBD1E7" w14:textId="67C959F2" w:rsidR="00D52E44" w:rsidRPr="00C64F7D" w:rsidRDefault="00CD58B0" w:rsidP="00A52F0F">
      <w:pPr>
        <w:spacing w:line="259" w:lineRule="auto"/>
        <w:rPr>
          <w:b/>
          <w:u w:val="single"/>
        </w:rPr>
      </w:pPr>
      <w:r>
        <w:t>V souvislosti se zajištěním nevyplacených výher sázejícím uvedených shora je rovněž sporným aspektem, co se rozumí nevyplacenou výhrou. K této problematice bylo zveřejněno stanovisko Ministerstva financí</w:t>
      </w:r>
      <w:r w:rsidR="00891A53">
        <w:t>,</w:t>
      </w:r>
      <w:r>
        <w:t xml:space="preserve"> viz shora. Právě totiž</w:t>
      </w:r>
      <w:r w:rsidR="00891A53">
        <w:t xml:space="preserve"> </w:t>
      </w:r>
      <w:r w:rsidR="008B494C" w:rsidRPr="007822DD">
        <w:t xml:space="preserve">zůstatek </w:t>
      </w:r>
      <w:r w:rsidR="00891A53">
        <w:t xml:space="preserve">peněžních prostředků </w:t>
      </w:r>
      <w:r w:rsidR="008B494C" w:rsidRPr="007822DD">
        <w:t>na uživatelském kontu</w:t>
      </w:r>
      <w:r w:rsidR="00891A53">
        <w:t>, v rozsahu, který nepředstavuje nevyplacené výhry, není možné z kauce uhradit</w:t>
      </w:r>
      <w:r w:rsidR="008B494C" w:rsidRPr="007822DD">
        <w:t>.</w:t>
      </w:r>
      <w:r w:rsidR="00945AEE">
        <w:t xml:space="preserve"> Tedy tato část zůstatku není složenou kaucí zajištěna. </w:t>
      </w:r>
      <w:r w:rsidR="00B76827">
        <w:t xml:space="preserve">Otázce peněžních prostředků na uživatelském kontu se </w:t>
      </w:r>
      <w:r w:rsidR="00B76827" w:rsidRPr="005E0DC9">
        <w:t xml:space="preserve">věnují části </w:t>
      </w:r>
      <w:r w:rsidR="000402E3" w:rsidRPr="005E0DC9">
        <w:t>Registrace a </w:t>
      </w:r>
      <w:r w:rsidR="00B76827" w:rsidRPr="005E0DC9">
        <w:t>uživatelské konto a Obecná ustanovení.</w:t>
      </w:r>
    </w:p>
    <w:p w14:paraId="77E05CF6" w14:textId="0518716D" w:rsidR="0022687E" w:rsidRPr="00D86DCB" w:rsidRDefault="0002589F" w:rsidP="00A56C45">
      <w:r w:rsidRPr="00B922F6">
        <w:t xml:space="preserve">Dále je nutné poukázat na poměrně </w:t>
      </w:r>
      <w:r w:rsidRPr="00B922F6">
        <w:rPr>
          <w:b/>
        </w:rPr>
        <w:t xml:space="preserve">krátké lhůty </w:t>
      </w:r>
      <w:r w:rsidRPr="00D86DCB">
        <w:rPr>
          <w:b/>
        </w:rPr>
        <w:t>pro</w:t>
      </w:r>
      <w:r w:rsidRPr="00D86DCB">
        <w:t xml:space="preserve"> administrování případné </w:t>
      </w:r>
      <w:r w:rsidRPr="00D86DCB">
        <w:rPr>
          <w:b/>
        </w:rPr>
        <w:t>úhrady</w:t>
      </w:r>
      <w:r w:rsidRPr="00D86DCB">
        <w:t xml:space="preserve"> a</w:t>
      </w:r>
      <w:r w:rsidR="00FE3802">
        <w:t> </w:t>
      </w:r>
      <w:r w:rsidRPr="00D86DCB">
        <w:t xml:space="preserve">ověření tvrzených skutečností </w:t>
      </w:r>
      <w:r w:rsidRPr="00D86DCB">
        <w:rPr>
          <w:b/>
        </w:rPr>
        <w:t>v přihláškách</w:t>
      </w:r>
      <w:r w:rsidR="00D86DCB" w:rsidRPr="00D86DCB">
        <w:t xml:space="preserve">. </w:t>
      </w:r>
      <w:r w:rsidR="0022687E" w:rsidRPr="00D86DCB">
        <w:t xml:space="preserve">Ministerstvo financí v zákonem stanovených lhůtách zveřejní </w:t>
      </w:r>
      <w:r w:rsidR="00A56C45">
        <w:t xml:space="preserve">na internetových stránkách </w:t>
      </w:r>
      <w:r w:rsidR="0022687E" w:rsidRPr="00D86DCB">
        <w:t>Informaci o možnosti přihlásit nevyplacenou výhru</w:t>
      </w:r>
      <w:r w:rsidR="00A56C45">
        <w:t>, prostřednictvím které informuje sázející o</w:t>
      </w:r>
      <w:r w:rsidR="00FE3802">
        <w:t> </w:t>
      </w:r>
      <w:r w:rsidR="00A56C45">
        <w:t>možnosti výhru přihlásit a</w:t>
      </w:r>
      <w:r w:rsidR="00FE3802">
        <w:t> </w:t>
      </w:r>
      <w:r w:rsidR="00A56C45">
        <w:t>stanovuje zde lhůtu pro přihlášení, ve které garantuje, že nedojde k vrácení kauce, tedy lhůtu, ve které je možné pohledávku přihlásit</w:t>
      </w:r>
      <w:r w:rsidR="0022687E" w:rsidRPr="00D86DCB">
        <w:t xml:space="preserve">. </w:t>
      </w:r>
      <w:r w:rsidR="00A56C45">
        <w:t xml:space="preserve">Za </w:t>
      </w:r>
      <w:r w:rsidR="009B7AD4">
        <w:t>problematické</w:t>
      </w:r>
      <w:r w:rsidR="00A56C45">
        <w:t xml:space="preserve"> </w:t>
      </w:r>
      <w:r w:rsidR="00A56C45" w:rsidRPr="00A56C45">
        <w:t xml:space="preserve">mohou být považovány některé nároky, které </w:t>
      </w:r>
      <w:r w:rsidR="0000296F">
        <w:t>budou</w:t>
      </w:r>
      <w:r w:rsidR="00A56C45" w:rsidRPr="00A56C45">
        <w:t xml:space="preserve"> sice přihlášeny v</w:t>
      </w:r>
      <w:r w:rsidR="00FE3802">
        <w:t> </w:t>
      </w:r>
      <w:r w:rsidR="00A56C45" w:rsidRPr="00A56C45">
        <w:t xml:space="preserve">zákonem stanovených lhůtách </w:t>
      </w:r>
      <w:r w:rsidR="00A56C45">
        <w:t>ve smyslu §</w:t>
      </w:r>
      <w:r w:rsidR="00FE3802">
        <w:t> </w:t>
      </w:r>
      <w:r w:rsidR="00A56C45">
        <w:t>89</w:t>
      </w:r>
      <w:r w:rsidR="00FE3802">
        <w:t> </w:t>
      </w:r>
      <w:r w:rsidR="00A56C45">
        <w:t>odst.</w:t>
      </w:r>
      <w:r w:rsidR="00FE3802">
        <w:t> </w:t>
      </w:r>
      <w:r w:rsidR="00A56C45">
        <w:t>8 zákona o </w:t>
      </w:r>
      <w:r w:rsidR="00A56C45" w:rsidRPr="00A56C45">
        <w:t xml:space="preserve">hazardních hrách, </w:t>
      </w:r>
      <w:r w:rsidR="00A56C45">
        <w:t>ale po lhůtě stanovené v této informaci</w:t>
      </w:r>
      <w:r w:rsidR="009F1FEE">
        <w:t>.</w:t>
      </w:r>
      <w:r w:rsidR="00A56C45">
        <w:t xml:space="preserve"> </w:t>
      </w:r>
      <w:r w:rsidR="009F1FEE">
        <w:t>K</w:t>
      </w:r>
      <w:r w:rsidR="00A56C45">
        <w:t xml:space="preserve"> úhradě takových přihlášek </w:t>
      </w:r>
      <w:r w:rsidR="009F1FEE">
        <w:t xml:space="preserve">totiž </w:t>
      </w:r>
      <w:r w:rsidR="00A56C45">
        <w:t>zpravidla nebude</w:t>
      </w:r>
      <w:r w:rsidR="00A56C45" w:rsidRPr="00A56C45">
        <w:t xml:space="preserve"> možné přistoupit (např. </w:t>
      </w:r>
      <w:r w:rsidR="00A56C45">
        <w:t>nebude dostatečný časový prostor pro administraci případné úhrady</w:t>
      </w:r>
      <w:r w:rsidR="0000296F">
        <w:t xml:space="preserve"> tak, aby byly dodrženy lhůty stanovené </w:t>
      </w:r>
      <w:r w:rsidR="00FE3802">
        <w:t xml:space="preserve">v </w:t>
      </w:r>
      <w:r w:rsidR="0000296F">
        <w:t>§</w:t>
      </w:r>
      <w:r w:rsidR="00FE3802">
        <w:t> </w:t>
      </w:r>
      <w:r w:rsidR="0000296F">
        <w:t>90</w:t>
      </w:r>
      <w:r w:rsidR="00FE3802">
        <w:t> </w:t>
      </w:r>
      <w:r w:rsidR="0000296F">
        <w:t>odst.</w:t>
      </w:r>
      <w:r w:rsidR="00FE3802">
        <w:t> </w:t>
      </w:r>
      <w:r w:rsidR="0000296F">
        <w:t>1 zákona o</w:t>
      </w:r>
      <w:r w:rsidR="00FE3802">
        <w:t> </w:t>
      </w:r>
      <w:r w:rsidR="0000296F">
        <w:t>hazardních hrách apod.)</w:t>
      </w:r>
      <w:r w:rsidR="009B7AD4">
        <w:t>.</w:t>
      </w:r>
    </w:p>
    <w:p w14:paraId="755B4598" w14:textId="1EBAC6A3" w:rsidR="001922A4" w:rsidRDefault="009F1FEE" w:rsidP="001922A4">
      <w:r>
        <w:t>S</w:t>
      </w:r>
      <w:r w:rsidR="00CF44D6">
        <w:t> přihlašováním nevyplacených výher</w:t>
      </w:r>
      <w:r>
        <w:t xml:space="preserve"> souvisí</w:t>
      </w:r>
      <w:r w:rsidR="00CF44D6">
        <w:t xml:space="preserve"> </w:t>
      </w:r>
      <w:r w:rsidR="00CF44D6" w:rsidRPr="00B922F6">
        <w:rPr>
          <w:b/>
        </w:rPr>
        <w:t>náležitosti přihlášky k uhrazení nevyplacené výhry</w:t>
      </w:r>
      <w:r w:rsidR="00CF44D6">
        <w:t>. Zákon o</w:t>
      </w:r>
      <w:r w:rsidR="00FE3802">
        <w:t> </w:t>
      </w:r>
      <w:r w:rsidR="00CF44D6">
        <w:t>hazardních hrách nestanoví bližší náležitosti přihlášky k uhrazení nevyplacené výhry, pouze v  §</w:t>
      </w:r>
      <w:r w:rsidR="00FE3802">
        <w:t> </w:t>
      </w:r>
      <w:r w:rsidR="00CF44D6">
        <w:t>89</w:t>
      </w:r>
      <w:r w:rsidR="00FE3802">
        <w:t> </w:t>
      </w:r>
      <w:r w:rsidR="00CF44D6">
        <w:t>odst.</w:t>
      </w:r>
      <w:r w:rsidR="00FE3802">
        <w:t> </w:t>
      </w:r>
      <w:r w:rsidR="00CF44D6">
        <w:t>4 zákona o</w:t>
      </w:r>
      <w:r w:rsidR="00FE3802">
        <w:t> </w:t>
      </w:r>
      <w:r w:rsidR="00CF44D6">
        <w:t>hazardních hrách uvádí, že kauci lze použít k úhradě nevyplacených výher sázejícím, přičemž tato výhra musí být přihlášena u Ministerstva financí a</w:t>
      </w:r>
      <w:r w:rsidR="00FE3802">
        <w:t> </w:t>
      </w:r>
      <w:r w:rsidR="00CF44D6">
        <w:t>musí se jednat o</w:t>
      </w:r>
      <w:r w:rsidR="00FE3802">
        <w:t> </w:t>
      </w:r>
      <w:r w:rsidR="00CF44D6">
        <w:t>nevyplacenou výhru, o</w:t>
      </w:r>
      <w:r w:rsidR="00FE3802">
        <w:t> </w:t>
      </w:r>
      <w:r w:rsidR="00CF44D6">
        <w:t xml:space="preserve">které </w:t>
      </w:r>
      <w:r w:rsidR="00CF44D6" w:rsidRPr="005A2536">
        <w:t>bylo příslušným orgánem veřejné moci pravomocně r</w:t>
      </w:r>
      <w:r w:rsidR="00CF44D6">
        <w:t xml:space="preserve">ozhodnuto, že má být vyplacena. Nejsou zde stanoveny náležitosti podpisu na přihlášce, ani </w:t>
      </w:r>
      <w:r w:rsidR="0000296F">
        <w:t xml:space="preserve">konkrétní </w:t>
      </w:r>
      <w:r w:rsidR="00CF44D6">
        <w:t xml:space="preserve">způsob prokázání existence příslušného rozhodnutí. </w:t>
      </w:r>
      <w:r w:rsidR="0000296F">
        <w:t>Vzhledem k absenci těchto skutečností pak může docházet k problematickým situacím, kdy bude sporu o</w:t>
      </w:r>
      <w:r w:rsidR="00FE3802">
        <w:t> </w:t>
      </w:r>
      <w:r w:rsidR="0000296F">
        <w:t>tom, zda osoba, která žádá o</w:t>
      </w:r>
      <w:r w:rsidR="00FE3802">
        <w:t> </w:t>
      </w:r>
      <w:r w:rsidR="0000296F">
        <w:t>danou úhradu, je skutečně osobou, které byla příslušným orgánem nevyplacená výhra přiznána.</w:t>
      </w:r>
    </w:p>
    <w:p w14:paraId="4989DEB7" w14:textId="764FEE98" w:rsidR="00A217F5" w:rsidRDefault="00A217F5" w:rsidP="001922A4">
      <w:pPr>
        <w:spacing w:line="259" w:lineRule="auto"/>
      </w:pPr>
      <w:r>
        <w:t xml:space="preserve">Zejména vzhledem k aspektům nastíněným shora je nezbytné </w:t>
      </w:r>
      <w:r w:rsidR="009F1FEE">
        <w:t xml:space="preserve">zabývat </w:t>
      </w:r>
      <w:r>
        <w:t xml:space="preserve">se rozsahem závazků, které mají být kaucí zajištěny, a to </w:t>
      </w:r>
      <w:r w:rsidR="009F1FEE">
        <w:t xml:space="preserve">především </w:t>
      </w:r>
      <w:r>
        <w:t>z pohledu závazků v podobě nevyplacených výher sázejícím a případně zvážit obdobné zajištění i</w:t>
      </w:r>
      <w:r w:rsidR="00EF4935">
        <w:t> </w:t>
      </w:r>
      <w:r>
        <w:t>dalších závazků např. zůstatku uživatelských kont sázejících, který nepřed</w:t>
      </w:r>
      <w:r w:rsidR="00014000">
        <w:t>stavuje nevyplacenou výhru</w:t>
      </w:r>
      <w:r>
        <w:t>. Předmětem diskuze a</w:t>
      </w:r>
      <w:r w:rsidR="00EF4935">
        <w:t> </w:t>
      </w:r>
      <w:r>
        <w:t>podrobnější analýzy pak musí být i případný způsob zajištění, tedy zda setrvat na současné koncepci, případně zda u</w:t>
      </w:r>
      <w:r w:rsidR="00EF4935">
        <w:t> </w:t>
      </w:r>
      <w:r>
        <w:t>některých závazků zvolit jiný způsob zajištění.</w:t>
      </w:r>
    </w:p>
    <w:p w14:paraId="4931EE1E" w14:textId="7E631D26" w:rsidR="00B63966" w:rsidRDefault="00B63966" w:rsidP="001922A4">
      <w:pPr>
        <w:pStyle w:val="Nadpis7"/>
      </w:pPr>
      <w:r>
        <w:t>Varianta I. – Zachování současné</w:t>
      </w:r>
      <w:r w:rsidR="00E40DD6">
        <w:t>ho</w:t>
      </w:r>
      <w:r w:rsidR="007650E8">
        <w:t xml:space="preserve"> </w:t>
      </w:r>
      <w:r w:rsidR="00E40DD6">
        <w:t xml:space="preserve">stavu </w:t>
      </w:r>
      <w:r w:rsidR="007650E8">
        <w:t>s dílčí zákonnou úpravou</w:t>
      </w:r>
    </w:p>
    <w:p w14:paraId="1B88D45C" w14:textId="3B623503" w:rsidR="007650E8" w:rsidRPr="007650E8" w:rsidRDefault="007650E8" w:rsidP="000379BE">
      <w:r>
        <w:t xml:space="preserve">Tato varianta představuje zachování stávající koncepce </w:t>
      </w:r>
      <w:r w:rsidRPr="004A78EB">
        <w:t>zajištění nevyplacených výher z</w:t>
      </w:r>
      <w:r>
        <w:t> </w:t>
      </w:r>
      <w:r w:rsidRPr="004A78EB">
        <w:t>kauce</w:t>
      </w:r>
      <w:r>
        <w:t xml:space="preserve">. Rozsah </w:t>
      </w:r>
      <w:r w:rsidR="00221EFF">
        <w:t>závazků, který</w:t>
      </w:r>
      <w:r>
        <w:t xml:space="preserve"> by měl být složenou kaucí zajištěn, by se rozšířil</w:t>
      </w:r>
      <w:r w:rsidR="00221EFF">
        <w:t xml:space="preserve"> tak, aby pokrýval nejen nevyplacené výhry, ale celé</w:t>
      </w:r>
      <w:r>
        <w:t xml:space="preserve"> </w:t>
      </w:r>
      <w:r w:rsidR="00221EFF">
        <w:t>peněžité zůstatky</w:t>
      </w:r>
      <w:r>
        <w:t xml:space="preserve"> uživatel</w:t>
      </w:r>
      <w:r w:rsidR="00221EFF">
        <w:t xml:space="preserve">ských kont sázejících. </w:t>
      </w:r>
      <w:r w:rsidR="0038329F">
        <w:t>I</w:t>
      </w:r>
      <w:r w:rsidR="00EF4935">
        <w:t> </w:t>
      </w:r>
      <w:r w:rsidR="0038329F">
        <w:t>tento závazek by však musel být přiznán na základě rozhodnutí správního orgánu o</w:t>
      </w:r>
      <w:r w:rsidR="00EF4935">
        <w:t> </w:t>
      </w:r>
      <w:r w:rsidR="0038329F">
        <w:t xml:space="preserve">tom, že má být ze strany provozovatele vyplacen. </w:t>
      </w:r>
      <w:r w:rsidR="00221EFF">
        <w:t>Dílčí zákonná úprava by rovněž spočívala ve změně lhůt, ve kterých je možné pohledávky sázejících přihlásit tak, aby byl poskytnut dostatečný časový prostor pro ověření splnění náležitostí přihlášky a případně odstranění jej</w:t>
      </w:r>
      <w:r w:rsidR="009F1FEE">
        <w:t>í</w:t>
      </w:r>
      <w:r w:rsidR="00221EFF">
        <w:t>ch vad tak, aby jim bylo možné vyhovět.</w:t>
      </w:r>
      <w:r w:rsidR="0038329F">
        <w:t xml:space="preserve"> Rovněž by se úprava zaměřila také na bližší náležitosti přihlášky</w:t>
      </w:r>
      <w:r w:rsidR="00DE78BC">
        <w:t>, např. v podobě nutnosti úředně ověřeného podpisu sázejícího</w:t>
      </w:r>
      <w:r w:rsidR="00EF4935">
        <w:t>,</w:t>
      </w:r>
      <w:r w:rsidR="00DE78BC">
        <w:t xml:space="preserve"> a to z důvodu eliminace případných sporů ohledně toho, zda osoba žádající o úhradu je skutečně osobou, které byl nárok správním orgánem přiznán.</w:t>
      </w:r>
    </w:p>
    <w:p w14:paraId="6B4790A1" w14:textId="77777777" w:rsidR="004B7424" w:rsidRPr="00E6431C" w:rsidRDefault="004B7424" w:rsidP="004B7424">
      <w:r w:rsidRPr="00E6431C">
        <w:t>Výhody:</w:t>
      </w:r>
    </w:p>
    <w:p w14:paraId="33846E12" w14:textId="498A8A0D" w:rsidR="004A78EB" w:rsidRDefault="0038329F" w:rsidP="00283AC7">
      <w:r>
        <w:t>Výh</w:t>
      </w:r>
      <w:r w:rsidR="00F3784F">
        <w:t>odou varianty je, že nedochází k vytváření zcela jiné koncepce</w:t>
      </w:r>
      <w:r w:rsidR="009F1FEE">
        <w:t>.</w:t>
      </w:r>
      <w:r w:rsidR="00F3784F">
        <w:t xml:space="preserve"> </w:t>
      </w:r>
      <w:r w:rsidR="009F1FEE">
        <w:t>Z</w:t>
      </w:r>
      <w:r w:rsidR="00F3784F">
        <w:t>ajištění určených pohledávek bude stejné, jako dopo</w:t>
      </w:r>
      <w:r w:rsidR="00563A49">
        <w:t>sud (stejně jako tomu bylo i</w:t>
      </w:r>
      <w:r w:rsidR="00EF4935">
        <w:t> </w:t>
      </w:r>
      <w:r w:rsidR="00563A49">
        <w:t>předchozí právní úpravou). Pozitivním aspektem je rovněž to, že by došlo k rozšíření závazků krytých z kauce tak, aby byla zajištěna nejen nevyplacené výhry, ale i</w:t>
      </w:r>
      <w:r w:rsidR="00EF4935">
        <w:t> </w:t>
      </w:r>
      <w:r w:rsidR="00563A49">
        <w:t>nevyplacený zůstatek z uživatelského konta, čímž by byla více zajištěna</w:t>
      </w:r>
      <w:r w:rsidR="00A52F0F" w:rsidRPr="00C97CDC">
        <w:t xml:space="preserve"> ochrana sázejí</w:t>
      </w:r>
      <w:r w:rsidR="00615138" w:rsidRPr="00C97CDC">
        <w:t>cí</w:t>
      </w:r>
      <w:r w:rsidR="00A52F0F" w:rsidRPr="00C97CDC">
        <w:t>ch</w:t>
      </w:r>
      <w:r w:rsidR="00615138" w:rsidRPr="00C97CDC">
        <w:t xml:space="preserve"> v podobě záruky na vyplacení </w:t>
      </w:r>
      <w:r w:rsidR="00563A49">
        <w:t xml:space="preserve">závazků provozovatele vůči jeho osobě </w:t>
      </w:r>
      <w:r w:rsidR="005E796C" w:rsidRPr="00C97CDC">
        <w:t>z</w:t>
      </w:r>
      <w:r w:rsidR="00563A49">
        <w:t> </w:t>
      </w:r>
      <w:r w:rsidR="005E796C" w:rsidRPr="00C97CDC">
        <w:t>kauce</w:t>
      </w:r>
      <w:r w:rsidR="00563A49">
        <w:t xml:space="preserve"> a tím i</w:t>
      </w:r>
      <w:r w:rsidR="00EF4935">
        <w:t> </w:t>
      </w:r>
      <w:r w:rsidR="00563A49">
        <w:t>motivace sázejících účastnit se hazardních h</w:t>
      </w:r>
      <w:r w:rsidR="002D0A7B">
        <w:t>er</w:t>
      </w:r>
      <w:r w:rsidR="00563A49">
        <w:t xml:space="preserve"> pouze u</w:t>
      </w:r>
      <w:r w:rsidR="00EF4935">
        <w:t> </w:t>
      </w:r>
      <w:r w:rsidR="00563A49">
        <w:t>licencovaných subjektů</w:t>
      </w:r>
      <w:r w:rsidR="00615138" w:rsidRPr="00C97CDC">
        <w:t>.</w:t>
      </w:r>
      <w:r w:rsidR="004A78EB">
        <w:t xml:space="preserve"> </w:t>
      </w:r>
      <w:r w:rsidR="00DE78BC">
        <w:t>Pokud jde o</w:t>
      </w:r>
      <w:r w:rsidR="00D503EE">
        <w:t> </w:t>
      </w:r>
      <w:r w:rsidR="00DE78BC">
        <w:t>bližší náležitosti přihlášky zejména v podobě požadavku na úředně ověřený podpis, výhodou této varianty je větší míra ověření, že pohledávku přihlašuje a</w:t>
      </w:r>
      <w:r w:rsidR="00EF4935">
        <w:t> </w:t>
      </w:r>
      <w:r w:rsidR="00DE78BC">
        <w:t>úhrada je provedena skutečně osobě, které přihlášený nárok</w:t>
      </w:r>
      <w:r w:rsidR="000402E3">
        <w:t xml:space="preserve"> svědčí. Částečnou výhodou je i </w:t>
      </w:r>
      <w:r w:rsidR="00DE78BC">
        <w:t>omezená změna</w:t>
      </w:r>
      <w:r w:rsidR="00EA740A" w:rsidRPr="005B12D9">
        <w:t xml:space="preserve"> nastaven</w:t>
      </w:r>
      <w:r w:rsidR="00DE78BC">
        <w:t>é</w:t>
      </w:r>
      <w:r w:rsidR="00EA740A" w:rsidRPr="005B12D9">
        <w:t xml:space="preserve"> praxe</w:t>
      </w:r>
      <w:r w:rsidR="004A78EB">
        <w:t xml:space="preserve">. </w:t>
      </w:r>
    </w:p>
    <w:p w14:paraId="7A7F6C7F" w14:textId="77777777" w:rsidR="00B63966" w:rsidRDefault="00B63966" w:rsidP="00B42398">
      <w:pPr>
        <w:keepNext/>
      </w:pPr>
      <w:r>
        <w:t>Nevýhody:</w:t>
      </w:r>
    </w:p>
    <w:p w14:paraId="05723AAD" w14:textId="052D5C1F" w:rsidR="00B63966" w:rsidRDefault="0073681E" w:rsidP="00283AC7">
      <w:r>
        <w:t>S</w:t>
      </w:r>
      <w:r w:rsidR="00B63966">
        <w:t xml:space="preserve">távající právní úprava úhrady zákonem předvídaných pohledávek ze složené kauce </w:t>
      </w:r>
      <w:r w:rsidR="00B11867">
        <w:t>nepředstavuje a</w:t>
      </w:r>
      <w:r w:rsidR="00743671">
        <w:t> </w:t>
      </w:r>
      <w:r w:rsidR="00B11867">
        <w:t>ani nemá představovat hlavní a</w:t>
      </w:r>
      <w:r w:rsidR="00743671">
        <w:t> </w:t>
      </w:r>
      <w:r w:rsidR="00B11867">
        <w:t>jediný způsob úhrady pohledávek sázejících. S ohledem na výši skládané kauce a</w:t>
      </w:r>
      <w:r w:rsidR="00743671">
        <w:t> </w:t>
      </w:r>
      <w:r w:rsidR="00B11867">
        <w:t xml:space="preserve">rozsah pohledávek, na které může být kauce použita, nemůže být zaručeno, že bude nárok sázejícího </w:t>
      </w:r>
      <w:r>
        <w:t xml:space="preserve">uspokojen </w:t>
      </w:r>
      <w:r w:rsidR="00B11867">
        <w:t>i</w:t>
      </w:r>
      <w:r w:rsidR="00743671">
        <w:t> </w:t>
      </w:r>
      <w:r w:rsidR="00B11867">
        <w:t>v případě, že splní zákonné podmínky pro úhradu nevyplacené výhry z kauce. Vyřizování a posuzování přihlášek nevyplacených výher a</w:t>
      </w:r>
      <w:r w:rsidR="00743671">
        <w:t> </w:t>
      </w:r>
      <w:r w:rsidR="00B11867">
        <w:t xml:space="preserve">další právní úpravou předvídaný postup </w:t>
      </w:r>
      <w:r w:rsidR="00B63966">
        <w:t>způsobuje významnou administrativní zátěž v případě, že není provozovatel schopen nebo ochoten uhradit své závazky z výher sázejícím. Neochota resp. neschopnost vyplácet výhry se projeví primárně jednak zvýšeným počtem soudních sporů za účelem pravomocného rozhodnutí o</w:t>
      </w:r>
      <w:r w:rsidR="00743671">
        <w:t> </w:t>
      </w:r>
      <w:r w:rsidR="00B63966">
        <w:t>pohledávce, jednak zvýšeným nápadem přihlášek pravomocně přiznaných pohledávek za účelem jejich uspokojení z kauce u Ministerstva financí. Důsledkem této skutečnosti může být krátkodobá paralýza jiné činnosti Ministerstva financí, neboť přílišné zahlcení p</w:t>
      </w:r>
      <w:r w:rsidR="002537D6">
        <w:t>řihláškami vede v </w:t>
      </w:r>
      <w:r w:rsidR="00B63966">
        <w:t xml:space="preserve">praxi k nutnosti alokovat významnou část zaměstnanců (napříč agendami spojeným s hazardními hrami) dočasně na správu přihlášek. </w:t>
      </w:r>
      <w:r w:rsidR="00B63966" w:rsidRPr="00CC5EF5">
        <w:t>Případné posílení personální složky se v této souvislosti nejeví jako efektivní, neboť se zpravidla jedná o nárazovou situaci, jejíž vznik,</w:t>
      </w:r>
      <w:r w:rsidR="00635513">
        <w:t xml:space="preserve"> </w:t>
      </w:r>
      <w:r w:rsidR="00B63966" w:rsidRPr="00CC5EF5">
        <w:t>trvání ani administrativní dopad nelze kvalifikovaně předvídat.</w:t>
      </w:r>
      <w:r w:rsidR="002537D6">
        <w:t xml:space="preserve"> Pokud jde o </w:t>
      </w:r>
      <w:r w:rsidR="00DE78BC">
        <w:t xml:space="preserve">dílčí změny zákonné úpravy, </w:t>
      </w:r>
      <w:r w:rsidR="00CE2F3F">
        <w:t xml:space="preserve">negativním aspektem úpravy náležitostí přihlášky co do požadavku úředně ověřeného podpisu, jsou samozřejmě náklady na jeho obstarání. Pozitiva přínosu však mohou převážit. Za nevýhodu této varianty mohou být také považována negativa spojená s úpravou lhůt pro přihlašování nevyplacených výher, které by sice </w:t>
      </w:r>
      <w:r w:rsidR="00867807">
        <w:t>znamenaly kratší úsek pro přihlášení nevyplacených výher, avšak na druhou stranu záruku v podobě jejich jasného vymezení a garance úhrady v případě, že budou zákonné požadavky kladené na přihlášku splněny.</w:t>
      </w:r>
    </w:p>
    <w:p w14:paraId="0A41C01D" w14:textId="77777777" w:rsidR="00B63966" w:rsidRDefault="00B63966" w:rsidP="0044792D">
      <w:pPr>
        <w:pStyle w:val="Nadpis7"/>
        <w:numPr>
          <w:ilvl w:val="0"/>
          <w:numId w:val="0"/>
        </w:numPr>
      </w:pPr>
      <w:r>
        <w:t>Varianta II.</w:t>
      </w:r>
      <w:r w:rsidRPr="00BF3B58">
        <w:t xml:space="preserve"> </w:t>
      </w:r>
      <w:r>
        <w:t xml:space="preserve">– </w:t>
      </w:r>
      <w:r w:rsidR="00635513">
        <w:t>Svěření správy</w:t>
      </w:r>
      <w:r>
        <w:t xml:space="preserve"> pohledávek z nevyplacených výher sázejícím </w:t>
      </w:r>
      <w:r w:rsidR="00635513">
        <w:t>nezávislému subjektu</w:t>
      </w:r>
    </w:p>
    <w:p w14:paraId="1773D408" w14:textId="5DC6084A" w:rsidR="00B63966" w:rsidRPr="00E9058A" w:rsidRDefault="00B63966" w:rsidP="00283AC7">
      <w:pPr>
        <w:rPr>
          <w:b/>
        </w:rPr>
      </w:pPr>
      <w:r>
        <w:t>Touto variantou, která s sebou nese zásadní změnu zákona, by mohlo dojít k vytvoření odlišného režimu úhrady zákonem předvídaných pohledávek</w:t>
      </w:r>
      <w:r w:rsidR="0073681E">
        <w:t>. S</w:t>
      </w:r>
      <w:r>
        <w:t>práva pohledávek z </w:t>
      </w:r>
      <w:r w:rsidRPr="00730BD0">
        <w:t xml:space="preserve">nevyplacených výher sázejícím </w:t>
      </w:r>
      <w:r w:rsidR="00D60A3B">
        <w:t>(§</w:t>
      </w:r>
      <w:r w:rsidR="00743671">
        <w:t> </w:t>
      </w:r>
      <w:r w:rsidR="00D60A3B">
        <w:t>89</w:t>
      </w:r>
      <w:r w:rsidR="00743671">
        <w:t> </w:t>
      </w:r>
      <w:r w:rsidR="00D60A3B">
        <w:t>odst.</w:t>
      </w:r>
      <w:r w:rsidR="00743671">
        <w:t> </w:t>
      </w:r>
      <w:r w:rsidR="00D60A3B">
        <w:t>4</w:t>
      </w:r>
      <w:r w:rsidR="00743671">
        <w:t> </w:t>
      </w:r>
      <w:r w:rsidR="00D60A3B">
        <w:t>písm.</w:t>
      </w:r>
      <w:r w:rsidR="00743671">
        <w:t> </w:t>
      </w:r>
      <w:r w:rsidR="00D60A3B">
        <w:t>c) zákona o </w:t>
      </w:r>
      <w:r w:rsidRPr="00730BD0">
        <w:t>hazardních hrách) by byla</w:t>
      </w:r>
      <w:r>
        <w:t xml:space="preserve"> </w:t>
      </w:r>
      <w:r w:rsidRPr="008E3875">
        <w:rPr>
          <w:b/>
        </w:rPr>
        <w:t>svěřena nezávislému subjektu</w:t>
      </w:r>
      <w:r w:rsidR="00301B79" w:rsidRPr="00C64F7D">
        <w:t xml:space="preserve">, </w:t>
      </w:r>
      <w:r w:rsidR="00CC7B21">
        <w:t>který by působil na základě pravomoci svěřené zvláštním právním předpisem</w:t>
      </w:r>
      <w:r w:rsidR="002C190C">
        <w:t>,</w:t>
      </w:r>
      <w:r w:rsidR="00573AC9">
        <w:t xml:space="preserve"> </w:t>
      </w:r>
      <w:r w:rsidR="00301B79" w:rsidRPr="008E3875">
        <w:rPr>
          <w:b/>
        </w:rPr>
        <w:t>či</w:t>
      </w:r>
      <w:r w:rsidR="00C15852" w:rsidRPr="00C64F7D">
        <w:t xml:space="preserve"> by byla</w:t>
      </w:r>
      <w:r w:rsidR="00301B79" w:rsidRPr="00C64F7D">
        <w:t xml:space="preserve"> </w:t>
      </w:r>
      <w:r w:rsidR="00301B79" w:rsidRPr="008E3875">
        <w:rPr>
          <w:b/>
        </w:rPr>
        <w:t>tímto subjektem</w:t>
      </w:r>
      <w:r w:rsidR="00301B79" w:rsidRPr="00C64F7D">
        <w:t xml:space="preserve"> na komerční bázi </w:t>
      </w:r>
      <w:r w:rsidR="00301B79" w:rsidRPr="008E3875">
        <w:rPr>
          <w:b/>
        </w:rPr>
        <w:t>zajištěna</w:t>
      </w:r>
      <w:r w:rsidR="00EA527A" w:rsidRPr="008E3875">
        <w:rPr>
          <w:b/>
        </w:rPr>
        <w:t>.</w:t>
      </w:r>
      <w:r w:rsidR="00EA527A">
        <w:t xml:space="preserve"> </w:t>
      </w:r>
      <w:r w:rsidR="002C7D9E">
        <w:t>Pokud jde o rozsah</w:t>
      </w:r>
      <w:r w:rsidR="002C7D9E" w:rsidRPr="00CD4DCE">
        <w:t xml:space="preserve"> krytí kauce, bylo by vhodné i</w:t>
      </w:r>
      <w:r w:rsidR="00743671">
        <w:t> </w:t>
      </w:r>
      <w:r w:rsidR="002C7D9E" w:rsidRPr="00CD4DCE">
        <w:t xml:space="preserve">v rámci této varianty upravit zákonné znění tak, aby došlo k </w:t>
      </w:r>
      <w:r w:rsidR="002C7D9E" w:rsidRPr="003310F8">
        <w:t>záruce vrácení všech peněžních prostředků sázejících, které jsou „uloženy“ u provozovatele, jinak řečeno aby rozsah krytí kauce zahrnoval</w:t>
      </w:r>
      <w:r w:rsidR="002C7D9E">
        <w:t xml:space="preserve"> celý peněžitý</w:t>
      </w:r>
      <w:r w:rsidR="002C7D9E" w:rsidRPr="003310F8">
        <w:t xml:space="preserve"> zůstatek na uživatelském kontě.</w:t>
      </w:r>
      <w:r w:rsidR="002C7D9E" w:rsidRPr="00CD4DCE">
        <w:t xml:space="preserve"> </w:t>
      </w:r>
    </w:p>
    <w:p w14:paraId="5199F2EC" w14:textId="77777777" w:rsidR="00713D77" w:rsidRPr="00E9058A" w:rsidRDefault="00713D77" w:rsidP="002C190C">
      <w:pPr>
        <w:pStyle w:val="Nadpis7"/>
      </w:pPr>
      <w:r w:rsidRPr="00E9058A">
        <w:rPr>
          <w:szCs w:val="24"/>
        </w:rPr>
        <w:t>Varianta II. a)</w:t>
      </w:r>
      <w:r w:rsidRPr="00E9058A">
        <w:t xml:space="preserve"> </w:t>
      </w:r>
      <w:r w:rsidR="002C7D9E" w:rsidRPr="00E9058A">
        <w:t>Svěření správy pohledávek nezávislému subjektu</w:t>
      </w:r>
    </w:p>
    <w:p w14:paraId="1A093488" w14:textId="7D4488BF" w:rsidR="00713D77" w:rsidRDefault="00713D77" w:rsidP="00713D77">
      <w:r>
        <w:t>Ačkoliv je vhodné, aby byl daný subjekt vybaven dostatečnou kvalifikací, nemuselo by se jednat o vysoce specializovanou odbornost v oblasti hazardních her, a</w:t>
      </w:r>
      <w:r w:rsidR="00743671">
        <w:t> </w:t>
      </w:r>
      <w:r>
        <w:t>to především s ohledem na požadavek existence pravomocného rozhodnutí orgánu veřejné moci o</w:t>
      </w:r>
      <w:r w:rsidR="0059751C">
        <w:t> </w:t>
      </w:r>
      <w:r>
        <w:t>tom, že má být závazek vyplacen</w:t>
      </w:r>
      <w:r w:rsidRPr="00635513">
        <w:t>.</w:t>
      </w:r>
      <w:r>
        <w:t xml:space="preserve"> Tento požadavek by musel zůstat v právní úpravě zachován.</w:t>
      </w:r>
    </w:p>
    <w:p w14:paraId="6E31155A" w14:textId="77777777" w:rsidR="00713D77" w:rsidRDefault="00713D77" w:rsidP="002C190C">
      <w:pPr>
        <w:pStyle w:val="Nadpis7"/>
      </w:pPr>
      <w:r>
        <w:t xml:space="preserve">Varianta II. b) </w:t>
      </w:r>
      <w:r w:rsidR="00E9058A">
        <w:t xml:space="preserve">Zajištění závazků na základě smluvně upraveného závazkového vztahu </w:t>
      </w:r>
    </w:p>
    <w:p w14:paraId="6C0D16A1" w14:textId="493EF515" w:rsidR="008E3875" w:rsidRDefault="002C7D9E" w:rsidP="008E3875">
      <w:r>
        <w:t>Z</w:t>
      </w:r>
      <w:r w:rsidR="00713D77">
        <w:t xml:space="preserve">de </w:t>
      </w:r>
      <w:r>
        <w:t xml:space="preserve">by </w:t>
      </w:r>
      <w:r w:rsidR="00713D77">
        <w:t xml:space="preserve">došlo k zajištění závazků na bázi pojištění, kdy by provozovatel </w:t>
      </w:r>
      <w:r w:rsidR="008B585E">
        <w:t>byl povinen</w:t>
      </w:r>
      <w:r w:rsidR="00713D77">
        <w:t xml:space="preserve"> uzavřít smluvní vztah s</w:t>
      </w:r>
      <w:r w:rsidR="0053275D">
        <w:t>e</w:t>
      </w:r>
      <w:r w:rsidR="00713D77">
        <w:t xml:space="preserve"> </w:t>
      </w:r>
      <w:r w:rsidR="0053275D">
        <w:t>subjektem</w:t>
      </w:r>
      <w:r w:rsidR="00713D77">
        <w:t>, kter</w:t>
      </w:r>
      <w:r w:rsidR="0053275D">
        <w:t>ý</w:t>
      </w:r>
      <w:r w:rsidR="00713D77">
        <w:t xml:space="preserve"> by v případě nedostání pov</w:t>
      </w:r>
      <w:r w:rsidR="0059751C">
        <w:t>innosti provozovatele, vyplatil</w:t>
      </w:r>
      <w:r w:rsidR="00713D77">
        <w:t xml:space="preserve"> sázejícím jejich výhry. </w:t>
      </w:r>
      <w:r w:rsidR="008E3875" w:rsidRPr="008E3875">
        <w:t xml:space="preserve">Ještě je nutné upozornit na skutečnost, že </w:t>
      </w:r>
      <w:r w:rsidR="00F33BF2">
        <w:t xml:space="preserve">tento způsob zajištění by byl </w:t>
      </w:r>
      <w:r w:rsidR="008E3875" w:rsidRPr="008E3875">
        <w:t>účelově váz</w:t>
      </w:r>
      <w:r w:rsidR="00F33BF2">
        <w:t>án</w:t>
      </w:r>
      <w:r w:rsidR="008E3875" w:rsidRPr="008E3875">
        <w:t>, a</w:t>
      </w:r>
      <w:r w:rsidR="00243124">
        <w:t> </w:t>
      </w:r>
      <w:r w:rsidR="008E3875" w:rsidRPr="008E3875">
        <w:t>to tedy pouze na pohledávky z nevyplacených výher sázejícím</w:t>
      </w:r>
      <w:r w:rsidR="008E3875">
        <w:t>, resp. na zůstatek na uživatelském kont</w:t>
      </w:r>
      <w:r w:rsidR="00056A84">
        <w:t>u</w:t>
      </w:r>
      <w:r w:rsidR="008E3875" w:rsidRPr="008E3875">
        <w:t xml:space="preserve">. </w:t>
      </w:r>
      <w:r w:rsidR="002C51CC">
        <w:t>Výslovně</w:t>
      </w:r>
      <w:r w:rsidR="008E3875" w:rsidRPr="008E3875">
        <w:t xml:space="preserve"> by bylo vyloučeno, aby </w:t>
      </w:r>
      <w:r w:rsidR="003D5CBB">
        <w:t>pojištěním byly kryty</w:t>
      </w:r>
      <w:r w:rsidR="008E3875" w:rsidRPr="008E3875">
        <w:t xml:space="preserve"> jiné pohledávky.</w:t>
      </w:r>
      <w:r w:rsidR="008E3875">
        <w:t xml:space="preserve">   </w:t>
      </w:r>
    </w:p>
    <w:p w14:paraId="4D29FEEC" w14:textId="77777777" w:rsidR="00B63966" w:rsidRDefault="00B63966" w:rsidP="00283AC7">
      <w:r w:rsidRPr="00E6431C">
        <w:t>Výhody:</w:t>
      </w:r>
    </w:p>
    <w:p w14:paraId="5F2574E1" w14:textId="4A0775D5" w:rsidR="002C51CC" w:rsidRDefault="000C6FA4" w:rsidP="002C51CC">
      <w:r w:rsidRPr="003E4BA9">
        <w:t>Současná právní úprava v zásadě přenáší náklady na vymáhání soukromoprávních pohledávek na stát</w:t>
      </w:r>
      <w:r w:rsidR="00A75D6F" w:rsidRPr="003E4BA9">
        <w:t>,</w:t>
      </w:r>
      <w:r w:rsidRPr="003E4BA9">
        <w:t xml:space="preserve"> a</w:t>
      </w:r>
      <w:r w:rsidR="00243124">
        <w:t> </w:t>
      </w:r>
      <w:r w:rsidRPr="003E4BA9">
        <w:t>to právě v podobě administrace a</w:t>
      </w:r>
      <w:r w:rsidR="00243124">
        <w:t> </w:t>
      </w:r>
      <w:r w:rsidRPr="003E4BA9">
        <w:t xml:space="preserve">vyřizování podaných přihlášek. </w:t>
      </w:r>
      <w:r w:rsidR="00167C1A">
        <w:t>Výhodou této varianty je tedy eliminace takto vzniklých nákladů a</w:t>
      </w:r>
      <w:r w:rsidR="00243124">
        <w:t> </w:t>
      </w:r>
      <w:r w:rsidR="00167C1A">
        <w:t xml:space="preserve">jejich přenos na provozovatele hazardních her, který nevyplacení peněžních prostředků způsobil. </w:t>
      </w:r>
      <w:r w:rsidR="002C51CC" w:rsidRPr="003E4BA9">
        <w:t xml:space="preserve">Jako sekundární důsledek možného přenosu nákladů lze uvést, že by </w:t>
      </w:r>
      <w:r w:rsidR="00167C1A">
        <w:t>mohlo dojít</w:t>
      </w:r>
      <w:r w:rsidR="00167C1A" w:rsidRPr="003E4BA9">
        <w:t xml:space="preserve"> </w:t>
      </w:r>
      <w:r w:rsidR="002C51CC" w:rsidRPr="003E4BA9">
        <w:t>ke zrychlení vyřizování jiných agend Ministerstva financí vyplývajících ze zákona o</w:t>
      </w:r>
      <w:r w:rsidR="008B585E">
        <w:t> </w:t>
      </w:r>
      <w:r w:rsidR="002C51CC" w:rsidRPr="003E4BA9">
        <w:t xml:space="preserve">hazardních hrách. </w:t>
      </w:r>
      <w:r w:rsidR="00E725C1">
        <w:t>Jako výhodu lze uvést i to, že touto variantou neroste míra veřejnoprávní regulace.</w:t>
      </w:r>
    </w:p>
    <w:p w14:paraId="3B01D114" w14:textId="77777777" w:rsidR="00B63966" w:rsidRDefault="00B63966" w:rsidP="00283AC7">
      <w:r w:rsidRPr="00E6431C">
        <w:t xml:space="preserve">Nevýhody: </w:t>
      </w:r>
    </w:p>
    <w:p w14:paraId="4FBEB0F9" w14:textId="0D930FD8" w:rsidR="0049151A" w:rsidRDefault="00B63966" w:rsidP="00283AC7">
      <w:r>
        <w:t xml:space="preserve">Lze očekávat </w:t>
      </w:r>
      <w:r w:rsidR="00493308">
        <w:t xml:space="preserve">určité </w:t>
      </w:r>
      <w:r>
        <w:t xml:space="preserve">navýšení finanční zátěže provozovatelů, neboť úhrada nákladů na správu </w:t>
      </w:r>
      <w:r w:rsidR="0002084D">
        <w:t xml:space="preserve">zajištění </w:t>
      </w:r>
      <w:r>
        <w:t xml:space="preserve">na straně třetí osoby by šla k jejich tíži. </w:t>
      </w:r>
      <w:r w:rsidR="000C6FA4">
        <w:t xml:space="preserve">V této souvislosti je nutné dodat, že závazky státu jako daň, pokuty a </w:t>
      </w:r>
      <w:r w:rsidR="0002084D">
        <w:t xml:space="preserve">jejich </w:t>
      </w:r>
      <w:r w:rsidR="000C6FA4">
        <w:t xml:space="preserve">příslušenství </w:t>
      </w:r>
      <w:r w:rsidR="0002084D">
        <w:t>by nadále zůstaly zajištěny skládanou kaucí u</w:t>
      </w:r>
      <w:r w:rsidR="00243124">
        <w:t> </w:t>
      </w:r>
      <w:r w:rsidR="0002084D">
        <w:t>Ministerstva financí. Diskutovanou by pak mohla být výše takto poskytovaných kaucí.</w:t>
      </w:r>
      <w:r w:rsidR="00124F7E">
        <w:t xml:space="preserve"> Jako nevýhodu lze uvést, že tato varianta nezahrnuje zajištění nevyplacených výher státem, ale je zajištěna právě soukromoprávní formou.   </w:t>
      </w:r>
    </w:p>
    <w:p w14:paraId="61982FF3" w14:textId="30D9A2E0" w:rsidR="0049151A" w:rsidRDefault="0049151A" w:rsidP="00780E18">
      <w:pPr>
        <w:pStyle w:val="Nadpis7"/>
      </w:pPr>
      <w:r>
        <w:t>V</w:t>
      </w:r>
      <w:r w:rsidR="005C784E">
        <w:t>arianta I</w:t>
      </w:r>
      <w:r w:rsidR="002C7D9E">
        <w:t>II</w:t>
      </w:r>
      <w:r>
        <w:t>. –</w:t>
      </w:r>
      <w:r w:rsidR="006005BA">
        <w:t xml:space="preserve"> Zajištění nároku na nevyplacenou výhru </w:t>
      </w:r>
      <w:r w:rsidR="000402E3">
        <w:t>v soukromoprávní rovině (např. </w:t>
      </w:r>
      <w:r w:rsidR="000F31BD">
        <w:t xml:space="preserve">i </w:t>
      </w:r>
      <w:r w:rsidR="004F2895">
        <w:t>prostřednictvím insolvenčního řízení)</w:t>
      </w:r>
    </w:p>
    <w:p w14:paraId="62B1199C" w14:textId="0378BFA4" w:rsidR="0059751C" w:rsidRDefault="005E51CD" w:rsidP="00E432B8">
      <w:r>
        <w:t xml:space="preserve">Tato varianta </w:t>
      </w:r>
      <w:r w:rsidR="008D4EA0">
        <w:t>se liší od předch</w:t>
      </w:r>
      <w:r w:rsidR="008D4EA0" w:rsidRPr="00780E18">
        <w:t xml:space="preserve">ozích tím, že </w:t>
      </w:r>
      <w:r w:rsidR="0073681E" w:rsidRPr="00780E18">
        <w:t xml:space="preserve">by </w:t>
      </w:r>
      <w:r w:rsidR="008D4EA0" w:rsidRPr="00780E18">
        <w:t xml:space="preserve">kauce </w:t>
      </w:r>
      <w:r w:rsidR="00144570">
        <w:t xml:space="preserve">svým rozsahem </w:t>
      </w:r>
      <w:r w:rsidR="003E1A83">
        <w:t>pokrývala</w:t>
      </w:r>
      <w:r w:rsidR="008D4EA0" w:rsidRPr="00780E18">
        <w:t xml:space="preserve"> pouze </w:t>
      </w:r>
      <w:r w:rsidR="00780E18" w:rsidRPr="00780E18">
        <w:t>daně z hazardních her a jejího příslušenství a pokuty uložené za přestupek podle zákona o</w:t>
      </w:r>
      <w:r w:rsidR="00C05D86">
        <w:t> </w:t>
      </w:r>
      <w:r w:rsidR="00780E18" w:rsidRPr="00780E18">
        <w:t>hazardních hrách.</w:t>
      </w:r>
      <w:r w:rsidR="00777280">
        <w:t xml:space="preserve"> Neznamená to však, </w:t>
      </w:r>
      <w:r w:rsidR="00780E18">
        <w:t>že by nevyplacené výhry</w:t>
      </w:r>
      <w:r w:rsidR="00F34984">
        <w:t xml:space="preserve"> (resp. </w:t>
      </w:r>
      <w:r w:rsidR="00780E18">
        <w:t>zůstatek na uživatelském kontu) nebyl</w:t>
      </w:r>
      <w:r w:rsidR="00136527">
        <w:t>y</w:t>
      </w:r>
      <w:r w:rsidR="00780E18">
        <w:t xml:space="preserve"> zajišt</w:t>
      </w:r>
      <w:r w:rsidR="00780E18" w:rsidRPr="008C1A6D">
        <w:t>ěn</w:t>
      </w:r>
      <w:r w:rsidR="00136527" w:rsidRPr="008C1A6D">
        <w:t>y</w:t>
      </w:r>
      <w:r w:rsidR="00780E18" w:rsidRPr="008C1A6D">
        <w:t>.</w:t>
      </w:r>
      <w:r w:rsidR="003E1A83" w:rsidRPr="008C1A6D">
        <w:t xml:space="preserve"> </w:t>
      </w:r>
      <w:r w:rsidR="00C64BE2">
        <w:t>Sázející, kterému nebyla vyplacena výhra</w:t>
      </w:r>
      <w:r w:rsidR="00777280">
        <w:t>,</w:t>
      </w:r>
      <w:r w:rsidR="007D56F4">
        <w:t xml:space="preserve"> m</w:t>
      </w:r>
      <w:r w:rsidR="00C64BE2">
        <w:t>á možnost domáhat se svých nároků soukromoprávní cestou</w:t>
      </w:r>
      <w:r w:rsidR="007D56F4">
        <w:t>, a</w:t>
      </w:r>
      <w:r w:rsidR="00C05D86">
        <w:t> </w:t>
      </w:r>
      <w:r w:rsidR="007D56F4">
        <w:t xml:space="preserve">to prostřednictvím soudu. </w:t>
      </w:r>
      <w:r w:rsidR="00E432B8">
        <w:t xml:space="preserve">Tato možnost zahrnuje i případné </w:t>
      </w:r>
      <w:r w:rsidR="00013FE0">
        <w:t>zahájení insolvenčního řízení</w:t>
      </w:r>
      <w:r w:rsidR="00674128">
        <w:rPr>
          <w:rStyle w:val="Znakapoznpodarou"/>
        </w:rPr>
        <w:footnoteReference w:id="13"/>
      </w:r>
      <w:r w:rsidR="00013FE0">
        <w:t>. V</w:t>
      </w:r>
      <w:r w:rsidR="00B80B89">
        <w:t xml:space="preserve"> rámci </w:t>
      </w:r>
      <w:r w:rsidR="00013FE0">
        <w:t xml:space="preserve">insolvenčního řízení </w:t>
      </w:r>
      <w:r w:rsidR="00B80B89">
        <w:t>by docházelo k</w:t>
      </w:r>
      <w:r w:rsidR="00F34984" w:rsidRPr="008C1A6D">
        <w:t xml:space="preserve"> </w:t>
      </w:r>
      <w:r w:rsidR="00D3505D" w:rsidRPr="008C1A6D">
        <w:t>přezkumné</w:t>
      </w:r>
      <w:r w:rsidR="00B80B89">
        <w:t>mu</w:t>
      </w:r>
      <w:r w:rsidR="00D3505D" w:rsidRPr="008C1A6D">
        <w:t xml:space="preserve"> řízení</w:t>
      </w:r>
      <w:r w:rsidR="00B80B89">
        <w:t xml:space="preserve"> v podobě </w:t>
      </w:r>
      <w:r w:rsidR="00ED5A50" w:rsidRPr="008C1A6D">
        <w:t>popření či přiznání přihlášených nároků</w:t>
      </w:r>
      <w:r w:rsidR="00B80B89">
        <w:t xml:space="preserve">. Lze totiž předpokládat, že provozovatel nebude plnit závazky pouze vůči jednomu sázejícímu, tudíž podmínky pro vedení insolvenčního řízení by </w:t>
      </w:r>
      <w:r w:rsidR="008268C0">
        <w:t>mohly být většinou</w:t>
      </w:r>
      <w:r w:rsidR="00B80B89">
        <w:t xml:space="preserve"> naplněny</w:t>
      </w:r>
      <w:r w:rsidR="008268C0">
        <w:t xml:space="preserve"> (mnohost věřitelů, závazky delší dobu po splatnosti a neschopnost takové závazky plnit)</w:t>
      </w:r>
      <w:r w:rsidR="00B80B89">
        <w:t>. Sázející by se tak buď přihlašovali se svými pohledávkami již v rámci zahájeného insolvenčního řízení nebo by mohli podat návrh na zahájení insolvenčního řízení sami.</w:t>
      </w:r>
      <w:r w:rsidR="00E54BC8" w:rsidRPr="008C1A6D">
        <w:t xml:space="preserve"> </w:t>
      </w:r>
      <w:r w:rsidR="0073681E">
        <w:t xml:space="preserve"> </w:t>
      </w:r>
    </w:p>
    <w:p w14:paraId="267461E8" w14:textId="691167FA" w:rsidR="005E51CD" w:rsidRDefault="0059751C" w:rsidP="00E432B8">
      <w:r>
        <w:t>Podle dosavadního názoru Ministerstva financí nespadá složená kauce do majetkové podstaty dlužníka, neboť je s ní možné naložit podle zvláštního právního předpisu pouze způsobem, ke kterému je určena, tj. úhrada pohledávek vypočtených v zákoně o</w:t>
      </w:r>
      <w:r w:rsidR="00C05D86">
        <w:t> </w:t>
      </w:r>
      <w:r>
        <w:t>hazardních hrách. V případě, že by část přeplatku na kauci v podobě složených peněžních prostředků na zvláštním účtu Ministerstva financí nebyla spotřebována k úhradě zákonem vymezených pohledávek, mohl by být případný vratitelný přeplatek použit v rámci vedeného insolvenčního řízení právě na případnou úhradu přihlášených pohledávek. Jednak by k tomu však mohlo docházet až v případě, že budou uspokojeny pohledávky, ke kterým je kauce primárně složena (tj. pohledávky státu),</w:t>
      </w:r>
      <w:r w:rsidR="00234358">
        <w:t xml:space="preserve"> a jednak</w:t>
      </w:r>
      <w:r>
        <w:t xml:space="preserve"> by tato možnost nepřipadala v úvahu u přijatých bankovních záruk, kde výzvu k úhradě může učinit pouze beneficient bankovní záruky, tj. Ministerstvo financí, nikoliv insolvenční správce v probíhajícím insolvenčním řízení. </w:t>
      </w:r>
    </w:p>
    <w:p w14:paraId="59DCD8F2" w14:textId="20B9330F" w:rsidR="0049151A" w:rsidRDefault="0049151A" w:rsidP="00283AC7">
      <w:r>
        <w:t>Výhody:</w:t>
      </w:r>
    </w:p>
    <w:p w14:paraId="087BA9B0" w14:textId="7726BF55" w:rsidR="00565A2A" w:rsidRDefault="00FE05FB" w:rsidP="00FE05FB">
      <w:r>
        <w:t>Možnost u</w:t>
      </w:r>
      <w:r w:rsidR="008A01E1">
        <w:t xml:space="preserve">platnění nároku </w:t>
      </w:r>
      <w:r>
        <w:t xml:space="preserve">v soukromoprávní rovině </w:t>
      </w:r>
      <w:r w:rsidR="008A01E1">
        <w:t>p</w:t>
      </w:r>
      <w:r w:rsidR="003F711D">
        <w:t>rostřednictvím soudu je dostupná</w:t>
      </w:r>
      <w:r w:rsidR="008A01E1">
        <w:t xml:space="preserve"> i</w:t>
      </w:r>
      <w:r w:rsidR="00C05D86">
        <w:t> </w:t>
      </w:r>
      <w:r w:rsidR="008A01E1">
        <w:t>v současné době, nadto soud může rozhodnout o</w:t>
      </w:r>
      <w:r w:rsidR="00C05D86">
        <w:t> </w:t>
      </w:r>
      <w:r w:rsidR="00777280">
        <w:t>škodě ve vztahu k </w:t>
      </w:r>
      <w:r>
        <w:t>celému zůstatku i</w:t>
      </w:r>
      <w:r w:rsidR="00C05D86">
        <w:t> </w:t>
      </w:r>
      <w:r>
        <w:t>bez rozlišení ve vztahu k výhrám. Co se týče i</w:t>
      </w:r>
      <w:r w:rsidR="00565A2A">
        <w:t>nsolvenčního správce</w:t>
      </w:r>
      <w:r w:rsidR="00777280">
        <w:t>,</w:t>
      </w:r>
      <w:r w:rsidR="00565A2A">
        <w:t xml:space="preserve"> lze </w:t>
      </w:r>
      <w:r w:rsidR="00777280">
        <w:t xml:space="preserve">jej </w:t>
      </w:r>
      <w:r w:rsidR="00565A2A">
        <w:t xml:space="preserve">již samotnou povahou považovat za záruku vypořádání věřitelských nároků. </w:t>
      </w:r>
      <w:r w:rsidR="00EB49FF">
        <w:t>Je povinen při výkonu sv</w:t>
      </w:r>
      <w:r w:rsidR="008B585E">
        <w:t>é funkce postupovat svědomitě a </w:t>
      </w:r>
      <w:r w:rsidR="00EB49FF">
        <w:t>s odbornou péč</w:t>
      </w:r>
      <w:r w:rsidR="00A31D22">
        <w:t>í</w:t>
      </w:r>
      <w:r w:rsidR="00B97DF3">
        <w:t xml:space="preserve"> a </w:t>
      </w:r>
      <w:r w:rsidR="00777280">
        <w:t>je povinen být pro účely výkonu své funkce pojištěn</w:t>
      </w:r>
      <w:r w:rsidR="00EB49FF">
        <w:t xml:space="preserve">. </w:t>
      </w:r>
      <w:r w:rsidR="00565A2A">
        <w:t>Oprávnění vykonávat činnost, stejně tak podmínky, které musí insolvenční správce dodržovat, jsou pevně stanoveny právním předpisem.</w:t>
      </w:r>
      <w:r w:rsidR="00363B38">
        <w:t xml:space="preserve"> Hlavní činnost insolvenčního správce je nakládání s majetkovou </w:t>
      </w:r>
      <w:r w:rsidR="008B585E">
        <w:t>podstatou dlužníka (tz</w:t>
      </w:r>
      <w:r w:rsidR="00A31D22">
        <w:t>n</w:t>
      </w:r>
      <w:r w:rsidR="008B585E">
        <w:t>. </w:t>
      </w:r>
      <w:r w:rsidR="00363B38">
        <w:t>v tomto případě provozovatele, který není schopen dostát svým závazkům vůči sázejícím) a prvotním cílem činnosti insolvenčního správce je maximalizovat uspokojení pohledá</w:t>
      </w:r>
      <w:r w:rsidR="00B97DF3">
        <w:t>vek věřitelů (resp. </w:t>
      </w:r>
      <w:r w:rsidR="00363B38">
        <w:t>pohledávek sázejících)</w:t>
      </w:r>
      <w:r w:rsidR="00F54D2C">
        <w:t>.</w:t>
      </w:r>
      <w:r w:rsidR="00363B38">
        <w:t xml:space="preserve"> </w:t>
      </w:r>
      <w:r w:rsidR="00565A2A">
        <w:t xml:space="preserve"> </w:t>
      </w:r>
    </w:p>
    <w:p w14:paraId="0B297C63" w14:textId="77777777" w:rsidR="00344373" w:rsidRDefault="0049151A" w:rsidP="00B97DF3">
      <w:pPr>
        <w:keepNext/>
      </w:pPr>
      <w:r>
        <w:t>Nevýhody:</w:t>
      </w:r>
    </w:p>
    <w:p w14:paraId="5195A553" w14:textId="211FBA71" w:rsidR="005966B9" w:rsidRDefault="009C4578" w:rsidP="005966B9">
      <w:r w:rsidRPr="00B2085C">
        <w:t xml:space="preserve">V případě této varianty je zapotřebí </w:t>
      </w:r>
      <w:r w:rsidR="00A31D22" w:rsidRPr="00B2085C">
        <w:t>provést detailní analýzu</w:t>
      </w:r>
      <w:r w:rsidRPr="00B2085C">
        <w:t xml:space="preserve"> dílčí</w:t>
      </w:r>
      <w:r w:rsidR="002C190C" w:rsidRPr="00B2085C">
        <w:t>ch</w:t>
      </w:r>
      <w:r w:rsidRPr="00B2085C">
        <w:t xml:space="preserve"> postup</w:t>
      </w:r>
      <w:r w:rsidR="00A31D22" w:rsidRPr="00B2085C">
        <w:t>ů</w:t>
      </w:r>
      <w:r w:rsidRPr="00B2085C">
        <w:t xml:space="preserve"> a</w:t>
      </w:r>
      <w:r w:rsidR="00C05D86" w:rsidRPr="00B2085C">
        <w:t> </w:t>
      </w:r>
      <w:r w:rsidRPr="00B2085C">
        <w:t>institut</w:t>
      </w:r>
      <w:r w:rsidR="00A31D22" w:rsidRPr="00B2085C">
        <w:t>ů</w:t>
      </w:r>
      <w:r w:rsidRPr="00B2085C">
        <w:t>,</w:t>
      </w:r>
      <w:r w:rsidR="0061480A" w:rsidRPr="00B2085C">
        <w:t xml:space="preserve"> jelikož se jedná o</w:t>
      </w:r>
      <w:r w:rsidR="00C05D86" w:rsidRPr="00B2085C">
        <w:t> </w:t>
      </w:r>
      <w:r w:rsidR="0061480A" w:rsidRPr="00B2085C">
        <w:t>nový systém.</w:t>
      </w:r>
      <w:r w:rsidR="0061480A">
        <w:t xml:space="preserve"> </w:t>
      </w:r>
      <w:r>
        <w:t xml:space="preserve"> </w:t>
      </w:r>
    </w:p>
    <w:p w14:paraId="74F4464D" w14:textId="77777777" w:rsidR="00B63966" w:rsidRDefault="00B63966" w:rsidP="005966B9">
      <w:pPr>
        <w:pStyle w:val="Nadpis7"/>
      </w:pPr>
      <w:r>
        <w:t xml:space="preserve">Varianta </w:t>
      </w:r>
      <w:r w:rsidR="002C7D9E">
        <w:t>IV</w:t>
      </w:r>
      <w:r>
        <w:t>.</w:t>
      </w:r>
      <w:r w:rsidR="00283AC7">
        <w:t xml:space="preserve"> – </w:t>
      </w:r>
      <w:r>
        <w:t xml:space="preserve">Zavedení podmínky schopnosti vyplatit potencionální výhry </w:t>
      </w:r>
    </w:p>
    <w:p w14:paraId="5A3A006A" w14:textId="3A76C3AE" w:rsidR="003F711D" w:rsidRPr="001617CC" w:rsidRDefault="003F711D" w:rsidP="003F711D">
      <w:r w:rsidRPr="001617CC">
        <w:t>Tato varianta je podrobně popsána v </w:t>
      </w:r>
      <w:r w:rsidRPr="005E0DC9">
        <w:t xml:space="preserve"> </w:t>
      </w:r>
      <w:r w:rsidR="00B97DF3">
        <w:t xml:space="preserve">Příloze č. 9 </w:t>
      </w:r>
      <w:r w:rsidRPr="005E0DC9">
        <w:t>Povolovací řízení. Je</w:t>
      </w:r>
      <w:r w:rsidRPr="001617CC">
        <w:t xml:space="preserve"> to jedna z variant, která řeší problematiku požadavků na vlastní zdroje. Kombinace podmínky schopnosti vyplatit možné výhry a určité výše vlastního kapitálu je uváděna jako doporučované řešení výše uvedené problematiky. </w:t>
      </w:r>
    </w:p>
    <w:p w14:paraId="7E2ED9DD" w14:textId="3D57141C" w:rsidR="00B63966" w:rsidRPr="00FC1F5A" w:rsidRDefault="00B63966" w:rsidP="00283AC7">
      <w:r>
        <w:t xml:space="preserve">Pojetí této varianty představuje </w:t>
      </w:r>
      <w:r w:rsidRPr="001D1F22">
        <w:rPr>
          <w:b/>
        </w:rPr>
        <w:t>výrazný odklon od dosavadního nastavení</w:t>
      </w:r>
      <w:r>
        <w:t xml:space="preserve"> jak </w:t>
      </w:r>
      <w:r w:rsidR="00E64375">
        <w:t>způsobu zajištění vybraných závazků</w:t>
      </w:r>
      <w:r>
        <w:t xml:space="preserve">, tak i požadavku na </w:t>
      </w:r>
      <w:r w:rsidR="00E64375">
        <w:t xml:space="preserve">vlastní </w:t>
      </w:r>
      <w:r>
        <w:t>zdroje</w:t>
      </w:r>
      <w:r w:rsidR="00E64375">
        <w:t xml:space="preserve"> žadatele</w:t>
      </w:r>
      <w:r>
        <w:t xml:space="preserve">. Ve stručnosti lze uvést, že </w:t>
      </w:r>
      <w:r w:rsidRPr="001D1F22">
        <w:rPr>
          <w:b/>
        </w:rPr>
        <w:t>provozovatel by měl stanovenou stálou</w:t>
      </w:r>
      <w:r>
        <w:t xml:space="preserve"> (nikoli pouze vstupní) </w:t>
      </w:r>
      <w:r w:rsidRPr="001D1F22">
        <w:rPr>
          <w:b/>
        </w:rPr>
        <w:t>podmínku tzv. schopnosti vyplatit potencionální výhry, které je možné v daném dni získat a je možné je zjistit.</w:t>
      </w:r>
      <w:r>
        <w:rPr>
          <w:rStyle w:val="Znakapoznpodarou"/>
        </w:rPr>
        <w:footnoteReference w:id="14"/>
      </w:r>
      <w:r>
        <w:t xml:space="preserve"> </w:t>
      </w:r>
      <w:r w:rsidRPr="00FC1F5A">
        <w:t xml:space="preserve">Provozovatel by byl dále na žádost </w:t>
      </w:r>
      <w:r w:rsidR="002A790E">
        <w:t xml:space="preserve">dozorujícího </w:t>
      </w:r>
      <w:r>
        <w:t>orgánu</w:t>
      </w:r>
      <w:r w:rsidRPr="00FC1F5A">
        <w:t xml:space="preserve"> povinen doložit, jak má interně zajištěno, že s</w:t>
      </w:r>
      <w:r w:rsidR="002A790E">
        <w:t> </w:t>
      </w:r>
      <w:r w:rsidRPr="00FC1F5A">
        <w:t>prostředky drženými do doby vyhodnocení hry a výplaty výher není možné z jeho strany volně manipulovat</w:t>
      </w:r>
      <w:r>
        <w:t xml:space="preserve"> a</w:t>
      </w:r>
      <w:r w:rsidR="00C05D86">
        <w:t> </w:t>
      </w:r>
      <w:r>
        <w:t xml:space="preserve">dále, že tyto finanční prostředky neslouží k jiným účelům, jako jsou například provozní náklady. </w:t>
      </w:r>
    </w:p>
    <w:p w14:paraId="6669010C" w14:textId="77777777" w:rsidR="00B63966" w:rsidRDefault="00B63966" w:rsidP="00283AC7">
      <w:r>
        <w:t>Výhody:</w:t>
      </w:r>
    </w:p>
    <w:p w14:paraId="655A1CAC" w14:textId="53B59809" w:rsidR="00B63966" w:rsidRDefault="00B63966" w:rsidP="00283AC7">
      <w:r>
        <w:t>T</w:t>
      </w:r>
      <w:r w:rsidRPr="00FC1F5A">
        <w:t xml:space="preserve">ento institut </w:t>
      </w:r>
      <w:r>
        <w:t xml:space="preserve">by </w:t>
      </w:r>
      <w:r w:rsidRPr="00FC1F5A">
        <w:t>měl</w:t>
      </w:r>
      <w:r w:rsidR="00D60DEE">
        <w:t xml:space="preserve"> eliminovat riziko vzniku situace</w:t>
      </w:r>
      <w:r w:rsidRPr="00FC1F5A">
        <w:t>, kdy provozovatel není schopen dostát svým závazkům z hazardních he</w:t>
      </w:r>
      <w:r>
        <w:t>r</w:t>
      </w:r>
      <w:r w:rsidR="00C96C60">
        <w:t xml:space="preserve"> vůči sázejícím, neboť by v zásadě znamenala povinnost zajistit </w:t>
      </w:r>
      <w:r w:rsidRPr="00E16630">
        <w:rPr>
          <w:rFonts w:cstheme="minorHAnsi"/>
        </w:rPr>
        <w:t>schopnost vyplatit výhry po celou dobu provozování hazardních her</w:t>
      </w:r>
      <w:r>
        <w:rPr>
          <w:rFonts w:cstheme="minorHAnsi"/>
        </w:rPr>
        <w:t>.</w:t>
      </w:r>
      <w:r w:rsidR="00D60DEE">
        <w:rPr>
          <w:rFonts w:cstheme="minorHAnsi"/>
        </w:rPr>
        <w:t xml:space="preserve"> Uvedené je však velmi úzce spjato s nutností kontroly dodržování této povinnosti dozor</w:t>
      </w:r>
      <w:r w:rsidR="009F655D">
        <w:rPr>
          <w:rFonts w:cstheme="minorHAnsi"/>
        </w:rPr>
        <w:t>ujícími</w:t>
      </w:r>
      <w:r w:rsidR="00D60DEE">
        <w:rPr>
          <w:rFonts w:cstheme="minorHAnsi"/>
        </w:rPr>
        <w:t xml:space="preserve"> orgány</w:t>
      </w:r>
      <w:r w:rsidR="0082214E">
        <w:rPr>
          <w:rFonts w:cstheme="minorHAnsi"/>
        </w:rPr>
        <w:t xml:space="preserve"> a</w:t>
      </w:r>
      <w:r w:rsidR="00C05D86">
        <w:rPr>
          <w:rFonts w:cstheme="minorHAnsi"/>
        </w:rPr>
        <w:t> </w:t>
      </w:r>
      <w:r w:rsidR="0082214E">
        <w:rPr>
          <w:rFonts w:cstheme="minorHAnsi"/>
        </w:rPr>
        <w:t>budováním jejich kapacity v této věci</w:t>
      </w:r>
      <w:r w:rsidR="00D60DEE">
        <w:rPr>
          <w:rFonts w:cstheme="minorHAnsi"/>
        </w:rPr>
        <w:t>.</w:t>
      </w:r>
      <w:r>
        <w:rPr>
          <w:rFonts w:cstheme="minorHAnsi"/>
        </w:rPr>
        <w:t xml:space="preserve"> </w:t>
      </w:r>
      <w:r w:rsidR="00BE52C2">
        <w:rPr>
          <w:rFonts w:cstheme="minorHAnsi"/>
        </w:rPr>
        <w:t>Uvedená varianta eliminuje náklady státu v podobě administrace přihlášek nevyplacených výher a</w:t>
      </w:r>
      <w:r w:rsidR="00C05D86">
        <w:rPr>
          <w:rFonts w:cstheme="minorHAnsi"/>
        </w:rPr>
        <w:t> </w:t>
      </w:r>
      <w:r w:rsidR="00BE52C2">
        <w:rPr>
          <w:rFonts w:cstheme="minorHAnsi"/>
        </w:rPr>
        <w:t xml:space="preserve">nabízí jiným způsob zajištění uvedených závazků. </w:t>
      </w:r>
      <w:r>
        <w:rPr>
          <w:rFonts w:cstheme="minorHAnsi"/>
        </w:rPr>
        <w:t xml:space="preserve">Rovněž by tato varianta významně přispěla ke stabilitě společnosti a </w:t>
      </w:r>
      <w:r w:rsidRPr="0031062B">
        <w:rPr>
          <w:rFonts w:cstheme="minorHAnsi"/>
        </w:rPr>
        <w:t>odpovědné</w:t>
      </w:r>
      <w:r>
        <w:rPr>
          <w:rFonts w:cstheme="minorHAnsi"/>
        </w:rPr>
        <w:t>mu</w:t>
      </w:r>
      <w:r w:rsidRPr="0031062B">
        <w:rPr>
          <w:rFonts w:cstheme="minorHAnsi"/>
        </w:rPr>
        <w:t xml:space="preserve"> provozování </w:t>
      </w:r>
      <w:r>
        <w:rPr>
          <w:rFonts w:cstheme="minorHAnsi"/>
        </w:rPr>
        <w:t xml:space="preserve">hazardních </w:t>
      </w:r>
      <w:r w:rsidRPr="0031062B">
        <w:rPr>
          <w:rFonts w:cstheme="minorHAnsi"/>
        </w:rPr>
        <w:t>her</w:t>
      </w:r>
      <w:r>
        <w:rPr>
          <w:rFonts w:cstheme="minorHAnsi"/>
        </w:rPr>
        <w:t>.</w:t>
      </w:r>
      <w:r w:rsidRPr="004E49F6">
        <w:t xml:space="preserve"> </w:t>
      </w:r>
      <w:r w:rsidR="00FA4051">
        <w:t>Současně je i </w:t>
      </w:r>
      <w:r w:rsidR="00585C79">
        <w:t>nadále zachována možnost, aby sázející uplatni</w:t>
      </w:r>
      <w:r w:rsidR="00FC1EC5">
        <w:t>l</w:t>
      </w:r>
      <w:r w:rsidR="00585C79">
        <w:t xml:space="preserve"> svůj nárok soukromoprávní cestou.</w:t>
      </w:r>
    </w:p>
    <w:p w14:paraId="4D0AE13A" w14:textId="77777777" w:rsidR="00B63966" w:rsidRDefault="00B63966" w:rsidP="00283AC7">
      <w:r>
        <w:t>Nevýhody:</w:t>
      </w:r>
    </w:p>
    <w:p w14:paraId="356F59BE" w14:textId="714AE740" w:rsidR="003F711D" w:rsidRDefault="003F711D" w:rsidP="003F711D">
      <w:r>
        <w:t xml:space="preserve">Tento princip je postavený na tom, </w:t>
      </w:r>
      <w:r w:rsidRPr="00FC1F5A">
        <w:t>že provozovatel již musí počítat s tím, kolik by měl potenciálně výhercům vyplatit a</w:t>
      </w:r>
      <w:r w:rsidR="00C05D86">
        <w:t> </w:t>
      </w:r>
      <w:r w:rsidRPr="00FC1F5A">
        <w:t xml:space="preserve">takové prostředky </w:t>
      </w:r>
      <w:r>
        <w:t xml:space="preserve">mít k dispozici na speciálním účtu, </w:t>
      </w:r>
      <w:r w:rsidR="009F655D">
        <w:t>k tomu</w:t>
      </w:r>
      <w:r>
        <w:t xml:space="preserve"> by si musel vyčlenit a </w:t>
      </w:r>
      <w:r w:rsidRPr="00E16630">
        <w:t xml:space="preserve">evidovat zvlášť prostředky alespoň ve výši odpovídající </w:t>
      </w:r>
      <w:r>
        <w:t>potenciální</w:t>
      </w:r>
      <w:r w:rsidRPr="00E16630">
        <w:t xml:space="preserve"> výplatě výher.</w:t>
      </w:r>
      <w:r w:rsidRPr="00A17281">
        <w:t xml:space="preserve"> </w:t>
      </w:r>
      <w:r w:rsidRPr="00A12DD1">
        <w:t>U her</w:t>
      </w:r>
      <w:r>
        <w:t>,</w:t>
      </w:r>
      <w:r w:rsidRPr="00A12DD1">
        <w:t xml:space="preserve"> jejichž celkové výhry jsou zákonem o</w:t>
      </w:r>
      <w:r w:rsidR="00C05D86">
        <w:t> </w:t>
      </w:r>
      <w:r w:rsidRPr="00A12DD1">
        <w:t xml:space="preserve">hazardních hrách a herním plánem stanoveny tak, že nemohou překročit celkové sázky do jedné hry, </w:t>
      </w:r>
      <w:r>
        <w:t>by provozovatel nesměl</w:t>
      </w:r>
      <w:r w:rsidRPr="00A12DD1">
        <w:t xml:space="preserve"> se vsazenými prostředky nijak nakládat až do doby vyhodnocení hry a</w:t>
      </w:r>
      <w:r w:rsidR="00C05D86">
        <w:t> </w:t>
      </w:r>
      <w:r w:rsidRPr="00A12DD1">
        <w:t>vyplacení odpovídajících výher. U her, kde zákon o</w:t>
      </w:r>
      <w:r w:rsidR="00C05D86">
        <w:t> </w:t>
      </w:r>
      <w:r w:rsidRPr="00A12DD1">
        <w:t>hazardních hrách a herní plán umožňují získat vyšší celkové výhry</w:t>
      </w:r>
      <w:r w:rsidR="009F655D">
        <w:t>,</w:t>
      </w:r>
      <w:r w:rsidRPr="00A12DD1">
        <w:t xml:space="preserve"> než je do jedné hry vsazeno, je nezbytné vycházet z alternativního způsobu stanovení držení prostředků pro výplatu výher</w:t>
      </w:r>
      <w:r>
        <w:t>, a</w:t>
      </w:r>
      <w:r w:rsidR="00C05D86">
        <w:t> </w:t>
      </w:r>
      <w:r>
        <w:t xml:space="preserve">to jako </w:t>
      </w:r>
      <w:r w:rsidRPr="00D06571">
        <w:rPr>
          <w:rFonts w:cstheme="minorHAnsi"/>
        </w:rPr>
        <w:t>průměrná denní výše výher za předcházející účetní období u</w:t>
      </w:r>
      <w:r w:rsidR="00C05D86">
        <w:rPr>
          <w:rFonts w:cstheme="minorHAnsi"/>
        </w:rPr>
        <w:t> </w:t>
      </w:r>
      <w:r w:rsidRPr="00D06571">
        <w:rPr>
          <w:rFonts w:cstheme="minorHAnsi"/>
        </w:rPr>
        <w:t xml:space="preserve">daného provozovatele pro daný typ </w:t>
      </w:r>
      <w:r>
        <w:rPr>
          <w:rFonts w:cstheme="minorHAnsi"/>
        </w:rPr>
        <w:t>hazardní hry</w:t>
      </w:r>
      <w:r>
        <w:t>. Tato varianta neřeší pokrytí nezbytných pohledávek státu, proto i</w:t>
      </w:r>
      <w:r w:rsidR="00C05D86">
        <w:t> </w:t>
      </w:r>
      <w:r>
        <w:t xml:space="preserve">zde zůstává požadavek na kauci k zajištění těchto závazků. </w:t>
      </w:r>
      <w:r>
        <w:rPr>
          <w:rFonts w:cs="Arial"/>
          <w:szCs w:val="24"/>
        </w:rPr>
        <w:t>Nadto je nutné poznamenat, že pokud provozovatel vstoupí do insolvence, tento speciálně zřízený účet nebude posuzován jako vyloučený z majetkové podstaty. Je tedy určité riziko toho, že v případě neplnění uvedené podmínky a</w:t>
      </w:r>
      <w:r w:rsidR="00C05D86">
        <w:rPr>
          <w:rFonts w:cs="Arial"/>
          <w:szCs w:val="24"/>
        </w:rPr>
        <w:t> </w:t>
      </w:r>
      <w:r>
        <w:rPr>
          <w:rFonts w:cs="Arial"/>
          <w:szCs w:val="24"/>
        </w:rPr>
        <w:t>pozdního odhalení tohoto porušení bude poměrně problematické nevyplacené výhry tímto způsobem uhradit</w:t>
      </w:r>
      <w:r w:rsidR="00C05D86">
        <w:rPr>
          <w:rFonts w:cs="Arial"/>
          <w:szCs w:val="24"/>
        </w:rPr>
        <w:t>. O</w:t>
      </w:r>
      <w:r>
        <w:rPr>
          <w:rFonts w:cs="Arial"/>
          <w:szCs w:val="24"/>
        </w:rPr>
        <w:t xml:space="preserve"> to významnějším se pak jeví řádný výkon dozorové činnosti v této oblasti.</w:t>
      </w:r>
    </w:p>
    <w:p w14:paraId="0BD2A88A" w14:textId="77777777" w:rsidR="00B63966" w:rsidRPr="00594289" w:rsidRDefault="00B63966" w:rsidP="0044792D">
      <w:pPr>
        <w:pStyle w:val="Nadpis7"/>
      </w:pPr>
      <w:r w:rsidRPr="00594289">
        <w:t>Hodnocení variant</w:t>
      </w:r>
    </w:p>
    <w:p w14:paraId="19151DBD" w14:textId="77777777" w:rsidR="00F426AA" w:rsidRDefault="00B63966" w:rsidP="00F426AA">
      <w:r w:rsidRPr="00594289">
        <w:t xml:space="preserve">Jako nevhodnějším řešením této problematiky se </w:t>
      </w:r>
      <w:r>
        <w:t>na základě shora uvedených výhod a</w:t>
      </w:r>
      <w:r w:rsidR="00C05D86">
        <w:t> </w:t>
      </w:r>
      <w:r>
        <w:t xml:space="preserve">nevýhod </w:t>
      </w:r>
      <w:r w:rsidRPr="00594289">
        <w:t>jeví změna zákona o</w:t>
      </w:r>
      <w:r w:rsidR="00C05D86">
        <w:t> </w:t>
      </w:r>
      <w:r w:rsidRPr="00594289">
        <w:t>hazardních hrách a s </w:t>
      </w:r>
      <w:r>
        <w:t>ním i</w:t>
      </w:r>
      <w:r w:rsidR="00C05D86">
        <w:t> </w:t>
      </w:r>
      <w:r>
        <w:t>změna celé koncepce kaucí</w:t>
      </w:r>
      <w:r w:rsidR="004212B1">
        <w:t>.</w:t>
      </w:r>
      <w:r w:rsidRPr="00594289">
        <w:t xml:space="preserve"> </w:t>
      </w:r>
      <w:r>
        <w:t>Nově navrhovan</w:t>
      </w:r>
      <w:r w:rsidR="00513EB5">
        <w:t>á</w:t>
      </w:r>
      <w:r>
        <w:t xml:space="preserve"> koncepční řešení j</w:t>
      </w:r>
      <w:r w:rsidR="00513EB5">
        <w:t>sou</w:t>
      </w:r>
      <w:r>
        <w:t xml:space="preserve"> postaven</w:t>
      </w:r>
      <w:r w:rsidR="00513EB5">
        <w:t>a</w:t>
      </w:r>
      <w:r>
        <w:t xml:space="preserve"> na vytvoření nových režimů úhrady zákonem předvídaných pohledávek, a</w:t>
      </w:r>
      <w:r w:rsidR="00F163CF">
        <w:t> </w:t>
      </w:r>
      <w:r>
        <w:t>to tak, že správa pohledávek státu (</w:t>
      </w:r>
      <w:r w:rsidRPr="00594289">
        <w:t xml:space="preserve">daň z hazardních her, pokuty uložené </w:t>
      </w:r>
      <w:r w:rsidR="00C23BC3">
        <w:t>za přestupek podle zákona o</w:t>
      </w:r>
      <w:r w:rsidR="00F163CF">
        <w:t> </w:t>
      </w:r>
      <w:r w:rsidR="00C23BC3">
        <w:t>hazardních hrách</w:t>
      </w:r>
      <w:r>
        <w:t>, příslušenství) by zůstala v působnosti Ministerstva financí, a</w:t>
      </w:r>
      <w:r w:rsidR="00F163CF">
        <w:t> </w:t>
      </w:r>
      <w:r>
        <w:t>správa pohledávek z nevyplacených výher sázejícím by byla svěřena nezávislému subjektu nebo by spočívala v</w:t>
      </w:r>
      <w:r w:rsidR="00FD2961">
        <w:t xml:space="preserve"> záruce v podobě </w:t>
      </w:r>
      <w:r>
        <w:t xml:space="preserve">držení </w:t>
      </w:r>
      <w:r w:rsidRPr="00730BD0">
        <w:t xml:space="preserve">peněžních prostředků na </w:t>
      </w:r>
      <w:r w:rsidR="00FD2961">
        <w:t xml:space="preserve">speciálním </w:t>
      </w:r>
      <w:r w:rsidRPr="00730BD0">
        <w:t>účtu provozovatele</w:t>
      </w:r>
      <w:r w:rsidR="0053275D">
        <w:t xml:space="preserve"> nebo by k</w:t>
      </w:r>
      <w:r w:rsidR="00F163CF">
        <w:t> </w:t>
      </w:r>
      <w:r w:rsidR="0053275D">
        <w:t xml:space="preserve">zajištění došlo v soukromoprávní rovině (např. </w:t>
      </w:r>
      <w:r w:rsidR="002C63D7">
        <w:t>by uvedené spadlo do standardního insolvenčního řízení</w:t>
      </w:r>
      <w:r w:rsidR="0053275D">
        <w:t>)</w:t>
      </w:r>
      <w:r w:rsidR="00F426AA">
        <w:t>.</w:t>
      </w:r>
    </w:p>
    <w:p w14:paraId="13853B6A" w14:textId="22EDD51A" w:rsidR="008D0C9E" w:rsidRDefault="00BC2B1B" w:rsidP="00F426AA">
      <w:pPr>
        <w:pStyle w:val="Nadpis6"/>
      </w:pPr>
      <w:bookmarkStart w:id="8" w:name="_Toc73608050"/>
      <w:r>
        <w:t>Výše kauce a její vrácení</w:t>
      </w:r>
      <w:r w:rsidR="00045349">
        <w:t xml:space="preserve"> u herního prostoru</w:t>
      </w:r>
      <w:bookmarkEnd w:id="8"/>
    </w:p>
    <w:p w14:paraId="7944FCBD" w14:textId="5DFEB670" w:rsidR="00C925C4" w:rsidRDefault="008D0C9E" w:rsidP="00C925C4">
      <w:r w:rsidRPr="001D1F22">
        <w:rPr>
          <w:b/>
        </w:rPr>
        <w:t>Zákon o hazardních hrách stanovuje pro jednotlivý druh hazardní hry</w:t>
      </w:r>
      <w:r w:rsidR="003D126C" w:rsidRPr="001D1F22">
        <w:rPr>
          <w:rStyle w:val="Znakapoznpodarou"/>
          <w:b/>
        </w:rPr>
        <w:footnoteReference w:id="15"/>
      </w:r>
      <w:r w:rsidRPr="001D1F22">
        <w:rPr>
          <w:b/>
        </w:rPr>
        <w:t>, popř. druh herního prostoru</w:t>
      </w:r>
      <w:r w:rsidR="003D126C" w:rsidRPr="001D1F22">
        <w:rPr>
          <w:rStyle w:val="Znakapoznpodarou"/>
          <w:b/>
        </w:rPr>
        <w:footnoteReference w:id="16"/>
      </w:r>
      <w:r w:rsidRPr="001D1F22">
        <w:rPr>
          <w:b/>
        </w:rPr>
        <w:t xml:space="preserve"> přesnou výši kauce</w:t>
      </w:r>
      <w:r w:rsidRPr="005C388F">
        <w:t xml:space="preserve">, kterou jsou </w:t>
      </w:r>
      <w:r w:rsidR="00E53B26">
        <w:t>žadatelé</w:t>
      </w:r>
      <w:r w:rsidR="00E53B26" w:rsidRPr="005C388F">
        <w:t xml:space="preserve"> </w:t>
      </w:r>
      <w:r w:rsidRPr="005C388F">
        <w:t xml:space="preserve">povinni poskytnout, a to buď </w:t>
      </w:r>
      <w:r w:rsidR="00E53B26">
        <w:t xml:space="preserve">složením </w:t>
      </w:r>
      <w:r w:rsidR="00E53B26" w:rsidRPr="005C388F">
        <w:t>peněžní</w:t>
      </w:r>
      <w:r w:rsidR="00E53B26">
        <w:t>ch</w:t>
      </w:r>
      <w:r w:rsidR="00E53B26" w:rsidRPr="005C388F">
        <w:t xml:space="preserve"> </w:t>
      </w:r>
      <w:r w:rsidRPr="005C388F">
        <w:t>prostředk</w:t>
      </w:r>
      <w:r w:rsidR="00E53B26">
        <w:t>ů</w:t>
      </w:r>
      <w:r w:rsidRPr="005C388F">
        <w:t xml:space="preserve"> na účet Ministerstva financí, nebo </w:t>
      </w:r>
      <w:r w:rsidR="00F8142D">
        <w:t>poskytnutím</w:t>
      </w:r>
      <w:r w:rsidR="00F8142D" w:rsidRPr="005C388F">
        <w:t xml:space="preserve"> </w:t>
      </w:r>
      <w:r w:rsidRPr="005C388F">
        <w:t>bankovní záruky</w:t>
      </w:r>
      <w:r w:rsidR="00F8142D">
        <w:t>, kt</w:t>
      </w:r>
      <w:r w:rsidR="00F80415">
        <w:t>erou Ministerstvo financí přijalo</w:t>
      </w:r>
      <w:r w:rsidR="00F426AA">
        <w:t xml:space="preserve">. </w:t>
      </w:r>
      <w:r w:rsidR="009F655D">
        <w:t>V </w:t>
      </w:r>
      <w:r w:rsidR="00C925C4" w:rsidRPr="005C388F">
        <w:t>§</w:t>
      </w:r>
      <w:r w:rsidR="006C56F2">
        <w:t> </w:t>
      </w:r>
      <w:r w:rsidR="00C925C4" w:rsidRPr="005C388F">
        <w:t>100</w:t>
      </w:r>
      <w:r w:rsidR="00AE7EDC">
        <w:t> </w:t>
      </w:r>
      <w:r w:rsidR="00C925C4" w:rsidRPr="005C388F">
        <w:t>odst.</w:t>
      </w:r>
      <w:r w:rsidR="00AE7EDC">
        <w:t> </w:t>
      </w:r>
      <w:r w:rsidR="00C925C4" w:rsidRPr="005C388F">
        <w:t>4</w:t>
      </w:r>
      <w:r w:rsidR="009F655D">
        <w:t xml:space="preserve"> zákona o hazardních hrách</w:t>
      </w:r>
      <w:r w:rsidR="00C925C4" w:rsidRPr="005C388F">
        <w:t xml:space="preserve"> </w:t>
      </w:r>
      <w:r w:rsidR="00E14F2E">
        <w:t xml:space="preserve">je </w:t>
      </w:r>
      <w:r w:rsidR="00C925C4" w:rsidRPr="005C388F">
        <w:t>blíže specifik</w:t>
      </w:r>
      <w:r w:rsidR="00E14F2E">
        <w:t>ována</w:t>
      </w:r>
      <w:r w:rsidR="00C925C4" w:rsidRPr="005C388F">
        <w:t xml:space="preserve"> konkrétní částk</w:t>
      </w:r>
      <w:r w:rsidR="00E14F2E">
        <w:t>a</w:t>
      </w:r>
      <w:r w:rsidR="00C925C4" w:rsidRPr="005C388F">
        <w:t xml:space="preserve"> kauce v závislosti na daném druhu herního prostoru</w:t>
      </w:r>
      <w:r w:rsidR="000A1167">
        <w:t xml:space="preserve"> a </w:t>
      </w:r>
      <w:r w:rsidR="00C925C4">
        <w:t>jejich počtu</w:t>
      </w:r>
      <w:r w:rsidR="00C925C4" w:rsidRPr="005C388F">
        <w:t xml:space="preserve"> </w:t>
      </w:r>
      <w:r w:rsidR="00C925C4">
        <w:t>(t</w:t>
      </w:r>
      <w:r w:rsidR="00C925C4" w:rsidRPr="005C388F">
        <w:t>yto částky byly stanoveny zejména s ohledem na maximální sázky do jedné hry, která může v herně činit 100</w:t>
      </w:r>
      <w:r w:rsidR="00AE7EDC">
        <w:t> </w:t>
      </w:r>
      <w:r w:rsidR="00C925C4" w:rsidRPr="005C388F">
        <w:t>Kč a v kasinu nejvýše 1</w:t>
      </w:r>
      <w:r w:rsidR="00AE7EDC">
        <w:t> </w:t>
      </w:r>
      <w:r w:rsidR="00C925C4" w:rsidRPr="005C388F">
        <w:t>000</w:t>
      </w:r>
      <w:r w:rsidR="00AE7EDC">
        <w:t> </w:t>
      </w:r>
      <w:r w:rsidR="00C925C4" w:rsidRPr="005C388F">
        <w:t>Kč</w:t>
      </w:r>
      <w:r w:rsidR="00BF320A">
        <w:t xml:space="preserve"> a </w:t>
      </w:r>
      <w:r w:rsidR="00C925C4">
        <w:t>rozsah hazardních her, které je možné v daném herním prostoru provozovat)</w:t>
      </w:r>
      <w:r w:rsidR="00C925C4" w:rsidRPr="005C388F">
        <w:t>. S ohledem na uvedené je výše kauce v případě herny stanovena částkou 1</w:t>
      </w:r>
      <w:r w:rsidR="00AE7EDC">
        <w:t> </w:t>
      </w:r>
      <w:r w:rsidR="00C925C4" w:rsidRPr="005C388F">
        <w:t>mil.</w:t>
      </w:r>
      <w:r w:rsidR="00AE7EDC">
        <w:t> </w:t>
      </w:r>
      <w:r w:rsidR="00C925C4" w:rsidRPr="005C388F">
        <w:t xml:space="preserve">Kč za jednu hernu, v případě hazardních her provozovaných v kasinu dochází </w:t>
      </w:r>
      <w:r w:rsidR="00C925C4">
        <w:t xml:space="preserve">zpravidla </w:t>
      </w:r>
      <w:r w:rsidR="00C925C4" w:rsidRPr="005C388F">
        <w:t>k větším finančním operacím než je tomu v případě heren, a</w:t>
      </w:r>
      <w:r w:rsidR="00AE7EDC">
        <w:t> </w:t>
      </w:r>
      <w:r w:rsidR="00C925C4" w:rsidRPr="005C388F">
        <w:t>proto z</w:t>
      </w:r>
      <w:r w:rsidR="00C925C4">
        <w:t>ákon o</w:t>
      </w:r>
      <w:r w:rsidR="00AE7EDC">
        <w:t> </w:t>
      </w:r>
      <w:r w:rsidR="00C925C4">
        <w:t>hazardních hrách stanovuje kauci ve výši 10 </w:t>
      </w:r>
      <w:r w:rsidR="00C925C4" w:rsidRPr="005C388F">
        <w:t>mil.</w:t>
      </w:r>
      <w:r w:rsidR="00AE7EDC">
        <w:t> </w:t>
      </w:r>
      <w:r w:rsidR="00C925C4" w:rsidRPr="005C388F">
        <w:t>Kč za jedno kasino. V obou případech je maximální výše složené kauce limitována částkou 50</w:t>
      </w:r>
      <w:r w:rsidR="00AE7EDC">
        <w:t> </w:t>
      </w:r>
      <w:r w:rsidR="00C925C4" w:rsidRPr="005C388F">
        <w:t>mil.</w:t>
      </w:r>
      <w:r w:rsidR="00AE7EDC">
        <w:t> </w:t>
      </w:r>
      <w:r w:rsidR="00C925C4" w:rsidRPr="005C388F">
        <w:t>Kč. Minimální výše složené kauce pro jednotlivý druh herního prostoru je pro herny s</w:t>
      </w:r>
      <w:r w:rsidR="00BF320A">
        <w:t>tanovena na 10 mil.</w:t>
      </w:r>
      <w:r w:rsidR="00AE7EDC">
        <w:t> </w:t>
      </w:r>
      <w:r w:rsidR="00BF320A">
        <w:t>Kč a </w:t>
      </w:r>
      <w:r w:rsidR="00C925C4" w:rsidRPr="005C388F">
        <w:t>v případě kasin se jedná o minimální výši 20</w:t>
      </w:r>
      <w:r w:rsidR="00AE7EDC">
        <w:t> </w:t>
      </w:r>
      <w:r w:rsidR="00C925C4" w:rsidRPr="005C388F">
        <w:t>mil.</w:t>
      </w:r>
      <w:r w:rsidR="00AE7EDC">
        <w:t> </w:t>
      </w:r>
      <w:r w:rsidR="00C925C4" w:rsidRPr="005C388F">
        <w:t>Kč.</w:t>
      </w:r>
      <w:r w:rsidR="002F2563">
        <w:rPr>
          <w:rStyle w:val="Znakapoznpodarou"/>
        </w:rPr>
        <w:footnoteReference w:id="17"/>
      </w:r>
      <w:r w:rsidR="00C925C4">
        <w:t xml:space="preserve"> </w:t>
      </w:r>
    </w:p>
    <w:p w14:paraId="66A0D771" w14:textId="587EFF73" w:rsidR="0082232B" w:rsidRDefault="0082232B" w:rsidP="00C925C4">
      <w:r>
        <w:t>Vzhledem k tomu, že v průběhu provozování hazardní hry může docházet k častým změnám podnikatelského rozhodnutí co do rozsahu poskytování hazardních her</w:t>
      </w:r>
      <w:r w:rsidR="00232618">
        <w:t xml:space="preserve"> jednotlivého provozovatele</w:t>
      </w:r>
      <w:r>
        <w:t xml:space="preserve"> (</w:t>
      </w:r>
      <w:r w:rsidR="001E6570">
        <w:t>zužování</w:t>
      </w:r>
      <w:r>
        <w:t xml:space="preserve"> o některý ze způsobu provozu, změna počtu povolených her a kasin) je správa agendy kaucí velmi administrativně náročnou, neboť dochází poměrně k častým změnám kaucí co do jejich navyšování či snižování. Zejména pak v případě snižování </w:t>
      </w:r>
      <w:r w:rsidR="00232618">
        <w:t xml:space="preserve">kauce </w:t>
      </w:r>
      <w:r>
        <w:t xml:space="preserve">musí docházet k zajišťování veškerých požadovaných součinností jak ze strany </w:t>
      </w:r>
      <w:r w:rsidR="009F655D">
        <w:t>Finanční správy a C</w:t>
      </w:r>
      <w:r w:rsidR="001E6570">
        <w:t>elní správy</w:t>
      </w:r>
      <w:r>
        <w:t>,</w:t>
      </w:r>
      <w:r w:rsidR="00232618">
        <w:t xml:space="preserve"> tak k zveřejňování informace o možnosti přihlásit nevyplacenou výhru a následné administraci případných úhrad. Ačkoliv toto administrativní zatížení nepatrně v jistých ohledech eliminovala novelizace právní úpravy účinn</w:t>
      </w:r>
      <w:r w:rsidR="002E088E">
        <w:t>á</w:t>
      </w:r>
      <w:r w:rsidR="00232618">
        <w:t xml:space="preserve"> k 1. 1. 2021 v podobě požadavku na podání žádosti o vrácení přeplatku podle § 100</w:t>
      </w:r>
      <w:r w:rsidR="002E088E">
        <w:t>a odst. 1 zákona o </w:t>
      </w:r>
      <w:r w:rsidR="004778B6">
        <w:t>hazardních hrách, stále právě zejména častá změna provozu (a</w:t>
      </w:r>
      <w:r w:rsidR="005456F3">
        <w:t> </w:t>
      </w:r>
      <w:r w:rsidR="004778B6">
        <w:t>s tím odvislá častá změna výše požadované kauce) spolu se správou přihlašování nevyplacených výher činí celou agendu výrazně administrativně náročnou.</w:t>
      </w:r>
    </w:p>
    <w:p w14:paraId="437602C3" w14:textId="77777777" w:rsidR="00F80415" w:rsidRDefault="00F80415" w:rsidP="0044792D">
      <w:pPr>
        <w:pStyle w:val="Nadpis7"/>
      </w:pPr>
      <w:r>
        <w:t xml:space="preserve">Varianta </w:t>
      </w:r>
      <w:r w:rsidR="00507093">
        <w:t>I.</w:t>
      </w:r>
      <w:r>
        <w:t xml:space="preserve"> </w:t>
      </w:r>
      <w:r w:rsidR="00507093">
        <w:t>–</w:t>
      </w:r>
      <w:r>
        <w:t xml:space="preserve"> </w:t>
      </w:r>
      <w:r w:rsidR="00FF1663">
        <w:t>Zachování</w:t>
      </w:r>
      <w:r w:rsidR="00507093">
        <w:t xml:space="preserve"> současného stavu </w:t>
      </w:r>
    </w:p>
    <w:p w14:paraId="2154BE38" w14:textId="77777777" w:rsidR="00697931" w:rsidRDefault="00697931" w:rsidP="00A547A4">
      <w:pPr>
        <w:rPr>
          <w:rFonts w:cs="Arial"/>
        </w:rPr>
      </w:pPr>
      <w:r>
        <w:rPr>
          <w:rFonts w:cs="Arial"/>
        </w:rPr>
        <w:t xml:space="preserve">Výhody: </w:t>
      </w:r>
    </w:p>
    <w:p w14:paraId="4B1239D8" w14:textId="5E994A2F" w:rsidR="00C77632" w:rsidRDefault="00F3693B" w:rsidP="00C925C4">
      <w:r>
        <w:t>Z pohledu provozovatele je současná zákonná úprava</w:t>
      </w:r>
      <w:r w:rsidRPr="005C388F">
        <w:t xml:space="preserve"> </w:t>
      </w:r>
      <w:r w:rsidR="00FC1EC5">
        <w:t>ve srovnání s předchozí právní úpravou a</w:t>
      </w:r>
      <w:r w:rsidR="005456F3">
        <w:t> </w:t>
      </w:r>
      <w:r w:rsidR="00FC1EC5">
        <w:t>i</w:t>
      </w:r>
      <w:r w:rsidR="005456F3">
        <w:t> </w:t>
      </w:r>
      <w:r w:rsidR="00FC1EC5">
        <w:t xml:space="preserve">dalšími variantami </w:t>
      </w:r>
      <w:r w:rsidR="002E088E">
        <w:t>finančně méně náročná i</w:t>
      </w:r>
      <w:r w:rsidR="005456F3">
        <w:t> </w:t>
      </w:r>
      <w:r w:rsidR="002E088E">
        <w:t>při zachování minimální a </w:t>
      </w:r>
      <w:r w:rsidRPr="005C388F">
        <w:t>maximální výše kauce</w:t>
      </w:r>
      <w:r>
        <w:t>,</w:t>
      </w:r>
      <w:r w:rsidRPr="005C388F">
        <w:t xml:space="preserve"> s finančními prostředky může provozovatel operovat dle </w:t>
      </w:r>
      <w:r>
        <w:t>jeho možností</w:t>
      </w:r>
      <w:r w:rsidR="004778B6">
        <w:t xml:space="preserve"> (podnikatelského rozhodnutí)</w:t>
      </w:r>
      <w:r>
        <w:t xml:space="preserve"> a aktuální situace na trhu. </w:t>
      </w:r>
      <w:r w:rsidR="00C925C4">
        <w:t>I</w:t>
      </w:r>
      <w:r w:rsidR="005456F3">
        <w:t> </w:t>
      </w:r>
      <w:r w:rsidR="00C925C4">
        <w:t>s ohledem na tuto úpravu je získávání povolení k umístění herního prostoru dostupnější i</w:t>
      </w:r>
      <w:r w:rsidR="005456F3">
        <w:t> </w:t>
      </w:r>
      <w:r w:rsidR="00C925C4">
        <w:t>menším subjektům.</w:t>
      </w:r>
    </w:p>
    <w:p w14:paraId="1541E299" w14:textId="77777777" w:rsidR="00697931" w:rsidRDefault="00697931" w:rsidP="0044792D">
      <w:r>
        <w:t>Nevýhody:</w:t>
      </w:r>
    </w:p>
    <w:p w14:paraId="1B9EB3DE" w14:textId="5C0CFC7F" w:rsidR="00A547A4" w:rsidRPr="005C388F" w:rsidRDefault="00A547A4" w:rsidP="0044792D">
      <w:r>
        <w:t>S</w:t>
      </w:r>
      <w:r w:rsidRPr="005C388F">
        <w:t>távající</w:t>
      </w:r>
      <w:r w:rsidR="00336D92">
        <w:t xml:space="preserve"> koncepce</w:t>
      </w:r>
      <w:r w:rsidRPr="005C388F">
        <w:t xml:space="preserve"> způsobuje </w:t>
      </w:r>
      <w:r w:rsidR="004778B6">
        <w:t>významnou</w:t>
      </w:r>
      <w:r w:rsidR="004778B6" w:rsidRPr="005C388F">
        <w:t xml:space="preserve"> </w:t>
      </w:r>
      <w:r w:rsidRPr="005C388F">
        <w:t>administrativní zátěž</w:t>
      </w:r>
      <w:r>
        <w:t xml:space="preserve"> pracovníků</w:t>
      </w:r>
      <w:r w:rsidRPr="005C388F">
        <w:t xml:space="preserve"> Ministerstva financí z důvodu </w:t>
      </w:r>
      <w:r w:rsidR="00336D92">
        <w:t>požadavku na aktivní monitoring změn vydávaných povolení k umístění herního prostoru, od jejichž počtu se výše skládané částky odvíjí, vázanost postupu na data získávaná od obecních úřadů pomocí zastaralého systému Státního dozoru nad sázkami a</w:t>
      </w:r>
      <w:r w:rsidR="005456F3">
        <w:t> </w:t>
      </w:r>
      <w:r w:rsidR="00336D92">
        <w:t>loteriemi a</w:t>
      </w:r>
      <w:r w:rsidR="005456F3">
        <w:t> </w:t>
      </w:r>
      <w:r w:rsidR="00336D92">
        <w:t>nutnosti detailního zjišťování výše nedoplatků, včetně ověřování přihlášek nevyplacených výher s každým snižováním skládané částky. Uvedené procesy jsou poměrně časté vzhledem k </w:t>
      </w:r>
      <w:r w:rsidR="006B656B">
        <w:t>mnohým</w:t>
      </w:r>
      <w:r w:rsidR="00336D92">
        <w:t xml:space="preserve"> změnám umístění provozovaných herních prostorů.</w:t>
      </w:r>
      <w:r w:rsidRPr="005C388F">
        <w:t xml:space="preserve"> </w:t>
      </w:r>
      <w:r w:rsidR="0082000B">
        <w:t>Podstatnou nevýhodou je tedy zejména u</w:t>
      </w:r>
      <w:r w:rsidR="00C70BB8">
        <w:t> </w:t>
      </w:r>
      <w:r w:rsidR="0082000B">
        <w:t>heren při provozu 10</w:t>
      </w:r>
      <w:r w:rsidR="00C96DF0">
        <w:t> </w:t>
      </w:r>
      <w:r w:rsidR="0082000B">
        <w:t>-</w:t>
      </w:r>
      <w:r w:rsidR="00C96DF0">
        <w:t> </w:t>
      </w:r>
      <w:r w:rsidR="0082000B">
        <w:t>50 herních prostorů změna výše požadované kauce s každým jednotlivým zrušením nebo zánikem povolení k umístění herního prostoru.</w:t>
      </w:r>
    </w:p>
    <w:p w14:paraId="32670C8A" w14:textId="77777777" w:rsidR="00853FE9" w:rsidRDefault="00853FE9" w:rsidP="00075909">
      <w:pPr>
        <w:pStyle w:val="Nadpis7"/>
      </w:pPr>
      <w:r>
        <w:t xml:space="preserve">Varianta </w:t>
      </w:r>
      <w:r w:rsidR="00507093">
        <w:t>II.</w:t>
      </w:r>
      <w:r>
        <w:t xml:space="preserve"> –</w:t>
      </w:r>
      <w:r w:rsidR="00507093">
        <w:t xml:space="preserve"> Výše kauce stanovená </w:t>
      </w:r>
      <w:r>
        <w:t>fixní částk</w:t>
      </w:r>
      <w:r w:rsidR="00507093">
        <w:t>ou</w:t>
      </w:r>
      <w:r w:rsidR="00011330">
        <w:t xml:space="preserve"> pro herní prostory</w:t>
      </w:r>
    </w:p>
    <w:p w14:paraId="3658C926" w14:textId="793F6D13" w:rsidR="00F844CB" w:rsidRDefault="00F844CB" w:rsidP="0044792D">
      <w:r w:rsidRPr="00CE1814">
        <w:t>Jednou z variant řešení m</w:t>
      </w:r>
      <w:r>
        <w:t xml:space="preserve">ůže být stanovení </w:t>
      </w:r>
      <w:r w:rsidR="0082000B">
        <w:t xml:space="preserve">kauce pro jednotlivé herní prostory ve výši </w:t>
      </w:r>
      <w:r>
        <w:t>fixní částky.</w:t>
      </w:r>
      <w:r w:rsidR="00B32FED">
        <w:rPr>
          <w:rStyle w:val="Znakapoznpodarou"/>
        </w:rPr>
        <w:footnoteReference w:id="18"/>
      </w:r>
      <w:r>
        <w:t xml:space="preserve"> </w:t>
      </w:r>
      <w:r w:rsidR="004F3040">
        <w:t xml:space="preserve">V takovém případě by se musela stanovit taková </w:t>
      </w:r>
      <w:r w:rsidR="00011330">
        <w:t>výše kauce</w:t>
      </w:r>
      <w:r w:rsidR="004F3040">
        <w:t>, která bude přijatelná a</w:t>
      </w:r>
      <w:r w:rsidR="005456F3">
        <w:t> </w:t>
      </w:r>
      <w:r w:rsidR="004F3040">
        <w:t>nebude způsobovat překážky provozu, avšak zároveň bude plnit účel, který je sledován, tj. zajištění potřebných závazků státu</w:t>
      </w:r>
      <w:r w:rsidR="00011330">
        <w:t>, případně</w:t>
      </w:r>
      <w:r w:rsidR="004F3040">
        <w:t xml:space="preserve"> sázejících.</w:t>
      </w:r>
      <w:r w:rsidR="004F3040" w:rsidRPr="00CE1814">
        <w:t xml:space="preserve"> </w:t>
      </w:r>
    </w:p>
    <w:p w14:paraId="0729876E" w14:textId="77777777" w:rsidR="00697931" w:rsidRDefault="00697931" w:rsidP="0044792D">
      <w:pPr>
        <w:rPr>
          <w:rFonts w:cs="Arial"/>
        </w:rPr>
      </w:pPr>
      <w:r>
        <w:rPr>
          <w:rFonts w:cs="Arial"/>
        </w:rPr>
        <w:t>Výhody:</w:t>
      </w:r>
    </w:p>
    <w:p w14:paraId="5F3D4B85" w14:textId="77D5AECA" w:rsidR="00697931" w:rsidRDefault="00697931" w:rsidP="0044792D">
      <w:pPr>
        <w:rPr>
          <w:rFonts w:cs="Arial"/>
        </w:rPr>
      </w:pPr>
      <w:r>
        <w:rPr>
          <w:rFonts w:cs="Arial"/>
        </w:rPr>
        <w:t xml:space="preserve">Podstatnou výhodou této varianty řešení je </w:t>
      </w:r>
      <w:r w:rsidR="00011330">
        <w:rPr>
          <w:rFonts w:cs="Arial"/>
        </w:rPr>
        <w:t>zjednodušení administrativní správy kaucí, protože by</w:t>
      </w:r>
      <w:r>
        <w:rPr>
          <w:rFonts w:cs="Arial"/>
        </w:rPr>
        <w:t xml:space="preserve"> </w:t>
      </w:r>
      <w:r w:rsidR="00011330">
        <w:rPr>
          <w:rFonts w:cs="Arial"/>
        </w:rPr>
        <w:t xml:space="preserve">docházelo </w:t>
      </w:r>
      <w:r>
        <w:rPr>
          <w:rFonts w:cs="Arial"/>
        </w:rPr>
        <w:t xml:space="preserve">k vrácení kauce </w:t>
      </w:r>
      <w:r w:rsidR="00011330">
        <w:rPr>
          <w:rFonts w:cs="Arial"/>
        </w:rPr>
        <w:t xml:space="preserve">složené pro jednotlivé herní prostory </w:t>
      </w:r>
      <w:r>
        <w:rPr>
          <w:rFonts w:cs="Arial"/>
        </w:rPr>
        <w:t>pouze v případě zrušení všech povolení k</w:t>
      </w:r>
      <w:r w:rsidR="005456F3">
        <w:rPr>
          <w:rFonts w:cs="Arial"/>
        </w:rPr>
        <w:t> </w:t>
      </w:r>
      <w:r>
        <w:rPr>
          <w:rFonts w:cs="Arial"/>
        </w:rPr>
        <w:t>umístění herních prostorů</w:t>
      </w:r>
      <w:r w:rsidR="00011330">
        <w:rPr>
          <w:rFonts w:cs="Arial"/>
        </w:rPr>
        <w:t xml:space="preserve"> konkrétního druhu</w:t>
      </w:r>
      <w:r>
        <w:rPr>
          <w:rFonts w:cs="Arial"/>
        </w:rPr>
        <w:t>.</w:t>
      </w:r>
      <w:r w:rsidR="00CD2F24">
        <w:rPr>
          <w:rFonts w:cs="Arial"/>
        </w:rPr>
        <w:t xml:space="preserve"> Nedocházelo by tak k </w:t>
      </w:r>
      <w:r w:rsidR="00011330">
        <w:rPr>
          <w:rFonts w:cs="Arial"/>
        </w:rPr>
        <w:t>postupným změnám výše kauce v průběhu provozu</w:t>
      </w:r>
      <w:r w:rsidR="00CD2F24">
        <w:rPr>
          <w:rFonts w:cs="Arial"/>
        </w:rPr>
        <w:t xml:space="preserve"> a</w:t>
      </w:r>
      <w:r w:rsidR="005456F3">
        <w:rPr>
          <w:rFonts w:cs="Arial"/>
        </w:rPr>
        <w:t> </w:t>
      </w:r>
      <w:r w:rsidR="00CD2F24">
        <w:rPr>
          <w:rFonts w:cs="Arial"/>
        </w:rPr>
        <w:t>lhůty k vypořádání kauce by plynuly od zrušení posledního povolení k umístění herního prostoru daného druhu.</w:t>
      </w:r>
      <w:r w:rsidR="00E84F63">
        <w:rPr>
          <w:rFonts w:cs="Arial"/>
        </w:rPr>
        <w:t xml:space="preserve"> Další výhodou této varianty řešení je jednodušší ověřování údajů u</w:t>
      </w:r>
      <w:r w:rsidR="005456F3">
        <w:rPr>
          <w:rFonts w:cs="Arial"/>
        </w:rPr>
        <w:t> </w:t>
      </w:r>
      <w:r w:rsidR="00E84F63">
        <w:rPr>
          <w:rFonts w:cs="Arial"/>
        </w:rPr>
        <w:t>složených kaucí obcemi</w:t>
      </w:r>
      <w:r w:rsidR="003A24EF">
        <w:rPr>
          <w:rFonts w:cs="Arial"/>
        </w:rPr>
        <w:t>, tudíž</w:t>
      </w:r>
      <w:r w:rsidR="00F666C9">
        <w:rPr>
          <w:rFonts w:cs="Arial"/>
        </w:rPr>
        <w:t xml:space="preserve"> </w:t>
      </w:r>
      <w:r w:rsidR="003A24EF">
        <w:rPr>
          <w:rFonts w:cs="Arial"/>
        </w:rPr>
        <w:t xml:space="preserve">by </w:t>
      </w:r>
      <w:r w:rsidR="00E84F63">
        <w:rPr>
          <w:rFonts w:cs="Arial"/>
        </w:rPr>
        <w:t xml:space="preserve">nebylo nutné zjišťovat složení </w:t>
      </w:r>
      <w:r w:rsidR="003A24EF">
        <w:rPr>
          <w:rFonts w:cs="Arial"/>
        </w:rPr>
        <w:t xml:space="preserve">kauce </w:t>
      </w:r>
      <w:r w:rsidR="00E84F63">
        <w:rPr>
          <w:rFonts w:cs="Arial"/>
        </w:rPr>
        <w:t>pro konkrétní provozovnu, ale docházelo by k ověřování kauce, jakožto celku.</w:t>
      </w:r>
      <w:r w:rsidR="00011330">
        <w:rPr>
          <w:rFonts w:cs="Arial"/>
        </w:rPr>
        <w:t xml:space="preserve"> Uvedené by však bylo odvislé rovněž od úpravy současného informačního systému.</w:t>
      </w:r>
    </w:p>
    <w:p w14:paraId="4D870EDF" w14:textId="77777777" w:rsidR="00697931" w:rsidRDefault="00697931" w:rsidP="005966B9">
      <w:pPr>
        <w:keepNext/>
        <w:rPr>
          <w:rFonts w:cs="Arial"/>
        </w:rPr>
      </w:pPr>
      <w:r>
        <w:rPr>
          <w:rFonts w:cs="Arial"/>
        </w:rPr>
        <w:t>Nevýhody:</w:t>
      </w:r>
    </w:p>
    <w:p w14:paraId="51526DE2" w14:textId="5B9F6927" w:rsidR="00485F3D" w:rsidRDefault="001218E5" w:rsidP="0044792D">
      <w:r>
        <w:t>Tato varianta představuje p</w:t>
      </w:r>
      <w:r w:rsidR="00485F3D">
        <w:t>ro provozovatele</w:t>
      </w:r>
      <w:r w:rsidR="000C67DC">
        <w:t xml:space="preserve"> nevýhod</w:t>
      </w:r>
      <w:r>
        <w:t>u</w:t>
      </w:r>
      <w:r w:rsidR="000C67DC">
        <w:t xml:space="preserve"> spočívající ve větší finanční zátěži</w:t>
      </w:r>
      <w:r w:rsidR="00485F3D">
        <w:t xml:space="preserve"> </w:t>
      </w:r>
      <w:r w:rsidR="000C67DC">
        <w:t>a</w:t>
      </w:r>
      <w:r w:rsidR="005456F3">
        <w:t> </w:t>
      </w:r>
      <w:r w:rsidR="00011330">
        <w:t xml:space="preserve">faktickém </w:t>
      </w:r>
      <w:r w:rsidR="00485F3D">
        <w:t>znemožnění pružné operace s finančními prostředky dle aktuální situace na trhu či možností provozovatele.</w:t>
      </w:r>
    </w:p>
    <w:p w14:paraId="624E4E04" w14:textId="77777777" w:rsidR="00853FE9" w:rsidRDefault="00853FE9" w:rsidP="0044792D">
      <w:pPr>
        <w:pStyle w:val="Nadpis7"/>
      </w:pPr>
      <w:r w:rsidRPr="00996DE2">
        <w:t xml:space="preserve">Varianta </w:t>
      </w:r>
      <w:r w:rsidR="00507093">
        <w:t>III.</w:t>
      </w:r>
      <w:r w:rsidRPr="00996DE2">
        <w:t xml:space="preserve"> – </w:t>
      </w:r>
      <w:r w:rsidR="00507093">
        <w:t>R</w:t>
      </w:r>
      <w:r w:rsidRPr="00996DE2">
        <w:t>ozdělení kauc</w:t>
      </w:r>
      <w:r w:rsidR="00507093">
        <w:t>í</w:t>
      </w:r>
      <w:r w:rsidRPr="00996DE2">
        <w:t xml:space="preserve"> </w:t>
      </w:r>
      <w:r w:rsidR="00011330">
        <w:t xml:space="preserve">pro herní prostory </w:t>
      </w:r>
      <w:r w:rsidRPr="00996DE2">
        <w:t xml:space="preserve">do </w:t>
      </w:r>
      <w:r w:rsidR="00507093">
        <w:t xml:space="preserve">tzv. </w:t>
      </w:r>
      <w:r w:rsidRPr="00996DE2">
        <w:t>pásem</w:t>
      </w:r>
    </w:p>
    <w:p w14:paraId="7113E443" w14:textId="5F15417C" w:rsidR="00895D06" w:rsidRPr="00895D06" w:rsidRDefault="0026102B" w:rsidP="00895D06">
      <w:pPr>
        <w:pStyle w:val="Textkomente"/>
        <w:jc w:val="both"/>
        <w:rPr>
          <w:rFonts w:ascii="Arial" w:hAnsi="Arial" w:cs="Arial"/>
          <w:sz w:val="24"/>
          <w:szCs w:val="24"/>
        </w:rPr>
      </w:pPr>
      <w:r w:rsidRPr="00895D06">
        <w:rPr>
          <w:rFonts w:ascii="Arial" w:hAnsi="Arial" w:cs="Arial"/>
          <w:sz w:val="24"/>
        </w:rPr>
        <w:t>Další</w:t>
      </w:r>
      <w:r w:rsidR="00853FE9" w:rsidRPr="00895D06">
        <w:rPr>
          <w:rFonts w:ascii="Arial" w:hAnsi="Arial" w:cs="Arial"/>
          <w:sz w:val="24"/>
        </w:rPr>
        <w:t xml:space="preserve"> z variant řešení jak upravit správu kaucí, je rozděl</w:t>
      </w:r>
      <w:r w:rsidR="004F3040">
        <w:rPr>
          <w:rFonts w:ascii="Arial" w:hAnsi="Arial" w:cs="Arial"/>
          <w:sz w:val="24"/>
        </w:rPr>
        <w:t>ení</w:t>
      </w:r>
      <w:r w:rsidR="00853FE9" w:rsidRPr="00895D06">
        <w:rPr>
          <w:rFonts w:ascii="Arial" w:hAnsi="Arial" w:cs="Arial"/>
          <w:sz w:val="24"/>
        </w:rPr>
        <w:t xml:space="preserve"> výš</w:t>
      </w:r>
      <w:r w:rsidR="004F3040">
        <w:rPr>
          <w:rFonts w:ascii="Arial" w:hAnsi="Arial" w:cs="Arial"/>
          <w:sz w:val="24"/>
        </w:rPr>
        <w:t>e</w:t>
      </w:r>
      <w:r w:rsidR="00853FE9" w:rsidRPr="00895D06">
        <w:rPr>
          <w:rFonts w:ascii="Arial" w:hAnsi="Arial" w:cs="Arial"/>
          <w:sz w:val="24"/>
        </w:rPr>
        <w:t xml:space="preserve"> kauce</w:t>
      </w:r>
      <w:r w:rsidR="008E3FFA" w:rsidRPr="00895D06">
        <w:rPr>
          <w:rFonts w:ascii="Arial" w:hAnsi="Arial" w:cs="Arial"/>
          <w:sz w:val="24"/>
        </w:rPr>
        <w:t xml:space="preserve"> skládané pro herní prostory</w:t>
      </w:r>
      <w:r w:rsidR="00853FE9" w:rsidRPr="00895D06">
        <w:rPr>
          <w:rFonts w:ascii="Arial" w:hAnsi="Arial" w:cs="Arial"/>
          <w:sz w:val="24"/>
        </w:rPr>
        <w:t xml:space="preserve"> na tzv. pásma.</w:t>
      </w:r>
      <w:r w:rsidR="00485F3D" w:rsidRPr="00895D06">
        <w:rPr>
          <w:rFonts w:ascii="Arial" w:hAnsi="Arial" w:cs="Arial"/>
          <w:sz w:val="24"/>
        </w:rPr>
        <w:t xml:space="preserve"> I</w:t>
      </w:r>
      <w:r w:rsidR="00853FE9" w:rsidRPr="00895D06">
        <w:rPr>
          <w:rFonts w:ascii="Arial" w:hAnsi="Arial" w:cs="Arial"/>
          <w:sz w:val="24"/>
        </w:rPr>
        <w:t>nspirací může být změna zákona o</w:t>
      </w:r>
      <w:r w:rsidR="005456F3">
        <w:rPr>
          <w:rFonts w:ascii="Arial" w:hAnsi="Arial" w:cs="Arial"/>
          <w:sz w:val="24"/>
        </w:rPr>
        <w:t> </w:t>
      </w:r>
      <w:r w:rsidR="00853FE9" w:rsidRPr="00895D06">
        <w:rPr>
          <w:rFonts w:ascii="Arial" w:hAnsi="Arial" w:cs="Arial"/>
          <w:sz w:val="24"/>
        </w:rPr>
        <w:t>povinném značení lihu č.</w:t>
      </w:r>
      <w:r w:rsidR="00485F3D" w:rsidRPr="00895D06">
        <w:rPr>
          <w:rFonts w:ascii="Arial" w:hAnsi="Arial" w:cs="Arial"/>
          <w:sz w:val="24"/>
        </w:rPr>
        <w:t> </w:t>
      </w:r>
      <w:r w:rsidR="00853FE9" w:rsidRPr="00895D06">
        <w:rPr>
          <w:rFonts w:ascii="Arial" w:hAnsi="Arial" w:cs="Arial"/>
          <w:sz w:val="24"/>
        </w:rPr>
        <w:t>307/2013</w:t>
      </w:r>
      <w:r w:rsidR="005456F3">
        <w:rPr>
          <w:rFonts w:ascii="Arial" w:hAnsi="Arial" w:cs="Arial"/>
          <w:sz w:val="24"/>
        </w:rPr>
        <w:t> </w:t>
      </w:r>
      <w:r w:rsidR="00853FE9" w:rsidRPr="00895D06">
        <w:rPr>
          <w:rFonts w:ascii="Arial" w:hAnsi="Arial" w:cs="Arial"/>
          <w:sz w:val="24"/>
        </w:rPr>
        <w:t>Sb., o</w:t>
      </w:r>
      <w:r w:rsidR="005456F3">
        <w:rPr>
          <w:rFonts w:ascii="Arial" w:hAnsi="Arial" w:cs="Arial"/>
          <w:sz w:val="24"/>
        </w:rPr>
        <w:t> </w:t>
      </w:r>
      <w:r w:rsidR="00853FE9" w:rsidRPr="00895D06">
        <w:rPr>
          <w:rFonts w:ascii="Arial" w:hAnsi="Arial" w:cs="Arial"/>
          <w:sz w:val="24"/>
        </w:rPr>
        <w:t>povinném značení lihu</w:t>
      </w:r>
      <w:r w:rsidR="004863F4" w:rsidRPr="00895D06">
        <w:rPr>
          <w:rFonts w:ascii="Arial" w:hAnsi="Arial" w:cs="Arial"/>
          <w:sz w:val="24"/>
        </w:rPr>
        <w:t>,</w:t>
      </w:r>
      <w:r w:rsidR="00853FE9" w:rsidRPr="00895D06">
        <w:rPr>
          <w:rFonts w:ascii="Arial" w:hAnsi="Arial" w:cs="Arial"/>
          <w:sz w:val="24"/>
        </w:rPr>
        <w:t xml:space="preserve"> ve znění pozdějších předpisů, kdy s účinností od 1.</w:t>
      </w:r>
      <w:r w:rsidR="005456F3">
        <w:rPr>
          <w:rFonts w:ascii="Arial" w:hAnsi="Arial" w:cs="Arial"/>
          <w:sz w:val="24"/>
        </w:rPr>
        <w:t> </w:t>
      </w:r>
      <w:r w:rsidR="00853FE9" w:rsidRPr="00895D06">
        <w:rPr>
          <w:rFonts w:ascii="Arial" w:hAnsi="Arial" w:cs="Arial"/>
          <w:sz w:val="24"/>
        </w:rPr>
        <w:t>1.</w:t>
      </w:r>
      <w:r w:rsidR="005456F3">
        <w:rPr>
          <w:rFonts w:ascii="Arial" w:hAnsi="Arial" w:cs="Arial"/>
          <w:sz w:val="24"/>
        </w:rPr>
        <w:t> </w:t>
      </w:r>
      <w:r w:rsidR="00853FE9" w:rsidRPr="00895D06">
        <w:rPr>
          <w:rFonts w:ascii="Arial" w:hAnsi="Arial" w:cs="Arial"/>
          <w:sz w:val="24"/>
        </w:rPr>
        <w:t>2021 upravil zákonodárce výši kauce s ohledem na objem distribuovaného lihu.</w:t>
      </w:r>
      <w:r w:rsidR="00853FE9" w:rsidRPr="00895D06">
        <w:rPr>
          <w:rStyle w:val="Znakapoznpodarou"/>
          <w:rFonts w:ascii="Arial" w:hAnsi="Arial" w:cs="Arial"/>
          <w:sz w:val="24"/>
        </w:rPr>
        <w:footnoteReference w:id="19"/>
      </w:r>
      <w:r w:rsidR="00853FE9" w:rsidRPr="00895D06">
        <w:rPr>
          <w:rFonts w:ascii="Arial" w:hAnsi="Arial" w:cs="Arial"/>
          <w:sz w:val="24"/>
        </w:rPr>
        <w:t xml:space="preserve"> </w:t>
      </w:r>
      <w:r w:rsidR="004863F4" w:rsidRPr="00895D06">
        <w:rPr>
          <w:rFonts w:ascii="Arial" w:hAnsi="Arial" w:cs="Arial"/>
          <w:sz w:val="24"/>
        </w:rPr>
        <w:t>Zákon o hazardních hrách by mohl být upraven obdobně, a to tak</w:t>
      </w:r>
      <w:r w:rsidR="008A05E1" w:rsidRPr="00895D06">
        <w:rPr>
          <w:rFonts w:ascii="Arial" w:hAnsi="Arial" w:cs="Arial"/>
          <w:sz w:val="24"/>
        </w:rPr>
        <w:t>,</w:t>
      </w:r>
      <w:r w:rsidR="004863F4" w:rsidRPr="00895D06">
        <w:rPr>
          <w:rFonts w:ascii="Arial" w:hAnsi="Arial" w:cs="Arial"/>
          <w:sz w:val="24"/>
        </w:rPr>
        <w:t xml:space="preserve"> aby </w:t>
      </w:r>
      <w:r w:rsidR="004863F4" w:rsidRPr="004F3040">
        <w:rPr>
          <w:rFonts w:ascii="Arial" w:hAnsi="Arial" w:cs="Arial"/>
          <w:b/>
          <w:sz w:val="24"/>
        </w:rPr>
        <w:t>kauce</w:t>
      </w:r>
      <w:r w:rsidR="008A05E1" w:rsidRPr="004F3040">
        <w:rPr>
          <w:rFonts w:ascii="Arial" w:hAnsi="Arial" w:cs="Arial"/>
          <w:b/>
          <w:sz w:val="24"/>
        </w:rPr>
        <w:t xml:space="preserve"> byla skládána ve výši odpovídající</w:t>
      </w:r>
      <w:r w:rsidR="004863F4" w:rsidRPr="004F3040">
        <w:rPr>
          <w:rFonts w:ascii="Arial" w:hAnsi="Arial" w:cs="Arial"/>
          <w:b/>
          <w:sz w:val="24"/>
        </w:rPr>
        <w:t xml:space="preserve"> počtu herních prostorů</w:t>
      </w:r>
      <w:r w:rsidR="008A05E1" w:rsidRPr="004F3040">
        <w:rPr>
          <w:rFonts w:ascii="Arial" w:hAnsi="Arial" w:cs="Arial"/>
          <w:b/>
          <w:sz w:val="24"/>
        </w:rPr>
        <w:t xml:space="preserve"> nacházejících se</w:t>
      </w:r>
      <w:r w:rsidR="00B76E24" w:rsidRPr="004F3040">
        <w:rPr>
          <w:rFonts w:ascii="Arial" w:hAnsi="Arial" w:cs="Arial"/>
          <w:b/>
          <w:sz w:val="24"/>
        </w:rPr>
        <w:t xml:space="preserve"> v</w:t>
      </w:r>
      <w:r w:rsidR="008A05E1" w:rsidRPr="004F3040">
        <w:rPr>
          <w:rFonts w:ascii="Arial" w:hAnsi="Arial" w:cs="Arial"/>
          <w:b/>
          <w:sz w:val="24"/>
        </w:rPr>
        <w:t xml:space="preserve"> rozmezí daného pásma.</w:t>
      </w:r>
      <w:r w:rsidR="008A05E1" w:rsidRPr="00895D06">
        <w:rPr>
          <w:rFonts w:ascii="Arial" w:hAnsi="Arial" w:cs="Arial"/>
          <w:sz w:val="24"/>
        </w:rPr>
        <w:t xml:space="preserve"> </w:t>
      </w:r>
      <w:r w:rsidR="00853FE9" w:rsidRPr="00895D06">
        <w:rPr>
          <w:rFonts w:ascii="Arial" w:hAnsi="Arial" w:cs="Arial"/>
          <w:sz w:val="24"/>
        </w:rPr>
        <w:t>V případě, že dojde k takovéto úpravě zákona o</w:t>
      </w:r>
      <w:r w:rsidR="005456F3">
        <w:rPr>
          <w:rFonts w:ascii="Arial" w:hAnsi="Arial" w:cs="Arial"/>
          <w:sz w:val="24"/>
        </w:rPr>
        <w:t> </w:t>
      </w:r>
      <w:r w:rsidR="00853FE9" w:rsidRPr="00895D06">
        <w:rPr>
          <w:rFonts w:ascii="Arial" w:hAnsi="Arial" w:cs="Arial"/>
          <w:sz w:val="24"/>
        </w:rPr>
        <w:t xml:space="preserve">hazardních hrách, současnou administrativně náročnou situaci by to </w:t>
      </w:r>
      <w:r w:rsidR="00335F78" w:rsidRPr="00895D06">
        <w:rPr>
          <w:rFonts w:ascii="Arial" w:hAnsi="Arial" w:cs="Arial"/>
          <w:sz w:val="24"/>
        </w:rPr>
        <w:t xml:space="preserve">částečně ulehčilo </w:t>
      </w:r>
      <w:r w:rsidR="008E3FFA" w:rsidRPr="00895D06">
        <w:rPr>
          <w:rFonts w:ascii="Arial" w:hAnsi="Arial" w:cs="Arial"/>
          <w:sz w:val="24"/>
        </w:rPr>
        <w:t xml:space="preserve">(požadovaná výše kauce by se neměnila s téměř každou změnou umístění) </w:t>
      </w:r>
      <w:r w:rsidR="00335F78" w:rsidRPr="00895D06">
        <w:rPr>
          <w:rFonts w:ascii="Arial" w:hAnsi="Arial" w:cs="Arial"/>
          <w:sz w:val="24"/>
        </w:rPr>
        <w:t>a</w:t>
      </w:r>
      <w:r w:rsidR="005456F3">
        <w:rPr>
          <w:rFonts w:ascii="Arial" w:hAnsi="Arial" w:cs="Arial"/>
          <w:sz w:val="24"/>
        </w:rPr>
        <w:t> </w:t>
      </w:r>
      <w:r w:rsidR="00853FE9" w:rsidRPr="00895D06">
        <w:rPr>
          <w:rFonts w:ascii="Arial" w:hAnsi="Arial" w:cs="Arial"/>
          <w:sz w:val="24"/>
        </w:rPr>
        <w:t xml:space="preserve">v případě </w:t>
      </w:r>
      <w:r w:rsidR="00335F78" w:rsidRPr="00895D06">
        <w:rPr>
          <w:rFonts w:ascii="Arial" w:hAnsi="Arial" w:cs="Arial"/>
          <w:sz w:val="24"/>
        </w:rPr>
        <w:t>kauce složené</w:t>
      </w:r>
      <w:r w:rsidR="00853FE9" w:rsidRPr="00895D06">
        <w:rPr>
          <w:rFonts w:ascii="Arial" w:hAnsi="Arial" w:cs="Arial"/>
          <w:sz w:val="24"/>
        </w:rPr>
        <w:t xml:space="preserve"> </w:t>
      </w:r>
      <w:r w:rsidR="005456F3">
        <w:rPr>
          <w:rFonts w:ascii="Arial" w:hAnsi="Arial" w:cs="Arial"/>
          <w:sz w:val="24"/>
        </w:rPr>
        <w:t>po</w:t>
      </w:r>
      <w:r w:rsidR="00853FE9" w:rsidRPr="00895D06">
        <w:rPr>
          <w:rFonts w:ascii="Arial" w:hAnsi="Arial" w:cs="Arial"/>
          <w:sz w:val="24"/>
        </w:rPr>
        <w:t>dle §</w:t>
      </w:r>
      <w:r w:rsidR="005456F3">
        <w:rPr>
          <w:rFonts w:ascii="Arial" w:hAnsi="Arial" w:cs="Arial"/>
          <w:sz w:val="24"/>
        </w:rPr>
        <w:t> </w:t>
      </w:r>
      <w:r w:rsidR="00853FE9" w:rsidRPr="00895D06">
        <w:rPr>
          <w:rFonts w:ascii="Arial" w:hAnsi="Arial" w:cs="Arial"/>
          <w:sz w:val="24"/>
        </w:rPr>
        <w:t>100</w:t>
      </w:r>
      <w:r w:rsidR="005456F3">
        <w:rPr>
          <w:rFonts w:ascii="Arial" w:hAnsi="Arial" w:cs="Arial"/>
          <w:sz w:val="24"/>
        </w:rPr>
        <w:t> </w:t>
      </w:r>
      <w:r w:rsidR="00853FE9" w:rsidRPr="00895D06">
        <w:rPr>
          <w:rFonts w:ascii="Arial" w:hAnsi="Arial" w:cs="Arial"/>
          <w:sz w:val="24"/>
        </w:rPr>
        <w:t>odst.</w:t>
      </w:r>
      <w:r w:rsidR="005456F3">
        <w:rPr>
          <w:rFonts w:ascii="Arial" w:hAnsi="Arial" w:cs="Arial"/>
          <w:sz w:val="24"/>
        </w:rPr>
        <w:t> </w:t>
      </w:r>
      <w:r w:rsidR="00853FE9" w:rsidRPr="00895D06">
        <w:rPr>
          <w:rFonts w:ascii="Arial" w:hAnsi="Arial" w:cs="Arial"/>
          <w:sz w:val="24"/>
        </w:rPr>
        <w:t>1</w:t>
      </w:r>
      <w:r w:rsidR="005456F3">
        <w:rPr>
          <w:rFonts w:ascii="Arial" w:hAnsi="Arial" w:cs="Arial"/>
          <w:sz w:val="24"/>
        </w:rPr>
        <w:t> </w:t>
      </w:r>
      <w:r w:rsidR="00853FE9" w:rsidRPr="00895D06">
        <w:rPr>
          <w:rFonts w:ascii="Arial" w:hAnsi="Arial" w:cs="Arial"/>
          <w:sz w:val="24"/>
        </w:rPr>
        <w:t>písm.</w:t>
      </w:r>
      <w:r w:rsidR="005456F3">
        <w:rPr>
          <w:rFonts w:ascii="Arial" w:hAnsi="Arial" w:cs="Arial"/>
          <w:sz w:val="24"/>
        </w:rPr>
        <w:t> </w:t>
      </w:r>
      <w:r w:rsidR="00853FE9" w:rsidRPr="00895D06">
        <w:rPr>
          <w:rFonts w:ascii="Arial" w:hAnsi="Arial" w:cs="Arial"/>
          <w:sz w:val="24"/>
        </w:rPr>
        <w:t>a) zákona o</w:t>
      </w:r>
      <w:r w:rsidR="0044792D" w:rsidRPr="00895D06">
        <w:rPr>
          <w:rFonts w:ascii="Arial" w:hAnsi="Arial" w:cs="Arial"/>
          <w:sz w:val="24"/>
        </w:rPr>
        <w:t> </w:t>
      </w:r>
      <w:r w:rsidR="00853FE9" w:rsidRPr="00895D06">
        <w:rPr>
          <w:rFonts w:ascii="Arial" w:hAnsi="Arial" w:cs="Arial"/>
          <w:sz w:val="24"/>
        </w:rPr>
        <w:t xml:space="preserve">hazardních hrách na zvláštním účtu </w:t>
      </w:r>
      <w:r w:rsidR="00853FE9" w:rsidRPr="00BC2B1B">
        <w:rPr>
          <w:rFonts w:ascii="Arial" w:hAnsi="Arial" w:cs="Arial"/>
          <w:sz w:val="24"/>
        </w:rPr>
        <w:t xml:space="preserve">Ministerstva financí </w:t>
      </w:r>
      <w:r w:rsidR="00335F78" w:rsidRPr="00BC2B1B">
        <w:rPr>
          <w:rFonts w:ascii="Arial" w:hAnsi="Arial" w:cs="Arial"/>
          <w:sz w:val="24"/>
        </w:rPr>
        <w:t>by</w:t>
      </w:r>
      <w:r w:rsidR="00335F78" w:rsidRPr="00BC2B1B">
        <w:rPr>
          <w:sz w:val="24"/>
        </w:rPr>
        <w:t xml:space="preserve"> </w:t>
      </w:r>
      <w:r w:rsidR="00335F78" w:rsidRPr="00BC2B1B">
        <w:rPr>
          <w:rFonts w:ascii="Arial" w:hAnsi="Arial" w:cs="Arial"/>
          <w:sz w:val="24"/>
          <w:szCs w:val="24"/>
        </w:rPr>
        <w:t xml:space="preserve">nadále docházelo </w:t>
      </w:r>
      <w:r w:rsidR="00853FE9" w:rsidRPr="00BC2B1B">
        <w:rPr>
          <w:rFonts w:ascii="Arial" w:hAnsi="Arial" w:cs="Arial"/>
          <w:sz w:val="24"/>
          <w:szCs w:val="24"/>
        </w:rPr>
        <w:t>k</w:t>
      </w:r>
      <w:r w:rsidR="0044792D" w:rsidRPr="00BC2B1B">
        <w:rPr>
          <w:rFonts w:ascii="Arial" w:hAnsi="Arial" w:cs="Arial"/>
          <w:sz w:val="24"/>
          <w:szCs w:val="24"/>
        </w:rPr>
        <w:t> </w:t>
      </w:r>
      <w:r w:rsidR="00335F78" w:rsidRPr="00BC2B1B">
        <w:rPr>
          <w:rFonts w:ascii="Arial" w:hAnsi="Arial" w:cs="Arial"/>
          <w:sz w:val="24"/>
          <w:szCs w:val="24"/>
        </w:rPr>
        <w:t>jejímu</w:t>
      </w:r>
      <w:r w:rsidR="00853FE9" w:rsidRPr="00BC2B1B">
        <w:rPr>
          <w:rFonts w:ascii="Arial" w:hAnsi="Arial" w:cs="Arial"/>
          <w:sz w:val="24"/>
          <w:szCs w:val="24"/>
        </w:rPr>
        <w:t xml:space="preserve"> vrácení pouze na žádost provozovatele. V případě kauce složené formou bankovní záruky </w:t>
      </w:r>
      <w:r w:rsidR="005456F3">
        <w:rPr>
          <w:rFonts w:ascii="Arial" w:hAnsi="Arial" w:cs="Arial"/>
          <w:sz w:val="24"/>
          <w:szCs w:val="24"/>
        </w:rPr>
        <w:t>po</w:t>
      </w:r>
      <w:r w:rsidR="00853FE9" w:rsidRPr="00BC2B1B">
        <w:rPr>
          <w:rFonts w:ascii="Arial" w:hAnsi="Arial" w:cs="Arial"/>
          <w:sz w:val="24"/>
          <w:szCs w:val="24"/>
        </w:rPr>
        <w:t>dle §</w:t>
      </w:r>
      <w:r w:rsidR="005456F3">
        <w:rPr>
          <w:rFonts w:ascii="Arial" w:hAnsi="Arial" w:cs="Arial"/>
          <w:sz w:val="24"/>
          <w:szCs w:val="24"/>
        </w:rPr>
        <w:t> </w:t>
      </w:r>
      <w:r w:rsidR="00853FE9" w:rsidRPr="00BC2B1B">
        <w:rPr>
          <w:rFonts w:ascii="Arial" w:hAnsi="Arial" w:cs="Arial"/>
          <w:sz w:val="24"/>
          <w:szCs w:val="24"/>
        </w:rPr>
        <w:t>100</w:t>
      </w:r>
      <w:r w:rsidR="005456F3">
        <w:rPr>
          <w:rFonts w:ascii="Arial" w:hAnsi="Arial" w:cs="Arial"/>
          <w:sz w:val="24"/>
          <w:szCs w:val="24"/>
        </w:rPr>
        <w:t> </w:t>
      </w:r>
      <w:r w:rsidR="00853FE9" w:rsidRPr="00BC2B1B">
        <w:rPr>
          <w:rFonts w:ascii="Arial" w:hAnsi="Arial" w:cs="Arial"/>
          <w:sz w:val="24"/>
          <w:szCs w:val="24"/>
        </w:rPr>
        <w:t>odst.</w:t>
      </w:r>
      <w:r w:rsidR="005456F3">
        <w:rPr>
          <w:rFonts w:ascii="Arial" w:hAnsi="Arial" w:cs="Arial"/>
          <w:sz w:val="24"/>
          <w:szCs w:val="24"/>
        </w:rPr>
        <w:t> </w:t>
      </w:r>
      <w:r w:rsidR="00853FE9" w:rsidRPr="00BC2B1B">
        <w:rPr>
          <w:rFonts w:ascii="Arial" w:hAnsi="Arial" w:cs="Arial"/>
          <w:sz w:val="24"/>
          <w:szCs w:val="24"/>
        </w:rPr>
        <w:t>1</w:t>
      </w:r>
      <w:r w:rsidR="005456F3">
        <w:rPr>
          <w:rFonts w:ascii="Arial" w:hAnsi="Arial" w:cs="Arial"/>
          <w:sz w:val="24"/>
          <w:szCs w:val="24"/>
        </w:rPr>
        <w:t> </w:t>
      </w:r>
      <w:r w:rsidR="00853FE9" w:rsidRPr="00BC2B1B">
        <w:rPr>
          <w:rFonts w:ascii="Arial" w:hAnsi="Arial" w:cs="Arial"/>
          <w:sz w:val="24"/>
          <w:szCs w:val="24"/>
        </w:rPr>
        <w:t>písm.</w:t>
      </w:r>
      <w:r w:rsidR="005456F3">
        <w:rPr>
          <w:rFonts w:ascii="Arial" w:hAnsi="Arial" w:cs="Arial"/>
          <w:sz w:val="24"/>
          <w:szCs w:val="24"/>
        </w:rPr>
        <w:t> </w:t>
      </w:r>
      <w:r w:rsidR="00853FE9" w:rsidRPr="00BC2B1B">
        <w:rPr>
          <w:rFonts w:ascii="Arial" w:hAnsi="Arial" w:cs="Arial"/>
          <w:sz w:val="24"/>
          <w:szCs w:val="24"/>
        </w:rPr>
        <w:t>b) zákona o</w:t>
      </w:r>
      <w:r w:rsidR="005456F3">
        <w:rPr>
          <w:rFonts w:ascii="Arial" w:hAnsi="Arial" w:cs="Arial"/>
          <w:sz w:val="24"/>
          <w:szCs w:val="24"/>
        </w:rPr>
        <w:t> </w:t>
      </w:r>
      <w:r w:rsidR="00853FE9" w:rsidRPr="00BC2B1B">
        <w:rPr>
          <w:rFonts w:ascii="Arial" w:hAnsi="Arial" w:cs="Arial"/>
          <w:sz w:val="24"/>
          <w:szCs w:val="24"/>
        </w:rPr>
        <w:t>hazardních hrách</w:t>
      </w:r>
      <w:r w:rsidR="002C3E27" w:rsidRPr="00BC2B1B">
        <w:rPr>
          <w:rFonts w:ascii="Arial" w:hAnsi="Arial" w:cs="Arial"/>
          <w:sz w:val="24"/>
          <w:szCs w:val="24"/>
        </w:rPr>
        <w:t xml:space="preserve"> </w:t>
      </w:r>
      <w:r w:rsidR="00895D06" w:rsidRPr="00BC2B1B">
        <w:rPr>
          <w:rFonts w:ascii="Arial" w:hAnsi="Arial" w:cs="Arial"/>
          <w:sz w:val="24"/>
          <w:szCs w:val="24"/>
        </w:rPr>
        <w:t>by lhůta pro možnost učinění výzvy výstavci bankovní záruky počínala plynout od zrušení rozhodného povolení k umístění herního prostoru, kt</w:t>
      </w:r>
      <w:r w:rsidR="002C3E27" w:rsidRPr="00BC2B1B">
        <w:rPr>
          <w:rFonts w:ascii="Arial" w:hAnsi="Arial" w:cs="Arial"/>
          <w:sz w:val="24"/>
          <w:szCs w:val="24"/>
        </w:rPr>
        <w:t xml:space="preserve">erý by měl vliv na určení výše </w:t>
      </w:r>
      <w:r w:rsidR="00895D06" w:rsidRPr="00BC2B1B">
        <w:rPr>
          <w:rFonts w:ascii="Arial" w:hAnsi="Arial" w:cs="Arial"/>
          <w:sz w:val="24"/>
          <w:szCs w:val="24"/>
        </w:rPr>
        <w:t xml:space="preserve">bankovní záruky, případně by musela být zvolena jiná vhodnější koncepce, která by proces administrace zjednodušila. </w:t>
      </w:r>
      <w:r w:rsidR="004F3040" w:rsidRPr="00BC2B1B">
        <w:rPr>
          <w:rFonts w:ascii="Arial" w:hAnsi="Arial" w:cs="Arial"/>
          <w:sz w:val="24"/>
          <w:szCs w:val="24"/>
        </w:rPr>
        <w:t>Rovněž by pravděpodobně mělo být určeno, že kauci lze pokrýt pouze jedním způsobem složení kauce, neboť při kombinaci je poměrně problematické určit, které herní prostory jsou pokryty bankovní zárukou a</w:t>
      </w:r>
      <w:r w:rsidR="005456F3">
        <w:rPr>
          <w:rFonts w:ascii="Arial" w:hAnsi="Arial" w:cs="Arial"/>
          <w:sz w:val="24"/>
          <w:szCs w:val="24"/>
        </w:rPr>
        <w:t> </w:t>
      </w:r>
      <w:r w:rsidR="004F3040" w:rsidRPr="00BC2B1B">
        <w:rPr>
          <w:rFonts w:ascii="Arial" w:hAnsi="Arial" w:cs="Arial"/>
          <w:sz w:val="24"/>
          <w:szCs w:val="24"/>
        </w:rPr>
        <w:t>které složenými peněžními prostředky na zvláštním účtu, což může mít vliv na maximální délku, na kterou lze případné povolení vydat (bankovní záruka musí být o</w:t>
      </w:r>
      <w:r w:rsidR="005C1A88">
        <w:rPr>
          <w:rFonts w:ascii="Arial" w:hAnsi="Arial" w:cs="Arial"/>
          <w:sz w:val="24"/>
          <w:szCs w:val="24"/>
        </w:rPr>
        <w:t> </w:t>
      </w:r>
      <w:r w:rsidR="004F3040" w:rsidRPr="00BC2B1B">
        <w:rPr>
          <w:rFonts w:ascii="Arial" w:hAnsi="Arial" w:cs="Arial"/>
          <w:sz w:val="24"/>
          <w:szCs w:val="24"/>
        </w:rPr>
        <w:t>1</w:t>
      </w:r>
      <w:r w:rsidR="005C1A88">
        <w:rPr>
          <w:rFonts w:ascii="Arial" w:hAnsi="Arial" w:cs="Arial"/>
          <w:sz w:val="24"/>
          <w:szCs w:val="24"/>
        </w:rPr>
        <w:t> </w:t>
      </w:r>
      <w:r w:rsidR="004F3040" w:rsidRPr="00BC2B1B">
        <w:rPr>
          <w:rFonts w:ascii="Arial" w:hAnsi="Arial" w:cs="Arial"/>
          <w:sz w:val="24"/>
          <w:szCs w:val="24"/>
        </w:rPr>
        <w:t xml:space="preserve">rok delší než je doba povolení). </w:t>
      </w:r>
      <w:r w:rsidR="00895D06" w:rsidRPr="00BC2B1B">
        <w:rPr>
          <w:rFonts w:ascii="Arial" w:hAnsi="Arial" w:cs="Arial"/>
          <w:sz w:val="24"/>
          <w:szCs w:val="24"/>
        </w:rPr>
        <w:t>Zároveň je stále nutno reflektovat, že se jedná pouze o</w:t>
      </w:r>
      <w:r w:rsidR="005C1A88">
        <w:rPr>
          <w:rFonts w:ascii="Arial" w:hAnsi="Arial" w:cs="Arial"/>
          <w:sz w:val="24"/>
          <w:szCs w:val="24"/>
        </w:rPr>
        <w:t> </w:t>
      </w:r>
      <w:r w:rsidR="00895D06" w:rsidRPr="00BC2B1B">
        <w:rPr>
          <w:rFonts w:ascii="Arial" w:hAnsi="Arial" w:cs="Arial"/>
          <w:sz w:val="24"/>
          <w:szCs w:val="24"/>
        </w:rPr>
        <w:t>způsob výpočtu složené částky, nikoliv o</w:t>
      </w:r>
      <w:r w:rsidR="005C1A88">
        <w:rPr>
          <w:rFonts w:ascii="Arial" w:hAnsi="Arial" w:cs="Arial"/>
          <w:sz w:val="24"/>
          <w:szCs w:val="24"/>
        </w:rPr>
        <w:t> </w:t>
      </w:r>
      <w:r w:rsidR="00895D06" w:rsidRPr="00BC2B1B">
        <w:rPr>
          <w:rFonts w:ascii="Arial" w:hAnsi="Arial" w:cs="Arial"/>
          <w:sz w:val="24"/>
          <w:szCs w:val="24"/>
        </w:rPr>
        <w:t>účelové omezení dané kauce z pohledu možnosti jejího využití pouze ke konkrétnímu herního prostoru zajištěného daným „pásmem“.</w:t>
      </w:r>
    </w:p>
    <w:p w14:paraId="2328E55D" w14:textId="77777777" w:rsidR="0044792D" w:rsidRDefault="0044792D" w:rsidP="00F2736B">
      <w:pPr>
        <w:keepNext/>
      </w:pPr>
      <w:r>
        <w:t>Výhody:</w:t>
      </w:r>
    </w:p>
    <w:p w14:paraId="72F3E08C" w14:textId="6BBE3C6C" w:rsidR="00B76E24" w:rsidRDefault="00330C5E" w:rsidP="0044792D">
      <w:r>
        <w:t xml:space="preserve">Značnou výhodou tohoto řešení </w:t>
      </w:r>
      <w:r w:rsidR="000F3193">
        <w:t xml:space="preserve">z pohledu Ministerstva financí </w:t>
      </w:r>
      <w:r>
        <w:t>je o</w:t>
      </w:r>
      <w:r w:rsidR="00B76E24">
        <w:t>dpadnutí části administrativy spojené se správou kaucí a</w:t>
      </w:r>
      <w:r w:rsidR="005C1A88">
        <w:t> </w:t>
      </w:r>
      <w:r w:rsidR="00B76E24">
        <w:t xml:space="preserve">evidencí herních </w:t>
      </w:r>
      <w:r>
        <w:t xml:space="preserve">prostorů. </w:t>
      </w:r>
      <w:r w:rsidR="00C96DF0">
        <w:t>I</w:t>
      </w:r>
      <w:r w:rsidR="005C1A88">
        <w:t> </w:t>
      </w:r>
      <w:r w:rsidR="00B76E24">
        <w:t>přes odpadnutí značné části administrativy bude na pracovnících Ministerstva financí</w:t>
      </w:r>
      <w:r w:rsidR="00620107">
        <w:t>, aby</w:t>
      </w:r>
      <w:r w:rsidR="00B76E24">
        <w:t xml:space="preserve"> </w:t>
      </w:r>
      <w:r w:rsidR="00BB68C2">
        <w:t xml:space="preserve">nadále </w:t>
      </w:r>
      <w:r w:rsidR="00620107">
        <w:t xml:space="preserve">vedli evidenci počtu herních prostorů dle daných pásem </w:t>
      </w:r>
      <w:r w:rsidR="00BB68C2">
        <w:t>a</w:t>
      </w:r>
      <w:r w:rsidR="005C1A88">
        <w:t> </w:t>
      </w:r>
      <w:r w:rsidR="00DF11AE">
        <w:t>na to navazující procesy</w:t>
      </w:r>
      <w:r w:rsidR="00BB68C2">
        <w:t xml:space="preserve"> vr</w:t>
      </w:r>
      <w:r w:rsidR="00C9531B">
        <w:t>á</w:t>
      </w:r>
      <w:r w:rsidR="00BB68C2">
        <w:t>cení kaucí.</w:t>
      </w:r>
    </w:p>
    <w:p w14:paraId="10FA4ACE" w14:textId="25A62314" w:rsidR="00B616CA" w:rsidRDefault="00330C5E" w:rsidP="0044792D">
      <w:r>
        <w:t>K</w:t>
      </w:r>
      <w:r w:rsidR="00C9531B">
        <w:t xml:space="preserve">e snížení </w:t>
      </w:r>
      <w:r w:rsidR="00DF11AE">
        <w:t>části administrativní zátěže</w:t>
      </w:r>
      <w:r>
        <w:t xml:space="preserve"> dojde</w:t>
      </w:r>
      <w:r w:rsidR="00DF11AE">
        <w:t xml:space="preserve"> i</w:t>
      </w:r>
      <w:r w:rsidR="005C1A88">
        <w:t> </w:t>
      </w:r>
      <w:r w:rsidR="00DF11AE">
        <w:t>na straně provozovatele, kdy již nebude muset žádat o</w:t>
      </w:r>
      <w:r w:rsidR="005C1A88">
        <w:t> </w:t>
      </w:r>
      <w:r w:rsidR="00DF11AE">
        <w:t>vrácení</w:t>
      </w:r>
      <w:r w:rsidR="00B616CA">
        <w:t xml:space="preserve"> kauce nebo navyšovat kauci</w:t>
      </w:r>
      <w:r w:rsidR="00DF11AE">
        <w:t xml:space="preserve"> při každé jednotlivé změně </w:t>
      </w:r>
      <w:r w:rsidR="00B616CA">
        <w:t xml:space="preserve">počtu </w:t>
      </w:r>
      <w:r w:rsidR="00DF11AE">
        <w:t>herních prostorů.</w:t>
      </w:r>
      <w:r>
        <w:t xml:space="preserve"> </w:t>
      </w:r>
    </w:p>
    <w:p w14:paraId="6D1482B2" w14:textId="77777777" w:rsidR="000F3193" w:rsidRDefault="000F3193" w:rsidP="000F3193">
      <w:r w:rsidRPr="00F666C9">
        <w:t>Nevýhody:</w:t>
      </w:r>
    </w:p>
    <w:p w14:paraId="46E6D9E7" w14:textId="77777777" w:rsidR="00014258" w:rsidRDefault="00014258" w:rsidP="000F3193">
      <w:r>
        <w:t>Hlavní nevýhodou tohoto řešení je zvyšující se finanční zátěž provozovatele, kdy bude muset navyšovat složenou kauci s ohledem na stanovená pásma</w:t>
      </w:r>
      <w:r w:rsidR="00666D97">
        <w:t>, nikoliv v návaznosti na jednotlivé herní prostory, jak tomu bylo doposud</w:t>
      </w:r>
      <w:r>
        <w:t>.</w:t>
      </w:r>
      <w:r w:rsidR="00A70E90">
        <w:t xml:space="preserve"> Míra této zátěže však závisí na nastavení pásem, v některých variantách může být silně potlačena.</w:t>
      </w:r>
    </w:p>
    <w:p w14:paraId="21425AD9" w14:textId="77777777" w:rsidR="0049151A" w:rsidRDefault="0049151A" w:rsidP="005E1790">
      <w:pPr>
        <w:pStyle w:val="Nadpis7"/>
      </w:pPr>
      <w:r>
        <w:t xml:space="preserve">Varianta IV. </w:t>
      </w:r>
      <w:r w:rsidR="00136527">
        <w:t>–</w:t>
      </w:r>
      <w:r>
        <w:t xml:space="preserve"> </w:t>
      </w:r>
      <w:r w:rsidR="00375A64">
        <w:t xml:space="preserve">Výše kauce stanovená podle velikosti provozovatele </w:t>
      </w:r>
    </w:p>
    <w:p w14:paraId="09A3E7D7" w14:textId="30296942" w:rsidR="00B8721C" w:rsidRDefault="00B8721C" w:rsidP="005E1790">
      <w:r>
        <w:t>Tato varianta s sebou nese zcela zásadní změnu v nastavené koncepci kaucí. V současné době lze poukázat na velkou rozmanitost trhu, a</w:t>
      </w:r>
      <w:r w:rsidR="005C1A88">
        <w:t> </w:t>
      </w:r>
      <w:r>
        <w:t>to jak z pohledu délky působení společností v oblasti hazardních her, tak i</w:t>
      </w:r>
      <w:r w:rsidR="005C1A88">
        <w:t> </w:t>
      </w:r>
      <w:r>
        <w:t>co se týče velikosti těchto společností. Nová koncepce určení výše kauce by spočívala ve vytvoření tzv. pásem s pevnými hranicemi, do kterých by byly společnosti rozděleny na základě tržního podílu, který by byl vypočítán z objemu vložených a</w:t>
      </w:r>
      <w:r w:rsidR="005C1A88">
        <w:t> </w:t>
      </w:r>
      <w:r>
        <w:t>vyplacených peněžních prostředků</w:t>
      </w:r>
      <w:r w:rsidR="005C1A88">
        <w:t xml:space="preserve"> </w:t>
      </w:r>
      <w:r>
        <w:t>u</w:t>
      </w:r>
      <w:r w:rsidR="005C1A88">
        <w:t> </w:t>
      </w:r>
      <w:r>
        <w:t>hazardních her. Každé pásmo by mělo stanovenou fixní výši kauce, kterou by musel provozovatel poskytnout. Je samozřejmé, že výše tržního podílu se v průběhu provozování mění, proto by byl nastaven mechanismus, že například po 2</w:t>
      </w:r>
      <w:r w:rsidR="005966B9">
        <w:t> </w:t>
      </w:r>
      <w:r>
        <w:t>letech by došlo k přezkoumání této výše a pokud by provozovatel nesplňoval kritéria stávajícího pásma, došlo by k navýšení nebo naopak ke snížení kauce a</w:t>
      </w:r>
      <w:r w:rsidR="005C1A88">
        <w:t> </w:t>
      </w:r>
      <w:r>
        <w:t>s tím by docházelo i</w:t>
      </w:r>
      <w:r w:rsidR="005C1A88">
        <w:t> </w:t>
      </w:r>
      <w:r>
        <w:t>k</w:t>
      </w:r>
      <w:r w:rsidR="005C1A88">
        <w:t> </w:t>
      </w:r>
      <w:r>
        <w:t xml:space="preserve">přemístění do jiného odpovídajícího pásma. </w:t>
      </w:r>
      <w:r w:rsidR="00A0252C">
        <w:t>Celý systém je nutné nastavit tak, aby s sebou nenesl extrémní administrativní zátěž.</w:t>
      </w:r>
    </w:p>
    <w:p w14:paraId="7001CEA3" w14:textId="3B6D499E" w:rsidR="003D0275" w:rsidRDefault="00B8721C" w:rsidP="005E1790">
      <w:r>
        <w:t xml:space="preserve">Tato varianta vyžaduje </w:t>
      </w:r>
      <w:r w:rsidR="00AF1628">
        <w:t>změn</w:t>
      </w:r>
      <w:r w:rsidR="009506BB">
        <w:t>u</w:t>
      </w:r>
      <w:r w:rsidR="00AF1628">
        <w:t xml:space="preserve"> </w:t>
      </w:r>
      <w:r>
        <w:t>s</w:t>
      </w:r>
      <w:r w:rsidR="00AF1628">
        <w:t xml:space="preserve">tanovení výše kauce </w:t>
      </w:r>
      <w:r w:rsidR="000402E3">
        <w:t>pro herní prostory, jak je to u </w:t>
      </w:r>
      <w:r w:rsidR="00F20805">
        <w:t>d</w:t>
      </w:r>
      <w:r w:rsidR="005966B9">
        <w:t>vou výše uvedených variant, a</w:t>
      </w:r>
      <w:r w:rsidR="009C283C">
        <w:t>le</w:t>
      </w:r>
      <w:r>
        <w:t xml:space="preserve"> také</w:t>
      </w:r>
      <w:r w:rsidR="00F20805">
        <w:t xml:space="preserve"> </w:t>
      </w:r>
      <w:r w:rsidR="009C283C">
        <w:t xml:space="preserve">změnu </w:t>
      </w:r>
      <w:r w:rsidR="00F20805">
        <w:t>nastavení výše kauce komplexně</w:t>
      </w:r>
      <w:r w:rsidR="00C96DF0">
        <w:t>, tj. </w:t>
      </w:r>
      <w:r w:rsidR="00AF1628">
        <w:t xml:space="preserve">změna by </w:t>
      </w:r>
      <w:r w:rsidR="00230BBD">
        <w:t>ovlivnila nastavení kaucí i</w:t>
      </w:r>
      <w:r w:rsidR="005C1A88">
        <w:t> </w:t>
      </w:r>
      <w:r w:rsidR="00230BBD">
        <w:t>podle §</w:t>
      </w:r>
      <w:r w:rsidR="005C1A88">
        <w:t> </w:t>
      </w:r>
      <w:r w:rsidR="00DF0C1B">
        <w:t>89 zákona o</w:t>
      </w:r>
      <w:r w:rsidR="005C1A88">
        <w:t> </w:t>
      </w:r>
      <w:r w:rsidR="00DF0C1B">
        <w:t>hazardních hrách, kdy žadatel o</w:t>
      </w:r>
      <w:r w:rsidR="000402E3">
        <w:t> </w:t>
      </w:r>
      <w:r w:rsidR="00DF0C1B">
        <w:t xml:space="preserve">vydání základního povolení je povinen </w:t>
      </w:r>
      <w:r w:rsidR="009948DC">
        <w:t>poskytovat</w:t>
      </w:r>
      <w:r w:rsidR="00DF0C1B">
        <w:t xml:space="preserve"> kauci</w:t>
      </w:r>
      <w:r w:rsidR="00776333">
        <w:t xml:space="preserve"> pro jednotlivý druh hazardní hry</w:t>
      </w:r>
      <w:r w:rsidR="00DF0C1B">
        <w:t>.</w:t>
      </w:r>
      <w:r w:rsidR="00F20805">
        <w:t xml:space="preserve"> </w:t>
      </w:r>
    </w:p>
    <w:p w14:paraId="10613183" w14:textId="77777777" w:rsidR="008B39CB" w:rsidRDefault="008B39CB" w:rsidP="005E1790">
      <w:r>
        <w:t>Výhody:</w:t>
      </w:r>
    </w:p>
    <w:p w14:paraId="7BB53073" w14:textId="77777777" w:rsidR="00CA43D7" w:rsidRDefault="003D0275" w:rsidP="005E1790">
      <w:r>
        <w:t xml:space="preserve">Tato varianta otevírá možnost stanovení výše kauce tak, aby reflektovala současné nastavení trhu hazardních her a nedocházelo </w:t>
      </w:r>
      <w:r w:rsidR="002317F4">
        <w:t xml:space="preserve">by </w:t>
      </w:r>
      <w:r>
        <w:t>ke zvýhodňování nebo naopak znevýhodňování společností</w:t>
      </w:r>
      <w:r w:rsidR="00B7205D">
        <w:t xml:space="preserve"> provozující hazardní hry</w:t>
      </w:r>
      <w:r w:rsidR="00A31D22">
        <w:t xml:space="preserve"> v návaznosti na jejich velikost</w:t>
      </w:r>
      <w:r>
        <w:t>.</w:t>
      </w:r>
      <w:r w:rsidR="002317F4">
        <w:t xml:space="preserve"> </w:t>
      </w:r>
    </w:p>
    <w:p w14:paraId="71109F04" w14:textId="77777777" w:rsidR="008B39CB" w:rsidRDefault="008B39CB" w:rsidP="005E1790">
      <w:r>
        <w:t xml:space="preserve">Nevýhody: </w:t>
      </w:r>
    </w:p>
    <w:p w14:paraId="25B14461" w14:textId="6AADFCCD" w:rsidR="00621E11" w:rsidRDefault="00621E11" w:rsidP="005E1790">
      <w:r>
        <w:t xml:space="preserve">Nevýhodou takto nastavené </w:t>
      </w:r>
      <w:r w:rsidR="009D66D9">
        <w:t xml:space="preserve">koncepce je </w:t>
      </w:r>
      <w:r w:rsidR="00A70E90">
        <w:t xml:space="preserve">potenciál určité fluktuace některých provozovatelů mezi jednotlivými pásmy </w:t>
      </w:r>
      <w:r w:rsidR="009506BB">
        <w:t xml:space="preserve">(odvislost od </w:t>
      </w:r>
      <w:r w:rsidR="00B64BD2">
        <w:t>rozdílu mezi vloženými a </w:t>
      </w:r>
      <w:r w:rsidR="00C4169A">
        <w:t>vyplacenými peněžními prostředky do hazardní hry) a</w:t>
      </w:r>
      <w:r w:rsidR="000522E4">
        <w:t> </w:t>
      </w:r>
      <w:r w:rsidR="00C4169A">
        <w:t xml:space="preserve">s tím spojená nutnost řešení v podobě snižování či navyšování kauce. Od </w:t>
      </w:r>
      <w:r w:rsidR="00A70E90">
        <w:t xml:space="preserve">nastavení pásem a jejich podrobnosti se tak odvíjí otázka frekvence </w:t>
      </w:r>
      <w:r w:rsidR="00C4169A">
        <w:t>nutnost</w:t>
      </w:r>
      <w:r w:rsidR="00A70E90">
        <w:t>i</w:t>
      </w:r>
      <w:r w:rsidR="00C4169A">
        <w:t xml:space="preserve"> revize plnění podmínky co do kategorizace provozovatele v rámci nastavených pásem kauce. </w:t>
      </w:r>
    </w:p>
    <w:p w14:paraId="1C9914AF" w14:textId="77777777" w:rsidR="00F7597B" w:rsidRDefault="00E35DC1" w:rsidP="0044792D">
      <w:pPr>
        <w:pStyle w:val="Nadpis7"/>
      </w:pPr>
      <w:r>
        <w:t>Hodnocení variant</w:t>
      </w:r>
    </w:p>
    <w:p w14:paraId="23303314" w14:textId="0B88DEDF" w:rsidR="002A1951" w:rsidRDefault="006F7BD8" w:rsidP="00E35DC1">
      <w:r w:rsidRPr="00F426AA">
        <w:t xml:space="preserve">Na základě výše uvedeného popisu variant </w:t>
      </w:r>
      <w:r w:rsidR="00624564" w:rsidRPr="00F426AA">
        <w:t xml:space="preserve">nelze bez další podrobné analýzy </w:t>
      </w:r>
      <w:r w:rsidR="00A73530" w:rsidRPr="00F426AA">
        <w:t>doporučit</w:t>
      </w:r>
      <w:r w:rsidR="00624564" w:rsidRPr="00F426AA">
        <w:t xml:space="preserve"> </w:t>
      </w:r>
      <w:r w:rsidR="00E35DC1" w:rsidRPr="00F426AA">
        <w:t xml:space="preserve">nejvhodnější řešení </w:t>
      </w:r>
      <w:r w:rsidR="00603721" w:rsidRPr="00F426AA">
        <w:t xml:space="preserve">této </w:t>
      </w:r>
      <w:r w:rsidR="00E35DC1" w:rsidRPr="00F426AA">
        <w:t>probl</w:t>
      </w:r>
      <w:r w:rsidR="00603721" w:rsidRPr="00F426AA">
        <w:t>ematiky</w:t>
      </w:r>
      <w:r w:rsidR="00624564" w:rsidRPr="00F426AA">
        <w:t>.</w:t>
      </w:r>
      <w:r w:rsidR="009F4868" w:rsidRPr="00F426AA">
        <w:t xml:space="preserve"> Je nutné poukázat na skutečnost, že jakákoli modifikace stávající koncepce úpravy </w:t>
      </w:r>
      <w:r w:rsidR="00B64BD2" w:rsidRPr="00F426AA">
        <w:t>kaucí s sebou nese mnoho změn a </w:t>
      </w:r>
      <w:r w:rsidR="009F4868" w:rsidRPr="00F426AA">
        <w:t>výsledná koncepční změna je z důvodu provázanosti a důležitosti celého institutu velmi obtížná, a</w:t>
      </w:r>
      <w:r w:rsidR="000522E4" w:rsidRPr="00F426AA">
        <w:t> </w:t>
      </w:r>
      <w:r w:rsidR="009F4868" w:rsidRPr="00F426AA">
        <w:t>tudíž výše navrhované změny je nutné dále velmi podrobně analyzovat, zejm. v návaznosti na ostatní navrhované změny v</w:t>
      </w:r>
      <w:r w:rsidR="00A657BF" w:rsidRPr="00F426AA">
        <w:t> </w:t>
      </w:r>
      <w:r w:rsidR="00A657BF" w:rsidRPr="00F426AA">
        <w:rPr>
          <w:lang w:eastAsia="zh-CN"/>
        </w:rPr>
        <w:t>ex post RIA</w:t>
      </w:r>
      <w:r w:rsidR="00BA23DA" w:rsidRPr="00F426AA">
        <w:t xml:space="preserve"> a</w:t>
      </w:r>
      <w:r w:rsidR="000522E4" w:rsidRPr="00F426AA">
        <w:t> </w:t>
      </w:r>
      <w:r w:rsidR="00BA23DA" w:rsidRPr="00F426AA">
        <w:t xml:space="preserve">zpětnou vazbu </w:t>
      </w:r>
      <w:r w:rsidR="006362C0" w:rsidRPr="00F426AA">
        <w:t>dotčených subjektů</w:t>
      </w:r>
      <w:r w:rsidR="00BA23DA" w:rsidRPr="00F426AA">
        <w:t>.</w:t>
      </w:r>
    </w:p>
    <w:p w14:paraId="3366E9EF" w14:textId="236BE4F5" w:rsidR="00C43F45" w:rsidRDefault="00C43F45" w:rsidP="00C96FDA">
      <w:pPr>
        <w:pStyle w:val="Nadpis3"/>
      </w:pPr>
      <w:bookmarkStart w:id="9" w:name="_Toc71631362"/>
      <w:bookmarkStart w:id="10" w:name="_Toc73608051"/>
      <w:r w:rsidRPr="004B6EDB">
        <w:t xml:space="preserve">Seznam tabulek, </w:t>
      </w:r>
      <w:bookmarkEnd w:id="9"/>
      <w:r w:rsidR="002537D6">
        <w:t>obrázků a grafů</w:t>
      </w:r>
      <w:bookmarkEnd w:id="10"/>
    </w:p>
    <w:p w14:paraId="0B244881" w14:textId="7FBE490B" w:rsidR="002537D6" w:rsidRPr="00B2085C" w:rsidRDefault="00C43F45" w:rsidP="00B2085C">
      <w:r>
        <w:t xml:space="preserve">Tabulky, </w:t>
      </w:r>
      <w:r w:rsidR="002537D6">
        <w:t xml:space="preserve">obrázky a grafy </w:t>
      </w:r>
      <w:r>
        <w:t>nejsou v této části zahrnuty.</w:t>
      </w:r>
    </w:p>
    <w:p w14:paraId="2BF3A9FC" w14:textId="77777777" w:rsidR="00FE5F70" w:rsidRDefault="002537D6" w:rsidP="00195F83">
      <w:pPr>
        <w:pStyle w:val="Nadpis3"/>
        <w:rPr>
          <w:noProof/>
        </w:rPr>
      </w:pPr>
      <w:bookmarkStart w:id="11" w:name="_Toc73608052"/>
      <w:r>
        <w:t>Obsah</w:t>
      </w:r>
      <w:bookmarkEnd w:id="11"/>
      <w:r>
        <w:fldChar w:fldCharType="begin"/>
      </w:r>
      <w:r>
        <w:instrText xml:space="preserve"> TOC \o "1-6" \h \z \u </w:instrText>
      </w:r>
      <w:r>
        <w:fldChar w:fldCharType="separate"/>
      </w:r>
    </w:p>
    <w:p w14:paraId="7B74520F" w14:textId="508CE09A" w:rsidR="00FE5F70" w:rsidRDefault="00702CB4">
      <w:pPr>
        <w:pStyle w:val="Obsah3"/>
        <w:tabs>
          <w:tab w:val="left" w:pos="1200"/>
          <w:tab w:val="right" w:leader="dot" w:pos="9062"/>
        </w:tabs>
        <w:rPr>
          <w:rFonts w:asciiTheme="minorHAnsi" w:eastAsiaTheme="minorEastAsia" w:hAnsiTheme="minorHAnsi"/>
          <w:noProof/>
          <w:sz w:val="22"/>
          <w:lang w:eastAsia="cs-CZ"/>
        </w:rPr>
      </w:pPr>
      <w:hyperlink w:anchor="_Toc73608046" w:history="1">
        <w:r w:rsidR="00FE5F70" w:rsidRPr="009E62F1">
          <w:rPr>
            <w:rStyle w:val="Hypertextovodkaz"/>
            <w:noProof/>
          </w:rPr>
          <w:t>1.1</w:t>
        </w:r>
        <w:r w:rsidR="00FE5F70">
          <w:rPr>
            <w:rFonts w:asciiTheme="minorHAnsi" w:eastAsiaTheme="minorEastAsia" w:hAnsiTheme="minorHAnsi"/>
            <w:noProof/>
            <w:sz w:val="22"/>
            <w:lang w:eastAsia="cs-CZ"/>
          </w:rPr>
          <w:tab/>
        </w:r>
        <w:r w:rsidR="00FE5F70" w:rsidRPr="009E62F1">
          <w:rPr>
            <w:rStyle w:val="Hypertextovodkaz"/>
            <w:noProof/>
          </w:rPr>
          <w:t>Konkrétní popis regulace obsažené v zákoně o loteriích</w:t>
        </w:r>
        <w:r w:rsidR="00FE5F70">
          <w:rPr>
            <w:noProof/>
            <w:webHidden/>
          </w:rPr>
          <w:tab/>
        </w:r>
        <w:r w:rsidR="00FE5F70">
          <w:rPr>
            <w:noProof/>
            <w:webHidden/>
          </w:rPr>
          <w:fldChar w:fldCharType="begin"/>
        </w:r>
        <w:r w:rsidR="00FE5F70">
          <w:rPr>
            <w:noProof/>
            <w:webHidden/>
          </w:rPr>
          <w:instrText xml:space="preserve"> PAGEREF _Toc73608046 \h </w:instrText>
        </w:r>
        <w:r w:rsidR="00FE5F70">
          <w:rPr>
            <w:noProof/>
            <w:webHidden/>
          </w:rPr>
        </w:r>
        <w:r w:rsidR="00FE5F70">
          <w:rPr>
            <w:noProof/>
            <w:webHidden/>
          </w:rPr>
          <w:fldChar w:fldCharType="separate"/>
        </w:r>
        <w:r w:rsidR="00B2085C">
          <w:rPr>
            <w:noProof/>
            <w:webHidden/>
          </w:rPr>
          <w:t>1</w:t>
        </w:r>
        <w:r w:rsidR="00FE5F70">
          <w:rPr>
            <w:noProof/>
            <w:webHidden/>
          </w:rPr>
          <w:fldChar w:fldCharType="end"/>
        </w:r>
      </w:hyperlink>
    </w:p>
    <w:p w14:paraId="387CFB7E" w14:textId="7CA6E677" w:rsidR="00FE5F70" w:rsidRDefault="00702CB4">
      <w:pPr>
        <w:pStyle w:val="Obsah3"/>
        <w:tabs>
          <w:tab w:val="left" w:pos="1200"/>
          <w:tab w:val="right" w:leader="dot" w:pos="9062"/>
        </w:tabs>
        <w:rPr>
          <w:rFonts w:asciiTheme="minorHAnsi" w:eastAsiaTheme="minorEastAsia" w:hAnsiTheme="minorHAnsi"/>
          <w:noProof/>
          <w:sz w:val="22"/>
          <w:lang w:eastAsia="cs-CZ"/>
        </w:rPr>
      </w:pPr>
      <w:hyperlink w:anchor="_Toc73608047" w:history="1">
        <w:r w:rsidR="00FE5F70" w:rsidRPr="009E62F1">
          <w:rPr>
            <w:rStyle w:val="Hypertextovodkaz"/>
            <w:noProof/>
          </w:rPr>
          <w:t>1.2</w:t>
        </w:r>
        <w:r w:rsidR="00FE5F70">
          <w:rPr>
            <w:rFonts w:asciiTheme="minorHAnsi" w:eastAsiaTheme="minorEastAsia" w:hAnsiTheme="minorHAnsi"/>
            <w:noProof/>
            <w:sz w:val="22"/>
            <w:lang w:eastAsia="cs-CZ"/>
          </w:rPr>
          <w:tab/>
        </w:r>
        <w:r w:rsidR="00FE5F70" w:rsidRPr="009E62F1">
          <w:rPr>
            <w:rStyle w:val="Hypertextovodkaz"/>
            <w:noProof/>
          </w:rPr>
          <w:t>Konkrétní popis regulace obsažené v zákoně o hazardních hrách</w:t>
        </w:r>
        <w:r w:rsidR="00FE5F70">
          <w:rPr>
            <w:noProof/>
            <w:webHidden/>
          </w:rPr>
          <w:tab/>
        </w:r>
        <w:r w:rsidR="00FE5F70">
          <w:rPr>
            <w:noProof/>
            <w:webHidden/>
          </w:rPr>
          <w:fldChar w:fldCharType="begin"/>
        </w:r>
        <w:r w:rsidR="00FE5F70">
          <w:rPr>
            <w:noProof/>
            <w:webHidden/>
          </w:rPr>
          <w:instrText xml:space="preserve"> PAGEREF _Toc73608047 \h </w:instrText>
        </w:r>
        <w:r w:rsidR="00FE5F70">
          <w:rPr>
            <w:noProof/>
            <w:webHidden/>
          </w:rPr>
        </w:r>
        <w:r w:rsidR="00FE5F70">
          <w:rPr>
            <w:noProof/>
            <w:webHidden/>
          </w:rPr>
          <w:fldChar w:fldCharType="separate"/>
        </w:r>
        <w:r w:rsidR="00B2085C">
          <w:rPr>
            <w:noProof/>
            <w:webHidden/>
          </w:rPr>
          <w:t>1</w:t>
        </w:r>
        <w:r w:rsidR="00FE5F70">
          <w:rPr>
            <w:noProof/>
            <w:webHidden/>
          </w:rPr>
          <w:fldChar w:fldCharType="end"/>
        </w:r>
      </w:hyperlink>
    </w:p>
    <w:p w14:paraId="2DC8D5EF" w14:textId="194F659F" w:rsidR="00FE5F70" w:rsidRDefault="00702CB4">
      <w:pPr>
        <w:pStyle w:val="Obsah3"/>
        <w:tabs>
          <w:tab w:val="left" w:pos="1200"/>
          <w:tab w:val="right" w:leader="dot" w:pos="9062"/>
        </w:tabs>
        <w:rPr>
          <w:rFonts w:asciiTheme="minorHAnsi" w:eastAsiaTheme="minorEastAsia" w:hAnsiTheme="minorHAnsi"/>
          <w:noProof/>
          <w:sz w:val="22"/>
          <w:lang w:eastAsia="cs-CZ"/>
        </w:rPr>
      </w:pPr>
      <w:hyperlink w:anchor="_Toc73608048" w:history="1">
        <w:r w:rsidR="00FE5F70" w:rsidRPr="009E62F1">
          <w:rPr>
            <w:rStyle w:val="Hypertextovodkaz"/>
            <w:noProof/>
          </w:rPr>
          <w:t>1.3</w:t>
        </w:r>
        <w:r w:rsidR="00FE5F70">
          <w:rPr>
            <w:rFonts w:asciiTheme="minorHAnsi" w:eastAsiaTheme="minorEastAsia" w:hAnsiTheme="minorHAnsi"/>
            <w:noProof/>
            <w:sz w:val="22"/>
            <w:lang w:eastAsia="cs-CZ"/>
          </w:rPr>
          <w:tab/>
        </w:r>
        <w:r w:rsidR="00FE5F70" w:rsidRPr="009E62F1">
          <w:rPr>
            <w:rStyle w:val="Hypertextovodkaz"/>
            <w:noProof/>
          </w:rPr>
          <w:t>Konkrétní popis nástrojů, včetně oblastí, na které by bylo vhodné se v budoucnu zaměřit, a návrh doporučení či možných variant řešení</w:t>
        </w:r>
        <w:r w:rsidR="00FE5F70">
          <w:rPr>
            <w:noProof/>
            <w:webHidden/>
          </w:rPr>
          <w:tab/>
        </w:r>
        <w:r w:rsidR="00FE5F70">
          <w:rPr>
            <w:noProof/>
            <w:webHidden/>
          </w:rPr>
          <w:fldChar w:fldCharType="begin"/>
        </w:r>
        <w:r w:rsidR="00FE5F70">
          <w:rPr>
            <w:noProof/>
            <w:webHidden/>
          </w:rPr>
          <w:instrText xml:space="preserve"> PAGEREF _Toc73608048 \h </w:instrText>
        </w:r>
        <w:r w:rsidR="00FE5F70">
          <w:rPr>
            <w:noProof/>
            <w:webHidden/>
          </w:rPr>
        </w:r>
        <w:r w:rsidR="00FE5F70">
          <w:rPr>
            <w:noProof/>
            <w:webHidden/>
          </w:rPr>
          <w:fldChar w:fldCharType="separate"/>
        </w:r>
        <w:r w:rsidR="00B2085C">
          <w:rPr>
            <w:noProof/>
            <w:webHidden/>
          </w:rPr>
          <w:t>6</w:t>
        </w:r>
        <w:r w:rsidR="00FE5F70">
          <w:rPr>
            <w:noProof/>
            <w:webHidden/>
          </w:rPr>
          <w:fldChar w:fldCharType="end"/>
        </w:r>
      </w:hyperlink>
    </w:p>
    <w:p w14:paraId="0CC3FE68" w14:textId="7B77DC0B" w:rsidR="00FE5F70" w:rsidRDefault="00702CB4">
      <w:pPr>
        <w:pStyle w:val="Obsah6"/>
        <w:tabs>
          <w:tab w:val="left" w:pos="1760"/>
          <w:tab w:val="right" w:leader="dot" w:pos="9062"/>
        </w:tabs>
        <w:rPr>
          <w:rFonts w:asciiTheme="minorHAnsi" w:eastAsiaTheme="minorEastAsia" w:hAnsiTheme="minorHAnsi"/>
          <w:noProof/>
          <w:sz w:val="22"/>
          <w:lang w:eastAsia="cs-CZ"/>
        </w:rPr>
      </w:pPr>
      <w:hyperlink w:anchor="_Toc73608049" w:history="1">
        <w:r w:rsidR="00FE5F70" w:rsidRPr="009E62F1">
          <w:rPr>
            <w:rStyle w:val="Hypertextovodkaz"/>
            <w:noProof/>
          </w:rPr>
          <w:t>i.</w:t>
        </w:r>
        <w:r w:rsidR="00FE5F70">
          <w:rPr>
            <w:rFonts w:asciiTheme="minorHAnsi" w:eastAsiaTheme="minorEastAsia" w:hAnsiTheme="minorHAnsi"/>
            <w:noProof/>
            <w:sz w:val="22"/>
            <w:lang w:eastAsia="cs-CZ"/>
          </w:rPr>
          <w:tab/>
        </w:r>
        <w:r w:rsidR="00FE5F70" w:rsidRPr="009E62F1">
          <w:rPr>
            <w:rStyle w:val="Hypertextovodkaz"/>
            <w:noProof/>
          </w:rPr>
          <w:t>Rozsah závazků zajištěných kaucí, případně jiný způsob zajištění</w:t>
        </w:r>
        <w:r w:rsidR="00FE5F70">
          <w:rPr>
            <w:noProof/>
            <w:webHidden/>
          </w:rPr>
          <w:tab/>
        </w:r>
        <w:r w:rsidR="00FE5F70">
          <w:rPr>
            <w:noProof/>
            <w:webHidden/>
          </w:rPr>
          <w:fldChar w:fldCharType="begin"/>
        </w:r>
        <w:r w:rsidR="00FE5F70">
          <w:rPr>
            <w:noProof/>
            <w:webHidden/>
          </w:rPr>
          <w:instrText xml:space="preserve"> PAGEREF _Toc73608049 \h </w:instrText>
        </w:r>
        <w:r w:rsidR="00FE5F70">
          <w:rPr>
            <w:noProof/>
            <w:webHidden/>
          </w:rPr>
        </w:r>
        <w:r w:rsidR="00FE5F70">
          <w:rPr>
            <w:noProof/>
            <w:webHidden/>
          </w:rPr>
          <w:fldChar w:fldCharType="separate"/>
        </w:r>
        <w:r w:rsidR="00B2085C">
          <w:rPr>
            <w:noProof/>
            <w:webHidden/>
          </w:rPr>
          <w:t>6</w:t>
        </w:r>
        <w:r w:rsidR="00FE5F70">
          <w:rPr>
            <w:noProof/>
            <w:webHidden/>
          </w:rPr>
          <w:fldChar w:fldCharType="end"/>
        </w:r>
      </w:hyperlink>
    </w:p>
    <w:p w14:paraId="56038152" w14:textId="183E0004" w:rsidR="00FE5F70" w:rsidRDefault="00702CB4">
      <w:pPr>
        <w:pStyle w:val="Obsah6"/>
        <w:tabs>
          <w:tab w:val="left" w:pos="1760"/>
          <w:tab w:val="right" w:leader="dot" w:pos="9062"/>
        </w:tabs>
        <w:rPr>
          <w:rFonts w:asciiTheme="minorHAnsi" w:eastAsiaTheme="minorEastAsia" w:hAnsiTheme="minorHAnsi"/>
          <w:noProof/>
          <w:sz w:val="22"/>
          <w:lang w:eastAsia="cs-CZ"/>
        </w:rPr>
      </w:pPr>
      <w:hyperlink w:anchor="_Toc73608050" w:history="1">
        <w:r w:rsidR="00FE5F70" w:rsidRPr="009E62F1">
          <w:rPr>
            <w:rStyle w:val="Hypertextovodkaz"/>
            <w:noProof/>
          </w:rPr>
          <w:t>ii.</w:t>
        </w:r>
        <w:r w:rsidR="00FE5F70">
          <w:rPr>
            <w:rFonts w:asciiTheme="minorHAnsi" w:eastAsiaTheme="minorEastAsia" w:hAnsiTheme="minorHAnsi"/>
            <w:noProof/>
            <w:sz w:val="22"/>
            <w:lang w:eastAsia="cs-CZ"/>
          </w:rPr>
          <w:tab/>
        </w:r>
        <w:r w:rsidR="00FE5F70" w:rsidRPr="009E62F1">
          <w:rPr>
            <w:rStyle w:val="Hypertextovodkaz"/>
            <w:noProof/>
          </w:rPr>
          <w:t>Výše kauce a její vrácení u herního prostoru</w:t>
        </w:r>
        <w:r w:rsidR="00FE5F70">
          <w:rPr>
            <w:noProof/>
            <w:webHidden/>
          </w:rPr>
          <w:tab/>
        </w:r>
        <w:r w:rsidR="00FE5F70">
          <w:rPr>
            <w:noProof/>
            <w:webHidden/>
          </w:rPr>
          <w:fldChar w:fldCharType="begin"/>
        </w:r>
        <w:r w:rsidR="00FE5F70">
          <w:rPr>
            <w:noProof/>
            <w:webHidden/>
          </w:rPr>
          <w:instrText xml:space="preserve"> PAGEREF _Toc73608050 \h </w:instrText>
        </w:r>
        <w:r w:rsidR="00FE5F70">
          <w:rPr>
            <w:noProof/>
            <w:webHidden/>
          </w:rPr>
        </w:r>
        <w:r w:rsidR="00FE5F70">
          <w:rPr>
            <w:noProof/>
            <w:webHidden/>
          </w:rPr>
          <w:fldChar w:fldCharType="separate"/>
        </w:r>
        <w:r w:rsidR="00B2085C">
          <w:rPr>
            <w:noProof/>
            <w:webHidden/>
          </w:rPr>
          <w:t>12</w:t>
        </w:r>
        <w:r w:rsidR="00FE5F70">
          <w:rPr>
            <w:noProof/>
            <w:webHidden/>
          </w:rPr>
          <w:fldChar w:fldCharType="end"/>
        </w:r>
      </w:hyperlink>
    </w:p>
    <w:p w14:paraId="5F8500B4" w14:textId="6B35E887" w:rsidR="00FE5F70" w:rsidRDefault="00702CB4">
      <w:pPr>
        <w:pStyle w:val="Obsah3"/>
        <w:tabs>
          <w:tab w:val="left" w:pos="1200"/>
          <w:tab w:val="right" w:leader="dot" w:pos="9062"/>
        </w:tabs>
        <w:rPr>
          <w:rFonts w:asciiTheme="minorHAnsi" w:eastAsiaTheme="minorEastAsia" w:hAnsiTheme="minorHAnsi"/>
          <w:noProof/>
          <w:sz w:val="22"/>
          <w:lang w:eastAsia="cs-CZ"/>
        </w:rPr>
      </w:pPr>
      <w:hyperlink w:anchor="_Toc73608051" w:history="1">
        <w:r w:rsidR="00FE5F70" w:rsidRPr="009E62F1">
          <w:rPr>
            <w:rStyle w:val="Hypertextovodkaz"/>
            <w:noProof/>
          </w:rPr>
          <w:t>1.4</w:t>
        </w:r>
        <w:r w:rsidR="00FE5F70">
          <w:rPr>
            <w:rFonts w:asciiTheme="minorHAnsi" w:eastAsiaTheme="minorEastAsia" w:hAnsiTheme="minorHAnsi"/>
            <w:noProof/>
            <w:sz w:val="22"/>
            <w:lang w:eastAsia="cs-CZ"/>
          </w:rPr>
          <w:tab/>
        </w:r>
        <w:r w:rsidR="00FE5F70" w:rsidRPr="009E62F1">
          <w:rPr>
            <w:rStyle w:val="Hypertextovodkaz"/>
            <w:noProof/>
          </w:rPr>
          <w:t>Seznam tabulek, obrázků a grafů</w:t>
        </w:r>
        <w:r w:rsidR="00FE5F70">
          <w:rPr>
            <w:noProof/>
            <w:webHidden/>
          </w:rPr>
          <w:tab/>
        </w:r>
        <w:r w:rsidR="00FE5F70">
          <w:rPr>
            <w:noProof/>
            <w:webHidden/>
          </w:rPr>
          <w:fldChar w:fldCharType="begin"/>
        </w:r>
        <w:r w:rsidR="00FE5F70">
          <w:rPr>
            <w:noProof/>
            <w:webHidden/>
          </w:rPr>
          <w:instrText xml:space="preserve"> PAGEREF _Toc73608051 \h </w:instrText>
        </w:r>
        <w:r w:rsidR="00FE5F70">
          <w:rPr>
            <w:noProof/>
            <w:webHidden/>
          </w:rPr>
        </w:r>
        <w:r w:rsidR="00FE5F70">
          <w:rPr>
            <w:noProof/>
            <w:webHidden/>
          </w:rPr>
          <w:fldChar w:fldCharType="separate"/>
        </w:r>
        <w:r w:rsidR="00B2085C">
          <w:rPr>
            <w:noProof/>
            <w:webHidden/>
          </w:rPr>
          <w:t>16</w:t>
        </w:r>
        <w:r w:rsidR="00FE5F70">
          <w:rPr>
            <w:noProof/>
            <w:webHidden/>
          </w:rPr>
          <w:fldChar w:fldCharType="end"/>
        </w:r>
      </w:hyperlink>
    </w:p>
    <w:p w14:paraId="0C78D209" w14:textId="008168F0" w:rsidR="00FE5F70" w:rsidRDefault="00702CB4">
      <w:pPr>
        <w:pStyle w:val="Obsah3"/>
        <w:tabs>
          <w:tab w:val="left" w:pos="1200"/>
          <w:tab w:val="right" w:leader="dot" w:pos="9062"/>
        </w:tabs>
        <w:rPr>
          <w:rFonts w:asciiTheme="minorHAnsi" w:eastAsiaTheme="minorEastAsia" w:hAnsiTheme="minorHAnsi"/>
          <w:noProof/>
          <w:sz w:val="22"/>
          <w:lang w:eastAsia="cs-CZ"/>
        </w:rPr>
      </w:pPr>
      <w:hyperlink w:anchor="_Toc73608052" w:history="1">
        <w:r w:rsidR="00FE5F70" w:rsidRPr="009E62F1">
          <w:rPr>
            <w:rStyle w:val="Hypertextovodkaz"/>
            <w:noProof/>
          </w:rPr>
          <w:t>1.5</w:t>
        </w:r>
        <w:r w:rsidR="00FE5F70">
          <w:rPr>
            <w:rFonts w:asciiTheme="minorHAnsi" w:eastAsiaTheme="minorEastAsia" w:hAnsiTheme="minorHAnsi"/>
            <w:noProof/>
            <w:sz w:val="22"/>
            <w:lang w:eastAsia="cs-CZ"/>
          </w:rPr>
          <w:tab/>
        </w:r>
        <w:r w:rsidR="00FE5F70" w:rsidRPr="009E62F1">
          <w:rPr>
            <w:rStyle w:val="Hypertextovodkaz"/>
            <w:noProof/>
          </w:rPr>
          <w:t>Obsah</w:t>
        </w:r>
        <w:r w:rsidR="00FE5F70">
          <w:rPr>
            <w:noProof/>
            <w:webHidden/>
          </w:rPr>
          <w:tab/>
        </w:r>
        <w:r w:rsidR="00FE5F70">
          <w:rPr>
            <w:noProof/>
            <w:webHidden/>
          </w:rPr>
          <w:fldChar w:fldCharType="begin"/>
        </w:r>
        <w:r w:rsidR="00FE5F70">
          <w:rPr>
            <w:noProof/>
            <w:webHidden/>
          </w:rPr>
          <w:instrText xml:space="preserve"> PAGEREF _Toc73608052 \h </w:instrText>
        </w:r>
        <w:r w:rsidR="00FE5F70">
          <w:rPr>
            <w:noProof/>
            <w:webHidden/>
          </w:rPr>
        </w:r>
        <w:r w:rsidR="00FE5F70">
          <w:rPr>
            <w:noProof/>
            <w:webHidden/>
          </w:rPr>
          <w:fldChar w:fldCharType="separate"/>
        </w:r>
        <w:r w:rsidR="00B2085C">
          <w:rPr>
            <w:noProof/>
            <w:webHidden/>
          </w:rPr>
          <w:t>16</w:t>
        </w:r>
        <w:r w:rsidR="00FE5F70">
          <w:rPr>
            <w:noProof/>
            <w:webHidden/>
          </w:rPr>
          <w:fldChar w:fldCharType="end"/>
        </w:r>
      </w:hyperlink>
    </w:p>
    <w:p w14:paraId="3A23A825" w14:textId="726140A7" w:rsidR="002537D6" w:rsidRPr="002537D6" w:rsidRDefault="002537D6" w:rsidP="002537D6">
      <w:r>
        <w:fldChar w:fldCharType="end"/>
      </w:r>
    </w:p>
    <w:sectPr w:rsidR="002537D6" w:rsidRPr="002537D6">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3E8C85" w14:textId="77777777" w:rsidR="0073681E" w:rsidRDefault="0073681E" w:rsidP="00A96523">
      <w:pPr>
        <w:spacing w:after="0"/>
      </w:pPr>
      <w:r>
        <w:separator/>
      </w:r>
    </w:p>
  </w:endnote>
  <w:endnote w:type="continuationSeparator" w:id="0">
    <w:p w14:paraId="1992D146" w14:textId="77777777" w:rsidR="0073681E" w:rsidRDefault="0073681E" w:rsidP="00A96523">
      <w:pPr>
        <w:spacing w:after="0"/>
      </w:pPr>
      <w:r>
        <w:continuationSeparator/>
      </w:r>
    </w:p>
  </w:endnote>
  <w:endnote w:type="continuationNotice" w:id="1">
    <w:p w14:paraId="4AD94441" w14:textId="77777777" w:rsidR="0073681E" w:rsidRDefault="0073681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0086013"/>
      <w:docPartObj>
        <w:docPartGallery w:val="Page Numbers (Bottom of Page)"/>
        <w:docPartUnique/>
      </w:docPartObj>
    </w:sdtPr>
    <w:sdtEndPr/>
    <w:sdtContent>
      <w:p w14:paraId="36560053" w14:textId="596D6A8D" w:rsidR="002537D6" w:rsidRDefault="002537D6">
        <w:pPr>
          <w:pStyle w:val="Zpat"/>
          <w:jc w:val="right"/>
        </w:pPr>
        <w:r>
          <w:fldChar w:fldCharType="begin"/>
        </w:r>
        <w:r>
          <w:instrText>PAGE   \* MERGEFORMAT</w:instrText>
        </w:r>
        <w:r>
          <w:fldChar w:fldCharType="separate"/>
        </w:r>
        <w:r w:rsidR="00702CB4">
          <w:rPr>
            <w:noProof/>
          </w:rPr>
          <w:t>1</w:t>
        </w:r>
        <w:r>
          <w:fldChar w:fldCharType="end"/>
        </w:r>
      </w:p>
    </w:sdtContent>
  </w:sdt>
  <w:p w14:paraId="1E73859F" w14:textId="77777777" w:rsidR="0073681E" w:rsidRDefault="0073681E" w:rsidP="002A195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ED047" w14:textId="77777777" w:rsidR="0073681E" w:rsidRDefault="0073681E" w:rsidP="00A96523">
      <w:pPr>
        <w:spacing w:after="0"/>
      </w:pPr>
      <w:r>
        <w:separator/>
      </w:r>
    </w:p>
  </w:footnote>
  <w:footnote w:type="continuationSeparator" w:id="0">
    <w:p w14:paraId="2112E849" w14:textId="77777777" w:rsidR="0073681E" w:rsidRDefault="0073681E" w:rsidP="00A96523">
      <w:pPr>
        <w:spacing w:after="0"/>
      </w:pPr>
      <w:r>
        <w:continuationSeparator/>
      </w:r>
    </w:p>
  </w:footnote>
  <w:footnote w:type="continuationNotice" w:id="1">
    <w:p w14:paraId="7F3FEC13" w14:textId="77777777" w:rsidR="0073681E" w:rsidRDefault="0073681E">
      <w:pPr>
        <w:spacing w:after="0"/>
      </w:pPr>
    </w:p>
  </w:footnote>
  <w:footnote w:id="2">
    <w:p w14:paraId="11D86BA9" w14:textId="77777777" w:rsidR="0073681E" w:rsidRPr="002537D6" w:rsidRDefault="0073681E" w:rsidP="002537D6">
      <w:pPr>
        <w:pStyle w:val="Textpoznpodarou"/>
        <w:jc w:val="both"/>
        <w:rPr>
          <w:rFonts w:ascii="Arial" w:hAnsi="Arial" w:cs="Arial"/>
        </w:rPr>
      </w:pPr>
      <w:r w:rsidRPr="002537D6">
        <w:rPr>
          <w:rStyle w:val="Znakapoznpodarou"/>
          <w:rFonts w:ascii="Arial" w:hAnsi="Arial" w:cs="Arial"/>
        </w:rPr>
        <w:footnoteRef/>
      </w:r>
      <w:r w:rsidRPr="002537D6">
        <w:rPr>
          <w:rFonts w:ascii="Arial" w:hAnsi="Arial" w:cs="Arial"/>
        </w:rPr>
        <w:t xml:space="preserve"> Tento účet byl vinkulován ve prospěch povolujícího orgánu.</w:t>
      </w:r>
    </w:p>
  </w:footnote>
  <w:footnote w:id="3">
    <w:p w14:paraId="36A6DC0E" w14:textId="77777777" w:rsidR="0073681E" w:rsidRPr="002537D6" w:rsidRDefault="0073681E" w:rsidP="002537D6">
      <w:pPr>
        <w:pStyle w:val="Textpoznpodarou"/>
        <w:jc w:val="both"/>
        <w:rPr>
          <w:rFonts w:ascii="Arial" w:hAnsi="Arial" w:cs="Arial"/>
        </w:rPr>
      </w:pPr>
      <w:r w:rsidRPr="002537D6">
        <w:rPr>
          <w:rStyle w:val="Znakapoznpodarou"/>
          <w:rFonts w:ascii="Arial" w:hAnsi="Arial" w:cs="Arial"/>
        </w:rPr>
        <w:footnoteRef/>
      </w:r>
      <w:r w:rsidRPr="002537D6">
        <w:rPr>
          <w:rFonts w:ascii="Arial" w:hAnsi="Arial" w:cs="Arial"/>
        </w:rPr>
        <w:t xml:space="preserve"> Konkrétní výše jistot dle § 4b zákona o loteriích:</w:t>
      </w:r>
    </w:p>
    <w:p w14:paraId="3A54DEA0" w14:textId="1E7FB5FA" w:rsidR="0073681E" w:rsidRPr="002537D6" w:rsidRDefault="0073681E" w:rsidP="002537D6">
      <w:pPr>
        <w:pStyle w:val="Textpoznpodarou"/>
        <w:jc w:val="both"/>
        <w:rPr>
          <w:rFonts w:ascii="Arial" w:hAnsi="Arial" w:cs="Arial"/>
        </w:rPr>
      </w:pPr>
      <w:r w:rsidRPr="002537D6">
        <w:rPr>
          <w:rFonts w:ascii="Arial" w:hAnsi="Arial" w:cs="Arial"/>
        </w:rPr>
        <w:t>a) 50 000 000 Kč u loterií a her podle § 2 písm. a), c), d), l), m) bodu 2, n</w:t>
      </w:r>
      <w:r w:rsidR="00B97DF3">
        <w:rPr>
          <w:rFonts w:ascii="Arial" w:hAnsi="Arial" w:cs="Arial"/>
        </w:rPr>
        <w:t>) a podle § 50 odst. 3, a to za </w:t>
      </w:r>
      <w:r w:rsidRPr="002537D6">
        <w:rPr>
          <w:rFonts w:ascii="Arial" w:hAnsi="Arial" w:cs="Arial"/>
        </w:rPr>
        <w:t>všechny jím provozované loterie a hry,</w:t>
      </w:r>
    </w:p>
    <w:p w14:paraId="64ED7C49" w14:textId="77777777" w:rsidR="0073681E" w:rsidRPr="002537D6" w:rsidRDefault="0073681E" w:rsidP="002537D6">
      <w:pPr>
        <w:pStyle w:val="Textpoznpodarou"/>
        <w:jc w:val="both"/>
        <w:rPr>
          <w:rFonts w:ascii="Arial" w:hAnsi="Arial" w:cs="Arial"/>
        </w:rPr>
      </w:pPr>
      <w:r w:rsidRPr="002537D6">
        <w:rPr>
          <w:rFonts w:ascii="Arial" w:hAnsi="Arial" w:cs="Arial"/>
        </w:rPr>
        <w:t>b) 2 000 000 Kč u her podle § 2 písm. e),</w:t>
      </w:r>
    </w:p>
    <w:p w14:paraId="05C5E666" w14:textId="77777777" w:rsidR="0073681E" w:rsidRPr="002537D6" w:rsidRDefault="0073681E" w:rsidP="002537D6">
      <w:pPr>
        <w:pStyle w:val="Textpoznpodarou"/>
        <w:jc w:val="both"/>
        <w:rPr>
          <w:rFonts w:ascii="Arial" w:hAnsi="Arial" w:cs="Arial"/>
        </w:rPr>
      </w:pPr>
      <w:r w:rsidRPr="002537D6">
        <w:rPr>
          <w:rFonts w:ascii="Arial" w:hAnsi="Arial" w:cs="Arial"/>
        </w:rPr>
        <w:t>c) 10 000 000 Kč u her podle § 2 písm. h),</w:t>
      </w:r>
    </w:p>
    <w:p w14:paraId="14247D6C" w14:textId="77777777" w:rsidR="0073681E" w:rsidRPr="002537D6" w:rsidRDefault="0073681E" w:rsidP="002537D6">
      <w:pPr>
        <w:pStyle w:val="Textpoznpodarou"/>
        <w:jc w:val="both"/>
        <w:rPr>
          <w:rFonts w:ascii="Arial" w:hAnsi="Arial" w:cs="Arial"/>
        </w:rPr>
      </w:pPr>
      <w:r w:rsidRPr="002537D6">
        <w:rPr>
          <w:rFonts w:ascii="Arial" w:hAnsi="Arial" w:cs="Arial"/>
        </w:rPr>
        <w:t>d) 5 000 000 Kč u her uvedených v § 2 písm. f), g) a j),</w:t>
      </w:r>
    </w:p>
    <w:p w14:paraId="56EC4BB6" w14:textId="77777777" w:rsidR="0073681E" w:rsidRDefault="0073681E" w:rsidP="002537D6">
      <w:pPr>
        <w:pStyle w:val="Textpoznpodarou"/>
        <w:jc w:val="both"/>
      </w:pPr>
      <w:r w:rsidRPr="002537D6">
        <w:rPr>
          <w:rFonts w:ascii="Arial" w:hAnsi="Arial" w:cs="Arial"/>
        </w:rPr>
        <w:t>e) 20 000 000 Kč u her podle § 2 písm. i) a m) bodu 1.</w:t>
      </w:r>
    </w:p>
  </w:footnote>
  <w:footnote w:id="4">
    <w:p w14:paraId="422156CA" w14:textId="4C89AF05" w:rsidR="0073681E" w:rsidRPr="002537D6" w:rsidRDefault="0073681E" w:rsidP="009A17A9">
      <w:pPr>
        <w:pStyle w:val="Textpoznpodarou"/>
        <w:jc w:val="both"/>
        <w:rPr>
          <w:rFonts w:ascii="Arial" w:hAnsi="Arial" w:cs="Arial"/>
        </w:rPr>
      </w:pPr>
      <w:r w:rsidRPr="002537D6">
        <w:rPr>
          <w:rStyle w:val="Znakapoznpodarou"/>
          <w:rFonts w:ascii="Arial" w:hAnsi="Arial" w:cs="Arial"/>
        </w:rPr>
        <w:footnoteRef/>
      </w:r>
      <w:r w:rsidR="00A96B53">
        <w:rPr>
          <w:rFonts w:ascii="Arial" w:hAnsi="Arial" w:cs="Arial"/>
        </w:rPr>
        <w:t xml:space="preserve"> </w:t>
      </w:r>
      <w:r w:rsidR="00171945" w:rsidRPr="00171945">
        <w:rPr>
          <w:rFonts w:ascii="Arial" w:hAnsi="Arial" w:cs="Arial"/>
        </w:rPr>
        <w:t>Formuláře - Záruční listiny. Ministerstvo financí [online]. [cit. 2021-6-2]. Dostupné z: https://www.mfcr.cz/cs/soukromy-sektor/hazardni-hry/zadatele-a-provozovatele/stanoviska/2016/formulare-zarucni-listiny-26106</w:t>
      </w:r>
    </w:p>
  </w:footnote>
  <w:footnote w:id="5">
    <w:p w14:paraId="140B5CC6" w14:textId="77777777" w:rsidR="0073681E" w:rsidRPr="002537D6" w:rsidRDefault="0073681E" w:rsidP="009A17A9">
      <w:pPr>
        <w:pStyle w:val="Textpoznpodarou"/>
        <w:jc w:val="both"/>
        <w:rPr>
          <w:rFonts w:ascii="Arial" w:hAnsi="Arial" w:cs="Arial"/>
        </w:rPr>
      </w:pPr>
      <w:r w:rsidRPr="002537D6">
        <w:rPr>
          <w:rStyle w:val="Znakapoznpodarou"/>
          <w:rFonts w:ascii="Arial" w:hAnsi="Arial" w:cs="Arial"/>
        </w:rPr>
        <w:footnoteRef/>
      </w:r>
      <w:r w:rsidRPr="002537D6">
        <w:rPr>
          <w:rFonts w:ascii="Arial" w:hAnsi="Arial" w:cs="Arial"/>
        </w:rPr>
        <w:t xml:space="preserve"> Konkrétní výše kauce pro základní povolení je stanovena v § 89 odst. 5 zákona o hazardních hrách, kdy výše kauce činí: </w:t>
      </w:r>
    </w:p>
    <w:p w14:paraId="12F2E628" w14:textId="77777777" w:rsidR="0073681E" w:rsidRPr="002537D6" w:rsidRDefault="0073681E" w:rsidP="009A17A9">
      <w:pPr>
        <w:pStyle w:val="Textpoznpodarou"/>
        <w:numPr>
          <w:ilvl w:val="0"/>
          <w:numId w:val="12"/>
        </w:numPr>
        <w:jc w:val="both"/>
        <w:rPr>
          <w:rFonts w:ascii="Arial" w:hAnsi="Arial" w:cs="Arial"/>
        </w:rPr>
      </w:pPr>
      <w:r w:rsidRPr="002537D6">
        <w:rPr>
          <w:rFonts w:ascii="Arial" w:hAnsi="Arial" w:cs="Arial"/>
        </w:rPr>
        <w:t xml:space="preserve">5 mil. Kč u kursových sázek na zvířecí dostihy a totalizátorových her na zvířecí dostihy, </w:t>
      </w:r>
    </w:p>
    <w:p w14:paraId="0B74584A" w14:textId="41FAA889" w:rsidR="0073681E" w:rsidRPr="002537D6" w:rsidRDefault="0073681E" w:rsidP="001C64CB">
      <w:pPr>
        <w:pStyle w:val="Textpoznpodarou"/>
        <w:numPr>
          <w:ilvl w:val="0"/>
          <w:numId w:val="12"/>
        </w:numPr>
        <w:jc w:val="both"/>
        <w:rPr>
          <w:rFonts w:ascii="Arial" w:hAnsi="Arial" w:cs="Arial"/>
        </w:rPr>
      </w:pPr>
      <w:r w:rsidRPr="002537D6">
        <w:rPr>
          <w:rFonts w:ascii="Arial" w:hAnsi="Arial" w:cs="Arial"/>
        </w:rPr>
        <w:t>30 mil. Kč u hazardních her podle § 3 odst. 2 písm. b) a c) a hazardních her podle § 3 odst. 2 písm. b) až d) provozovaných jako internetová hra,</w:t>
      </w:r>
    </w:p>
    <w:p w14:paraId="096BB480" w14:textId="0C04DDA1" w:rsidR="0073681E" w:rsidRPr="002537D6" w:rsidRDefault="0073681E" w:rsidP="001C64CB">
      <w:pPr>
        <w:pStyle w:val="Textpoznpodarou"/>
        <w:numPr>
          <w:ilvl w:val="0"/>
          <w:numId w:val="12"/>
        </w:numPr>
        <w:jc w:val="both"/>
        <w:rPr>
          <w:rFonts w:ascii="Arial" w:hAnsi="Arial" w:cs="Arial"/>
        </w:rPr>
      </w:pPr>
      <w:r w:rsidRPr="002537D6">
        <w:rPr>
          <w:rFonts w:ascii="Arial" w:hAnsi="Arial" w:cs="Arial"/>
        </w:rPr>
        <w:t>50 mil. Kč u hazardních her podle § 3 odst. 2 písm. a) a hazardních her podle § 3 odst. 2 písm. a), e) a f) provozovaných jako internetová hra.</w:t>
      </w:r>
    </w:p>
  </w:footnote>
  <w:footnote w:id="6">
    <w:p w14:paraId="03F84D06" w14:textId="77777777" w:rsidR="0073681E" w:rsidRPr="002537D6" w:rsidRDefault="0073681E" w:rsidP="00D514C9">
      <w:pPr>
        <w:pStyle w:val="Textpoznpodarou"/>
        <w:jc w:val="both"/>
        <w:rPr>
          <w:rFonts w:ascii="Arial" w:hAnsi="Arial" w:cs="Arial"/>
        </w:rPr>
      </w:pPr>
      <w:r w:rsidRPr="002537D6">
        <w:rPr>
          <w:rStyle w:val="Znakapoznpodarou"/>
          <w:rFonts w:ascii="Arial" w:hAnsi="Arial" w:cs="Arial"/>
        </w:rPr>
        <w:footnoteRef/>
      </w:r>
      <w:r w:rsidRPr="002537D6">
        <w:rPr>
          <w:rFonts w:ascii="Arial" w:hAnsi="Arial" w:cs="Arial"/>
        </w:rPr>
        <w:t xml:space="preserve"> Konkrétní výše kauce pro provozování heren a kasin je stanovena v § 100 odst. 4 zákona o hazardních hrách, kdy výše kauce činí:</w:t>
      </w:r>
    </w:p>
    <w:p w14:paraId="67AF8D55" w14:textId="0F582135" w:rsidR="0073681E" w:rsidRPr="002537D6" w:rsidRDefault="0073681E" w:rsidP="00D514C9">
      <w:pPr>
        <w:pStyle w:val="Textpoznpodarou"/>
        <w:jc w:val="both"/>
        <w:rPr>
          <w:rFonts w:ascii="Arial" w:hAnsi="Arial" w:cs="Arial"/>
        </w:rPr>
      </w:pPr>
      <w:r w:rsidRPr="002537D6">
        <w:rPr>
          <w:rFonts w:ascii="Arial" w:hAnsi="Arial" w:cs="Arial"/>
        </w:rPr>
        <w:t>a) 1  mil. Kč za každou hernu, nejméně však 10  mil. Kč a nejvýše 50  mil. Kč za všechny herny jednoho provozovatele,</w:t>
      </w:r>
    </w:p>
    <w:p w14:paraId="54CDF1E2" w14:textId="03FDC84F" w:rsidR="0073681E" w:rsidRDefault="0073681E" w:rsidP="00D514C9">
      <w:pPr>
        <w:pStyle w:val="Textpoznpodarou"/>
        <w:jc w:val="both"/>
      </w:pPr>
      <w:r w:rsidRPr="002537D6">
        <w:rPr>
          <w:rFonts w:ascii="Arial" w:hAnsi="Arial" w:cs="Arial"/>
        </w:rPr>
        <w:t>b) 10  mil. Kč za každé kasino, nejméně však 20  mil. Kč a nejvýše 50  mil. Kč za všechna kasina jednoho provozovatele.</w:t>
      </w:r>
    </w:p>
  </w:footnote>
  <w:footnote w:id="7">
    <w:p w14:paraId="7BC55C8A" w14:textId="6140DE48" w:rsidR="0073681E" w:rsidRPr="002537D6" w:rsidRDefault="0073681E" w:rsidP="006777D0">
      <w:pPr>
        <w:pStyle w:val="Textpoznpodarou"/>
        <w:jc w:val="both"/>
        <w:rPr>
          <w:rFonts w:ascii="Arial" w:hAnsi="Arial" w:cs="Arial"/>
        </w:rPr>
      </w:pPr>
      <w:r w:rsidRPr="002537D6">
        <w:rPr>
          <w:rStyle w:val="Znakapoznpodarou"/>
          <w:rFonts w:ascii="Arial" w:hAnsi="Arial" w:cs="Arial"/>
        </w:rPr>
        <w:footnoteRef/>
      </w:r>
      <w:r w:rsidRPr="002537D6">
        <w:rPr>
          <w:rFonts w:ascii="Arial" w:hAnsi="Arial" w:cs="Arial"/>
        </w:rPr>
        <w:t xml:space="preserve"> Podle § 90 odst. 2 lhůta podle odstavce 1 neběží po dobu, kdy je orgánem podle tohoto zákona nebo správcem daně vedeno řízení:</w:t>
      </w:r>
    </w:p>
    <w:p w14:paraId="5D7C1A7C" w14:textId="77777777" w:rsidR="0073681E" w:rsidRPr="002537D6" w:rsidRDefault="0073681E" w:rsidP="006777D0">
      <w:pPr>
        <w:pStyle w:val="Textpoznpodarou"/>
        <w:jc w:val="both"/>
        <w:rPr>
          <w:rFonts w:ascii="Arial" w:hAnsi="Arial" w:cs="Arial"/>
        </w:rPr>
      </w:pPr>
      <w:r w:rsidRPr="002537D6">
        <w:rPr>
          <w:rFonts w:ascii="Arial" w:hAnsi="Arial" w:cs="Arial"/>
        </w:rPr>
        <w:t>a) jehož výsledkem může být rozhodnutí o stanovení daně, poplatku nebo jiného peněžitého plnění,</w:t>
      </w:r>
    </w:p>
    <w:p w14:paraId="7D10E6BA" w14:textId="77777777" w:rsidR="0073681E" w:rsidRPr="002537D6" w:rsidRDefault="0073681E" w:rsidP="006777D0">
      <w:pPr>
        <w:pStyle w:val="Textpoznpodarou"/>
        <w:jc w:val="both"/>
        <w:rPr>
          <w:rFonts w:ascii="Arial" w:hAnsi="Arial" w:cs="Arial"/>
        </w:rPr>
      </w:pPr>
      <w:r w:rsidRPr="002537D6">
        <w:rPr>
          <w:rFonts w:ascii="Arial" w:hAnsi="Arial" w:cs="Arial"/>
        </w:rPr>
        <w:t>b) které bylo zahájeno do 90 dnů ode dne pravomocného zrušení nebo zániku základního povolení.</w:t>
      </w:r>
    </w:p>
  </w:footnote>
  <w:footnote w:id="8">
    <w:p w14:paraId="0C706C0E" w14:textId="109C5AEF" w:rsidR="0073681E" w:rsidRPr="002537D6" w:rsidRDefault="0073681E" w:rsidP="006777D0">
      <w:pPr>
        <w:pStyle w:val="Textpoznpodarou"/>
        <w:jc w:val="both"/>
        <w:rPr>
          <w:rFonts w:ascii="Arial" w:hAnsi="Arial" w:cs="Arial"/>
        </w:rPr>
      </w:pPr>
      <w:r w:rsidRPr="002537D6">
        <w:rPr>
          <w:rStyle w:val="Znakapoznpodarou"/>
          <w:rFonts w:ascii="Arial" w:hAnsi="Arial" w:cs="Arial"/>
        </w:rPr>
        <w:footnoteRef/>
      </w:r>
      <w:r w:rsidRPr="002537D6">
        <w:rPr>
          <w:rFonts w:ascii="Arial" w:hAnsi="Arial" w:cs="Arial"/>
        </w:rPr>
        <w:t xml:space="preserve"> Podle § 100a odst. 2 lhůta podle odstavce 1 neběží po dobu, kdy je orgánem podle tohoto zákona nebo správcem daně vedeno řízení:</w:t>
      </w:r>
    </w:p>
    <w:p w14:paraId="4FEDF993" w14:textId="77777777" w:rsidR="0073681E" w:rsidRPr="002537D6" w:rsidRDefault="0073681E" w:rsidP="006777D0">
      <w:pPr>
        <w:pStyle w:val="Textpoznpodarou"/>
        <w:jc w:val="both"/>
        <w:rPr>
          <w:rFonts w:ascii="Arial" w:hAnsi="Arial" w:cs="Arial"/>
        </w:rPr>
      </w:pPr>
      <w:r w:rsidRPr="002537D6">
        <w:rPr>
          <w:rFonts w:ascii="Arial" w:hAnsi="Arial" w:cs="Arial"/>
        </w:rPr>
        <w:t>a) jehož výsledkem může být rozhodnutí o stanovení daně, poplatku nebo jiného obdobného peněžitého plnění, a</w:t>
      </w:r>
    </w:p>
    <w:p w14:paraId="778C67D9" w14:textId="77777777" w:rsidR="0073681E" w:rsidRPr="002537D6" w:rsidRDefault="0073681E" w:rsidP="006777D0">
      <w:pPr>
        <w:pStyle w:val="Textpoznpodarou"/>
        <w:jc w:val="both"/>
        <w:rPr>
          <w:rFonts w:ascii="Arial" w:hAnsi="Arial" w:cs="Arial"/>
        </w:rPr>
      </w:pPr>
      <w:r w:rsidRPr="002537D6">
        <w:rPr>
          <w:rFonts w:ascii="Arial" w:hAnsi="Arial" w:cs="Arial"/>
        </w:rPr>
        <w:t>b) které bylo zahájeno do 90 dnů ode dne doručení žádosti provozovatele o vrácení vratitelného přeplatku.</w:t>
      </w:r>
    </w:p>
  </w:footnote>
  <w:footnote w:id="9">
    <w:p w14:paraId="6078DBCD" w14:textId="600F7C70" w:rsidR="0073681E" w:rsidRPr="002537D6" w:rsidRDefault="0073681E" w:rsidP="006777D0">
      <w:pPr>
        <w:pStyle w:val="Textpoznpodarou"/>
        <w:jc w:val="both"/>
        <w:rPr>
          <w:rFonts w:ascii="Arial" w:hAnsi="Arial" w:cs="Arial"/>
        </w:rPr>
      </w:pPr>
      <w:r w:rsidRPr="002537D6">
        <w:rPr>
          <w:rStyle w:val="Znakapoznpodarou"/>
          <w:rFonts w:ascii="Arial" w:hAnsi="Arial" w:cs="Arial"/>
        </w:rPr>
        <w:footnoteRef/>
      </w:r>
      <w:r w:rsidRPr="002537D6">
        <w:rPr>
          <w:rFonts w:ascii="Arial" w:hAnsi="Arial" w:cs="Arial"/>
        </w:rPr>
        <w:t xml:space="preserve"> </w:t>
      </w:r>
      <w:r w:rsidR="00171945" w:rsidRPr="00171945">
        <w:rPr>
          <w:rFonts w:ascii="Arial" w:hAnsi="Arial" w:cs="Arial"/>
        </w:rPr>
        <w:t>Informace k postupu sázejících při uplatnění nároku na nevyplacenou výhru z účasti na hazardní hře. Ministerstvo financí [online]. [cit. 2021-6-2]. Dostupné z: https://www.mfcr.cz/cs/soukromy-sektor/hazardni-hry/prihlasovani-nevyplacenych-vyher/obecne-informace/2021/informace-k-postupu-sazejicich-pri-uplat-41191</w:t>
      </w:r>
    </w:p>
  </w:footnote>
  <w:footnote w:id="10">
    <w:p w14:paraId="17953DF0" w14:textId="2AF7CF6E" w:rsidR="0073681E" w:rsidRPr="00814139" w:rsidRDefault="0073681E" w:rsidP="006777D0">
      <w:pPr>
        <w:pStyle w:val="Textpoznpodarou"/>
        <w:jc w:val="both"/>
        <w:rPr>
          <w:rFonts w:ascii="Arial" w:hAnsi="Arial" w:cs="Arial"/>
        </w:rPr>
      </w:pPr>
      <w:r w:rsidRPr="002537D6">
        <w:rPr>
          <w:rStyle w:val="Znakapoznpodarou"/>
          <w:rFonts w:ascii="Arial" w:hAnsi="Arial" w:cs="Arial"/>
        </w:rPr>
        <w:footnoteRef/>
      </w:r>
      <w:r w:rsidR="00DB1885">
        <w:rPr>
          <w:rFonts w:ascii="Arial" w:hAnsi="Arial" w:cs="Arial"/>
        </w:rPr>
        <w:t xml:space="preserve"> </w:t>
      </w:r>
      <w:r w:rsidR="00DB1885" w:rsidRPr="00DB1885">
        <w:rPr>
          <w:rFonts w:ascii="Arial" w:hAnsi="Arial" w:cs="Arial"/>
        </w:rPr>
        <w:t>Stanovisko k problematice výplaty výhry v případě hazardních her se zřízeným uživatelským kontem. Ministerstvo financí [online]. [cit. 2021-6-2]. Dostupné z: https://www.mfcr.cz/cs/soukromy-sektor/hazardni-hry/prihlasovani-nevyplacenych-vyher/obecne-informace/2021/stanovisko-k-problematice-vyplaty-vyhry-41192</w:t>
      </w:r>
    </w:p>
  </w:footnote>
  <w:footnote w:id="11">
    <w:p w14:paraId="5375DA55" w14:textId="77777777" w:rsidR="0073681E" w:rsidRPr="008643E9" w:rsidRDefault="0073681E" w:rsidP="006777D0">
      <w:pPr>
        <w:pStyle w:val="Textpoznpodarou"/>
        <w:jc w:val="both"/>
        <w:rPr>
          <w:rFonts w:ascii="Arial" w:hAnsi="Arial" w:cs="Arial"/>
        </w:rPr>
      </w:pPr>
      <w:r w:rsidRPr="00814139">
        <w:rPr>
          <w:rStyle w:val="Znakapoznpodarou"/>
          <w:rFonts w:ascii="Arial" w:hAnsi="Arial" w:cs="Arial"/>
        </w:rPr>
        <w:footnoteRef/>
      </w:r>
      <w:r w:rsidRPr="00814139">
        <w:rPr>
          <w:rFonts w:ascii="Arial" w:hAnsi="Arial" w:cs="Arial"/>
        </w:rPr>
        <w:t xml:space="preserve"> § 90 odst. 3 a § 100a odst. 3 zákona o hazardních hrách.</w:t>
      </w:r>
    </w:p>
  </w:footnote>
  <w:footnote w:id="12">
    <w:p w14:paraId="6B45C6EB" w14:textId="4DF3188B" w:rsidR="0073681E" w:rsidRPr="002537D6" w:rsidRDefault="0073681E" w:rsidP="000379BE">
      <w:pPr>
        <w:pStyle w:val="Textpoznpodarou"/>
        <w:jc w:val="both"/>
        <w:rPr>
          <w:rFonts w:ascii="Arial" w:hAnsi="Arial" w:cs="Arial"/>
        </w:rPr>
      </w:pPr>
      <w:r w:rsidRPr="002537D6">
        <w:rPr>
          <w:rStyle w:val="Znakapoznpodarou"/>
          <w:rFonts w:ascii="Arial" w:hAnsi="Arial" w:cs="Arial"/>
        </w:rPr>
        <w:footnoteRef/>
      </w:r>
      <w:r w:rsidRPr="002537D6">
        <w:rPr>
          <w:rFonts w:ascii="Arial" w:hAnsi="Arial" w:cs="Arial"/>
        </w:rPr>
        <w:t xml:space="preserve"> Pro správu placení kauce se použijí přiměřeně ustanovení daňového řádu. Nevyplacené výhry sázejícímu podle § 89 odstavce 4 písm. c) se pro účely správy placení kauce považují za nedoplatek provozovatele evidovaný </w:t>
      </w:r>
      <w:r w:rsidR="00466084">
        <w:rPr>
          <w:rFonts w:ascii="Arial" w:hAnsi="Arial" w:cs="Arial"/>
        </w:rPr>
        <w:t>M</w:t>
      </w:r>
      <w:r w:rsidRPr="002537D6">
        <w:rPr>
          <w:rFonts w:ascii="Arial" w:hAnsi="Arial" w:cs="Arial"/>
        </w:rPr>
        <w:t>inisterstvem</w:t>
      </w:r>
      <w:r w:rsidR="00466084">
        <w:rPr>
          <w:rFonts w:ascii="Arial" w:hAnsi="Arial" w:cs="Arial"/>
        </w:rPr>
        <w:t xml:space="preserve"> financí</w:t>
      </w:r>
      <w:r w:rsidRPr="002537D6">
        <w:rPr>
          <w:rFonts w:ascii="Arial" w:hAnsi="Arial" w:cs="Arial"/>
        </w:rPr>
        <w:t>.</w:t>
      </w:r>
    </w:p>
  </w:footnote>
  <w:footnote w:id="13">
    <w:p w14:paraId="4A5C9D04" w14:textId="73FD192E" w:rsidR="00674128" w:rsidRPr="002537D6" w:rsidRDefault="00674128" w:rsidP="002537D6">
      <w:pPr>
        <w:pStyle w:val="Textpoznpodarou"/>
        <w:jc w:val="both"/>
        <w:rPr>
          <w:rFonts w:ascii="Arial" w:hAnsi="Arial" w:cs="Arial"/>
        </w:rPr>
      </w:pPr>
      <w:r w:rsidRPr="00B97DF3">
        <w:rPr>
          <w:rStyle w:val="Znakapoznpodarou"/>
          <w:rFonts w:ascii="Arial" w:hAnsi="Arial" w:cs="Arial"/>
        </w:rPr>
        <w:footnoteRef/>
      </w:r>
      <w:r w:rsidRPr="00B97DF3">
        <w:rPr>
          <w:rFonts w:ascii="Arial" w:hAnsi="Arial" w:cs="Arial"/>
        </w:rPr>
        <w:t xml:space="preserve"> Za účelem zahájení </w:t>
      </w:r>
      <w:r w:rsidR="001E6458" w:rsidRPr="00B97DF3">
        <w:rPr>
          <w:rFonts w:ascii="Arial" w:hAnsi="Arial" w:cs="Arial"/>
        </w:rPr>
        <w:t>případného insolvenčního řízení je nutné splnit mimo jiné podmínky stanovené v zákoně č. 182/2006 Sb. o úpadku a způsobech jeho řešení (insolvenční zákon), zejména pak související s § 3 odst. 1 tohoto zákona.</w:t>
      </w:r>
    </w:p>
  </w:footnote>
  <w:footnote w:id="14">
    <w:p w14:paraId="6EED0F9E" w14:textId="77777777" w:rsidR="0073681E" w:rsidRPr="00283AC7" w:rsidRDefault="0073681E" w:rsidP="00283AC7">
      <w:pPr>
        <w:pStyle w:val="Textpoznpodarou"/>
        <w:jc w:val="both"/>
        <w:rPr>
          <w:rFonts w:ascii="Arial" w:hAnsi="Arial" w:cs="Arial"/>
        </w:rPr>
      </w:pPr>
      <w:r w:rsidRPr="00283AC7">
        <w:rPr>
          <w:rStyle w:val="Znakapoznpodarou"/>
          <w:rFonts w:ascii="Arial" w:hAnsi="Arial" w:cs="Arial"/>
        </w:rPr>
        <w:footnoteRef/>
      </w:r>
      <w:r w:rsidRPr="00283AC7">
        <w:rPr>
          <w:rFonts w:ascii="Arial" w:hAnsi="Arial" w:cs="Arial"/>
        </w:rPr>
        <w:t xml:space="preserve"> tj. pokud provozovatel dává možnost vyhrát určitou výši v jedné či více hazardních hrách, musí být schopen všechny takové výhry v daný den vyplatit.</w:t>
      </w:r>
    </w:p>
  </w:footnote>
  <w:footnote w:id="15">
    <w:p w14:paraId="177D101F" w14:textId="77777777" w:rsidR="0073681E" w:rsidRPr="00364010" w:rsidRDefault="0073681E" w:rsidP="003D126C">
      <w:pPr>
        <w:pStyle w:val="Textpoznpodarou"/>
        <w:jc w:val="both"/>
        <w:rPr>
          <w:rFonts w:ascii="Arial" w:hAnsi="Arial" w:cs="Arial"/>
        </w:rPr>
      </w:pPr>
      <w:r w:rsidRPr="00364010">
        <w:rPr>
          <w:rStyle w:val="Znakapoznpodarou"/>
          <w:rFonts w:ascii="Arial" w:hAnsi="Arial" w:cs="Arial"/>
        </w:rPr>
        <w:footnoteRef/>
      </w:r>
      <w:r w:rsidRPr="00364010">
        <w:rPr>
          <w:rFonts w:ascii="Arial" w:hAnsi="Arial" w:cs="Arial"/>
        </w:rPr>
        <w:t xml:space="preserve"> § 89 odst. 5 ZHH, kdy výše kauce činí: </w:t>
      </w:r>
    </w:p>
    <w:p w14:paraId="33E02225" w14:textId="77777777" w:rsidR="0073681E" w:rsidRPr="00364010" w:rsidRDefault="0073681E" w:rsidP="003D126C">
      <w:pPr>
        <w:pStyle w:val="Textpoznpodarou"/>
        <w:numPr>
          <w:ilvl w:val="0"/>
          <w:numId w:val="17"/>
        </w:numPr>
        <w:jc w:val="both"/>
        <w:rPr>
          <w:rFonts w:ascii="Arial" w:hAnsi="Arial" w:cs="Arial"/>
        </w:rPr>
      </w:pPr>
      <w:r w:rsidRPr="00364010">
        <w:rPr>
          <w:rFonts w:ascii="Arial" w:hAnsi="Arial" w:cs="Arial"/>
        </w:rPr>
        <w:t xml:space="preserve">5 mil. Kč u kursových sázek na zvířecí dostihy a totalizátorových her na zvířecí dostihy, </w:t>
      </w:r>
    </w:p>
    <w:p w14:paraId="388AB7B7" w14:textId="50CFBFE0" w:rsidR="0073681E" w:rsidRPr="00364010" w:rsidRDefault="0073681E" w:rsidP="003D126C">
      <w:pPr>
        <w:pStyle w:val="Textpoznpodarou"/>
        <w:numPr>
          <w:ilvl w:val="0"/>
          <w:numId w:val="17"/>
        </w:numPr>
        <w:jc w:val="both"/>
        <w:rPr>
          <w:rFonts w:ascii="Arial" w:hAnsi="Arial" w:cs="Arial"/>
        </w:rPr>
      </w:pPr>
      <w:r w:rsidRPr="00364010">
        <w:rPr>
          <w:rFonts w:ascii="Arial" w:hAnsi="Arial" w:cs="Arial"/>
        </w:rPr>
        <w:t>30 mil. Kč u hazardních her podle §</w:t>
      </w:r>
      <w:r>
        <w:rPr>
          <w:rFonts w:ascii="Arial" w:hAnsi="Arial" w:cs="Arial"/>
        </w:rPr>
        <w:t xml:space="preserve"> </w:t>
      </w:r>
      <w:r w:rsidRPr="00364010">
        <w:rPr>
          <w:rFonts w:ascii="Arial" w:hAnsi="Arial" w:cs="Arial"/>
        </w:rPr>
        <w:t>3 odst. 2 písm. b) a c) a hazardních her podle §</w:t>
      </w:r>
      <w:r>
        <w:rPr>
          <w:rFonts w:ascii="Arial" w:hAnsi="Arial" w:cs="Arial"/>
        </w:rPr>
        <w:t> </w:t>
      </w:r>
      <w:r w:rsidRPr="00364010">
        <w:rPr>
          <w:rFonts w:ascii="Arial" w:hAnsi="Arial" w:cs="Arial"/>
        </w:rPr>
        <w:t>3</w:t>
      </w:r>
      <w:r>
        <w:rPr>
          <w:rFonts w:ascii="Arial" w:hAnsi="Arial" w:cs="Arial"/>
        </w:rPr>
        <w:t> </w:t>
      </w:r>
      <w:r w:rsidRPr="00364010">
        <w:rPr>
          <w:rFonts w:ascii="Arial" w:hAnsi="Arial" w:cs="Arial"/>
        </w:rPr>
        <w:t>odst.</w:t>
      </w:r>
      <w:r>
        <w:rPr>
          <w:rFonts w:ascii="Arial" w:hAnsi="Arial" w:cs="Arial"/>
        </w:rPr>
        <w:t> </w:t>
      </w:r>
      <w:r w:rsidRPr="00364010">
        <w:rPr>
          <w:rFonts w:ascii="Arial" w:hAnsi="Arial" w:cs="Arial"/>
        </w:rPr>
        <w:t>2</w:t>
      </w:r>
      <w:r>
        <w:rPr>
          <w:rFonts w:ascii="Arial" w:hAnsi="Arial" w:cs="Arial"/>
        </w:rPr>
        <w:t> </w:t>
      </w:r>
      <w:r w:rsidRPr="00364010">
        <w:rPr>
          <w:rFonts w:ascii="Arial" w:hAnsi="Arial" w:cs="Arial"/>
        </w:rPr>
        <w:t>písm. b) až d) provozovaných jako internetová hra,</w:t>
      </w:r>
    </w:p>
    <w:p w14:paraId="3CB6ABE4" w14:textId="1AB76C19" w:rsidR="0073681E" w:rsidRPr="00364010" w:rsidRDefault="0073681E" w:rsidP="00FF1663">
      <w:pPr>
        <w:pStyle w:val="Textpoznpodarou"/>
        <w:numPr>
          <w:ilvl w:val="0"/>
          <w:numId w:val="17"/>
        </w:numPr>
        <w:jc w:val="both"/>
        <w:rPr>
          <w:rFonts w:ascii="Arial" w:hAnsi="Arial" w:cs="Arial"/>
        </w:rPr>
      </w:pPr>
      <w:r w:rsidRPr="00364010">
        <w:rPr>
          <w:rFonts w:ascii="Arial" w:hAnsi="Arial" w:cs="Arial"/>
        </w:rPr>
        <w:t>50 mil. Kč u hazardních her podle §</w:t>
      </w:r>
      <w:r>
        <w:rPr>
          <w:rFonts w:ascii="Arial" w:hAnsi="Arial" w:cs="Arial"/>
        </w:rPr>
        <w:t xml:space="preserve"> </w:t>
      </w:r>
      <w:r w:rsidRPr="00364010">
        <w:rPr>
          <w:rFonts w:ascii="Arial" w:hAnsi="Arial" w:cs="Arial"/>
        </w:rPr>
        <w:t>3 odst. 2 písm. a) a hazardních her podle §3</w:t>
      </w:r>
      <w:r>
        <w:rPr>
          <w:rFonts w:ascii="Arial" w:hAnsi="Arial" w:cs="Arial"/>
        </w:rPr>
        <w:t> </w:t>
      </w:r>
      <w:r w:rsidRPr="00364010">
        <w:rPr>
          <w:rFonts w:ascii="Arial" w:hAnsi="Arial" w:cs="Arial"/>
        </w:rPr>
        <w:t>odst.</w:t>
      </w:r>
      <w:r>
        <w:rPr>
          <w:rFonts w:ascii="Arial" w:hAnsi="Arial" w:cs="Arial"/>
        </w:rPr>
        <w:t> </w:t>
      </w:r>
      <w:r w:rsidRPr="00364010">
        <w:rPr>
          <w:rFonts w:ascii="Arial" w:hAnsi="Arial" w:cs="Arial"/>
        </w:rPr>
        <w:t>2</w:t>
      </w:r>
      <w:r>
        <w:rPr>
          <w:rFonts w:ascii="Arial" w:hAnsi="Arial" w:cs="Arial"/>
        </w:rPr>
        <w:t> </w:t>
      </w:r>
      <w:r w:rsidRPr="00364010">
        <w:rPr>
          <w:rFonts w:ascii="Arial" w:hAnsi="Arial" w:cs="Arial"/>
        </w:rPr>
        <w:t>písm.</w:t>
      </w:r>
      <w:r>
        <w:rPr>
          <w:rFonts w:ascii="Arial" w:hAnsi="Arial" w:cs="Arial"/>
        </w:rPr>
        <w:t> </w:t>
      </w:r>
      <w:r w:rsidRPr="00364010">
        <w:rPr>
          <w:rFonts w:ascii="Arial" w:hAnsi="Arial" w:cs="Arial"/>
        </w:rPr>
        <w:t>a), e) a f) provozovaných jako internetová hra.</w:t>
      </w:r>
    </w:p>
  </w:footnote>
  <w:footnote w:id="16">
    <w:p w14:paraId="46ED1D73" w14:textId="77777777" w:rsidR="0073681E" w:rsidRPr="00364010" w:rsidRDefault="0073681E" w:rsidP="003D126C">
      <w:pPr>
        <w:pStyle w:val="Textpoznpodarou"/>
        <w:jc w:val="both"/>
        <w:rPr>
          <w:rFonts w:ascii="Arial" w:hAnsi="Arial" w:cs="Arial"/>
        </w:rPr>
      </w:pPr>
      <w:r w:rsidRPr="00364010">
        <w:rPr>
          <w:rStyle w:val="Znakapoznpodarou"/>
          <w:rFonts w:ascii="Arial" w:hAnsi="Arial" w:cs="Arial"/>
        </w:rPr>
        <w:footnoteRef/>
      </w:r>
      <w:r w:rsidRPr="00364010">
        <w:rPr>
          <w:rFonts w:ascii="Arial" w:hAnsi="Arial" w:cs="Arial"/>
        </w:rPr>
        <w:t xml:space="preserve"> § 100 odst. 4, kdy výše kauce činí:  </w:t>
      </w:r>
    </w:p>
    <w:p w14:paraId="118F9388" w14:textId="77777777" w:rsidR="0073681E" w:rsidRPr="00364010" w:rsidRDefault="0073681E" w:rsidP="003D126C">
      <w:pPr>
        <w:pStyle w:val="Textpoznpodarou"/>
        <w:numPr>
          <w:ilvl w:val="0"/>
          <w:numId w:val="10"/>
        </w:numPr>
        <w:jc w:val="both"/>
        <w:rPr>
          <w:rFonts w:ascii="Arial" w:hAnsi="Arial" w:cs="Arial"/>
        </w:rPr>
      </w:pPr>
      <w:r w:rsidRPr="00364010">
        <w:rPr>
          <w:rFonts w:ascii="Arial" w:hAnsi="Arial" w:cs="Arial"/>
        </w:rPr>
        <w:t>1 mil. Kč za každou hernu, nejméně však 10 mil. Kč a nejvýše 50 mil. za všechny herny jednoho provozovatele,</w:t>
      </w:r>
    </w:p>
    <w:p w14:paraId="4C1B7836" w14:textId="77777777" w:rsidR="0073681E" w:rsidRDefault="0073681E" w:rsidP="00FE3802">
      <w:pPr>
        <w:pStyle w:val="Textpoznpodarou"/>
        <w:numPr>
          <w:ilvl w:val="0"/>
          <w:numId w:val="10"/>
        </w:numPr>
        <w:jc w:val="both"/>
      </w:pPr>
      <w:r w:rsidRPr="002F2563">
        <w:rPr>
          <w:rFonts w:ascii="Arial" w:hAnsi="Arial" w:cs="Arial"/>
        </w:rPr>
        <w:t>10 mil. Kč za každé kasino, nejméně však 20 mil. Kč a nejvýše 50 mil, Kč za všechna kasina jednoho provozovatele.</w:t>
      </w:r>
    </w:p>
  </w:footnote>
  <w:footnote w:id="17">
    <w:p w14:paraId="54DF851C" w14:textId="77777777" w:rsidR="0073681E" w:rsidRPr="002F2563" w:rsidRDefault="0073681E" w:rsidP="002F2563">
      <w:pPr>
        <w:pStyle w:val="Textpoznpodarou"/>
        <w:jc w:val="both"/>
        <w:rPr>
          <w:rFonts w:ascii="Arial" w:hAnsi="Arial" w:cs="Arial"/>
        </w:rPr>
      </w:pPr>
      <w:r w:rsidRPr="002F2563">
        <w:rPr>
          <w:rStyle w:val="Znakapoznpodarou"/>
          <w:rFonts w:ascii="Arial" w:hAnsi="Arial" w:cs="Arial"/>
        </w:rPr>
        <w:footnoteRef/>
      </w:r>
      <w:r w:rsidRPr="002F2563">
        <w:rPr>
          <w:rFonts w:ascii="Arial" w:hAnsi="Arial" w:cs="Arial"/>
        </w:rPr>
        <w:t xml:space="preserve"> Vedle § 100 odst. 4 zákona o hazardních hrách, který upravuje výši kauce pro herní prostory, upravuje výši kauce dále i § 89 odst. 5 zákona o hazardních hrách, ve kterém jsou stanoveny výše kauce pro vydání základního povolení.</w:t>
      </w:r>
    </w:p>
  </w:footnote>
  <w:footnote w:id="18">
    <w:p w14:paraId="1E0266AE" w14:textId="77777777" w:rsidR="0073681E" w:rsidRPr="00B32FED" w:rsidRDefault="0073681E" w:rsidP="00B32FED">
      <w:pPr>
        <w:pStyle w:val="Textpoznpodarou"/>
        <w:jc w:val="both"/>
        <w:rPr>
          <w:rFonts w:ascii="Arial" w:hAnsi="Arial" w:cs="Arial"/>
        </w:rPr>
      </w:pPr>
      <w:r w:rsidRPr="00B32FED">
        <w:rPr>
          <w:rStyle w:val="Znakapoznpodarou"/>
          <w:rFonts w:ascii="Arial" w:hAnsi="Arial" w:cs="Arial"/>
        </w:rPr>
        <w:footnoteRef/>
      </w:r>
      <w:r w:rsidRPr="00B32FED">
        <w:rPr>
          <w:rFonts w:ascii="Arial" w:hAnsi="Arial" w:cs="Arial"/>
        </w:rPr>
        <w:t xml:space="preserve"> Stanovení fixní částky by se netýkalo </w:t>
      </w:r>
      <w:r>
        <w:rPr>
          <w:rFonts w:ascii="Arial" w:hAnsi="Arial" w:cs="Arial"/>
        </w:rPr>
        <w:t>ostatních</w:t>
      </w:r>
      <w:r w:rsidRPr="00B32FED">
        <w:rPr>
          <w:rFonts w:ascii="Arial" w:hAnsi="Arial" w:cs="Arial"/>
        </w:rPr>
        <w:t xml:space="preserve"> případů, tj. stanovení výše kauce požadované při vydávání základního povolení by zůstalo nedotčeno.</w:t>
      </w:r>
    </w:p>
  </w:footnote>
  <w:footnote w:id="19">
    <w:p w14:paraId="5D29DD14" w14:textId="0CFF12A3" w:rsidR="0073681E" w:rsidRPr="006431A0" w:rsidRDefault="0073681E" w:rsidP="00853FE9">
      <w:pPr>
        <w:spacing w:after="0"/>
        <w:rPr>
          <w:rFonts w:cs="Arial"/>
          <w:sz w:val="20"/>
          <w:szCs w:val="20"/>
        </w:rPr>
      </w:pPr>
      <w:r w:rsidRPr="006431A0">
        <w:rPr>
          <w:rStyle w:val="Znakapoznpodarou"/>
          <w:rFonts w:cs="Arial"/>
          <w:sz w:val="20"/>
          <w:szCs w:val="20"/>
        </w:rPr>
        <w:footnoteRef/>
      </w:r>
      <w:r w:rsidRPr="006431A0">
        <w:rPr>
          <w:rFonts w:cs="Arial"/>
          <w:sz w:val="20"/>
          <w:szCs w:val="20"/>
        </w:rPr>
        <w:t xml:space="preserve"> § 47</w:t>
      </w:r>
      <w:r w:rsidR="001B12CE">
        <w:rPr>
          <w:rFonts w:cs="Arial"/>
          <w:sz w:val="20"/>
          <w:szCs w:val="20"/>
        </w:rPr>
        <w:t xml:space="preserve"> zákona o povinném znační lihu</w:t>
      </w:r>
      <w:r w:rsidRPr="006431A0">
        <w:rPr>
          <w:rFonts w:cs="Arial"/>
          <w:sz w:val="20"/>
          <w:szCs w:val="20"/>
        </w:rPr>
        <w:t xml:space="preserve"> nově rozlišuje kauci ve vztahu </w:t>
      </w:r>
      <w:r>
        <w:rPr>
          <w:rFonts w:cs="Arial"/>
          <w:sz w:val="20"/>
          <w:szCs w:val="20"/>
        </w:rPr>
        <w:t xml:space="preserve">k </w:t>
      </w:r>
      <w:r w:rsidRPr="006431A0">
        <w:rPr>
          <w:rFonts w:cs="Arial"/>
          <w:sz w:val="20"/>
          <w:szCs w:val="20"/>
        </w:rPr>
        <w:t>objemu litrů ve spotřebitelském balení a dále v odst. 2 došlo ke specifikaci způsobu složení kauce</w:t>
      </w:r>
      <w:r>
        <w:rPr>
          <w:rFonts w:cs="Arial"/>
          <w:sz w:val="20"/>
          <w:szCs w:val="20"/>
        </w:rPr>
        <w:t>.</w:t>
      </w:r>
    </w:p>
    <w:p w14:paraId="2A132720" w14:textId="77777777" w:rsidR="0073681E" w:rsidRPr="006431A0" w:rsidRDefault="0073681E" w:rsidP="00853FE9">
      <w:pPr>
        <w:pStyle w:val="l4"/>
        <w:shd w:val="clear" w:color="auto" w:fill="FFFFFF"/>
        <w:spacing w:before="0" w:beforeAutospacing="0" w:after="0" w:afterAutospacing="0"/>
        <w:jc w:val="both"/>
        <w:rPr>
          <w:rFonts w:ascii="Arial" w:hAnsi="Arial" w:cs="Arial"/>
          <w:sz w:val="20"/>
          <w:szCs w:val="20"/>
        </w:rPr>
      </w:pPr>
      <w:r w:rsidRPr="006431A0">
        <w:rPr>
          <w:rStyle w:val="PromnnHTML"/>
          <w:rFonts w:ascii="Arial" w:hAnsi="Arial" w:cs="Arial"/>
          <w:bCs/>
          <w:i w:val="0"/>
          <w:sz w:val="20"/>
          <w:szCs w:val="20"/>
        </w:rPr>
        <w:t>(1)</w:t>
      </w:r>
      <w:r w:rsidRPr="006431A0">
        <w:rPr>
          <w:rFonts w:ascii="Arial" w:hAnsi="Arial" w:cs="Arial"/>
          <w:sz w:val="20"/>
          <w:szCs w:val="20"/>
        </w:rPr>
        <w:t> Distributor lihu je povinen poskytnout kauci, a to ve výši</w:t>
      </w:r>
      <w:r>
        <w:rPr>
          <w:rFonts w:ascii="Arial" w:hAnsi="Arial" w:cs="Arial"/>
          <w:sz w:val="20"/>
          <w:szCs w:val="20"/>
        </w:rPr>
        <w:t>:</w:t>
      </w:r>
    </w:p>
    <w:p w14:paraId="3BD0CED1" w14:textId="02016E35" w:rsidR="0073681E" w:rsidRPr="006431A0" w:rsidRDefault="0073681E" w:rsidP="00853FE9">
      <w:pPr>
        <w:pStyle w:val="l5"/>
        <w:numPr>
          <w:ilvl w:val="0"/>
          <w:numId w:val="15"/>
        </w:numPr>
        <w:shd w:val="clear" w:color="auto" w:fill="FFFFFF"/>
        <w:spacing w:before="0" w:beforeAutospacing="0" w:after="0" w:afterAutospacing="0"/>
        <w:jc w:val="both"/>
        <w:rPr>
          <w:rFonts w:ascii="Arial" w:hAnsi="Arial" w:cs="Arial"/>
          <w:sz w:val="20"/>
          <w:szCs w:val="20"/>
        </w:rPr>
      </w:pPr>
      <w:r w:rsidRPr="006431A0">
        <w:rPr>
          <w:rFonts w:ascii="Arial" w:hAnsi="Arial" w:cs="Arial"/>
          <w:sz w:val="20"/>
          <w:szCs w:val="20"/>
        </w:rPr>
        <w:t xml:space="preserve">500 </w:t>
      </w:r>
      <w:r w:rsidR="001B12CE">
        <w:rPr>
          <w:rFonts w:ascii="Arial" w:hAnsi="Arial" w:cs="Arial"/>
          <w:sz w:val="20"/>
          <w:szCs w:val="20"/>
        </w:rPr>
        <w:t>tis.</w:t>
      </w:r>
      <w:r w:rsidR="001B12CE" w:rsidRPr="006431A0">
        <w:rPr>
          <w:rFonts w:ascii="Arial" w:hAnsi="Arial" w:cs="Arial"/>
          <w:sz w:val="20"/>
          <w:szCs w:val="20"/>
        </w:rPr>
        <w:t xml:space="preserve"> </w:t>
      </w:r>
      <w:r w:rsidRPr="006431A0">
        <w:rPr>
          <w:rFonts w:ascii="Arial" w:hAnsi="Arial" w:cs="Arial"/>
          <w:sz w:val="20"/>
          <w:szCs w:val="20"/>
        </w:rPr>
        <w:t>Kč, opravňující v jednom kalendářním roce k nabytí nejvýše 25 000 litrů lihu ve spotřebitelském balení, který je označen kontrolními páskami,</w:t>
      </w:r>
    </w:p>
    <w:p w14:paraId="549AF9BF" w14:textId="0BED9557" w:rsidR="0073681E" w:rsidRPr="006431A0" w:rsidRDefault="0073681E" w:rsidP="00853FE9">
      <w:pPr>
        <w:pStyle w:val="l5"/>
        <w:numPr>
          <w:ilvl w:val="0"/>
          <w:numId w:val="15"/>
        </w:numPr>
        <w:shd w:val="clear" w:color="auto" w:fill="FFFFFF"/>
        <w:spacing w:before="0" w:beforeAutospacing="0" w:after="0" w:afterAutospacing="0"/>
        <w:jc w:val="both"/>
        <w:rPr>
          <w:rFonts w:ascii="Arial" w:hAnsi="Arial" w:cs="Arial"/>
          <w:sz w:val="20"/>
          <w:szCs w:val="20"/>
        </w:rPr>
      </w:pPr>
      <w:r w:rsidRPr="006431A0">
        <w:rPr>
          <w:rFonts w:ascii="Arial" w:hAnsi="Arial" w:cs="Arial"/>
          <w:sz w:val="20"/>
          <w:szCs w:val="20"/>
        </w:rPr>
        <w:t>1</w:t>
      </w:r>
      <w:r w:rsidR="00CC1635">
        <w:rPr>
          <w:rFonts w:ascii="Arial" w:hAnsi="Arial" w:cs="Arial"/>
          <w:sz w:val="20"/>
          <w:szCs w:val="20"/>
        </w:rPr>
        <w:t xml:space="preserve"> mil.</w:t>
      </w:r>
      <w:r w:rsidRPr="006431A0">
        <w:rPr>
          <w:rFonts w:ascii="Arial" w:hAnsi="Arial" w:cs="Arial"/>
          <w:sz w:val="20"/>
          <w:szCs w:val="20"/>
        </w:rPr>
        <w:t xml:space="preserve"> Kč, opravňující v jednom kalendářním roce k nabytí nejvýše 50 000 litrů lihu ve spotřebitelském balení, který je označen kontrolními páskami, nebo</w:t>
      </w:r>
    </w:p>
    <w:p w14:paraId="586BFBB6" w14:textId="33566791" w:rsidR="0073681E" w:rsidRPr="006431A0" w:rsidRDefault="0073681E" w:rsidP="00853FE9">
      <w:pPr>
        <w:pStyle w:val="l5"/>
        <w:numPr>
          <w:ilvl w:val="0"/>
          <w:numId w:val="15"/>
        </w:numPr>
        <w:shd w:val="clear" w:color="auto" w:fill="FFFFFF"/>
        <w:spacing w:before="0" w:beforeAutospacing="0" w:after="0" w:afterAutospacing="0"/>
        <w:jc w:val="both"/>
        <w:rPr>
          <w:rFonts w:ascii="Arial" w:hAnsi="Arial" w:cs="Arial"/>
          <w:sz w:val="20"/>
          <w:szCs w:val="20"/>
        </w:rPr>
      </w:pPr>
      <w:r w:rsidRPr="006431A0">
        <w:rPr>
          <w:rFonts w:ascii="Arial" w:hAnsi="Arial" w:cs="Arial"/>
          <w:sz w:val="20"/>
          <w:szCs w:val="20"/>
        </w:rPr>
        <w:t xml:space="preserve">5 </w:t>
      </w:r>
      <w:r w:rsidR="00CC1635">
        <w:rPr>
          <w:rFonts w:ascii="Arial" w:hAnsi="Arial" w:cs="Arial"/>
          <w:sz w:val="20"/>
          <w:szCs w:val="20"/>
        </w:rPr>
        <w:t>mil.</w:t>
      </w:r>
      <w:r w:rsidRPr="006431A0">
        <w:rPr>
          <w:rFonts w:ascii="Arial" w:hAnsi="Arial" w:cs="Arial"/>
          <w:sz w:val="20"/>
          <w:szCs w:val="20"/>
        </w:rPr>
        <w:t xml:space="preserve"> Kč, opravňující v jednom kalendářním roce k nabytí více než 50 000 litrů lihu ve spotřebitelském balení, který je označen kontrolními páskami.</w:t>
      </w:r>
    </w:p>
    <w:p w14:paraId="41A46177" w14:textId="77777777" w:rsidR="0073681E" w:rsidRDefault="0073681E" w:rsidP="00853FE9">
      <w:pPr>
        <w:pStyle w:val="Textpoznpodarou"/>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938D2" w14:textId="7156F6E9" w:rsidR="0073681E" w:rsidRPr="00702CB4" w:rsidRDefault="0073681E" w:rsidP="008274BD">
    <w:pPr>
      <w:pStyle w:val="Zhlav"/>
      <w:jc w:val="right"/>
      <w:rPr>
        <w:sz w:val="20"/>
      </w:rPr>
    </w:pPr>
    <w:r w:rsidRPr="00702CB4">
      <w:rPr>
        <w:sz w:val="20"/>
      </w:rPr>
      <w:t xml:space="preserve">Příloha č. 10 </w:t>
    </w:r>
    <w:r w:rsidR="00702CB4" w:rsidRPr="00702CB4">
      <w:rPr>
        <w:sz w:val="20"/>
      </w:rPr>
      <w:t>Hodnocení dopadů regulace zákona o hazardních hrách a souvisejících právních předpisů</w:t>
    </w:r>
  </w:p>
  <w:p w14:paraId="609592F9" w14:textId="77777777" w:rsidR="0073681E" w:rsidRDefault="0073681E" w:rsidP="008274BD">
    <w:pPr>
      <w:pStyle w:val="Zhlav"/>
    </w:pPr>
  </w:p>
  <w:p w14:paraId="65344D9F" w14:textId="77777777" w:rsidR="0073681E" w:rsidRDefault="0073681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60A38"/>
    <w:multiLevelType w:val="hybridMultilevel"/>
    <w:tmpl w:val="1B8648E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6005387"/>
    <w:multiLevelType w:val="hybridMultilevel"/>
    <w:tmpl w:val="7602B8E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3EC677C"/>
    <w:multiLevelType w:val="hybridMultilevel"/>
    <w:tmpl w:val="ADB6AA9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44D7060"/>
    <w:multiLevelType w:val="hybridMultilevel"/>
    <w:tmpl w:val="0DD298D0"/>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55A63F7"/>
    <w:multiLevelType w:val="hybridMultilevel"/>
    <w:tmpl w:val="BFC0C1A0"/>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73B5FB1"/>
    <w:multiLevelType w:val="hybridMultilevel"/>
    <w:tmpl w:val="40849DCC"/>
    <w:lvl w:ilvl="0" w:tplc="05A83C9A">
      <w:start w:val="1"/>
      <w:numFmt w:val="lowerRoman"/>
      <w:pStyle w:val="Nadpis6"/>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D2431F4"/>
    <w:multiLevelType w:val="hybridMultilevel"/>
    <w:tmpl w:val="440839E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9BC7CC0"/>
    <w:multiLevelType w:val="hybridMultilevel"/>
    <w:tmpl w:val="15744AFC"/>
    <w:lvl w:ilvl="0" w:tplc="064CE59C">
      <w:start w:val="1"/>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DF9177D"/>
    <w:multiLevelType w:val="hybridMultilevel"/>
    <w:tmpl w:val="48043116"/>
    <w:lvl w:ilvl="0" w:tplc="A822B868">
      <w:start w:val="1"/>
      <w:numFmt w:val="low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2F40EAC"/>
    <w:multiLevelType w:val="hybridMultilevel"/>
    <w:tmpl w:val="0A36233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5223AE0"/>
    <w:multiLevelType w:val="hybridMultilevel"/>
    <w:tmpl w:val="59569140"/>
    <w:lvl w:ilvl="0" w:tplc="34784E8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6C755EF"/>
    <w:multiLevelType w:val="hybridMultilevel"/>
    <w:tmpl w:val="129E9D5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73B43BD"/>
    <w:multiLevelType w:val="hybridMultilevel"/>
    <w:tmpl w:val="036EE8F2"/>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966661A"/>
    <w:multiLevelType w:val="hybridMultilevel"/>
    <w:tmpl w:val="DF6AA7E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B286451"/>
    <w:multiLevelType w:val="hybridMultilevel"/>
    <w:tmpl w:val="0C6CD6C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3A0050"/>
    <w:multiLevelType w:val="multilevel"/>
    <w:tmpl w:val="118431A0"/>
    <w:lvl w:ilvl="0">
      <w:start w:val="1"/>
      <w:numFmt w:val="none"/>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Nadpis7"/>
      <w:lvlText w:val="%1"/>
      <w:lvlJc w:val="left"/>
      <w:pPr>
        <w:ind w:left="1296" w:hanging="1296"/>
      </w:pPr>
      <w:rPr>
        <w:rFonts w:hint="default"/>
      </w:rPr>
    </w:lvl>
    <w:lvl w:ilvl="7">
      <w:start w:val="1"/>
      <w:numFmt w:val="decimal"/>
      <w:pStyle w:val="Nadpis8"/>
      <w:lvlText w:val="%1"/>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16" w15:restartNumberingAfterBreak="0">
    <w:nsid w:val="60C95A38"/>
    <w:multiLevelType w:val="hybridMultilevel"/>
    <w:tmpl w:val="C56E8DC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20D5F31"/>
    <w:multiLevelType w:val="hybridMultilevel"/>
    <w:tmpl w:val="6A2A6FCA"/>
    <w:lvl w:ilvl="0" w:tplc="DCB80948">
      <w:start w:val="13"/>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66F0F0E"/>
    <w:multiLevelType w:val="hybridMultilevel"/>
    <w:tmpl w:val="091A6E84"/>
    <w:lvl w:ilvl="0" w:tplc="4C7808E2">
      <w:start w:val="3"/>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6807287C"/>
    <w:multiLevelType w:val="hybridMultilevel"/>
    <w:tmpl w:val="47B0BFE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BAB3C12"/>
    <w:multiLevelType w:val="hybridMultilevel"/>
    <w:tmpl w:val="036EE8F2"/>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BF26585"/>
    <w:multiLevelType w:val="hybridMultilevel"/>
    <w:tmpl w:val="C58C0826"/>
    <w:lvl w:ilvl="0" w:tplc="061E03B6">
      <w:start w:val="1"/>
      <w:numFmt w:val="upperLetter"/>
      <w:pStyle w:val="Nadpis5"/>
      <w:lvlText w:val="%1."/>
      <w:lvlJc w:val="lef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744E169C"/>
    <w:multiLevelType w:val="hybridMultilevel"/>
    <w:tmpl w:val="07F0BBF8"/>
    <w:lvl w:ilvl="0" w:tplc="E19E2EA0">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4647754"/>
    <w:multiLevelType w:val="hybridMultilevel"/>
    <w:tmpl w:val="275414A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52D18AA"/>
    <w:multiLevelType w:val="hybridMultilevel"/>
    <w:tmpl w:val="48043116"/>
    <w:lvl w:ilvl="0" w:tplc="A822B868">
      <w:start w:val="1"/>
      <w:numFmt w:val="low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6D81F3D"/>
    <w:multiLevelType w:val="hybridMultilevel"/>
    <w:tmpl w:val="63A4237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BBE01AA"/>
    <w:multiLevelType w:val="hybridMultilevel"/>
    <w:tmpl w:val="0A5CBDC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5"/>
  </w:num>
  <w:num w:numId="2">
    <w:abstractNumId w:val="21"/>
  </w:num>
  <w:num w:numId="3">
    <w:abstractNumId w:val="5"/>
  </w:num>
  <w:num w:numId="4">
    <w:abstractNumId w:val="5"/>
    <w:lvlOverride w:ilvl="0">
      <w:startOverride w:val="1"/>
    </w:lvlOverride>
  </w:num>
  <w:num w:numId="5">
    <w:abstractNumId w:val="4"/>
  </w:num>
  <w:num w:numId="6">
    <w:abstractNumId w:val="11"/>
  </w:num>
  <w:num w:numId="7">
    <w:abstractNumId w:val="13"/>
  </w:num>
  <w:num w:numId="8">
    <w:abstractNumId w:val="17"/>
  </w:num>
  <w:num w:numId="9">
    <w:abstractNumId w:val="18"/>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23"/>
  </w:num>
  <w:num w:numId="13">
    <w:abstractNumId w:val="26"/>
  </w:num>
  <w:num w:numId="14">
    <w:abstractNumId w:val="9"/>
  </w:num>
  <w:num w:numId="15">
    <w:abstractNumId w:val="6"/>
  </w:num>
  <w:num w:numId="16">
    <w:abstractNumId w:val="14"/>
  </w:num>
  <w:num w:numId="17">
    <w:abstractNumId w:val="2"/>
  </w:num>
  <w:num w:numId="18">
    <w:abstractNumId w:val="1"/>
  </w:num>
  <w:num w:numId="19">
    <w:abstractNumId w:val="7"/>
  </w:num>
  <w:num w:numId="20">
    <w:abstractNumId w:val="5"/>
    <w:lvlOverride w:ilvl="0">
      <w:startOverride w:val="1"/>
    </w:lvlOverride>
  </w:num>
  <w:num w:numId="21">
    <w:abstractNumId w:val="25"/>
  </w:num>
  <w:num w:numId="22">
    <w:abstractNumId w:val="12"/>
  </w:num>
  <w:num w:numId="23">
    <w:abstractNumId w:val="24"/>
  </w:num>
  <w:num w:numId="24">
    <w:abstractNumId w:val="8"/>
  </w:num>
  <w:num w:numId="25">
    <w:abstractNumId w:val="0"/>
  </w:num>
  <w:num w:numId="26">
    <w:abstractNumId w:val="20"/>
  </w:num>
  <w:num w:numId="27">
    <w:abstractNumId w:val="3"/>
  </w:num>
  <w:num w:numId="28">
    <w:abstractNumId w:val="10"/>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22"/>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EC3"/>
    <w:rsid w:val="0000296F"/>
    <w:rsid w:val="00004CAA"/>
    <w:rsid w:val="000072CE"/>
    <w:rsid w:val="00011330"/>
    <w:rsid w:val="00013FE0"/>
    <w:rsid w:val="00014000"/>
    <w:rsid w:val="00014258"/>
    <w:rsid w:val="00016CE2"/>
    <w:rsid w:val="0002084D"/>
    <w:rsid w:val="00020C51"/>
    <w:rsid w:val="000232D5"/>
    <w:rsid w:val="0002589F"/>
    <w:rsid w:val="00030544"/>
    <w:rsid w:val="00035091"/>
    <w:rsid w:val="000379BE"/>
    <w:rsid w:val="000402E3"/>
    <w:rsid w:val="00044975"/>
    <w:rsid w:val="00045349"/>
    <w:rsid w:val="0004592C"/>
    <w:rsid w:val="00045CA1"/>
    <w:rsid w:val="000472B0"/>
    <w:rsid w:val="00051097"/>
    <w:rsid w:val="000522E4"/>
    <w:rsid w:val="00055A7B"/>
    <w:rsid w:val="00056A84"/>
    <w:rsid w:val="00056E69"/>
    <w:rsid w:val="00064A5A"/>
    <w:rsid w:val="00066FB0"/>
    <w:rsid w:val="00070502"/>
    <w:rsid w:val="00074E91"/>
    <w:rsid w:val="00075909"/>
    <w:rsid w:val="000775D2"/>
    <w:rsid w:val="00080278"/>
    <w:rsid w:val="00085801"/>
    <w:rsid w:val="000934B5"/>
    <w:rsid w:val="00093F15"/>
    <w:rsid w:val="00093F17"/>
    <w:rsid w:val="000974C4"/>
    <w:rsid w:val="000A0989"/>
    <w:rsid w:val="000A1167"/>
    <w:rsid w:val="000A6D8E"/>
    <w:rsid w:val="000B6734"/>
    <w:rsid w:val="000C5475"/>
    <w:rsid w:val="000C67DC"/>
    <w:rsid w:val="000C6FA4"/>
    <w:rsid w:val="000C7B52"/>
    <w:rsid w:val="000D083A"/>
    <w:rsid w:val="000D616D"/>
    <w:rsid w:val="000D76D2"/>
    <w:rsid w:val="000D7747"/>
    <w:rsid w:val="000E0C0E"/>
    <w:rsid w:val="000E48A0"/>
    <w:rsid w:val="000E4FFA"/>
    <w:rsid w:val="000F3193"/>
    <w:rsid w:val="000F31BD"/>
    <w:rsid w:val="000F699E"/>
    <w:rsid w:val="000F743A"/>
    <w:rsid w:val="0010145E"/>
    <w:rsid w:val="00105C1D"/>
    <w:rsid w:val="00111F2C"/>
    <w:rsid w:val="001134E1"/>
    <w:rsid w:val="00113B5B"/>
    <w:rsid w:val="00114F76"/>
    <w:rsid w:val="001218E5"/>
    <w:rsid w:val="00124F7E"/>
    <w:rsid w:val="001361F6"/>
    <w:rsid w:val="00136527"/>
    <w:rsid w:val="0014148D"/>
    <w:rsid w:val="001429F2"/>
    <w:rsid w:val="00144570"/>
    <w:rsid w:val="0014466C"/>
    <w:rsid w:val="00154399"/>
    <w:rsid w:val="001562C0"/>
    <w:rsid w:val="00160D5B"/>
    <w:rsid w:val="001617CC"/>
    <w:rsid w:val="00164E69"/>
    <w:rsid w:val="001650A0"/>
    <w:rsid w:val="00166086"/>
    <w:rsid w:val="001672D1"/>
    <w:rsid w:val="00167C1A"/>
    <w:rsid w:val="00171945"/>
    <w:rsid w:val="00173F82"/>
    <w:rsid w:val="0018450B"/>
    <w:rsid w:val="00187510"/>
    <w:rsid w:val="001922A4"/>
    <w:rsid w:val="001939A4"/>
    <w:rsid w:val="00195F83"/>
    <w:rsid w:val="00196652"/>
    <w:rsid w:val="00196E95"/>
    <w:rsid w:val="0019720E"/>
    <w:rsid w:val="001A0EED"/>
    <w:rsid w:val="001A1DDD"/>
    <w:rsid w:val="001A2FEB"/>
    <w:rsid w:val="001A5700"/>
    <w:rsid w:val="001A792B"/>
    <w:rsid w:val="001B12CE"/>
    <w:rsid w:val="001B2784"/>
    <w:rsid w:val="001B4EF0"/>
    <w:rsid w:val="001B5AA0"/>
    <w:rsid w:val="001B7D6C"/>
    <w:rsid w:val="001C03F2"/>
    <w:rsid w:val="001C1C01"/>
    <w:rsid w:val="001C44F1"/>
    <w:rsid w:val="001C47D7"/>
    <w:rsid w:val="001C64CB"/>
    <w:rsid w:val="001D1E46"/>
    <w:rsid w:val="001D1F22"/>
    <w:rsid w:val="001D2070"/>
    <w:rsid w:val="001D33EC"/>
    <w:rsid w:val="001D3A99"/>
    <w:rsid w:val="001D4D3B"/>
    <w:rsid w:val="001D54DA"/>
    <w:rsid w:val="001D7108"/>
    <w:rsid w:val="001E3F0D"/>
    <w:rsid w:val="001E55A9"/>
    <w:rsid w:val="001E6458"/>
    <w:rsid w:val="001E6570"/>
    <w:rsid w:val="001E742A"/>
    <w:rsid w:val="001F27C8"/>
    <w:rsid w:val="001F7B98"/>
    <w:rsid w:val="00204015"/>
    <w:rsid w:val="0020644F"/>
    <w:rsid w:val="00207365"/>
    <w:rsid w:val="00212C03"/>
    <w:rsid w:val="00213B41"/>
    <w:rsid w:val="002153D6"/>
    <w:rsid w:val="00215F5F"/>
    <w:rsid w:val="00221EFF"/>
    <w:rsid w:val="002250F7"/>
    <w:rsid w:val="0022687E"/>
    <w:rsid w:val="002304CE"/>
    <w:rsid w:val="00230BBD"/>
    <w:rsid w:val="002317F4"/>
    <w:rsid w:val="00232618"/>
    <w:rsid w:val="00234358"/>
    <w:rsid w:val="0023542E"/>
    <w:rsid w:val="00235A75"/>
    <w:rsid w:val="0024008F"/>
    <w:rsid w:val="00243124"/>
    <w:rsid w:val="00245CE0"/>
    <w:rsid w:val="002537D6"/>
    <w:rsid w:val="00254209"/>
    <w:rsid w:val="0026102B"/>
    <w:rsid w:val="00266CDF"/>
    <w:rsid w:val="00274EE9"/>
    <w:rsid w:val="00277EF2"/>
    <w:rsid w:val="0028081E"/>
    <w:rsid w:val="0028322D"/>
    <w:rsid w:val="00283AC7"/>
    <w:rsid w:val="0028718F"/>
    <w:rsid w:val="0029314A"/>
    <w:rsid w:val="002944D2"/>
    <w:rsid w:val="002955F8"/>
    <w:rsid w:val="002A09E2"/>
    <w:rsid w:val="002A1951"/>
    <w:rsid w:val="002A790E"/>
    <w:rsid w:val="002B17C5"/>
    <w:rsid w:val="002B4A75"/>
    <w:rsid w:val="002B7045"/>
    <w:rsid w:val="002B71F2"/>
    <w:rsid w:val="002C12E6"/>
    <w:rsid w:val="002C190C"/>
    <w:rsid w:val="002C3E27"/>
    <w:rsid w:val="002C51CC"/>
    <w:rsid w:val="002C61D9"/>
    <w:rsid w:val="002C63D7"/>
    <w:rsid w:val="002C7D9E"/>
    <w:rsid w:val="002D0A7B"/>
    <w:rsid w:val="002D4830"/>
    <w:rsid w:val="002D5E1C"/>
    <w:rsid w:val="002D6F6B"/>
    <w:rsid w:val="002E0297"/>
    <w:rsid w:val="002E088E"/>
    <w:rsid w:val="002E0B98"/>
    <w:rsid w:val="002E6EC3"/>
    <w:rsid w:val="002F2563"/>
    <w:rsid w:val="002F7DA8"/>
    <w:rsid w:val="00300466"/>
    <w:rsid w:val="003004A7"/>
    <w:rsid w:val="00301B79"/>
    <w:rsid w:val="00302383"/>
    <w:rsid w:val="00303A5D"/>
    <w:rsid w:val="00304240"/>
    <w:rsid w:val="00310CEE"/>
    <w:rsid w:val="00312E3B"/>
    <w:rsid w:val="00320657"/>
    <w:rsid w:val="003271CB"/>
    <w:rsid w:val="0033039C"/>
    <w:rsid w:val="00330C5E"/>
    <w:rsid w:val="003310F8"/>
    <w:rsid w:val="00332B85"/>
    <w:rsid w:val="00333EA0"/>
    <w:rsid w:val="00335F78"/>
    <w:rsid w:val="00336D92"/>
    <w:rsid w:val="00341538"/>
    <w:rsid w:val="00341909"/>
    <w:rsid w:val="00343CCF"/>
    <w:rsid w:val="00343E83"/>
    <w:rsid w:val="00344373"/>
    <w:rsid w:val="0034510F"/>
    <w:rsid w:val="00355378"/>
    <w:rsid w:val="00356E50"/>
    <w:rsid w:val="00362BE8"/>
    <w:rsid w:val="003634BB"/>
    <w:rsid w:val="00363B38"/>
    <w:rsid w:val="00364010"/>
    <w:rsid w:val="00366F52"/>
    <w:rsid w:val="003712C7"/>
    <w:rsid w:val="00373C7B"/>
    <w:rsid w:val="00375A64"/>
    <w:rsid w:val="00381888"/>
    <w:rsid w:val="0038329F"/>
    <w:rsid w:val="003850E0"/>
    <w:rsid w:val="00386B73"/>
    <w:rsid w:val="00386EEE"/>
    <w:rsid w:val="0039004C"/>
    <w:rsid w:val="0039567B"/>
    <w:rsid w:val="003A1C9A"/>
    <w:rsid w:val="003A24EF"/>
    <w:rsid w:val="003B05AF"/>
    <w:rsid w:val="003B1A77"/>
    <w:rsid w:val="003C2EE0"/>
    <w:rsid w:val="003C4934"/>
    <w:rsid w:val="003C6B5B"/>
    <w:rsid w:val="003D0275"/>
    <w:rsid w:val="003D126C"/>
    <w:rsid w:val="003D17A4"/>
    <w:rsid w:val="003D3956"/>
    <w:rsid w:val="003D5CBB"/>
    <w:rsid w:val="003D7F68"/>
    <w:rsid w:val="003E1A83"/>
    <w:rsid w:val="003E4BA9"/>
    <w:rsid w:val="003E60BC"/>
    <w:rsid w:val="003F0F6B"/>
    <w:rsid w:val="003F56A3"/>
    <w:rsid w:val="003F711D"/>
    <w:rsid w:val="00401956"/>
    <w:rsid w:val="00413C95"/>
    <w:rsid w:val="0041645A"/>
    <w:rsid w:val="004212B1"/>
    <w:rsid w:val="004334E1"/>
    <w:rsid w:val="00437254"/>
    <w:rsid w:val="00440AAB"/>
    <w:rsid w:val="004411E4"/>
    <w:rsid w:val="00441606"/>
    <w:rsid w:val="0044473C"/>
    <w:rsid w:val="00444976"/>
    <w:rsid w:val="0044792D"/>
    <w:rsid w:val="00451A8F"/>
    <w:rsid w:val="00462EEA"/>
    <w:rsid w:val="00466084"/>
    <w:rsid w:val="00472760"/>
    <w:rsid w:val="0047305E"/>
    <w:rsid w:val="004778B6"/>
    <w:rsid w:val="00485F3D"/>
    <w:rsid w:val="004863F4"/>
    <w:rsid w:val="004911A7"/>
    <w:rsid w:val="0049151A"/>
    <w:rsid w:val="00493308"/>
    <w:rsid w:val="00496F26"/>
    <w:rsid w:val="004A016E"/>
    <w:rsid w:val="004A1224"/>
    <w:rsid w:val="004A78EB"/>
    <w:rsid w:val="004B0EA5"/>
    <w:rsid w:val="004B20BE"/>
    <w:rsid w:val="004B3BA9"/>
    <w:rsid w:val="004B7424"/>
    <w:rsid w:val="004C0D72"/>
    <w:rsid w:val="004C21B3"/>
    <w:rsid w:val="004C6B28"/>
    <w:rsid w:val="004D2214"/>
    <w:rsid w:val="004E5440"/>
    <w:rsid w:val="004E5B12"/>
    <w:rsid w:val="004F2895"/>
    <w:rsid w:val="004F3040"/>
    <w:rsid w:val="004F7B7E"/>
    <w:rsid w:val="0050315D"/>
    <w:rsid w:val="00504D12"/>
    <w:rsid w:val="005056EE"/>
    <w:rsid w:val="00506ECC"/>
    <w:rsid w:val="00507093"/>
    <w:rsid w:val="00511666"/>
    <w:rsid w:val="00513EB5"/>
    <w:rsid w:val="00514894"/>
    <w:rsid w:val="00517BCB"/>
    <w:rsid w:val="00521758"/>
    <w:rsid w:val="00522AD0"/>
    <w:rsid w:val="0053160F"/>
    <w:rsid w:val="0053275D"/>
    <w:rsid w:val="00533392"/>
    <w:rsid w:val="00533F02"/>
    <w:rsid w:val="00535110"/>
    <w:rsid w:val="005373E5"/>
    <w:rsid w:val="00540EAA"/>
    <w:rsid w:val="0054136E"/>
    <w:rsid w:val="005427D9"/>
    <w:rsid w:val="005456F3"/>
    <w:rsid w:val="00550404"/>
    <w:rsid w:val="00553620"/>
    <w:rsid w:val="00553CD8"/>
    <w:rsid w:val="00557288"/>
    <w:rsid w:val="005607CC"/>
    <w:rsid w:val="00563A49"/>
    <w:rsid w:val="00565A2A"/>
    <w:rsid w:val="00573AC9"/>
    <w:rsid w:val="00584A93"/>
    <w:rsid w:val="00584AD4"/>
    <w:rsid w:val="00584CC9"/>
    <w:rsid w:val="00585626"/>
    <w:rsid w:val="00585C79"/>
    <w:rsid w:val="00587769"/>
    <w:rsid w:val="0059296D"/>
    <w:rsid w:val="00593F7F"/>
    <w:rsid w:val="00595237"/>
    <w:rsid w:val="005966B9"/>
    <w:rsid w:val="0059751C"/>
    <w:rsid w:val="005A009F"/>
    <w:rsid w:val="005A3034"/>
    <w:rsid w:val="005B29DC"/>
    <w:rsid w:val="005B61A7"/>
    <w:rsid w:val="005B7095"/>
    <w:rsid w:val="005C0440"/>
    <w:rsid w:val="005C1A88"/>
    <w:rsid w:val="005C1DB4"/>
    <w:rsid w:val="005C27E0"/>
    <w:rsid w:val="005C388F"/>
    <w:rsid w:val="005C65AB"/>
    <w:rsid w:val="005C724D"/>
    <w:rsid w:val="005C784E"/>
    <w:rsid w:val="005D0267"/>
    <w:rsid w:val="005E0DC9"/>
    <w:rsid w:val="005E1790"/>
    <w:rsid w:val="005E3247"/>
    <w:rsid w:val="005E3F46"/>
    <w:rsid w:val="005E51CD"/>
    <w:rsid w:val="005E58A0"/>
    <w:rsid w:val="005E796C"/>
    <w:rsid w:val="005F7126"/>
    <w:rsid w:val="006005BA"/>
    <w:rsid w:val="00603721"/>
    <w:rsid w:val="0061480A"/>
    <w:rsid w:val="00615138"/>
    <w:rsid w:val="00617C81"/>
    <w:rsid w:val="00620107"/>
    <w:rsid w:val="00621E11"/>
    <w:rsid w:val="00623AD0"/>
    <w:rsid w:val="00624564"/>
    <w:rsid w:val="0062684D"/>
    <w:rsid w:val="00626AB4"/>
    <w:rsid w:val="00635513"/>
    <w:rsid w:val="006362C0"/>
    <w:rsid w:val="00637C69"/>
    <w:rsid w:val="00640A22"/>
    <w:rsid w:val="006431A0"/>
    <w:rsid w:val="00646648"/>
    <w:rsid w:val="006478D0"/>
    <w:rsid w:val="00652571"/>
    <w:rsid w:val="00654BA4"/>
    <w:rsid w:val="00661718"/>
    <w:rsid w:val="00661C36"/>
    <w:rsid w:val="00662C2F"/>
    <w:rsid w:val="00665ED9"/>
    <w:rsid w:val="00666D97"/>
    <w:rsid w:val="00667A3E"/>
    <w:rsid w:val="00671BBE"/>
    <w:rsid w:val="00673364"/>
    <w:rsid w:val="00674128"/>
    <w:rsid w:val="006765EA"/>
    <w:rsid w:val="006777D0"/>
    <w:rsid w:val="00677C05"/>
    <w:rsid w:val="006809EA"/>
    <w:rsid w:val="0068376E"/>
    <w:rsid w:val="0069744D"/>
    <w:rsid w:val="00697931"/>
    <w:rsid w:val="00697F7E"/>
    <w:rsid w:val="006A088D"/>
    <w:rsid w:val="006A31FB"/>
    <w:rsid w:val="006B12E4"/>
    <w:rsid w:val="006B656B"/>
    <w:rsid w:val="006C0BC2"/>
    <w:rsid w:val="006C56F2"/>
    <w:rsid w:val="006D1770"/>
    <w:rsid w:val="006D4AD0"/>
    <w:rsid w:val="006E4D95"/>
    <w:rsid w:val="006E5EC4"/>
    <w:rsid w:val="006F4FFC"/>
    <w:rsid w:val="006F7053"/>
    <w:rsid w:val="006F7BD8"/>
    <w:rsid w:val="00700679"/>
    <w:rsid w:val="00702CB4"/>
    <w:rsid w:val="00702D9D"/>
    <w:rsid w:val="00703BF4"/>
    <w:rsid w:val="00707AB0"/>
    <w:rsid w:val="00710699"/>
    <w:rsid w:val="00713B9D"/>
    <w:rsid w:val="00713D77"/>
    <w:rsid w:val="007142B5"/>
    <w:rsid w:val="00714E2E"/>
    <w:rsid w:val="00716452"/>
    <w:rsid w:val="007170BE"/>
    <w:rsid w:val="00722720"/>
    <w:rsid w:val="00722B44"/>
    <w:rsid w:val="007355FB"/>
    <w:rsid w:val="00735FB9"/>
    <w:rsid w:val="0073681E"/>
    <w:rsid w:val="00740A1A"/>
    <w:rsid w:val="00743671"/>
    <w:rsid w:val="00744DBD"/>
    <w:rsid w:val="007519C8"/>
    <w:rsid w:val="00757664"/>
    <w:rsid w:val="007614B9"/>
    <w:rsid w:val="00763F21"/>
    <w:rsid w:val="007650E8"/>
    <w:rsid w:val="00765892"/>
    <w:rsid w:val="00776333"/>
    <w:rsid w:val="00777280"/>
    <w:rsid w:val="00777C8F"/>
    <w:rsid w:val="00780E18"/>
    <w:rsid w:val="007814C3"/>
    <w:rsid w:val="00791BD1"/>
    <w:rsid w:val="007A0643"/>
    <w:rsid w:val="007A4B17"/>
    <w:rsid w:val="007B228E"/>
    <w:rsid w:val="007B58E9"/>
    <w:rsid w:val="007C18FA"/>
    <w:rsid w:val="007C203F"/>
    <w:rsid w:val="007C5ADB"/>
    <w:rsid w:val="007C6054"/>
    <w:rsid w:val="007D33FB"/>
    <w:rsid w:val="007D3896"/>
    <w:rsid w:val="007D56F4"/>
    <w:rsid w:val="007D5840"/>
    <w:rsid w:val="007D6A29"/>
    <w:rsid w:val="007E678F"/>
    <w:rsid w:val="007E6DD7"/>
    <w:rsid w:val="007F0ED6"/>
    <w:rsid w:val="007F0FFD"/>
    <w:rsid w:val="007F11B3"/>
    <w:rsid w:val="00802BED"/>
    <w:rsid w:val="0080555E"/>
    <w:rsid w:val="00810DCD"/>
    <w:rsid w:val="00814139"/>
    <w:rsid w:val="0082000B"/>
    <w:rsid w:val="00820695"/>
    <w:rsid w:val="008213C4"/>
    <w:rsid w:val="0082214E"/>
    <w:rsid w:val="00822216"/>
    <w:rsid w:val="0082232B"/>
    <w:rsid w:val="008245F4"/>
    <w:rsid w:val="00825AC3"/>
    <w:rsid w:val="00825C3D"/>
    <w:rsid w:val="00825DBF"/>
    <w:rsid w:val="008268C0"/>
    <w:rsid w:val="008274BD"/>
    <w:rsid w:val="008363FA"/>
    <w:rsid w:val="008446CB"/>
    <w:rsid w:val="0084646F"/>
    <w:rsid w:val="008466D4"/>
    <w:rsid w:val="00846DB7"/>
    <w:rsid w:val="00853FE9"/>
    <w:rsid w:val="00856859"/>
    <w:rsid w:val="00856ECF"/>
    <w:rsid w:val="0085748C"/>
    <w:rsid w:val="008638DB"/>
    <w:rsid w:val="008643E9"/>
    <w:rsid w:val="00867807"/>
    <w:rsid w:val="00880D69"/>
    <w:rsid w:val="00882995"/>
    <w:rsid w:val="00885DA8"/>
    <w:rsid w:val="00891A53"/>
    <w:rsid w:val="00895D06"/>
    <w:rsid w:val="00896024"/>
    <w:rsid w:val="008A01E1"/>
    <w:rsid w:val="008A05E1"/>
    <w:rsid w:val="008A1DAB"/>
    <w:rsid w:val="008B03DA"/>
    <w:rsid w:val="008B0A07"/>
    <w:rsid w:val="008B0B51"/>
    <w:rsid w:val="008B39CB"/>
    <w:rsid w:val="008B40B4"/>
    <w:rsid w:val="008B494C"/>
    <w:rsid w:val="008B4FB8"/>
    <w:rsid w:val="008B585E"/>
    <w:rsid w:val="008C0AFE"/>
    <w:rsid w:val="008C17C0"/>
    <w:rsid w:val="008C1A6D"/>
    <w:rsid w:val="008C4054"/>
    <w:rsid w:val="008C67D8"/>
    <w:rsid w:val="008D0C9E"/>
    <w:rsid w:val="008D1ECF"/>
    <w:rsid w:val="008D2FB7"/>
    <w:rsid w:val="008D4EA0"/>
    <w:rsid w:val="008E039F"/>
    <w:rsid w:val="008E2086"/>
    <w:rsid w:val="008E3875"/>
    <w:rsid w:val="008E3FFA"/>
    <w:rsid w:val="008F1BCA"/>
    <w:rsid w:val="008F3F62"/>
    <w:rsid w:val="008F4224"/>
    <w:rsid w:val="008F7CD7"/>
    <w:rsid w:val="00901CB3"/>
    <w:rsid w:val="00903060"/>
    <w:rsid w:val="00910949"/>
    <w:rsid w:val="00912A78"/>
    <w:rsid w:val="00920B86"/>
    <w:rsid w:val="00920C9D"/>
    <w:rsid w:val="00921206"/>
    <w:rsid w:val="00924C31"/>
    <w:rsid w:val="0092512A"/>
    <w:rsid w:val="009263C6"/>
    <w:rsid w:val="00926C19"/>
    <w:rsid w:val="00934285"/>
    <w:rsid w:val="009348E3"/>
    <w:rsid w:val="00942946"/>
    <w:rsid w:val="00943026"/>
    <w:rsid w:val="00944469"/>
    <w:rsid w:val="00944EDC"/>
    <w:rsid w:val="00945AEE"/>
    <w:rsid w:val="00946BB5"/>
    <w:rsid w:val="009506BB"/>
    <w:rsid w:val="00951CC0"/>
    <w:rsid w:val="009546BD"/>
    <w:rsid w:val="009554CD"/>
    <w:rsid w:val="00956995"/>
    <w:rsid w:val="009573B5"/>
    <w:rsid w:val="00960A36"/>
    <w:rsid w:val="00961072"/>
    <w:rsid w:val="009618FD"/>
    <w:rsid w:val="0096459A"/>
    <w:rsid w:val="009715CD"/>
    <w:rsid w:val="009718EC"/>
    <w:rsid w:val="00972800"/>
    <w:rsid w:val="00972925"/>
    <w:rsid w:val="009738A9"/>
    <w:rsid w:val="00977C23"/>
    <w:rsid w:val="00980350"/>
    <w:rsid w:val="00980592"/>
    <w:rsid w:val="00983DD9"/>
    <w:rsid w:val="00985FE9"/>
    <w:rsid w:val="009948DC"/>
    <w:rsid w:val="009964ED"/>
    <w:rsid w:val="009966F1"/>
    <w:rsid w:val="00996DE2"/>
    <w:rsid w:val="009A013A"/>
    <w:rsid w:val="009A117A"/>
    <w:rsid w:val="009A1586"/>
    <w:rsid w:val="009A15EE"/>
    <w:rsid w:val="009A17A9"/>
    <w:rsid w:val="009A22BE"/>
    <w:rsid w:val="009A2CF5"/>
    <w:rsid w:val="009B08CA"/>
    <w:rsid w:val="009B683D"/>
    <w:rsid w:val="009B7AD4"/>
    <w:rsid w:val="009B7AFD"/>
    <w:rsid w:val="009B7EB7"/>
    <w:rsid w:val="009C15F0"/>
    <w:rsid w:val="009C283C"/>
    <w:rsid w:val="009C306B"/>
    <w:rsid w:val="009C4213"/>
    <w:rsid w:val="009C4578"/>
    <w:rsid w:val="009C5BF6"/>
    <w:rsid w:val="009C6253"/>
    <w:rsid w:val="009C6BDA"/>
    <w:rsid w:val="009D0EB1"/>
    <w:rsid w:val="009D17B6"/>
    <w:rsid w:val="009D1AB3"/>
    <w:rsid w:val="009D3AB1"/>
    <w:rsid w:val="009D66D9"/>
    <w:rsid w:val="009E5890"/>
    <w:rsid w:val="009E6D97"/>
    <w:rsid w:val="009F1FEE"/>
    <w:rsid w:val="009F4868"/>
    <w:rsid w:val="009F57F5"/>
    <w:rsid w:val="009F655D"/>
    <w:rsid w:val="009F7FF3"/>
    <w:rsid w:val="00A0004C"/>
    <w:rsid w:val="00A00984"/>
    <w:rsid w:val="00A0252C"/>
    <w:rsid w:val="00A03599"/>
    <w:rsid w:val="00A03714"/>
    <w:rsid w:val="00A13D18"/>
    <w:rsid w:val="00A16C4C"/>
    <w:rsid w:val="00A2164D"/>
    <w:rsid w:val="00A217F5"/>
    <w:rsid w:val="00A2228C"/>
    <w:rsid w:val="00A229B0"/>
    <w:rsid w:val="00A23918"/>
    <w:rsid w:val="00A27F74"/>
    <w:rsid w:val="00A31D22"/>
    <w:rsid w:val="00A33F3B"/>
    <w:rsid w:val="00A34868"/>
    <w:rsid w:val="00A43AB9"/>
    <w:rsid w:val="00A44277"/>
    <w:rsid w:val="00A52F0F"/>
    <w:rsid w:val="00A5431A"/>
    <w:rsid w:val="00A547A4"/>
    <w:rsid w:val="00A56C45"/>
    <w:rsid w:val="00A60A3F"/>
    <w:rsid w:val="00A657BF"/>
    <w:rsid w:val="00A662D4"/>
    <w:rsid w:val="00A66BEE"/>
    <w:rsid w:val="00A70E90"/>
    <w:rsid w:val="00A72D0C"/>
    <w:rsid w:val="00A73530"/>
    <w:rsid w:val="00A75D6F"/>
    <w:rsid w:val="00A803A8"/>
    <w:rsid w:val="00A8381D"/>
    <w:rsid w:val="00A9026A"/>
    <w:rsid w:val="00A92C3E"/>
    <w:rsid w:val="00A96523"/>
    <w:rsid w:val="00A96B53"/>
    <w:rsid w:val="00AA204F"/>
    <w:rsid w:val="00AB0874"/>
    <w:rsid w:val="00AB5B37"/>
    <w:rsid w:val="00AB6805"/>
    <w:rsid w:val="00AC096D"/>
    <w:rsid w:val="00AC0FE3"/>
    <w:rsid w:val="00AC2965"/>
    <w:rsid w:val="00AC384B"/>
    <w:rsid w:val="00AC5E45"/>
    <w:rsid w:val="00AD2C62"/>
    <w:rsid w:val="00AE1848"/>
    <w:rsid w:val="00AE193C"/>
    <w:rsid w:val="00AE1D3B"/>
    <w:rsid w:val="00AE2C09"/>
    <w:rsid w:val="00AE7EDC"/>
    <w:rsid w:val="00AF01D3"/>
    <w:rsid w:val="00AF1628"/>
    <w:rsid w:val="00AF5A8B"/>
    <w:rsid w:val="00AF7684"/>
    <w:rsid w:val="00B01755"/>
    <w:rsid w:val="00B05F15"/>
    <w:rsid w:val="00B11867"/>
    <w:rsid w:val="00B17241"/>
    <w:rsid w:val="00B2085C"/>
    <w:rsid w:val="00B23631"/>
    <w:rsid w:val="00B23B11"/>
    <w:rsid w:val="00B24FEE"/>
    <w:rsid w:val="00B26791"/>
    <w:rsid w:val="00B30559"/>
    <w:rsid w:val="00B30BD7"/>
    <w:rsid w:val="00B31C3A"/>
    <w:rsid w:val="00B327D2"/>
    <w:rsid w:val="00B32FED"/>
    <w:rsid w:val="00B3769F"/>
    <w:rsid w:val="00B37BC9"/>
    <w:rsid w:val="00B42398"/>
    <w:rsid w:val="00B439B5"/>
    <w:rsid w:val="00B44E8F"/>
    <w:rsid w:val="00B46522"/>
    <w:rsid w:val="00B51085"/>
    <w:rsid w:val="00B5155A"/>
    <w:rsid w:val="00B531F3"/>
    <w:rsid w:val="00B5553F"/>
    <w:rsid w:val="00B616CA"/>
    <w:rsid w:val="00B63966"/>
    <w:rsid w:val="00B64BD2"/>
    <w:rsid w:val="00B701EF"/>
    <w:rsid w:val="00B7205D"/>
    <w:rsid w:val="00B722D2"/>
    <w:rsid w:val="00B72743"/>
    <w:rsid w:val="00B74574"/>
    <w:rsid w:val="00B75251"/>
    <w:rsid w:val="00B76827"/>
    <w:rsid w:val="00B76E24"/>
    <w:rsid w:val="00B80B89"/>
    <w:rsid w:val="00B824C4"/>
    <w:rsid w:val="00B8721C"/>
    <w:rsid w:val="00B87C9D"/>
    <w:rsid w:val="00B97DF3"/>
    <w:rsid w:val="00BA1B5F"/>
    <w:rsid w:val="00BA23DA"/>
    <w:rsid w:val="00BA3868"/>
    <w:rsid w:val="00BA7FDC"/>
    <w:rsid w:val="00BB0287"/>
    <w:rsid w:val="00BB2669"/>
    <w:rsid w:val="00BB68C2"/>
    <w:rsid w:val="00BC2B1B"/>
    <w:rsid w:val="00BC69D2"/>
    <w:rsid w:val="00BD22BD"/>
    <w:rsid w:val="00BD2F82"/>
    <w:rsid w:val="00BD5FD6"/>
    <w:rsid w:val="00BE52C2"/>
    <w:rsid w:val="00BF26C5"/>
    <w:rsid w:val="00BF320A"/>
    <w:rsid w:val="00BF6ABE"/>
    <w:rsid w:val="00C045AA"/>
    <w:rsid w:val="00C05B74"/>
    <w:rsid w:val="00C05D86"/>
    <w:rsid w:val="00C07D43"/>
    <w:rsid w:val="00C123EB"/>
    <w:rsid w:val="00C14D69"/>
    <w:rsid w:val="00C15852"/>
    <w:rsid w:val="00C23BC3"/>
    <w:rsid w:val="00C251B7"/>
    <w:rsid w:val="00C352CA"/>
    <w:rsid w:val="00C36E5C"/>
    <w:rsid w:val="00C372C9"/>
    <w:rsid w:val="00C4169A"/>
    <w:rsid w:val="00C41C3F"/>
    <w:rsid w:val="00C43F45"/>
    <w:rsid w:val="00C44AAD"/>
    <w:rsid w:val="00C52E83"/>
    <w:rsid w:val="00C52F45"/>
    <w:rsid w:val="00C62135"/>
    <w:rsid w:val="00C63BBD"/>
    <w:rsid w:val="00C64BE2"/>
    <w:rsid w:val="00C64F7D"/>
    <w:rsid w:val="00C660E6"/>
    <w:rsid w:val="00C6623F"/>
    <w:rsid w:val="00C67408"/>
    <w:rsid w:val="00C70BB8"/>
    <w:rsid w:val="00C720D3"/>
    <w:rsid w:val="00C759C6"/>
    <w:rsid w:val="00C77632"/>
    <w:rsid w:val="00C77F2B"/>
    <w:rsid w:val="00C8037F"/>
    <w:rsid w:val="00C83948"/>
    <w:rsid w:val="00C922B3"/>
    <w:rsid w:val="00C925C4"/>
    <w:rsid w:val="00C9531B"/>
    <w:rsid w:val="00C96858"/>
    <w:rsid w:val="00C969E7"/>
    <w:rsid w:val="00C96C60"/>
    <w:rsid w:val="00C96DF0"/>
    <w:rsid w:val="00C96FDA"/>
    <w:rsid w:val="00C97CDC"/>
    <w:rsid w:val="00CA0AC8"/>
    <w:rsid w:val="00CA43D7"/>
    <w:rsid w:val="00CA6995"/>
    <w:rsid w:val="00CB3D2D"/>
    <w:rsid w:val="00CB3EAE"/>
    <w:rsid w:val="00CB5D0D"/>
    <w:rsid w:val="00CC1635"/>
    <w:rsid w:val="00CC7B21"/>
    <w:rsid w:val="00CC7BD4"/>
    <w:rsid w:val="00CD0792"/>
    <w:rsid w:val="00CD2F24"/>
    <w:rsid w:val="00CD36C5"/>
    <w:rsid w:val="00CD58B0"/>
    <w:rsid w:val="00CE1814"/>
    <w:rsid w:val="00CE2F3F"/>
    <w:rsid w:val="00CF371A"/>
    <w:rsid w:val="00CF44D6"/>
    <w:rsid w:val="00CF537F"/>
    <w:rsid w:val="00D10958"/>
    <w:rsid w:val="00D10E3C"/>
    <w:rsid w:val="00D120B7"/>
    <w:rsid w:val="00D3010D"/>
    <w:rsid w:val="00D314B7"/>
    <w:rsid w:val="00D3505D"/>
    <w:rsid w:val="00D35BB0"/>
    <w:rsid w:val="00D366D5"/>
    <w:rsid w:val="00D41640"/>
    <w:rsid w:val="00D41832"/>
    <w:rsid w:val="00D4325E"/>
    <w:rsid w:val="00D503EE"/>
    <w:rsid w:val="00D514C9"/>
    <w:rsid w:val="00D51AF5"/>
    <w:rsid w:val="00D52467"/>
    <w:rsid w:val="00D52E44"/>
    <w:rsid w:val="00D60382"/>
    <w:rsid w:val="00D60A3B"/>
    <w:rsid w:val="00D60DEE"/>
    <w:rsid w:val="00D636E8"/>
    <w:rsid w:val="00D70B0A"/>
    <w:rsid w:val="00D74BBE"/>
    <w:rsid w:val="00D777BE"/>
    <w:rsid w:val="00D86DCB"/>
    <w:rsid w:val="00D951D0"/>
    <w:rsid w:val="00D95AE0"/>
    <w:rsid w:val="00DA206E"/>
    <w:rsid w:val="00DA79E6"/>
    <w:rsid w:val="00DB1885"/>
    <w:rsid w:val="00DC6668"/>
    <w:rsid w:val="00DD012F"/>
    <w:rsid w:val="00DD0A23"/>
    <w:rsid w:val="00DD169A"/>
    <w:rsid w:val="00DD6E83"/>
    <w:rsid w:val="00DE2B78"/>
    <w:rsid w:val="00DE78BC"/>
    <w:rsid w:val="00DF06F6"/>
    <w:rsid w:val="00DF0C1B"/>
    <w:rsid w:val="00DF11AE"/>
    <w:rsid w:val="00E0727F"/>
    <w:rsid w:val="00E1206D"/>
    <w:rsid w:val="00E14F2E"/>
    <w:rsid w:val="00E163DD"/>
    <w:rsid w:val="00E16ADB"/>
    <w:rsid w:val="00E20E42"/>
    <w:rsid w:val="00E357EB"/>
    <w:rsid w:val="00E35DC1"/>
    <w:rsid w:val="00E362FD"/>
    <w:rsid w:val="00E3747F"/>
    <w:rsid w:val="00E3785C"/>
    <w:rsid w:val="00E40DD6"/>
    <w:rsid w:val="00E432B8"/>
    <w:rsid w:val="00E46406"/>
    <w:rsid w:val="00E53B26"/>
    <w:rsid w:val="00E54BC8"/>
    <w:rsid w:val="00E56493"/>
    <w:rsid w:val="00E57ADD"/>
    <w:rsid w:val="00E64375"/>
    <w:rsid w:val="00E71C27"/>
    <w:rsid w:val="00E725C1"/>
    <w:rsid w:val="00E76D7B"/>
    <w:rsid w:val="00E81637"/>
    <w:rsid w:val="00E84F63"/>
    <w:rsid w:val="00E85AA7"/>
    <w:rsid w:val="00E9058A"/>
    <w:rsid w:val="00E91049"/>
    <w:rsid w:val="00E97B72"/>
    <w:rsid w:val="00E97D61"/>
    <w:rsid w:val="00EA0AE2"/>
    <w:rsid w:val="00EA2431"/>
    <w:rsid w:val="00EA2A91"/>
    <w:rsid w:val="00EA2B73"/>
    <w:rsid w:val="00EA4222"/>
    <w:rsid w:val="00EA527A"/>
    <w:rsid w:val="00EA5ACC"/>
    <w:rsid w:val="00EA7219"/>
    <w:rsid w:val="00EA740A"/>
    <w:rsid w:val="00EA7AB9"/>
    <w:rsid w:val="00EB14E4"/>
    <w:rsid w:val="00EB3D46"/>
    <w:rsid w:val="00EB49FF"/>
    <w:rsid w:val="00EC1CD0"/>
    <w:rsid w:val="00EC24B3"/>
    <w:rsid w:val="00ED5A50"/>
    <w:rsid w:val="00EE5DEC"/>
    <w:rsid w:val="00EE6E1B"/>
    <w:rsid w:val="00EF4935"/>
    <w:rsid w:val="00EF5CE9"/>
    <w:rsid w:val="00EF75C6"/>
    <w:rsid w:val="00EF7FE1"/>
    <w:rsid w:val="00F03739"/>
    <w:rsid w:val="00F1360A"/>
    <w:rsid w:val="00F14DDF"/>
    <w:rsid w:val="00F14E3E"/>
    <w:rsid w:val="00F163CF"/>
    <w:rsid w:val="00F20805"/>
    <w:rsid w:val="00F21284"/>
    <w:rsid w:val="00F2736B"/>
    <w:rsid w:val="00F33BF2"/>
    <w:rsid w:val="00F34984"/>
    <w:rsid w:val="00F34DD8"/>
    <w:rsid w:val="00F3693B"/>
    <w:rsid w:val="00F3784F"/>
    <w:rsid w:val="00F426AA"/>
    <w:rsid w:val="00F44D65"/>
    <w:rsid w:val="00F463DF"/>
    <w:rsid w:val="00F53D53"/>
    <w:rsid w:val="00F54D2C"/>
    <w:rsid w:val="00F5718A"/>
    <w:rsid w:val="00F57CAA"/>
    <w:rsid w:val="00F666C9"/>
    <w:rsid w:val="00F72B21"/>
    <w:rsid w:val="00F75742"/>
    <w:rsid w:val="00F7597B"/>
    <w:rsid w:val="00F75ED2"/>
    <w:rsid w:val="00F80415"/>
    <w:rsid w:val="00F8142D"/>
    <w:rsid w:val="00F844CB"/>
    <w:rsid w:val="00F85D54"/>
    <w:rsid w:val="00F866D1"/>
    <w:rsid w:val="00F876E2"/>
    <w:rsid w:val="00F93F7C"/>
    <w:rsid w:val="00F94C10"/>
    <w:rsid w:val="00FA3035"/>
    <w:rsid w:val="00FA37EA"/>
    <w:rsid w:val="00FA4051"/>
    <w:rsid w:val="00FB44CF"/>
    <w:rsid w:val="00FB460E"/>
    <w:rsid w:val="00FC110C"/>
    <w:rsid w:val="00FC1EC5"/>
    <w:rsid w:val="00FC30E5"/>
    <w:rsid w:val="00FC6667"/>
    <w:rsid w:val="00FC7E90"/>
    <w:rsid w:val="00FD0601"/>
    <w:rsid w:val="00FD2961"/>
    <w:rsid w:val="00FD4308"/>
    <w:rsid w:val="00FD43BA"/>
    <w:rsid w:val="00FD4A02"/>
    <w:rsid w:val="00FD6244"/>
    <w:rsid w:val="00FD7610"/>
    <w:rsid w:val="00FD7DF1"/>
    <w:rsid w:val="00FE05FB"/>
    <w:rsid w:val="00FE3802"/>
    <w:rsid w:val="00FE5F70"/>
    <w:rsid w:val="00FF166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E8D0E19"/>
  <w15:docId w15:val="{7C6344FE-933C-4E5D-A016-AA6D5007B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C64CB"/>
    <w:pPr>
      <w:spacing w:line="240" w:lineRule="auto"/>
      <w:jc w:val="both"/>
    </w:pPr>
    <w:rPr>
      <w:rFonts w:ascii="Arial" w:hAnsi="Arial"/>
      <w:sz w:val="24"/>
    </w:rPr>
  </w:style>
  <w:style w:type="paragraph" w:styleId="Nadpis1">
    <w:name w:val="heading 1"/>
    <w:basedOn w:val="Normln"/>
    <w:next w:val="Normln"/>
    <w:link w:val="Nadpis1Char"/>
    <w:uiPriority w:val="9"/>
    <w:qFormat/>
    <w:rsid w:val="001C64CB"/>
    <w:pPr>
      <w:keepNext/>
      <w:keepLines/>
      <w:numPr>
        <w:numId w:val="1"/>
      </w:numPr>
      <w:spacing w:before="240" w:after="120" w:line="259" w:lineRule="auto"/>
      <w:ind w:left="431" w:hanging="431"/>
      <w:outlineLvl w:val="0"/>
    </w:pPr>
    <w:rPr>
      <w:rFonts w:eastAsiaTheme="majorEastAsia" w:cstheme="majorBidi"/>
      <w:b/>
      <w:sz w:val="32"/>
      <w:szCs w:val="32"/>
    </w:rPr>
  </w:style>
  <w:style w:type="paragraph" w:styleId="Nadpis2">
    <w:name w:val="heading 2"/>
    <w:basedOn w:val="Normln"/>
    <w:next w:val="Normln"/>
    <w:link w:val="Nadpis2Char"/>
    <w:autoRedefine/>
    <w:uiPriority w:val="9"/>
    <w:unhideWhenUsed/>
    <w:qFormat/>
    <w:rsid w:val="001C64CB"/>
    <w:pPr>
      <w:keepNext/>
      <w:keepLines/>
      <w:numPr>
        <w:ilvl w:val="1"/>
        <w:numId w:val="1"/>
      </w:numPr>
      <w:spacing w:before="240" w:after="120" w:line="259" w:lineRule="auto"/>
      <w:ind w:left="578" w:hanging="578"/>
      <w:outlineLvl w:val="1"/>
    </w:pPr>
    <w:rPr>
      <w:rFonts w:eastAsiaTheme="majorEastAsia" w:cstheme="majorBidi"/>
      <w:b/>
      <w:sz w:val="36"/>
      <w:szCs w:val="26"/>
    </w:rPr>
  </w:style>
  <w:style w:type="paragraph" w:styleId="Nadpis3">
    <w:name w:val="heading 3"/>
    <w:basedOn w:val="Normln"/>
    <w:next w:val="Normln"/>
    <w:link w:val="Nadpis3Char"/>
    <w:autoRedefine/>
    <w:uiPriority w:val="9"/>
    <w:unhideWhenUsed/>
    <w:qFormat/>
    <w:rsid w:val="00C96FDA"/>
    <w:pPr>
      <w:keepNext/>
      <w:keepLines/>
      <w:numPr>
        <w:ilvl w:val="2"/>
        <w:numId w:val="1"/>
      </w:numPr>
      <w:spacing w:before="240" w:after="120" w:line="259" w:lineRule="auto"/>
      <w:outlineLvl w:val="2"/>
    </w:pPr>
    <w:rPr>
      <w:rFonts w:eastAsiaTheme="majorEastAsia" w:cstheme="majorBidi"/>
      <w:b/>
      <w:sz w:val="32"/>
      <w:szCs w:val="24"/>
    </w:rPr>
  </w:style>
  <w:style w:type="paragraph" w:styleId="Nadpis4">
    <w:name w:val="heading 4"/>
    <w:basedOn w:val="Normln"/>
    <w:next w:val="Normln"/>
    <w:link w:val="Nadpis4Char"/>
    <w:autoRedefine/>
    <w:uiPriority w:val="9"/>
    <w:unhideWhenUsed/>
    <w:qFormat/>
    <w:rsid w:val="0044792D"/>
    <w:pPr>
      <w:keepNext/>
      <w:keepLines/>
      <w:numPr>
        <w:ilvl w:val="3"/>
        <w:numId w:val="1"/>
      </w:numPr>
      <w:spacing w:before="240" w:after="120"/>
      <w:ind w:left="862" w:hanging="862"/>
      <w:outlineLvl w:val="3"/>
    </w:pPr>
    <w:rPr>
      <w:rFonts w:eastAsiaTheme="majorEastAsia" w:cstheme="majorBidi"/>
      <w:b/>
      <w:iCs/>
      <w:sz w:val="28"/>
    </w:rPr>
  </w:style>
  <w:style w:type="paragraph" w:styleId="Nadpis5">
    <w:name w:val="heading 5"/>
    <w:basedOn w:val="Normln"/>
    <w:next w:val="Normln"/>
    <w:link w:val="Nadpis5Char"/>
    <w:autoRedefine/>
    <w:uiPriority w:val="9"/>
    <w:unhideWhenUsed/>
    <w:qFormat/>
    <w:rsid w:val="001C64CB"/>
    <w:pPr>
      <w:keepNext/>
      <w:keepLines/>
      <w:numPr>
        <w:numId w:val="2"/>
      </w:numPr>
      <w:spacing w:before="240" w:after="120" w:line="259" w:lineRule="auto"/>
      <w:ind w:left="714" w:hanging="357"/>
      <w:outlineLvl w:val="4"/>
    </w:pPr>
    <w:rPr>
      <w:rFonts w:eastAsiaTheme="majorEastAsia" w:cstheme="majorBidi"/>
      <w:b/>
    </w:rPr>
  </w:style>
  <w:style w:type="paragraph" w:styleId="Nadpis6">
    <w:name w:val="heading 6"/>
    <w:basedOn w:val="Normln"/>
    <w:next w:val="Normln"/>
    <w:link w:val="Nadpis6Char"/>
    <w:autoRedefine/>
    <w:uiPriority w:val="9"/>
    <w:unhideWhenUsed/>
    <w:qFormat/>
    <w:rsid w:val="00056A84"/>
    <w:pPr>
      <w:keepNext/>
      <w:keepLines/>
      <w:numPr>
        <w:numId w:val="3"/>
      </w:numPr>
      <w:spacing w:before="240" w:after="120" w:line="259" w:lineRule="auto"/>
      <w:ind w:left="714" w:hanging="357"/>
      <w:outlineLvl w:val="5"/>
    </w:pPr>
    <w:rPr>
      <w:rFonts w:eastAsiaTheme="majorEastAsia" w:cstheme="majorBidi"/>
      <w:b/>
    </w:rPr>
  </w:style>
  <w:style w:type="paragraph" w:styleId="Nadpis7">
    <w:name w:val="heading 7"/>
    <w:basedOn w:val="Normln"/>
    <w:next w:val="Normln"/>
    <w:link w:val="Nadpis7Char"/>
    <w:autoRedefine/>
    <w:uiPriority w:val="9"/>
    <w:unhideWhenUsed/>
    <w:qFormat/>
    <w:rsid w:val="00056A84"/>
    <w:pPr>
      <w:keepNext/>
      <w:keepLines/>
      <w:numPr>
        <w:ilvl w:val="6"/>
        <w:numId w:val="1"/>
      </w:numPr>
      <w:spacing w:before="240" w:after="120" w:line="259" w:lineRule="auto"/>
      <w:ind w:left="0" w:firstLine="0"/>
      <w:outlineLvl w:val="6"/>
    </w:pPr>
    <w:rPr>
      <w:rFonts w:eastAsia="Times New Roman" w:cstheme="majorBidi"/>
      <w:iCs/>
      <w:u w:val="single"/>
    </w:rPr>
  </w:style>
  <w:style w:type="paragraph" w:styleId="Nadpis8">
    <w:name w:val="heading 8"/>
    <w:basedOn w:val="Normln"/>
    <w:next w:val="Normln"/>
    <w:link w:val="Nadpis8Char"/>
    <w:autoRedefine/>
    <w:uiPriority w:val="9"/>
    <w:unhideWhenUsed/>
    <w:qFormat/>
    <w:rsid w:val="001C64CB"/>
    <w:pPr>
      <w:keepNext/>
      <w:keepLines/>
      <w:numPr>
        <w:ilvl w:val="7"/>
        <w:numId w:val="1"/>
      </w:numPr>
      <w:spacing w:before="240" w:after="120" w:line="259" w:lineRule="auto"/>
      <w:ind w:left="0" w:firstLine="0"/>
      <w:outlineLvl w:val="7"/>
    </w:pPr>
    <w:rPr>
      <w:rFonts w:eastAsiaTheme="majorEastAsia" w:cstheme="majorBidi"/>
      <w:b/>
      <w:szCs w:val="21"/>
    </w:rPr>
  </w:style>
  <w:style w:type="paragraph" w:styleId="Nadpis9">
    <w:name w:val="heading 9"/>
    <w:basedOn w:val="Normln"/>
    <w:next w:val="Normln"/>
    <w:link w:val="Nadpis9Char"/>
    <w:uiPriority w:val="9"/>
    <w:semiHidden/>
    <w:unhideWhenUsed/>
    <w:qFormat/>
    <w:rsid w:val="00F75ED2"/>
    <w:pPr>
      <w:keepNext/>
      <w:keepLines/>
      <w:numPr>
        <w:ilvl w:val="8"/>
        <w:numId w:val="1"/>
      </w:numPr>
      <w:spacing w:before="40" w:after="0"/>
      <w:outlineLvl w:val="8"/>
    </w:pPr>
    <w:rPr>
      <w:rFonts w:eastAsiaTheme="majorEastAsia" w:cstheme="majorBidi"/>
      <w:iCs/>
      <w:color w:val="272727" w:themeColor="text1" w:themeTint="D8"/>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C64CB"/>
    <w:rPr>
      <w:rFonts w:ascii="Arial" w:eastAsiaTheme="majorEastAsia" w:hAnsi="Arial" w:cstheme="majorBidi"/>
      <w:b/>
      <w:sz w:val="32"/>
      <w:szCs w:val="32"/>
    </w:rPr>
  </w:style>
  <w:style w:type="character" w:customStyle="1" w:styleId="Nadpis2Char">
    <w:name w:val="Nadpis 2 Char"/>
    <w:basedOn w:val="Standardnpsmoodstavce"/>
    <w:link w:val="Nadpis2"/>
    <w:uiPriority w:val="9"/>
    <w:rsid w:val="001C64CB"/>
    <w:rPr>
      <w:rFonts w:ascii="Arial" w:eastAsiaTheme="majorEastAsia" w:hAnsi="Arial" w:cstheme="majorBidi"/>
      <w:b/>
      <w:sz w:val="36"/>
      <w:szCs w:val="26"/>
    </w:rPr>
  </w:style>
  <w:style w:type="character" w:customStyle="1" w:styleId="Nadpis3Char">
    <w:name w:val="Nadpis 3 Char"/>
    <w:basedOn w:val="Standardnpsmoodstavce"/>
    <w:link w:val="Nadpis3"/>
    <w:uiPriority w:val="9"/>
    <w:rsid w:val="00C96FDA"/>
    <w:rPr>
      <w:rFonts w:ascii="Arial" w:eastAsiaTheme="majorEastAsia" w:hAnsi="Arial" w:cstheme="majorBidi"/>
      <w:b/>
      <w:sz w:val="32"/>
      <w:szCs w:val="24"/>
    </w:rPr>
  </w:style>
  <w:style w:type="character" w:customStyle="1" w:styleId="Nadpis4Char">
    <w:name w:val="Nadpis 4 Char"/>
    <w:basedOn w:val="Standardnpsmoodstavce"/>
    <w:link w:val="Nadpis4"/>
    <w:uiPriority w:val="9"/>
    <w:rsid w:val="0044792D"/>
    <w:rPr>
      <w:rFonts w:ascii="Arial" w:eastAsiaTheme="majorEastAsia" w:hAnsi="Arial" w:cstheme="majorBidi"/>
      <w:b/>
      <w:iCs/>
      <w:sz w:val="28"/>
    </w:rPr>
  </w:style>
  <w:style w:type="character" w:customStyle="1" w:styleId="Nadpis5Char">
    <w:name w:val="Nadpis 5 Char"/>
    <w:basedOn w:val="Standardnpsmoodstavce"/>
    <w:link w:val="Nadpis5"/>
    <w:uiPriority w:val="9"/>
    <w:rsid w:val="001C64CB"/>
    <w:rPr>
      <w:rFonts w:ascii="Arial" w:eastAsiaTheme="majorEastAsia" w:hAnsi="Arial" w:cstheme="majorBidi"/>
      <w:b/>
      <w:sz w:val="24"/>
    </w:rPr>
  </w:style>
  <w:style w:type="character" w:customStyle="1" w:styleId="Nadpis6Char">
    <w:name w:val="Nadpis 6 Char"/>
    <w:basedOn w:val="Standardnpsmoodstavce"/>
    <w:link w:val="Nadpis6"/>
    <w:uiPriority w:val="9"/>
    <w:rsid w:val="00056A84"/>
    <w:rPr>
      <w:rFonts w:ascii="Arial" w:eastAsiaTheme="majorEastAsia" w:hAnsi="Arial" w:cstheme="majorBidi"/>
      <w:b/>
      <w:sz w:val="24"/>
    </w:rPr>
  </w:style>
  <w:style w:type="character" w:customStyle="1" w:styleId="Nadpis7Char">
    <w:name w:val="Nadpis 7 Char"/>
    <w:basedOn w:val="Standardnpsmoodstavce"/>
    <w:link w:val="Nadpis7"/>
    <w:uiPriority w:val="9"/>
    <w:rsid w:val="00056A84"/>
    <w:rPr>
      <w:rFonts w:ascii="Arial" w:eastAsia="Times New Roman" w:hAnsi="Arial" w:cstheme="majorBidi"/>
      <w:iCs/>
      <w:sz w:val="24"/>
      <w:u w:val="single"/>
    </w:rPr>
  </w:style>
  <w:style w:type="character" w:customStyle="1" w:styleId="Nadpis8Char">
    <w:name w:val="Nadpis 8 Char"/>
    <w:basedOn w:val="Standardnpsmoodstavce"/>
    <w:link w:val="Nadpis8"/>
    <w:uiPriority w:val="9"/>
    <w:rsid w:val="001C64CB"/>
    <w:rPr>
      <w:rFonts w:ascii="Arial" w:eastAsiaTheme="majorEastAsia" w:hAnsi="Arial" w:cstheme="majorBidi"/>
      <w:b/>
      <w:sz w:val="24"/>
      <w:szCs w:val="21"/>
    </w:rPr>
  </w:style>
  <w:style w:type="character" w:customStyle="1" w:styleId="Nadpis9Char">
    <w:name w:val="Nadpis 9 Char"/>
    <w:basedOn w:val="Standardnpsmoodstavce"/>
    <w:link w:val="Nadpis9"/>
    <w:uiPriority w:val="9"/>
    <w:semiHidden/>
    <w:rsid w:val="00F75ED2"/>
    <w:rPr>
      <w:rFonts w:ascii="Arial" w:eastAsiaTheme="majorEastAsia" w:hAnsi="Arial" w:cstheme="majorBidi"/>
      <w:iCs/>
      <w:color w:val="272727" w:themeColor="text1" w:themeTint="D8"/>
      <w:sz w:val="24"/>
      <w:szCs w:val="21"/>
    </w:rPr>
  </w:style>
  <w:style w:type="paragraph" w:styleId="Odstavecseseznamem">
    <w:name w:val="List Paragraph"/>
    <w:basedOn w:val="Normln"/>
    <w:uiPriority w:val="34"/>
    <w:qFormat/>
    <w:rsid w:val="00A96523"/>
    <w:pPr>
      <w:spacing w:after="200" w:line="276" w:lineRule="auto"/>
      <w:ind w:left="720"/>
      <w:contextualSpacing/>
      <w:jc w:val="left"/>
    </w:pPr>
    <w:rPr>
      <w:rFonts w:asciiTheme="minorHAnsi" w:hAnsiTheme="minorHAnsi"/>
      <w:sz w:val="22"/>
    </w:rPr>
  </w:style>
  <w:style w:type="paragraph" w:styleId="Textpoznpodarou">
    <w:name w:val="footnote text"/>
    <w:basedOn w:val="Normln"/>
    <w:link w:val="TextpoznpodarouChar"/>
    <w:uiPriority w:val="99"/>
    <w:unhideWhenUsed/>
    <w:rsid w:val="00A96523"/>
    <w:pPr>
      <w:spacing w:after="0"/>
      <w:jc w:val="left"/>
    </w:pPr>
    <w:rPr>
      <w:rFonts w:asciiTheme="minorHAnsi" w:hAnsiTheme="minorHAnsi"/>
      <w:sz w:val="20"/>
      <w:szCs w:val="20"/>
    </w:rPr>
  </w:style>
  <w:style w:type="character" w:customStyle="1" w:styleId="TextpoznpodarouChar">
    <w:name w:val="Text pozn. pod čarou Char"/>
    <w:basedOn w:val="Standardnpsmoodstavce"/>
    <w:link w:val="Textpoznpodarou"/>
    <w:uiPriority w:val="99"/>
    <w:rsid w:val="00A96523"/>
    <w:rPr>
      <w:sz w:val="20"/>
      <w:szCs w:val="20"/>
    </w:rPr>
  </w:style>
  <w:style w:type="character" w:styleId="Znakapoznpodarou">
    <w:name w:val="footnote reference"/>
    <w:basedOn w:val="Standardnpsmoodstavce"/>
    <w:uiPriority w:val="99"/>
    <w:semiHidden/>
    <w:unhideWhenUsed/>
    <w:rsid w:val="00A96523"/>
    <w:rPr>
      <w:vertAlign w:val="superscript"/>
    </w:rPr>
  </w:style>
  <w:style w:type="character" w:styleId="Odkaznakoment">
    <w:name w:val="annotation reference"/>
    <w:basedOn w:val="Standardnpsmoodstavce"/>
    <w:uiPriority w:val="99"/>
    <w:semiHidden/>
    <w:unhideWhenUsed/>
    <w:rsid w:val="00A96523"/>
    <w:rPr>
      <w:sz w:val="16"/>
      <w:szCs w:val="16"/>
    </w:rPr>
  </w:style>
  <w:style w:type="paragraph" w:styleId="Textkomente">
    <w:name w:val="annotation text"/>
    <w:basedOn w:val="Normln"/>
    <w:link w:val="TextkomenteChar"/>
    <w:uiPriority w:val="99"/>
    <w:unhideWhenUsed/>
    <w:rsid w:val="00A96523"/>
    <w:pPr>
      <w:spacing w:after="200"/>
      <w:jc w:val="left"/>
    </w:pPr>
    <w:rPr>
      <w:rFonts w:asciiTheme="minorHAnsi" w:hAnsiTheme="minorHAnsi"/>
      <w:sz w:val="20"/>
      <w:szCs w:val="20"/>
    </w:rPr>
  </w:style>
  <w:style w:type="character" w:customStyle="1" w:styleId="TextkomenteChar">
    <w:name w:val="Text komentáře Char"/>
    <w:basedOn w:val="Standardnpsmoodstavce"/>
    <w:link w:val="Textkomente"/>
    <w:uiPriority w:val="99"/>
    <w:rsid w:val="00A96523"/>
    <w:rPr>
      <w:sz w:val="20"/>
      <w:szCs w:val="20"/>
    </w:rPr>
  </w:style>
  <w:style w:type="paragraph" w:styleId="Textbubliny">
    <w:name w:val="Balloon Text"/>
    <w:basedOn w:val="Normln"/>
    <w:link w:val="TextbublinyChar"/>
    <w:uiPriority w:val="99"/>
    <w:semiHidden/>
    <w:unhideWhenUsed/>
    <w:rsid w:val="00A96523"/>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96523"/>
    <w:rPr>
      <w:rFonts w:ascii="Segoe UI" w:hAnsi="Segoe UI" w:cs="Segoe UI"/>
      <w:sz w:val="18"/>
      <w:szCs w:val="18"/>
    </w:rPr>
  </w:style>
  <w:style w:type="paragraph" w:customStyle="1" w:styleId="l4">
    <w:name w:val="l4"/>
    <w:basedOn w:val="Normln"/>
    <w:rsid w:val="002F7DA8"/>
    <w:pPr>
      <w:spacing w:before="100" w:beforeAutospacing="1" w:after="100" w:afterAutospacing="1"/>
      <w:jc w:val="left"/>
    </w:pPr>
    <w:rPr>
      <w:rFonts w:ascii="Times New Roman" w:hAnsi="Times New Roman" w:cs="Times New Roman"/>
      <w:szCs w:val="24"/>
      <w:lang w:eastAsia="cs-CZ"/>
    </w:rPr>
  </w:style>
  <w:style w:type="paragraph" w:customStyle="1" w:styleId="l5">
    <w:name w:val="l5"/>
    <w:basedOn w:val="Normln"/>
    <w:rsid w:val="002F7DA8"/>
    <w:pPr>
      <w:spacing w:before="100" w:beforeAutospacing="1" w:after="100" w:afterAutospacing="1"/>
      <w:jc w:val="left"/>
    </w:pPr>
    <w:rPr>
      <w:rFonts w:ascii="Times New Roman" w:hAnsi="Times New Roman" w:cs="Times New Roman"/>
      <w:szCs w:val="24"/>
      <w:lang w:eastAsia="cs-CZ"/>
    </w:rPr>
  </w:style>
  <w:style w:type="character" w:styleId="PromnnHTML">
    <w:name w:val="HTML Variable"/>
    <w:basedOn w:val="Standardnpsmoodstavce"/>
    <w:uiPriority w:val="99"/>
    <w:semiHidden/>
    <w:unhideWhenUsed/>
    <w:rsid w:val="002F7DA8"/>
    <w:rPr>
      <w:i/>
      <w:iCs/>
    </w:rPr>
  </w:style>
  <w:style w:type="paragraph" w:styleId="Pedmtkomente">
    <w:name w:val="annotation subject"/>
    <w:basedOn w:val="Textkomente"/>
    <w:next w:val="Textkomente"/>
    <w:link w:val="PedmtkomenteChar"/>
    <w:uiPriority w:val="99"/>
    <w:semiHidden/>
    <w:unhideWhenUsed/>
    <w:rsid w:val="00F57CAA"/>
    <w:pPr>
      <w:spacing w:after="160"/>
      <w:jc w:val="both"/>
    </w:pPr>
    <w:rPr>
      <w:rFonts w:ascii="Arial" w:hAnsi="Arial"/>
      <w:b/>
      <w:bCs/>
    </w:rPr>
  </w:style>
  <w:style w:type="character" w:customStyle="1" w:styleId="PedmtkomenteChar">
    <w:name w:val="Předmět komentáře Char"/>
    <w:basedOn w:val="TextkomenteChar"/>
    <w:link w:val="Pedmtkomente"/>
    <w:uiPriority w:val="99"/>
    <w:semiHidden/>
    <w:rsid w:val="00F57CAA"/>
    <w:rPr>
      <w:rFonts w:ascii="Arial" w:hAnsi="Arial"/>
      <w:b/>
      <w:bCs/>
      <w:sz w:val="20"/>
      <w:szCs w:val="20"/>
    </w:rPr>
  </w:style>
  <w:style w:type="paragraph" w:styleId="Revize">
    <w:name w:val="Revision"/>
    <w:hidden/>
    <w:uiPriority w:val="99"/>
    <w:semiHidden/>
    <w:rsid w:val="00EF75C6"/>
    <w:pPr>
      <w:spacing w:after="0" w:line="240" w:lineRule="auto"/>
    </w:pPr>
    <w:rPr>
      <w:rFonts w:ascii="Arial" w:hAnsi="Arial"/>
      <w:sz w:val="24"/>
    </w:rPr>
  </w:style>
  <w:style w:type="character" w:styleId="Hypertextovodkaz">
    <w:name w:val="Hyperlink"/>
    <w:basedOn w:val="Standardnpsmoodstavce"/>
    <w:uiPriority w:val="99"/>
    <w:unhideWhenUsed/>
    <w:rsid w:val="008D2FB7"/>
    <w:rPr>
      <w:color w:val="0563C1" w:themeColor="hyperlink"/>
      <w:u w:val="single"/>
    </w:rPr>
  </w:style>
  <w:style w:type="paragraph" w:styleId="Zhlav">
    <w:name w:val="header"/>
    <w:basedOn w:val="Normln"/>
    <w:link w:val="ZhlavChar"/>
    <w:uiPriority w:val="99"/>
    <w:unhideWhenUsed/>
    <w:rsid w:val="002B71F2"/>
    <w:pPr>
      <w:tabs>
        <w:tab w:val="center" w:pos="4536"/>
        <w:tab w:val="right" w:pos="9072"/>
      </w:tabs>
      <w:spacing w:after="0"/>
    </w:pPr>
  </w:style>
  <w:style w:type="character" w:customStyle="1" w:styleId="ZhlavChar">
    <w:name w:val="Záhlaví Char"/>
    <w:basedOn w:val="Standardnpsmoodstavce"/>
    <w:link w:val="Zhlav"/>
    <w:uiPriority w:val="99"/>
    <w:rsid w:val="002B71F2"/>
    <w:rPr>
      <w:rFonts w:ascii="Arial" w:hAnsi="Arial"/>
      <w:sz w:val="24"/>
    </w:rPr>
  </w:style>
  <w:style w:type="paragraph" w:styleId="Zpat">
    <w:name w:val="footer"/>
    <w:basedOn w:val="Normln"/>
    <w:link w:val="ZpatChar"/>
    <w:uiPriority w:val="99"/>
    <w:unhideWhenUsed/>
    <w:rsid w:val="002B71F2"/>
    <w:pPr>
      <w:tabs>
        <w:tab w:val="center" w:pos="4536"/>
        <w:tab w:val="right" w:pos="9072"/>
      </w:tabs>
      <w:spacing w:after="0"/>
    </w:pPr>
  </w:style>
  <w:style w:type="character" w:customStyle="1" w:styleId="ZpatChar">
    <w:name w:val="Zápatí Char"/>
    <w:basedOn w:val="Standardnpsmoodstavce"/>
    <w:link w:val="Zpat"/>
    <w:uiPriority w:val="99"/>
    <w:rsid w:val="002B71F2"/>
    <w:rPr>
      <w:rFonts w:ascii="Arial" w:hAnsi="Arial"/>
      <w:sz w:val="24"/>
    </w:rPr>
  </w:style>
  <w:style w:type="character" w:styleId="Sledovanodkaz">
    <w:name w:val="FollowedHyperlink"/>
    <w:basedOn w:val="Standardnpsmoodstavce"/>
    <w:uiPriority w:val="99"/>
    <w:semiHidden/>
    <w:unhideWhenUsed/>
    <w:rsid w:val="001B4EF0"/>
    <w:rPr>
      <w:color w:val="954F72" w:themeColor="followedHyperlink"/>
      <w:u w:val="single"/>
    </w:rPr>
  </w:style>
  <w:style w:type="paragraph" w:styleId="Seznamobrzk">
    <w:name w:val="table of figures"/>
    <w:basedOn w:val="Normln"/>
    <w:next w:val="Normln"/>
    <w:uiPriority w:val="99"/>
    <w:unhideWhenUsed/>
    <w:rsid w:val="00C43F45"/>
    <w:pPr>
      <w:spacing w:after="0"/>
    </w:pPr>
  </w:style>
  <w:style w:type="paragraph" w:styleId="Obsah2">
    <w:name w:val="toc 2"/>
    <w:basedOn w:val="Normln"/>
    <w:next w:val="Normln"/>
    <w:autoRedefine/>
    <w:uiPriority w:val="39"/>
    <w:unhideWhenUsed/>
    <w:rsid w:val="002537D6"/>
    <w:pPr>
      <w:spacing w:after="100"/>
      <w:ind w:left="240"/>
    </w:pPr>
  </w:style>
  <w:style w:type="paragraph" w:styleId="Obsah3">
    <w:name w:val="toc 3"/>
    <w:basedOn w:val="Normln"/>
    <w:next w:val="Normln"/>
    <w:autoRedefine/>
    <w:uiPriority w:val="39"/>
    <w:unhideWhenUsed/>
    <w:rsid w:val="002537D6"/>
    <w:pPr>
      <w:spacing w:after="100"/>
      <w:ind w:left="480"/>
    </w:pPr>
  </w:style>
  <w:style w:type="paragraph" w:styleId="Obsah6">
    <w:name w:val="toc 6"/>
    <w:basedOn w:val="Normln"/>
    <w:next w:val="Normln"/>
    <w:autoRedefine/>
    <w:uiPriority w:val="39"/>
    <w:unhideWhenUsed/>
    <w:rsid w:val="002537D6"/>
    <w:pPr>
      <w:spacing w:after="100"/>
      <w:ind w:left="1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993345">
      <w:bodyDiv w:val="1"/>
      <w:marLeft w:val="0"/>
      <w:marRight w:val="0"/>
      <w:marTop w:val="0"/>
      <w:marBottom w:val="0"/>
      <w:divBdr>
        <w:top w:val="none" w:sz="0" w:space="0" w:color="auto"/>
        <w:left w:val="none" w:sz="0" w:space="0" w:color="auto"/>
        <w:bottom w:val="none" w:sz="0" w:space="0" w:color="auto"/>
        <w:right w:val="none" w:sz="0" w:space="0" w:color="auto"/>
      </w:divBdr>
    </w:div>
    <w:div w:id="499083995">
      <w:bodyDiv w:val="1"/>
      <w:marLeft w:val="0"/>
      <w:marRight w:val="0"/>
      <w:marTop w:val="0"/>
      <w:marBottom w:val="0"/>
      <w:divBdr>
        <w:top w:val="none" w:sz="0" w:space="0" w:color="auto"/>
        <w:left w:val="none" w:sz="0" w:space="0" w:color="auto"/>
        <w:bottom w:val="none" w:sz="0" w:space="0" w:color="auto"/>
        <w:right w:val="none" w:sz="0" w:space="0" w:color="auto"/>
      </w:divBdr>
    </w:div>
    <w:div w:id="594633615">
      <w:bodyDiv w:val="1"/>
      <w:marLeft w:val="0"/>
      <w:marRight w:val="0"/>
      <w:marTop w:val="0"/>
      <w:marBottom w:val="0"/>
      <w:divBdr>
        <w:top w:val="none" w:sz="0" w:space="0" w:color="auto"/>
        <w:left w:val="none" w:sz="0" w:space="0" w:color="auto"/>
        <w:bottom w:val="none" w:sz="0" w:space="0" w:color="auto"/>
        <w:right w:val="none" w:sz="0" w:space="0" w:color="auto"/>
      </w:divBdr>
    </w:div>
    <w:div w:id="887449801">
      <w:bodyDiv w:val="1"/>
      <w:marLeft w:val="0"/>
      <w:marRight w:val="0"/>
      <w:marTop w:val="0"/>
      <w:marBottom w:val="0"/>
      <w:divBdr>
        <w:top w:val="none" w:sz="0" w:space="0" w:color="auto"/>
        <w:left w:val="none" w:sz="0" w:space="0" w:color="auto"/>
        <w:bottom w:val="none" w:sz="0" w:space="0" w:color="auto"/>
        <w:right w:val="none" w:sz="0" w:space="0" w:color="auto"/>
      </w:divBdr>
    </w:div>
    <w:div w:id="1004092646">
      <w:bodyDiv w:val="1"/>
      <w:marLeft w:val="0"/>
      <w:marRight w:val="0"/>
      <w:marTop w:val="0"/>
      <w:marBottom w:val="0"/>
      <w:divBdr>
        <w:top w:val="none" w:sz="0" w:space="0" w:color="auto"/>
        <w:left w:val="none" w:sz="0" w:space="0" w:color="auto"/>
        <w:bottom w:val="none" w:sz="0" w:space="0" w:color="auto"/>
        <w:right w:val="none" w:sz="0" w:space="0" w:color="auto"/>
      </w:divBdr>
    </w:div>
    <w:div w:id="1071464879">
      <w:bodyDiv w:val="1"/>
      <w:marLeft w:val="0"/>
      <w:marRight w:val="0"/>
      <w:marTop w:val="0"/>
      <w:marBottom w:val="0"/>
      <w:divBdr>
        <w:top w:val="none" w:sz="0" w:space="0" w:color="auto"/>
        <w:left w:val="none" w:sz="0" w:space="0" w:color="auto"/>
        <w:bottom w:val="none" w:sz="0" w:space="0" w:color="auto"/>
        <w:right w:val="none" w:sz="0" w:space="0" w:color="auto"/>
      </w:divBdr>
    </w:div>
    <w:div w:id="1333294746">
      <w:bodyDiv w:val="1"/>
      <w:marLeft w:val="0"/>
      <w:marRight w:val="0"/>
      <w:marTop w:val="0"/>
      <w:marBottom w:val="0"/>
      <w:divBdr>
        <w:top w:val="none" w:sz="0" w:space="0" w:color="auto"/>
        <w:left w:val="none" w:sz="0" w:space="0" w:color="auto"/>
        <w:bottom w:val="none" w:sz="0" w:space="0" w:color="auto"/>
        <w:right w:val="none" w:sz="0" w:space="0" w:color="auto"/>
      </w:divBdr>
    </w:div>
    <w:div w:id="1581713733">
      <w:bodyDiv w:val="1"/>
      <w:marLeft w:val="0"/>
      <w:marRight w:val="0"/>
      <w:marTop w:val="0"/>
      <w:marBottom w:val="0"/>
      <w:divBdr>
        <w:top w:val="none" w:sz="0" w:space="0" w:color="auto"/>
        <w:left w:val="none" w:sz="0" w:space="0" w:color="auto"/>
        <w:bottom w:val="none" w:sz="0" w:space="0" w:color="auto"/>
        <w:right w:val="none" w:sz="0" w:space="0" w:color="auto"/>
      </w:divBdr>
    </w:div>
    <w:div w:id="1654718814">
      <w:bodyDiv w:val="1"/>
      <w:marLeft w:val="0"/>
      <w:marRight w:val="0"/>
      <w:marTop w:val="0"/>
      <w:marBottom w:val="0"/>
      <w:divBdr>
        <w:top w:val="none" w:sz="0" w:space="0" w:color="auto"/>
        <w:left w:val="none" w:sz="0" w:space="0" w:color="auto"/>
        <w:bottom w:val="none" w:sz="0" w:space="0" w:color="auto"/>
        <w:right w:val="none" w:sz="0" w:space="0" w:color="auto"/>
      </w:divBdr>
    </w:div>
    <w:div w:id="1876850227">
      <w:bodyDiv w:val="1"/>
      <w:marLeft w:val="0"/>
      <w:marRight w:val="0"/>
      <w:marTop w:val="0"/>
      <w:marBottom w:val="0"/>
      <w:divBdr>
        <w:top w:val="none" w:sz="0" w:space="0" w:color="auto"/>
        <w:left w:val="none" w:sz="0" w:space="0" w:color="auto"/>
        <w:bottom w:val="none" w:sz="0" w:space="0" w:color="auto"/>
        <w:right w:val="none" w:sz="0" w:space="0" w:color="auto"/>
      </w:divBdr>
    </w:div>
    <w:div w:id="1968853160">
      <w:bodyDiv w:val="1"/>
      <w:marLeft w:val="0"/>
      <w:marRight w:val="0"/>
      <w:marTop w:val="0"/>
      <w:marBottom w:val="0"/>
      <w:divBdr>
        <w:top w:val="none" w:sz="0" w:space="0" w:color="auto"/>
        <w:left w:val="none" w:sz="0" w:space="0" w:color="auto"/>
        <w:bottom w:val="none" w:sz="0" w:space="0" w:color="auto"/>
        <w:right w:val="none" w:sz="0" w:space="0" w:color="auto"/>
      </w:divBdr>
    </w:div>
    <w:div w:id="199552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BEDF3-6395-4F6A-A299-162B08EF1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6514</Words>
  <Characters>38434</Characters>
  <Application>Microsoft Office Word</Application>
  <DocSecurity>0</DocSecurity>
  <Lines>320</Lines>
  <Paragraphs>89</Paragraphs>
  <ScaleCrop>false</ScaleCrop>
  <HeadingPairs>
    <vt:vector size="2" baseType="variant">
      <vt:variant>
        <vt:lpstr>Název</vt:lpstr>
      </vt:variant>
      <vt:variant>
        <vt:i4>1</vt:i4>
      </vt:variant>
    </vt:vector>
  </HeadingPairs>
  <TitlesOfParts>
    <vt:vector size="1" baseType="lpstr">
      <vt:lpstr/>
    </vt:vector>
  </TitlesOfParts>
  <Company>Ministerstvo financí</Company>
  <LinksUpToDate>false</LinksUpToDate>
  <CharactersWithSpaces>44859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Poláková Karolína</dc:creator>
  <cp:lastModifiedBy>Nespěšná Petra Mgr. Bc.</cp:lastModifiedBy>
  <cp:revision>3</cp:revision>
  <cp:lastPrinted>2021-05-24T13:31:00Z</cp:lastPrinted>
  <dcterms:created xsi:type="dcterms:W3CDTF">2021-06-03T09:24:00Z</dcterms:created>
  <dcterms:modified xsi:type="dcterms:W3CDTF">2021-06-03T09:44:00Z</dcterms:modified>
</cp:coreProperties>
</file>