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B0B7C" w14:textId="21E4B13D" w:rsidR="0043215C" w:rsidRPr="00BA2FED" w:rsidRDefault="001A7BC4" w:rsidP="003B5F37">
      <w:pPr>
        <w:pStyle w:val="Nadpis2"/>
        <w:numPr>
          <w:ilvl w:val="0"/>
          <w:numId w:val="0"/>
        </w:numPr>
        <w:ind w:left="578"/>
      </w:pPr>
      <w:bookmarkStart w:id="0" w:name="_Toc73606855"/>
      <w:bookmarkStart w:id="1" w:name="_Toc73607023"/>
      <w:bookmarkStart w:id="2" w:name="_Toc73607437"/>
      <w:bookmarkStart w:id="3" w:name="_Toc73608096"/>
      <w:r w:rsidRPr="00BA2FED">
        <w:t>Technické parametry</w:t>
      </w:r>
      <w:r w:rsidR="00BF7ACE" w:rsidRPr="00BA2FED">
        <w:t xml:space="preserve"> a činnost odborného posuzování a osvědčování</w:t>
      </w:r>
      <w:bookmarkEnd w:id="0"/>
      <w:bookmarkEnd w:id="1"/>
      <w:bookmarkEnd w:id="2"/>
      <w:bookmarkEnd w:id="3"/>
    </w:p>
    <w:p w14:paraId="7044413A" w14:textId="32FCF9B1" w:rsidR="0043215C" w:rsidRPr="00BA2FED" w:rsidRDefault="0043215C" w:rsidP="003B5F37">
      <w:pPr>
        <w:pStyle w:val="Nadpis3"/>
      </w:pPr>
      <w:bookmarkStart w:id="4" w:name="_Toc73608097"/>
      <w:r w:rsidRPr="00BA2FED">
        <w:t>Konkrétní popis regulac</w:t>
      </w:r>
      <w:r w:rsidR="003B5F37">
        <w:t>e</w:t>
      </w:r>
      <w:r w:rsidR="008C411A" w:rsidRPr="00BA2FED">
        <w:t xml:space="preserve"> obsažené v zákoně o </w:t>
      </w:r>
      <w:r w:rsidRPr="00BA2FED">
        <w:t>loteriích</w:t>
      </w:r>
      <w:bookmarkEnd w:id="4"/>
    </w:p>
    <w:p w14:paraId="6CEE7691" w14:textId="041E388D" w:rsidR="00C36445" w:rsidRPr="00BA2FED" w:rsidDel="001A7BC4" w:rsidRDefault="00453F10" w:rsidP="00C36445">
      <w:r w:rsidRPr="00BA2FED">
        <w:t>Provozování hazardních her, resp. loter</w:t>
      </w:r>
      <w:r w:rsidR="00AB6215" w:rsidRPr="00BA2FED">
        <w:t xml:space="preserve">ií a jiných podobných her </w:t>
      </w:r>
      <w:r w:rsidR="00F80239" w:rsidRPr="00BA2FED">
        <w:t xml:space="preserve">bylo již za účinnosti zákona o loteriích </w:t>
      </w:r>
      <w:r w:rsidR="00AB6215" w:rsidRPr="00BA2FED">
        <w:t xml:space="preserve">často spojené s využíváním určitých technických zařízení. V případě zákona o </w:t>
      </w:r>
      <w:r w:rsidR="00C36445" w:rsidRPr="00BA2FED">
        <w:t>loteriích</w:t>
      </w:r>
      <w:r w:rsidR="00F80239" w:rsidRPr="00BA2FED">
        <w:t xml:space="preserve"> byla tato skutečnost reflektována</w:t>
      </w:r>
      <w:r w:rsidR="00AB6215" w:rsidRPr="00BA2FED">
        <w:t xml:space="preserve"> v případě </w:t>
      </w:r>
      <w:r w:rsidR="00B66245">
        <w:t>provozování loterií a</w:t>
      </w:r>
      <w:r w:rsidR="00D95B59">
        <w:t> </w:t>
      </w:r>
      <w:r w:rsidR="00C36445" w:rsidRPr="00BA2FED">
        <w:t>jiných podobných her</w:t>
      </w:r>
      <w:r w:rsidR="00AB6215" w:rsidRPr="00BA2FED">
        <w:t xml:space="preserve">, které byly přímo </w:t>
      </w:r>
      <w:r w:rsidR="00712CD2">
        <w:t>obsluhované účastníky, např.</w:t>
      </w:r>
      <w:r w:rsidR="00BC20F6">
        <w:t xml:space="preserve"> </w:t>
      </w:r>
      <w:r w:rsidR="00AB6215" w:rsidRPr="00BA2FED">
        <w:t>u</w:t>
      </w:r>
      <w:r w:rsidR="00C26DB0">
        <w:t> </w:t>
      </w:r>
      <w:r w:rsidR="00AB6215" w:rsidRPr="00BA2FED">
        <w:t>výherních hracích přístrojů, videoloter</w:t>
      </w:r>
      <w:r w:rsidR="00C36445" w:rsidRPr="00BA2FED">
        <w:t>n</w:t>
      </w:r>
      <w:r w:rsidR="00AB6215" w:rsidRPr="00BA2FED">
        <w:t>ích termin</w:t>
      </w:r>
      <w:r w:rsidR="00C36445" w:rsidRPr="00BA2FED">
        <w:t>á</w:t>
      </w:r>
      <w:r w:rsidR="00C26DB0">
        <w:t>lů, elektromechanických rulet a </w:t>
      </w:r>
      <w:r w:rsidR="00BC20F6">
        <w:t>u </w:t>
      </w:r>
      <w:r w:rsidR="00F80239" w:rsidRPr="00BA2FED">
        <w:t>provozování</w:t>
      </w:r>
      <w:r w:rsidR="00712CD2">
        <w:t xml:space="preserve"> her</w:t>
      </w:r>
      <w:r w:rsidR="00C36445" w:rsidRPr="00BA2FED">
        <w:t xml:space="preserve"> prostřednictvím veřejné sítě internet. </w:t>
      </w:r>
      <w:bookmarkStart w:id="5" w:name="_GoBack"/>
      <w:bookmarkEnd w:id="5"/>
    </w:p>
    <w:p w14:paraId="301DE46C" w14:textId="6DFA1114" w:rsidR="001A7BC4" w:rsidRPr="00BA2FED" w:rsidRDefault="001A7BC4" w:rsidP="00DE0411">
      <w:r w:rsidRPr="00BA2FED">
        <w:t xml:space="preserve">Technické parametry, </w:t>
      </w:r>
      <w:r w:rsidR="00C36445" w:rsidRPr="00BA2FED">
        <w:t xml:space="preserve">jejichž splnění musel provozovatel zajistit, </w:t>
      </w:r>
      <w:r w:rsidRPr="00BA2FED">
        <w:t>byly stanoveny zejména v</w:t>
      </w:r>
      <w:r w:rsidR="00BC20F6">
        <w:t xml:space="preserve"> </w:t>
      </w:r>
      <w:r w:rsidRPr="00BA2FED">
        <w:t xml:space="preserve">tzv. </w:t>
      </w:r>
      <w:r w:rsidRPr="00712CD2">
        <w:rPr>
          <w:b/>
        </w:rPr>
        <w:t>technických standardech</w:t>
      </w:r>
      <w:r w:rsidRPr="00BA2FED">
        <w:t xml:space="preserve">, které byly zveřejňovány na internetových stránkách </w:t>
      </w:r>
      <w:r w:rsidR="009101ED" w:rsidRPr="00BA2FED">
        <w:t>M</w:t>
      </w:r>
      <w:r w:rsidRPr="00BA2FED">
        <w:t>inisterstva</w:t>
      </w:r>
      <w:r w:rsidR="009101ED" w:rsidRPr="00BA2FED">
        <w:t xml:space="preserve"> financí</w:t>
      </w:r>
      <w:r w:rsidRPr="00BA2FED">
        <w:t xml:space="preserve">. Jednalo se o Standard </w:t>
      </w:r>
      <w:r w:rsidR="00B66245">
        <w:t>centrálního loterního systému s </w:t>
      </w:r>
      <w:r w:rsidRPr="00BA2FED">
        <w:t xml:space="preserve">interaktivními </w:t>
      </w:r>
      <w:r w:rsidR="00C4071D" w:rsidRPr="00BA2FED">
        <w:t>videoloterijními</w:t>
      </w:r>
      <w:r w:rsidRPr="00BA2FED">
        <w:t xml:space="preserve"> terminály</w:t>
      </w:r>
      <w:r w:rsidR="00712CD2">
        <w:t>, Standard technického zařízení </w:t>
      </w:r>
      <w:r w:rsidR="00712CD2">
        <w:noBreakHyphen/>
        <w:t> </w:t>
      </w:r>
      <w:r w:rsidRPr="00BA2FED">
        <w:t>Elektromechanické rulety a Standard provozování loterií a jiných podobných her prostřednictvím veřejné sítě internet. V případě výherních hracích přístrojů byly technické parametry stanoveny ve v</w:t>
      </w:r>
      <w:r w:rsidR="00712CD2">
        <w:t>yhlášce Ministerstva financí č. </w:t>
      </w:r>
      <w:r w:rsidRPr="00BA2FED">
        <w:t>223/1993 Sb., o hracích přístrojích</w:t>
      </w:r>
      <w:r w:rsidR="00B63A6E" w:rsidRPr="00BA2FED">
        <w:t xml:space="preserve"> (dále jen „vyhláška o hracích přístrojích“)</w:t>
      </w:r>
      <w:r w:rsidRPr="00BA2FED">
        <w:t>.</w:t>
      </w:r>
    </w:p>
    <w:p w14:paraId="345FC5E2" w14:textId="72791B29" w:rsidR="001A7BC4" w:rsidRPr="00BA2FED" w:rsidRDefault="00F80239" w:rsidP="00DE0411">
      <w:r w:rsidRPr="00BA2FED">
        <w:t xml:space="preserve">Oblast </w:t>
      </w:r>
      <w:r w:rsidR="001A7BC4" w:rsidRPr="00BA2FED">
        <w:t xml:space="preserve">posuzování souladu </w:t>
      </w:r>
      <w:r w:rsidRPr="00BA2FED">
        <w:t>loterií a jiných podobných her s výše uvedenými standardy a vyhláškou</w:t>
      </w:r>
      <w:r w:rsidR="00B63A6E" w:rsidRPr="00BA2FED">
        <w:t xml:space="preserve"> o hracích přístrojích</w:t>
      </w:r>
      <w:r w:rsidRPr="00BA2FED">
        <w:t xml:space="preserve"> upravoval zákon o loteriích </w:t>
      </w:r>
      <w:r w:rsidR="001A7BC4" w:rsidRPr="00BA2FED">
        <w:t xml:space="preserve">pouze omezeně. V případě provozování výherních hracích přístrojů bylo jednou z povinných náležitostí osvědčení </w:t>
      </w:r>
      <w:r w:rsidRPr="00BA2FED">
        <w:t xml:space="preserve">vydané </w:t>
      </w:r>
      <w:r w:rsidRPr="004D7FBC">
        <w:rPr>
          <w:b/>
        </w:rPr>
        <w:t>pověřenou autorizovanou</w:t>
      </w:r>
      <w:r w:rsidR="001A7BC4" w:rsidRPr="004D7FBC">
        <w:rPr>
          <w:b/>
        </w:rPr>
        <w:t xml:space="preserve"> </w:t>
      </w:r>
      <w:r w:rsidRPr="004D7FBC">
        <w:rPr>
          <w:b/>
        </w:rPr>
        <w:t>osobou</w:t>
      </w:r>
      <w:r w:rsidR="001A7BC4" w:rsidRPr="00BA2FED">
        <w:t xml:space="preserve"> o tom, že je výherní hrací přístroj provozuschopný. Ačkoli zákon o loteriích</w:t>
      </w:r>
      <w:r w:rsidR="00ED63E1" w:rsidRPr="00BA2FED">
        <w:t xml:space="preserve"> výslovně vyžadoval potvrzení o </w:t>
      </w:r>
      <w:r w:rsidR="001A7BC4" w:rsidRPr="00BA2FED">
        <w:t>provozuschopnosti pouze v případě výherních hracích přístrojů, v souvislosti s povolováním loterií a jiných podobných her</w:t>
      </w:r>
      <w:r w:rsidR="00C860CD" w:rsidRPr="00BA2FED">
        <w:t>,</w:t>
      </w:r>
      <w:r w:rsidR="001A7BC4" w:rsidRPr="00BA2FED">
        <w:t xml:space="preserve"> ve vazbě na </w:t>
      </w:r>
      <w:r w:rsidR="00C860CD" w:rsidRPr="00BA2FED">
        <w:t xml:space="preserve">zmocňovací </w:t>
      </w:r>
      <w:r w:rsidR="00B66245">
        <w:t>ustanovení § </w:t>
      </w:r>
      <w:r w:rsidR="001A7BC4" w:rsidRPr="00BA2FED">
        <w:t xml:space="preserve">50 odst. </w:t>
      </w:r>
      <w:r w:rsidR="00353C57">
        <w:t>3</w:t>
      </w:r>
      <w:r w:rsidR="001A7BC4" w:rsidRPr="00BA2FED">
        <w:t xml:space="preserve"> zákona o loteriích, byla p</w:t>
      </w:r>
      <w:r w:rsidR="00B66245">
        <w:t>ovinnost předložení osvědčení o </w:t>
      </w:r>
      <w:r w:rsidR="001A7BC4" w:rsidRPr="00BA2FED">
        <w:t xml:space="preserve">provozuschopnosti rozšířena i na další technická zařízení, například centrální loterní systémy nebo elektromechanické rulety. </w:t>
      </w:r>
    </w:p>
    <w:p w14:paraId="59374053" w14:textId="76F785FA" w:rsidR="001A7BC4" w:rsidRPr="00BA2FED" w:rsidRDefault="001A7BC4" w:rsidP="00DE0411">
      <w:r w:rsidRPr="00BA2FED">
        <w:t>V případě subjektu, který byl oprávněn tuto skutečnost ověřit, zákon o loteriích neobsahoval konkrétní ustanovení, kt</w:t>
      </w:r>
      <w:r w:rsidR="00A037ED" w:rsidRPr="00BA2FED">
        <w:t>eré</w:t>
      </w:r>
      <w:r w:rsidRPr="00BA2FED">
        <w:t xml:space="preserve"> by </w:t>
      </w:r>
      <w:r w:rsidR="00A037ED" w:rsidRPr="00BA2FED">
        <w:t>upravovalo podmínky pro určení takového subjektu.</w:t>
      </w:r>
      <w:r w:rsidRPr="00BA2FED">
        <w:t xml:space="preserve"> Zákon </w:t>
      </w:r>
      <w:r w:rsidR="00A037ED" w:rsidRPr="00BA2FED">
        <w:t xml:space="preserve">o loteriích však </w:t>
      </w:r>
      <w:r w:rsidRPr="00BA2FED">
        <w:t>odkaz</w:t>
      </w:r>
      <w:r w:rsidR="00C26DB0">
        <w:t>oval na zákon č. 22/1997 Sb., o </w:t>
      </w:r>
      <w:r w:rsidRPr="00BA2FED">
        <w:t xml:space="preserve">technických požadavcích na výrobky a o změně a </w:t>
      </w:r>
      <w:r w:rsidR="004D7FBC">
        <w:t>doplnění některých zákonů (dále</w:t>
      </w:r>
      <w:r w:rsidR="00BC20F6">
        <w:t xml:space="preserve"> </w:t>
      </w:r>
      <w:r w:rsidRPr="00BA2FED">
        <w:t>jen „zákon o</w:t>
      </w:r>
      <w:r w:rsidR="009101ED" w:rsidRPr="00BA2FED">
        <w:t> </w:t>
      </w:r>
      <w:r w:rsidRPr="00BA2FED">
        <w:t>technických požadavcích“), neboť osvědčení o provozuschopnosti byly oprávněny vydat pouze subjekty, kter</w:t>
      </w:r>
      <w:r w:rsidR="00C045A8">
        <w:t>é byly pověřeny k činnostem při </w:t>
      </w:r>
      <w:r w:rsidRPr="00BA2FED">
        <w:t xml:space="preserve">posuzování shody výrobků zahrnujícím i posuzování činností souvisejících s jejich výrobou, popřípadě s jejich opakovaným použitím, a vymezených v technických předpisech Úřadem pro technickou normalizaci, metrologii a státní zkušebnictví. </w:t>
      </w:r>
      <w:r w:rsidR="006324AB" w:rsidRPr="00BA2FED">
        <w:t>Tyto subjekty byly pověřeny k odbornému posuzování a osvědčová</w:t>
      </w:r>
      <w:r w:rsidR="00C26DB0">
        <w:t>ní provozuschopnosti zařízení a </w:t>
      </w:r>
      <w:r w:rsidR="006324AB" w:rsidRPr="00BA2FED">
        <w:t>systém</w:t>
      </w:r>
      <w:r w:rsidR="00CC095C" w:rsidRPr="00BA2FED">
        <w:t>ů</w:t>
      </w:r>
      <w:r w:rsidR="006324AB" w:rsidRPr="00BA2FED">
        <w:t xml:space="preserve">, </w:t>
      </w:r>
      <w:r w:rsidR="00CC095C" w:rsidRPr="00BA2FED">
        <w:t>jejichž prostřednictvím</w:t>
      </w:r>
      <w:r w:rsidR="006324AB" w:rsidRPr="00BA2FED">
        <w:t xml:space="preserve"> se provozovaly </w:t>
      </w:r>
      <w:r w:rsidR="004D7FBC">
        <w:t>loterie a jiné podobné hry. Též </w:t>
      </w:r>
      <w:r w:rsidR="0035435C">
        <w:t>byly přizvanou osobou při</w:t>
      </w:r>
      <w:r w:rsidR="0035435C" w:rsidRPr="00BA2FED">
        <w:t xml:space="preserve"> </w:t>
      </w:r>
      <w:r w:rsidR="00CC095C" w:rsidRPr="00BA2FED">
        <w:t>technick</w:t>
      </w:r>
      <w:r w:rsidR="0035435C">
        <w:t>é</w:t>
      </w:r>
      <w:r w:rsidR="00CC095C" w:rsidRPr="00BA2FED">
        <w:t xml:space="preserve"> </w:t>
      </w:r>
      <w:r w:rsidR="006324AB" w:rsidRPr="00BA2FED">
        <w:t>kontrol</w:t>
      </w:r>
      <w:r w:rsidR="0035435C">
        <w:t>e</w:t>
      </w:r>
      <w:r w:rsidR="006324AB" w:rsidRPr="00BA2FED">
        <w:t xml:space="preserve"> nad dodržováním podmínek </w:t>
      </w:r>
      <w:r w:rsidR="004D7FBC">
        <w:rPr>
          <w:rFonts w:cs="Arial"/>
          <w:szCs w:val="24"/>
        </w:rPr>
        <w:t>uvedených v </w:t>
      </w:r>
      <w:r w:rsidR="00B66245">
        <w:rPr>
          <w:rFonts w:cs="Arial"/>
          <w:szCs w:val="24"/>
        </w:rPr>
        <w:t>osvědčení o </w:t>
      </w:r>
      <w:r w:rsidR="00CC095C" w:rsidRPr="00BA2FED">
        <w:rPr>
          <w:rFonts w:cs="Arial"/>
          <w:szCs w:val="24"/>
        </w:rPr>
        <w:t>provozuschopnosti</w:t>
      </w:r>
      <w:r w:rsidR="00CC095C" w:rsidRPr="00BA2FED">
        <w:rPr>
          <w:rFonts w:cs="Arial"/>
          <w:sz w:val="16"/>
          <w:szCs w:val="16"/>
        </w:rPr>
        <w:t xml:space="preserve"> </w:t>
      </w:r>
      <w:r w:rsidR="00CC095C" w:rsidRPr="00BA2FED">
        <w:rPr>
          <w:rFonts w:cs="Arial"/>
          <w:szCs w:val="24"/>
        </w:rPr>
        <w:t>podle</w:t>
      </w:r>
      <w:r w:rsidR="006324AB" w:rsidRPr="00BA2FED">
        <w:t xml:space="preserve"> § 46 zákona o loteriích.</w:t>
      </w:r>
    </w:p>
    <w:p w14:paraId="4A442DAB" w14:textId="42AABA02" w:rsidR="001A7BC4" w:rsidRPr="00BA2FED" w:rsidRDefault="001A7BC4" w:rsidP="00DE0411">
      <w:r w:rsidRPr="00BA2FED">
        <w:t xml:space="preserve">Náležitosti </w:t>
      </w:r>
      <w:r w:rsidRPr="004D7FBC">
        <w:rPr>
          <w:b/>
        </w:rPr>
        <w:t>výstupních dokumentů</w:t>
      </w:r>
      <w:r w:rsidRPr="00BA2FED">
        <w:t xml:space="preserve">, ať již </w:t>
      </w:r>
      <w:r w:rsidRPr="004D7FBC">
        <w:rPr>
          <w:b/>
        </w:rPr>
        <w:t>osvědčení o provozuschopnosti</w:t>
      </w:r>
      <w:r w:rsidR="00BC20F6">
        <w:t xml:space="preserve"> nebo </w:t>
      </w:r>
      <w:r w:rsidRPr="004D7FBC">
        <w:rPr>
          <w:b/>
        </w:rPr>
        <w:t>inspekční zprávy</w:t>
      </w:r>
      <w:r w:rsidR="004D7FBC">
        <w:rPr>
          <w:b/>
        </w:rPr>
        <w:t>,</w:t>
      </w:r>
      <w:r w:rsidRPr="00BA2FED">
        <w:t xml:space="preserve"> nebyly stanoveny v zákoně o loteriích ani podzákonných předpisech, byly však do určité míry upraveny v</w:t>
      </w:r>
      <w:r w:rsidR="004D177A" w:rsidRPr="00BA2FED">
        <w:t xml:space="preserve"> </w:t>
      </w:r>
      <w:r w:rsidRPr="00BA2FED">
        <w:t>pověření.</w:t>
      </w:r>
      <w:r w:rsidR="004578C5" w:rsidRPr="00BA2FED">
        <w:t xml:space="preserve"> </w:t>
      </w:r>
      <w:r w:rsidRPr="00BA2FED">
        <w:t>Zde byly také stanoveny základní požadavky na registrační známky.</w:t>
      </w:r>
    </w:p>
    <w:p w14:paraId="3498E8FD" w14:textId="47D1F8B9" w:rsidR="0043215C" w:rsidRPr="00BA2FED" w:rsidRDefault="0043215C" w:rsidP="003B5F37">
      <w:pPr>
        <w:pStyle w:val="Nadpis3"/>
      </w:pPr>
      <w:bookmarkStart w:id="6" w:name="_Toc73608098"/>
      <w:r w:rsidRPr="00BA2FED">
        <w:lastRenderedPageBreak/>
        <w:t>Konkrétní popis regu</w:t>
      </w:r>
      <w:r w:rsidR="003B5F37">
        <w:t>lace obsažené v zákoně o </w:t>
      </w:r>
      <w:r w:rsidRPr="00BA2FED">
        <w:t>hazardních hrách</w:t>
      </w:r>
      <w:bookmarkEnd w:id="6"/>
    </w:p>
    <w:p w14:paraId="692F1304" w14:textId="7E0DDE82" w:rsidR="006229D8" w:rsidRPr="00BA2FED" w:rsidRDefault="00AF6317" w:rsidP="00DE0411">
      <w:r w:rsidRPr="00BA2FED">
        <w:t>Obdobně jako zákon o loteriích</w:t>
      </w:r>
      <w:r w:rsidR="00491ADA">
        <w:t>,</w:t>
      </w:r>
      <w:r w:rsidRPr="00BA2FED">
        <w:t xml:space="preserve"> i z</w:t>
      </w:r>
      <w:r w:rsidR="006229D8" w:rsidRPr="00BA2FED">
        <w:t>ákon o hazardních hrách</w:t>
      </w:r>
      <w:r w:rsidR="006229D8" w:rsidRPr="00BA2FED">
        <w:rPr>
          <w:b/>
        </w:rPr>
        <w:t xml:space="preserve"> </w:t>
      </w:r>
      <w:r w:rsidRPr="00BA2FED">
        <w:t>po provozovateli</w:t>
      </w:r>
      <w:r w:rsidR="004D177A" w:rsidRPr="00BA2FED">
        <w:t xml:space="preserve"> požaduje</w:t>
      </w:r>
      <w:r w:rsidRPr="00BA2FED">
        <w:t>, aby zajistil, že</w:t>
      </w:r>
      <w:r w:rsidR="006229D8" w:rsidRPr="00BA2FED">
        <w:t xml:space="preserve"> hazardní hra </w:t>
      </w:r>
      <w:r w:rsidRPr="00BA2FED">
        <w:t xml:space="preserve">je provozována </w:t>
      </w:r>
      <w:r w:rsidRPr="004D7FBC">
        <w:rPr>
          <w:b/>
        </w:rPr>
        <w:t>v souladu s technickými parametry</w:t>
      </w:r>
      <w:r w:rsidRPr="00BA2FED">
        <w:t xml:space="preserve">, které jsou však nově uvedeny </w:t>
      </w:r>
      <w:r w:rsidRPr="004D7FBC">
        <w:rPr>
          <w:b/>
        </w:rPr>
        <w:t>přímo v zákoně o hazardních hrách</w:t>
      </w:r>
      <w:r w:rsidRPr="00BA2FED">
        <w:t xml:space="preserve">, popř. technické vyhlášce. </w:t>
      </w:r>
      <w:r w:rsidR="00491ADA">
        <w:t>Zákon o hazardních hrách zároveň uvádí, u </w:t>
      </w:r>
      <w:r w:rsidRPr="00BA2FED">
        <w:t>kterých druhů hazardních her, popř. způsobů provozování je nutné, aby splnění technických parametrů bylo ověřeno ze strany tře</w:t>
      </w:r>
      <w:r w:rsidR="001A19A3" w:rsidRPr="00BA2FED">
        <w:t xml:space="preserve">tích subjektů, </w:t>
      </w:r>
      <w:r w:rsidR="001A19A3" w:rsidRPr="004D7FBC">
        <w:rPr>
          <w:b/>
        </w:rPr>
        <w:t>pověřených osob</w:t>
      </w:r>
      <w:r w:rsidR="001A19A3" w:rsidRPr="00BA2FED">
        <w:t xml:space="preserve">, které o tomto vydávají výstupní </w:t>
      </w:r>
      <w:r w:rsidR="001A19A3" w:rsidRPr="004D7FBC">
        <w:rPr>
          <w:b/>
        </w:rPr>
        <w:t>dokumenty odborného poso</w:t>
      </w:r>
      <w:r w:rsidR="00B66245" w:rsidRPr="004D7FBC">
        <w:rPr>
          <w:b/>
        </w:rPr>
        <w:t>uzení a </w:t>
      </w:r>
      <w:r w:rsidR="001A19A3" w:rsidRPr="004D7FBC">
        <w:rPr>
          <w:b/>
        </w:rPr>
        <w:t>osvědčení</w:t>
      </w:r>
      <w:r w:rsidR="001A19A3" w:rsidRPr="00BA2FED">
        <w:t>.</w:t>
      </w:r>
      <w:r w:rsidRPr="00BA2FED">
        <w:t xml:space="preserve"> </w:t>
      </w:r>
      <w:r w:rsidR="001A19A3" w:rsidRPr="00BA2FED">
        <w:t xml:space="preserve">Hazardními hrami, u kterých je ověření vyžadováno, jsou </w:t>
      </w:r>
      <w:r w:rsidRPr="00BA2FED">
        <w:t>hazardní hry uvedené</w:t>
      </w:r>
      <w:r w:rsidR="00491ADA">
        <w:t xml:space="preserve"> v § </w:t>
      </w:r>
      <w:r w:rsidR="00491ADA" w:rsidRPr="00491ADA">
        <w:t>3</w:t>
      </w:r>
      <w:r w:rsidR="00491ADA">
        <w:t> </w:t>
      </w:r>
      <w:r w:rsidR="006229D8" w:rsidRPr="00491ADA">
        <w:t>odst</w:t>
      </w:r>
      <w:r w:rsidR="006229D8" w:rsidRPr="00BA2FED">
        <w:t>.</w:t>
      </w:r>
      <w:r w:rsidR="00CC4A8E">
        <w:t> </w:t>
      </w:r>
      <w:r w:rsidR="006229D8" w:rsidRPr="00BA2FED">
        <w:t>2</w:t>
      </w:r>
      <w:r w:rsidR="00CC4A8E">
        <w:t> </w:t>
      </w:r>
      <w:r w:rsidR="006229D8" w:rsidRPr="00BA2FED">
        <w:t>pí</w:t>
      </w:r>
      <w:r w:rsidR="009101ED" w:rsidRPr="00BA2FED">
        <w:t>sm.</w:t>
      </w:r>
      <w:r w:rsidR="00CC4A8E">
        <w:t> </w:t>
      </w:r>
      <w:r w:rsidR="009101ED" w:rsidRPr="00BA2FED">
        <w:t>a) až e)</w:t>
      </w:r>
      <w:r w:rsidR="00C26DB0">
        <w:t xml:space="preserve"> zákona o </w:t>
      </w:r>
      <w:r w:rsidR="00B94D62" w:rsidRPr="00BA2FED">
        <w:t>hazardních hrách</w:t>
      </w:r>
      <w:r w:rsidR="009101ED" w:rsidRPr="00BA2FED">
        <w:t>, internetová hra a </w:t>
      </w:r>
      <w:r w:rsidR="00C045A8">
        <w:t>zařízení, jejichž </w:t>
      </w:r>
      <w:r w:rsidR="006229D8" w:rsidRPr="00BA2FED">
        <w:t>prostřednictvím jsou tyto hazardní hry provozovány.</w:t>
      </w:r>
      <w:r w:rsidR="009101ED" w:rsidRPr="00BA2FED">
        <w:t xml:space="preserve"> </w:t>
      </w:r>
    </w:p>
    <w:p w14:paraId="14B6C4CD" w14:textId="3639A66B" w:rsidR="00A43605" w:rsidRDefault="00A43605" w:rsidP="00EF64DB">
      <w:pPr>
        <w:pStyle w:val="Nadpis5"/>
      </w:pPr>
      <w:bookmarkStart w:id="7" w:name="_Toc73608099"/>
      <w:r>
        <w:t>Technické parametry</w:t>
      </w:r>
      <w:bookmarkEnd w:id="7"/>
    </w:p>
    <w:p w14:paraId="4DF969E0" w14:textId="5366A358" w:rsidR="006229D8" w:rsidRPr="00BA2FED" w:rsidRDefault="001A19A3" w:rsidP="00AD52D5">
      <w:pPr>
        <w:tabs>
          <w:tab w:val="left" w:pos="3969"/>
        </w:tabs>
      </w:pPr>
      <w:r w:rsidRPr="00BA2FED">
        <w:t>Jak je uvedeno výše, t</w:t>
      </w:r>
      <w:r w:rsidR="006229D8" w:rsidRPr="00BA2FED">
        <w:t xml:space="preserve">echnické parametry jsou obsaženy jak v zákoně o hazardních hrách, tak v podzákonných předpisech, zejména </w:t>
      </w:r>
      <w:r w:rsidR="006229D8" w:rsidRPr="004D7FBC">
        <w:rPr>
          <w:b/>
        </w:rPr>
        <w:t>technické vyhlášce</w:t>
      </w:r>
      <w:r w:rsidR="006229D8" w:rsidRPr="00BA2FED">
        <w:t xml:space="preserve">. Právní úprava </w:t>
      </w:r>
      <w:r w:rsidR="00491ADA">
        <w:t xml:space="preserve">explicitně nestanoví, </w:t>
      </w:r>
      <w:r w:rsidR="003E032D">
        <w:t>které ustanovení zákona o hazardních hrách je</w:t>
      </w:r>
      <w:r w:rsidR="006229D8" w:rsidRPr="00BA2FED">
        <w:t xml:space="preserve"> technický</w:t>
      </w:r>
      <w:r w:rsidR="003E032D">
        <w:t>m</w:t>
      </w:r>
      <w:r w:rsidR="006229D8" w:rsidRPr="00BA2FED">
        <w:t xml:space="preserve"> parametr</w:t>
      </w:r>
      <w:r w:rsidR="003E032D">
        <w:t>em</w:t>
      </w:r>
      <w:r w:rsidR="006229D8" w:rsidRPr="00BA2FED">
        <w:t>. Pověřená osoba je povinna posuzovat funkčnos</w:t>
      </w:r>
      <w:r w:rsidR="00491ADA">
        <w:t>t všech prvků hazardní hry nebo </w:t>
      </w:r>
      <w:r w:rsidR="006B24DD">
        <w:t xml:space="preserve">funkčnost všech prvků </w:t>
      </w:r>
      <w:r w:rsidR="006229D8" w:rsidRPr="00BA2FED">
        <w:t>zařízení</w:t>
      </w:r>
      <w:r w:rsidR="006B24DD">
        <w:t xml:space="preserve"> sloužícího k provozování hazardní hry</w:t>
      </w:r>
      <w:r w:rsidR="006229D8" w:rsidRPr="00BA2FED">
        <w:t>, které mají vliv na plnění povinností stanovených v zákoně o hazardních hrách nebo podzákonných předpisech. V okamžiku, kdy je hazardní hra nebo</w:t>
      </w:r>
      <w:r w:rsidR="006B24DD">
        <w:t> </w:t>
      </w:r>
      <w:r w:rsidR="006229D8" w:rsidRPr="00BA2FED">
        <w:t>zařízení, prostřednictvím kterého jsou haza</w:t>
      </w:r>
      <w:r w:rsidR="008E4159" w:rsidRPr="00BA2FED">
        <w:t xml:space="preserve">rdní hry provozovány, posouzeno </w:t>
      </w:r>
      <w:r w:rsidR="006229D8" w:rsidRPr="00BA2FED">
        <w:t xml:space="preserve">pověřenou osobou, </w:t>
      </w:r>
      <w:r w:rsidR="008E4159" w:rsidRPr="00BA2FED">
        <w:t xml:space="preserve">a to v určitém nastavení softwaru nebo specifikaci hardware, </w:t>
      </w:r>
      <w:r w:rsidR="006229D8" w:rsidRPr="00BA2FED">
        <w:t xml:space="preserve">na základě čehož </w:t>
      </w:r>
      <w:r w:rsidR="00AD52D5" w:rsidRPr="00BA2FED">
        <w:t>j</w:t>
      </w:r>
      <w:r w:rsidR="008E4159" w:rsidRPr="00BA2FED">
        <w:t xml:space="preserve">e vydáno odborné posouzení, a dále pak </w:t>
      </w:r>
      <w:r w:rsidR="006229D8" w:rsidRPr="00BA2FED">
        <w:t>základní povolení, je provozovatel povinen v souvislosti s  § 88 a § 94 zákona o hazardních hrách a podmínkou řádného provozovaní stanovenou v základním povolení provozovat hazardní hry a</w:t>
      </w:r>
      <w:r w:rsidR="00CC4A8E">
        <w:t> </w:t>
      </w:r>
      <w:r w:rsidR="006229D8" w:rsidRPr="00BA2FED">
        <w:t xml:space="preserve">zařízení </w:t>
      </w:r>
      <w:r w:rsidR="008E4159" w:rsidRPr="00BA2FED">
        <w:t>v</w:t>
      </w:r>
      <w:r w:rsidR="00423028">
        <w:t xml:space="preserve"> tomto </w:t>
      </w:r>
      <w:r w:rsidR="008E4159" w:rsidRPr="00BA2FED">
        <w:t>posuzovaném</w:t>
      </w:r>
      <w:r w:rsidR="006229D8" w:rsidRPr="00BA2FED">
        <w:t xml:space="preserve"> nastavení. </w:t>
      </w:r>
    </w:p>
    <w:p w14:paraId="199E5F6E" w14:textId="239541C9" w:rsidR="00C63FA6" w:rsidRPr="00BA2FED" w:rsidRDefault="006229D8" w:rsidP="00DE0411">
      <w:r w:rsidRPr="00BA2FED">
        <w:t>V případě, že provozovatel zamýšlí provedení změn v nastavení technických parametrů hazardní hry nebo zařízení, prostřednictvím kterého jsou hazardní hry provozovány, je povinen postupovat podle § 94 odst</w:t>
      </w:r>
      <w:r w:rsidR="00C63FA6" w:rsidRPr="00BA2FED">
        <w:t xml:space="preserve">. 1 </w:t>
      </w:r>
      <w:r w:rsidR="001D045F">
        <w:t xml:space="preserve">písm. </w:t>
      </w:r>
      <w:r w:rsidR="00C63FA6" w:rsidRPr="00BA2FED">
        <w:t xml:space="preserve">a </w:t>
      </w:r>
      <w:r w:rsidR="001D045F">
        <w:t xml:space="preserve">bodu 1 </w:t>
      </w:r>
      <w:r w:rsidR="00C63FA6" w:rsidRPr="00BA2FED">
        <w:t>zákona o</w:t>
      </w:r>
      <w:r w:rsidR="00CC4A8E">
        <w:t> </w:t>
      </w:r>
      <w:r w:rsidR="00C63FA6" w:rsidRPr="00BA2FED">
        <w:t>hazardních hrách a podat žádost o změnu základního povolení.</w:t>
      </w:r>
    </w:p>
    <w:p w14:paraId="1470DA05" w14:textId="30097531" w:rsidR="006229D8" w:rsidRPr="00BA2FED" w:rsidRDefault="006229D8" w:rsidP="00DE0411">
      <w:pPr>
        <w:rPr>
          <w:rFonts w:cstheme="minorHAnsi"/>
        </w:rPr>
      </w:pPr>
      <w:r w:rsidRPr="00BA2FED">
        <w:t xml:space="preserve">V návaznosti na </w:t>
      </w:r>
      <w:r w:rsidRPr="00BA2FED">
        <w:rPr>
          <w:rFonts w:cstheme="minorHAnsi"/>
        </w:rPr>
        <w:t xml:space="preserve">zákon č. 527/2020 Sb. </w:t>
      </w:r>
      <w:r w:rsidR="009D3FC2">
        <w:rPr>
          <w:rFonts w:cstheme="minorHAnsi"/>
        </w:rPr>
        <w:t>n</w:t>
      </w:r>
      <w:r w:rsidRPr="00BA2FED">
        <w:rPr>
          <w:rFonts w:cstheme="minorHAnsi"/>
        </w:rPr>
        <w:t xml:space="preserve">ově </w:t>
      </w:r>
      <w:r w:rsidR="009101ED" w:rsidRPr="00BA2FED">
        <w:rPr>
          <w:rFonts w:cstheme="minorHAnsi"/>
        </w:rPr>
        <w:t>zákon o </w:t>
      </w:r>
      <w:r w:rsidRPr="00BA2FED">
        <w:rPr>
          <w:rFonts w:cstheme="minorHAnsi"/>
        </w:rPr>
        <w:t>hazardních hrách umožňuje provádět určité zásahy</w:t>
      </w:r>
      <w:r w:rsidR="007426C0">
        <w:rPr>
          <w:rFonts w:cstheme="minorHAnsi"/>
        </w:rPr>
        <w:t>, které ovlivňují</w:t>
      </w:r>
      <w:r w:rsidRPr="00BA2FED">
        <w:rPr>
          <w:rFonts w:cstheme="minorHAnsi"/>
        </w:rPr>
        <w:t xml:space="preserve"> </w:t>
      </w:r>
      <w:r w:rsidR="007426C0">
        <w:rPr>
          <w:rFonts w:cstheme="minorHAnsi"/>
        </w:rPr>
        <w:t>nastavení</w:t>
      </w:r>
      <w:r w:rsidR="007426C0" w:rsidRPr="00BA2FED">
        <w:rPr>
          <w:rFonts w:cstheme="minorHAnsi"/>
        </w:rPr>
        <w:t xml:space="preserve"> </w:t>
      </w:r>
      <w:r w:rsidRPr="00BA2FED">
        <w:rPr>
          <w:rFonts w:cstheme="minorHAnsi"/>
        </w:rPr>
        <w:t xml:space="preserve">technických parametrů tak, aby byla reflektována skutečnost, že v rámci provozování hazardních her dochází k řadě situací, kdy </w:t>
      </w:r>
      <w:r w:rsidR="000A3190" w:rsidRPr="00BA2FED">
        <w:rPr>
          <w:rFonts w:cstheme="minorHAnsi"/>
        </w:rPr>
        <w:t xml:space="preserve">je </w:t>
      </w:r>
      <w:r w:rsidRPr="00BA2FED">
        <w:rPr>
          <w:rFonts w:cstheme="minorHAnsi"/>
        </w:rPr>
        <w:t>zásah bezpodmínečně nutný.</w:t>
      </w:r>
      <w:r w:rsidR="00B66245">
        <w:rPr>
          <w:rFonts w:cstheme="minorHAnsi"/>
        </w:rPr>
        <w:t xml:space="preserve"> V takovém případě § </w:t>
      </w:r>
      <w:r w:rsidRPr="00BA2FED">
        <w:rPr>
          <w:rFonts w:cstheme="minorHAnsi"/>
        </w:rPr>
        <w:t>109b zákona o</w:t>
      </w:r>
      <w:r w:rsidR="009D3FC2">
        <w:t> </w:t>
      </w:r>
      <w:r w:rsidRPr="00BA2FED">
        <w:rPr>
          <w:rFonts w:cstheme="minorHAnsi"/>
        </w:rPr>
        <w:t>hazardních hrách stanoví, jaké situace mohou odůvodňovat bezodkladný zásah</w:t>
      </w:r>
      <w:r w:rsidRPr="00BA2FED">
        <w:rPr>
          <w:rStyle w:val="Znakapoznpodarou"/>
          <w:rFonts w:cstheme="minorHAnsi"/>
        </w:rPr>
        <w:footnoteReference w:id="1"/>
      </w:r>
      <w:r w:rsidRPr="00BA2FED">
        <w:rPr>
          <w:rFonts w:cstheme="minorHAnsi"/>
        </w:rPr>
        <w:t xml:space="preserve"> a</w:t>
      </w:r>
      <w:r w:rsidR="009D3FC2">
        <w:rPr>
          <w:rFonts w:cstheme="minorHAnsi"/>
        </w:rPr>
        <w:t> </w:t>
      </w:r>
      <w:r w:rsidRPr="00BA2FED">
        <w:rPr>
          <w:rFonts w:cstheme="minorHAnsi"/>
        </w:rPr>
        <w:t>jaké následné povinnosti provozovatel musí plnit. Zároveň</w:t>
      </w:r>
      <w:r w:rsidR="005D0379">
        <w:rPr>
          <w:rFonts w:cstheme="minorHAnsi"/>
        </w:rPr>
        <w:t> </w:t>
      </w:r>
      <w:r w:rsidR="009D3FC2">
        <w:rPr>
          <w:rFonts w:cstheme="minorHAnsi"/>
        </w:rPr>
        <w:t>zákon č. 527/2020 Sb.</w:t>
      </w:r>
      <w:r w:rsidR="001443B6">
        <w:rPr>
          <w:rFonts w:cstheme="minorHAnsi"/>
        </w:rPr>
        <w:t xml:space="preserve"> </w:t>
      </w:r>
      <w:r w:rsidRPr="00BA2FED">
        <w:rPr>
          <w:rFonts w:cstheme="minorHAnsi"/>
        </w:rPr>
        <w:t xml:space="preserve">výslovně umožnil zasahovat do nastavení hazardních her nebo zařízení, prostřednictvím kterého jsou hazardní hry provozovány, pokud tento zásah neovlivňuje </w:t>
      </w:r>
      <w:r w:rsidR="00004674" w:rsidRPr="00BA2FED">
        <w:rPr>
          <w:rFonts w:cstheme="minorHAnsi"/>
        </w:rPr>
        <w:t xml:space="preserve">nastavené </w:t>
      </w:r>
      <w:r w:rsidRPr="00BA2FED">
        <w:rPr>
          <w:rFonts w:cstheme="minorHAnsi"/>
        </w:rPr>
        <w:t>technické parametry. Za účelem</w:t>
      </w:r>
      <w:r w:rsidR="009D3FC2">
        <w:rPr>
          <w:rFonts w:cstheme="minorHAnsi"/>
        </w:rPr>
        <w:t xml:space="preserve"> zajištění</w:t>
      </w:r>
      <w:r w:rsidRPr="00BA2FED">
        <w:rPr>
          <w:rFonts w:cstheme="minorHAnsi"/>
        </w:rPr>
        <w:t xml:space="preserve"> řádné</w:t>
      </w:r>
      <w:r w:rsidR="009D3FC2">
        <w:rPr>
          <w:rFonts w:cstheme="minorHAnsi"/>
        </w:rPr>
        <w:t>ho</w:t>
      </w:r>
      <w:r w:rsidRPr="00BA2FED">
        <w:rPr>
          <w:rFonts w:cstheme="minorHAnsi"/>
        </w:rPr>
        <w:t xml:space="preserve"> provozování hazardních </w:t>
      </w:r>
      <w:r w:rsidRPr="00BA2FED">
        <w:rPr>
          <w:rFonts w:cstheme="minorHAnsi"/>
        </w:rPr>
        <w:lastRenderedPageBreak/>
        <w:t>her</w:t>
      </w:r>
      <w:r w:rsidR="009D3FC2">
        <w:rPr>
          <w:rFonts w:cstheme="minorHAnsi"/>
        </w:rPr>
        <w:t xml:space="preserve"> zavádí dále zákon o </w:t>
      </w:r>
      <w:r w:rsidRPr="00BA2FED">
        <w:rPr>
          <w:rFonts w:cstheme="minorHAnsi"/>
        </w:rPr>
        <w:t>hazardních hrách nový druh výstupního dokumentu, který je vydáván po</w:t>
      </w:r>
      <w:r w:rsidR="00C440A5">
        <w:rPr>
          <w:rFonts w:cstheme="minorHAnsi"/>
        </w:rPr>
        <w:t>věřenými osobami, a to zprávu o </w:t>
      </w:r>
      <w:r w:rsidR="009D3FC2">
        <w:rPr>
          <w:rFonts w:cstheme="minorHAnsi"/>
        </w:rPr>
        <w:t xml:space="preserve">posouzení </w:t>
      </w:r>
      <w:r w:rsidRPr="00BA2FED">
        <w:rPr>
          <w:rFonts w:cstheme="minorHAnsi"/>
        </w:rPr>
        <w:t xml:space="preserve">změn. </w:t>
      </w:r>
    </w:p>
    <w:p w14:paraId="0D63F04B" w14:textId="3642C3E1" w:rsidR="00A43605" w:rsidRDefault="00A43605" w:rsidP="00EF64DB">
      <w:pPr>
        <w:pStyle w:val="Nadpis5"/>
      </w:pPr>
      <w:bookmarkStart w:id="8" w:name="_Toc73608100"/>
      <w:r w:rsidRPr="00BA2FED">
        <w:t>Pověření k odbornému posuzování a osvědčování</w:t>
      </w:r>
      <w:bookmarkEnd w:id="8"/>
    </w:p>
    <w:p w14:paraId="4868C151" w14:textId="30619CC7" w:rsidR="006229D8" w:rsidRPr="00BA2FED" w:rsidRDefault="006229D8" w:rsidP="00DE0411">
      <w:r w:rsidRPr="00BA2FED">
        <w:t xml:space="preserve">Potvrzení splnění požadavků týkajících se souladu </w:t>
      </w:r>
      <w:r w:rsidR="0035761D" w:rsidRPr="00BA2FED">
        <w:t>hazardní hry nebo</w:t>
      </w:r>
      <w:r w:rsidR="00004674" w:rsidRPr="00BA2FED">
        <w:t xml:space="preserve"> zařízení, prostřednictvím kterého je hazardní hra provozována</w:t>
      </w:r>
      <w:r w:rsidR="00091452">
        <w:t>,</w:t>
      </w:r>
      <w:r w:rsidR="00AD267B">
        <w:t xml:space="preserve"> s </w:t>
      </w:r>
      <w:r w:rsidR="00004674" w:rsidRPr="00BA2FED">
        <w:t xml:space="preserve">technickými parametry </w:t>
      </w:r>
      <w:r w:rsidRPr="00BA2FED">
        <w:t>stanovenými</w:t>
      </w:r>
      <w:r w:rsidR="00B66245">
        <w:t xml:space="preserve"> v zákoně o hazardních hrách, </w:t>
      </w:r>
      <w:r w:rsidRPr="00BA2FED">
        <w:t>jsou oprávněny konstatovat</w:t>
      </w:r>
      <w:r w:rsidR="0037427C" w:rsidRPr="00BA2FED">
        <w:t>,</w:t>
      </w:r>
      <w:r w:rsidRPr="00BA2FED">
        <w:t xml:space="preserve"> </w:t>
      </w:r>
      <w:r w:rsidR="0037427C" w:rsidRPr="00BA2FED">
        <w:t xml:space="preserve">v návaznosti na pověření k odbornému posuzování a osvědčování, </w:t>
      </w:r>
      <w:r w:rsidRPr="00BA2FED">
        <w:t>pouze pověřené osoby</w:t>
      </w:r>
      <w:r w:rsidR="000A3190" w:rsidRPr="00BA2FED">
        <w:t>,</w:t>
      </w:r>
      <w:r w:rsidRPr="00BA2FED">
        <w:t xml:space="preserve"> </w:t>
      </w:r>
      <w:r w:rsidR="0037427C" w:rsidRPr="00BA2FED">
        <w:t>a to prostřednictvím výstupních dokumentů</w:t>
      </w:r>
      <w:r w:rsidR="00707176" w:rsidRPr="00BA2FED">
        <w:t xml:space="preserve">. </w:t>
      </w:r>
    </w:p>
    <w:p w14:paraId="248C5D23" w14:textId="7398E91D" w:rsidR="001F6F69" w:rsidRPr="00BA2FED" w:rsidRDefault="006229D8" w:rsidP="00DE0411">
      <w:r w:rsidRPr="00BA2FED">
        <w:t xml:space="preserve">Pověření k odbornému posuzování a osvědčování </w:t>
      </w:r>
      <w:r w:rsidR="00707176" w:rsidRPr="00BA2FED">
        <w:t>po</w:t>
      </w:r>
      <w:r w:rsidRPr="00BA2FED">
        <w:t>dle zá</w:t>
      </w:r>
      <w:r w:rsidR="009101ED" w:rsidRPr="00BA2FED">
        <w:t>kona o hazardních hrách vydává M</w:t>
      </w:r>
      <w:r w:rsidRPr="00BA2FED">
        <w:t xml:space="preserve">inisterstvo </w:t>
      </w:r>
      <w:r w:rsidR="009101ED" w:rsidRPr="00BA2FED">
        <w:t xml:space="preserve">financí </w:t>
      </w:r>
      <w:r w:rsidRPr="00BA2FED">
        <w:t>ve správním řízení</w:t>
      </w:r>
      <w:r w:rsidR="001F6F69" w:rsidRPr="00BA2FED">
        <w:t>, a to na dobu 5 let. Výstupní dokumenty odborného posouzení a osvědčení pověřené osoby mohou být vydávány také nejdéle na dobu 5 let, přičemž se však jedná o dobu maximální a pověřené osoby jsou oprávněny dobu platnosti těchto dokumentů přiměřeně, dle svého uvážení, zkrátit. Minimální náležitosti výstupních dokumentů stanoví M</w:t>
      </w:r>
      <w:r w:rsidR="00B66245">
        <w:t>inisterstvo financí vyhláškou o </w:t>
      </w:r>
      <w:r w:rsidR="001F6F69" w:rsidRPr="00BA2FED">
        <w:t>náležitostech výstupních dokumentů.</w:t>
      </w:r>
    </w:p>
    <w:p w14:paraId="075C61D5" w14:textId="1920388A" w:rsidR="001F6F69" w:rsidRPr="00BA2FED" w:rsidRDefault="001F6F69" w:rsidP="001F6F69">
      <w:r w:rsidRPr="00BA2FED">
        <w:t>Jak je uvedeno výše</w:t>
      </w:r>
      <w:r w:rsidRPr="005D0379">
        <w:rPr>
          <w:b/>
        </w:rPr>
        <w:t>, pověření k odbornému posuzování a ověřování</w:t>
      </w:r>
      <w:r w:rsidRPr="00BA2FED">
        <w:t xml:space="preserve"> je vydáváno na základě předložené žádosti. V souladu s § 45 správního řádu ve spojení s §</w:t>
      </w:r>
      <w:r w:rsidR="00CC4A8E">
        <w:t> </w:t>
      </w:r>
      <w:r w:rsidRPr="00BA2FED">
        <w:t>110 zákona o hazardních hrách je žadatel o vydání po</w:t>
      </w:r>
      <w:r w:rsidR="00B66245">
        <w:t>věření k odbornému posuzování a </w:t>
      </w:r>
      <w:r w:rsidRPr="00BA2FED">
        <w:t>osvědčování povinen nad rámec obecných náležitostí žádosti podle správního řádu doložit také splnění níže uvedených požadavků</w:t>
      </w:r>
      <w:r w:rsidR="00AD267B">
        <w:t>:</w:t>
      </w:r>
      <w:r w:rsidRPr="00BA2FED">
        <w:t xml:space="preserve"> </w:t>
      </w:r>
    </w:p>
    <w:p w14:paraId="13A939FA" w14:textId="1D7F3059" w:rsidR="006229D8" w:rsidRPr="00BA2FED" w:rsidRDefault="009101ED" w:rsidP="007C5579">
      <w:pPr>
        <w:pStyle w:val="Odstavecseseznamem"/>
        <w:numPr>
          <w:ilvl w:val="0"/>
          <w:numId w:val="21"/>
        </w:numPr>
        <w:jc w:val="both"/>
        <w:rPr>
          <w:rFonts w:ascii="Arial" w:hAnsi="Arial" w:cs="Arial"/>
          <w:sz w:val="24"/>
          <w:szCs w:val="24"/>
        </w:rPr>
      </w:pPr>
      <w:r w:rsidRPr="00BA2FED">
        <w:rPr>
          <w:rFonts w:ascii="Arial" w:hAnsi="Arial" w:cs="Arial"/>
          <w:sz w:val="24"/>
          <w:szCs w:val="24"/>
        </w:rPr>
        <w:t>Ž</w:t>
      </w:r>
      <w:r w:rsidR="006229D8" w:rsidRPr="00BA2FED">
        <w:rPr>
          <w:rFonts w:ascii="Arial" w:hAnsi="Arial" w:cs="Arial"/>
          <w:sz w:val="24"/>
          <w:szCs w:val="24"/>
        </w:rPr>
        <w:t>adatel splňuje podmínky stanovené v § 92</w:t>
      </w:r>
      <w:r w:rsidR="00B66245">
        <w:rPr>
          <w:rFonts w:ascii="Arial" w:hAnsi="Arial" w:cs="Arial"/>
          <w:sz w:val="24"/>
          <w:szCs w:val="24"/>
        </w:rPr>
        <w:t xml:space="preserve"> zákona o hazardních hrách (tj. </w:t>
      </w:r>
      <w:r w:rsidR="006229D8" w:rsidRPr="00BA2FED">
        <w:rPr>
          <w:rFonts w:ascii="Arial" w:hAnsi="Arial" w:cs="Arial"/>
          <w:sz w:val="24"/>
          <w:szCs w:val="24"/>
        </w:rPr>
        <w:t xml:space="preserve">požadavek bezúhonnosti, a to </w:t>
      </w:r>
      <w:r w:rsidR="00707176" w:rsidRPr="00BA2FED">
        <w:rPr>
          <w:rFonts w:ascii="Arial" w:hAnsi="Arial" w:cs="Arial"/>
          <w:sz w:val="24"/>
          <w:szCs w:val="24"/>
        </w:rPr>
        <w:t xml:space="preserve">ve vztahu </w:t>
      </w:r>
      <w:r w:rsidR="006229D8" w:rsidRPr="00BA2FED">
        <w:rPr>
          <w:rFonts w:ascii="Arial" w:hAnsi="Arial" w:cs="Arial"/>
          <w:sz w:val="24"/>
          <w:szCs w:val="24"/>
        </w:rPr>
        <w:t>ke všem relevantních subjektům)</w:t>
      </w:r>
      <w:r w:rsidR="004B6B52" w:rsidRPr="00BA2FED">
        <w:rPr>
          <w:rFonts w:ascii="Arial" w:hAnsi="Arial" w:cs="Arial"/>
          <w:sz w:val="24"/>
          <w:szCs w:val="24"/>
        </w:rPr>
        <w:t>.</w:t>
      </w:r>
    </w:p>
    <w:p w14:paraId="5E21F1CD" w14:textId="5D942C4C" w:rsidR="006229D8" w:rsidRPr="00BA2FED" w:rsidRDefault="009101ED" w:rsidP="007C5579">
      <w:pPr>
        <w:pStyle w:val="Odstavecseseznamem"/>
        <w:numPr>
          <w:ilvl w:val="0"/>
          <w:numId w:val="21"/>
        </w:numPr>
        <w:jc w:val="both"/>
        <w:rPr>
          <w:rFonts w:ascii="Arial" w:hAnsi="Arial" w:cs="Arial"/>
          <w:sz w:val="24"/>
          <w:szCs w:val="24"/>
        </w:rPr>
      </w:pPr>
      <w:r w:rsidRPr="00BA2FED">
        <w:rPr>
          <w:rFonts w:ascii="Arial" w:hAnsi="Arial" w:cs="Arial"/>
          <w:sz w:val="24"/>
          <w:szCs w:val="24"/>
        </w:rPr>
        <w:t>Ž</w:t>
      </w:r>
      <w:r w:rsidR="006229D8" w:rsidRPr="00BA2FED">
        <w:rPr>
          <w:rFonts w:ascii="Arial" w:hAnsi="Arial" w:cs="Arial"/>
          <w:sz w:val="24"/>
          <w:szCs w:val="24"/>
        </w:rPr>
        <w:t>adatel je akreditován pro odborné posuzování, zkoušení a inspekci te</w:t>
      </w:r>
      <w:r w:rsidR="00AD267B">
        <w:rPr>
          <w:rFonts w:ascii="Arial" w:hAnsi="Arial" w:cs="Arial"/>
          <w:sz w:val="24"/>
          <w:szCs w:val="24"/>
        </w:rPr>
        <w:t>chnických herních zařízení. V</w:t>
      </w:r>
      <w:r w:rsidR="006229D8" w:rsidRPr="00BA2FED">
        <w:rPr>
          <w:rFonts w:ascii="Arial" w:hAnsi="Arial" w:cs="Arial"/>
          <w:sz w:val="24"/>
          <w:szCs w:val="24"/>
        </w:rPr>
        <w:t xml:space="preserve"> souladu </w:t>
      </w:r>
      <w:r w:rsidR="00D45574" w:rsidRPr="00BA2FED">
        <w:rPr>
          <w:rFonts w:ascii="Arial" w:hAnsi="Arial" w:cs="Arial"/>
          <w:sz w:val="24"/>
          <w:szCs w:val="24"/>
        </w:rPr>
        <w:t>s Metodickým pokynem a výzvou k </w:t>
      </w:r>
      <w:r w:rsidR="006229D8" w:rsidRPr="00BA2FED">
        <w:rPr>
          <w:rFonts w:ascii="Arial" w:hAnsi="Arial" w:cs="Arial"/>
          <w:sz w:val="24"/>
          <w:szCs w:val="24"/>
        </w:rPr>
        <w:t>podání žádostí o vydání pověření k odborn</w:t>
      </w:r>
      <w:r w:rsidR="00D45574" w:rsidRPr="00BA2FED">
        <w:rPr>
          <w:rFonts w:ascii="Arial" w:hAnsi="Arial" w:cs="Arial"/>
          <w:sz w:val="24"/>
          <w:szCs w:val="24"/>
        </w:rPr>
        <w:t>ému posuzování a osvědčování č. </w:t>
      </w:r>
      <w:r w:rsidR="006229D8" w:rsidRPr="00BA2FED">
        <w:rPr>
          <w:rFonts w:ascii="Arial" w:hAnsi="Arial" w:cs="Arial"/>
          <w:sz w:val="24"/>
          <w:szCs w:val="24"/>
        </w:rPr>
        <w:t>j. MF-30513/2016/3402-3</w:t>
      </w:r>
      <w:r w:rsidR="000A3190" w:rsidRPr="00BA2FED">
        <w:rPr>
          <w:rStyle w:val="Znakapoznpodarou"/>
          <w:rFonts w:ascii="Arial" w:hAnsi="Arial" w:cs="Arial"/>
          <w:sz w:val="24"/>
          <w:szCs w:val="24"/>
        </w:rPr>
        <w:footnoteReference w:id="2"/>
      </w:r>
      <w:r w:rsidR="006229D8" w:rsidRPr="00BA2FED">
        <w:rPr>
          <w:rFonts w:ascii="Arial" w:hAnsi="Arial" w:cs="Arial"/>
          <w:sz w:val="24"/>
          <w:szCs w:val="24"/>
        </w:rPr>
        <w:t xml:space="preserve"> (dále jen „</w:t>
      </w:r>
      <w:r w:rsidR="00546FAC" w:rsidRPr="00BA2FED">
        <w:rPr>
          <w:rFonts w:ascii="Arial" w:hAnsi="Arial" w:cs="Arial"/>
          <w:sz w:val="24"/>
          <w:szCs w:val="24"/>
        </w:rPr>
        <w:t>M</w:t>
      </w:r>
      <w:r w:rsidR="006229D8" w:rsidRPr="00BA2FED">
        <w:rPr>
          <w:rFonts w:ascii="Arial" w:hAnsi="Arial" w:cs="Arial"/>
          <w:sz w:val="24"/>
          <w:szCs w:val="24"/>
        </w:rPr>
        <w:t>etodický pokyn</w:t>
      </w:r>
      <w:r w:rsidR="00707176" w:rsidRPr="00BA2FED">
        <w:rPr>
          <w:rFonts w:ascii="Arial" w:hAnsi="Arial" w:cs="Arial"/>
          <w:sz w:val="24"/>
          <w:szCs w:val="24"/>
        </w:rPr>
        <w:t xml:space="preserve"> PAO</w:t>
      </w:r>
      <w:r w:rsidR="006229D8" w:rsidRPr="00BA2FED">
        <w:rPr>
          <w:rFonts w:ascii="Arial" w:hAnsi="Arial" w:cs="Arial"/>
          <w:sz w:val="24"/>
          <w:szCs w:val="24"/>
        </w:rPr>
        <w:t>“)</w:t>
      </w:r>
      <w:r w:rsidR="00707176" w:rsidRPr="00BA2FED">
        <w:rPr>
          <w:rFonts w:ascii="Arial" w:hAnsi="Arial" w:cs="Arial"/>
          <w:sz w:val="24"/>
          <w:szCs w:val="24"/>
        </w:rPr>
        <w:t xml:space="preserve"> je tato akreditace udělována příslušným </w:t>
      </w:r>
      <w:r w:rsidR="006229D8" w:rsidRPr="00BA2FED">
        <w:rPr>
          <w:rFonts w:ascii="Arial" w:hAnsi="Arial" w:cs="Arial"/>
          <w:sz w:val="24"/>
          <w:szCs w:val="24"/>
        </w:rPr>
        <w:t>vnitrostátním akreditačním orgánem ustaveným jedním z členských států Evropské unie, pokud je tento stát si</w:t>
      </w:r>
      <w:r w:rsidR="007C5579" w:rsidRPr="00BA2FED">
        <w:rPr>
          <w:rFonts w:ascii="Arial" w:hAnsi="Arial" w:cs="Arial"/>
          <w:sz w:val="24"/>
          <w:szCs w:val="24"/>
        </w:rPr>
        <w:t>gnatářem mnohostranných dohod o </w:t>
      </w:r>
      <w:r w:rsidR="006229D8" w:rsidRPr="00BA2FED">
        <w:rPr>
          <w:rFonts w:ascii="Arial" w:hAnsi="Arial" w:cs="Arial"/>
          <w:sz w:val="24"/>
          <w:szCs w:val="24"/>
        </w:rPr>
        <w:t xml:space="preserve">vzájemném uznávání výsledků činnosti akreditačních orgánů. Aktuálně tak, v rámci podání žádosti o pověření k odbornému posuzování a osvědčování, není nutné disponovat akreditací k odbornému posuzování, zkoušení a inspekci </w:t>
      </w:r>
      <w:r w:rsidR="00AD267B">
        <w:rPr>
          <w:rFonts w:ascii="Arial" w:hAnsi="Arial" w:cs="Arial"/>
          <w:sz w:val="24"/>
          <w:szCs w:val="24"/>
        </w:rPr>
        <w:t>technických herních zařízení ve </w:t>
      </w:r>
      <w:r w:rsidR="006229D8" w:rsidRPr="00BA2FED">
        <w:rPr>
          <w:rFonts w:ascii="Arial" w:hAnsi="Arial" w:cs="Arial"/>
          <w:sz w:val="24"/>
          <w:szCs w:val="24"/>
        </w:rPr>
        <w:t>va</w:t>
      </w:r>
      <w:r w:rsidR="00AF2B78" w:rsidRPr="00BA2FED">
        <w:rPr>
          <w:rFonts w:ascii="Arial" w:hAnsi="Arial" w:cs="Arial"/>
          <w:sz w:val="24"/>
          <w:szCs w:val="24"/>
        </w:rPr>
        <w:t>zbě na zákon o hazardních hrách.</w:t>
      </w:r>
    </w:p>
    <w:p w14:paraId="57463856" w14:textId="4D90606A" w:rsidR="006229D8" w:rsidRPr="00BA2FED" w:rsidRDefault="00AF2B78" w:rsidP="007C5579">
      <w:pPr>
        <w:pStyle w:val="Odstavecseseznamem"/>
        <w:numPr>
          <w:ilvl w:val="0"/>
          <w:numId w:val="21"/>
        </w:numPr>
        <w:jc w:val="both"/>
        <w:rPr>
          <w:rFonts w:ascii="Arial" w:hAnsi="Arial" w:cs="Arial"/>
          <w:sz w:val="24"/>
          <w:szCs w:val="24"/>
        </w:rPr>
      </w:pPr>
      <w:r w:rsidRPr="00BA2FED">
        <w:rPr>
          <w:rFonts w:ascii="Arial" w:hAnsi="Arial" w:cs="Arial"/>
          <w:sz w:val="24"/>
          <w:szCs w:val="24"/>
        </w:rPr>
        <w:t>Ž</w:t>
      </w:r>
      <w:r w:rsidR="006229D8" w:rsidRPr="00BA2FED">
        <w:rPr>
          <w:rFonts w:ascii="Arial" w:hAnsi="Arial" w:cs="Arial"/>
          <w:sz w:val="24"/>
          <w:szCs w:val="24"/>
        </w:rPr>
        <w:t>adatel zaručí řádný výkon odborného posuzování a osvědčován</w:t>
      </w:r>
      <w:r w:rsidR="00944885">
        <w:rPr>
          <w:rFonts w:ascii="Arial" w:hAnsi="Arial" w:cs="Arial"/>
          <w:sz w:val="24"/>
          <w:szCs w:val="24"/>
        </w:rPr>
        <w:t>í, jehož nároky jsou uvedeny v M</w:t>
      </w:r>
      <w:r w:rsidR="006229D8" w:rsidRPr="00BA2FED">
        <w:rPr>
          <w:rFonts w:ascii="Arial" w:hAnsi="Arial" w:cs="Arial"/>
          <w:sz w:val="24"/>
          <w:szCs w:val="24"/>
        </w:rPr>
        <w:t>etodickém pokynu</w:t>
      </w:r>
      <w:r w:rsidR="00B63A6E" w:rsidRPr="00BA2FED">
        <w:rPr>
          <w:rFonts w:ascii="Arial" w:hAnsi="Arial" w:cs="Arial"/>
          <w:sz w:val="24"/>
          <w:szCs w:val="24"/>
        </w:rPr>
        <w:t xml:space="preserve"> PAO</w:t>
      </w:r>
      <w:r w:rsidR="006229D8" w:rsidRPr="00BA2FED">
        <w:rPr>
          <w:rFonts w:ascii="Arial" w:hAnsi="Arial" w:cs="Arial"/>
          <w:sz w:val="24"/>
          <w:szCs w:val="24"/>
        </w:rPr>
        <w:t>.</w:t>
      </w:r>
    </w:p>
    <w:p w14:paraId="4A9886D6" w14:textId="2B0EA3FB" w:rsidR="001F6F69" w:rsidRPr="00BA2FED" w:rsidRDefault="006229D8" w:rsidP="00E82AEF">
      <w:r w:rsidRPr="00BA2FED">
        <w:t xml:space="preserve">Na základě § 110 odst. 1 zákona o hazardních hrách, </w:t>
      </w:r>
      <w:r w:rsidR="00B66245">
        <w:t>v </w:t>
      </w:r>
      <w:r w:rsidRPr="00BA2FED">
        <w:t>souladu s právem Evropské unie, může být pověření uděl</w:t>
      </w:r>
      <w:r w:rsidR="00944885">
        <w:t>eno právnické osobě se sídlem v </w:t>
      </w:r>
      <w:r w:rsidRPr="00BA2FED">
        <w:t>České republice nebo jiném členském státě Evropské unie nebo ve státě, jenž je smluvní stranou Dohody o</w:t>
      </w:r>
      <w:r w:rsidR="008E4936">
        <w:t> </w:t>
      </w:r>
      <w:r w:rsidRPr="00BA2FED">
        <w:t>Evropském ho</w:t>
      </w:r>
      <w:r w:rsidR="00B66245">
        <w:t>spodářském prostoru. Jedná se o </w:t>
      </w:r>
      <w:r w:rsidRPr="00BA2FED">
        <w:t xml:space="preserve">výraznou změnu oproti předcházející právní úpravě, </w:t>
      </w:r>
      <w:r w:rsidR="00944885">
        <w:t>podle níž</w:t>
      </w:r>
      <w:r w:rsidRPr="00BA2FED">
        <w:t xml:space="preserve"> potvrzení o</w:t>
      </w:r>
      <w:r w:rsidR="00B66245">
        <w:t> </w:t>
      </w:r>
      <w:r w:rsidRPr="00BA2FED">
        <w:t xml:space="preserve">provozuschopnosti zařízení </w:t>
      </w:r>
      <w:r w:rsidR="002F553F" w:rsidRPr="00BA2FED">
        <w:t xml:space="preserve">byly oprávněny </w:t>
      </w:r>
      <w:r w:rsidRPr="00BA2FED">
        <w:t>vydá</w:t>
      </w:r>
      <w:r w:rsidR="000A3190" w:rsidRPr="00BA2FED">
        <w:t>va</w:t>
      </w:r>
      <w:r w:rsidR="002F553F" w:rsidRPr="00BA2FED">
        <w:t>t</w:t>
      </w:r>
      <w:r w:rsidRPr="00BA2FED">
        <w:t xml:space="preserve"> pouze subjekty</w:t>
      </w:r>
      <w:r w:rsidR="005E5432" w:rsidRPr="00BA2FED">
        <w:t xml:space="preserve"> se sídlem v České republice</w:t>
      </w:r>
      <w:r w:rsidRPr="00BA2FED">
        <w:t xml:space="preserve">. </w:t>
      </w:r>
    </w:p>
    <w:p w14:paraId="41709B3F" w14:textId="67B4B48F" w:rsidR="00E82AEF" w:rsidRPr="00BA2FED" w:rsidRDefault="001F6F69" w:rsidP="00E82AEF">
      <w:r w:rsidRPr="00BA2FED">
        <w:lastRenderedPageBreak/>
        <w:t xml:space="preserve">Dalším požadavkem, který musí žadatel o vydání pověření k odbornému posuzování a osvědčování splnit, je </w:t>
      </w:r>
      <w:r w:rsidR="00E82AEF" w:rsidRPr="00BA2FED">
        <w:t>předložení dokumentace, která prokáže zajištění dostatečné úrovně používaných metod odborného posuzování</w:t>
      </w:r>
      <w:r w:rsidR="00B66245">
        <w:t xml:space="preserve"> a osvědčování hazardních her a </w:t>
      </w:r>
      <w:r w:rsidR="00E82AEF" w:rsidRPr="00BA2FED">
        <w:t>zařízení, jejichž prostřednictvím mají být provozovány hazardní hry</w:t>
      </w:r>
      <w:r w:rsidR="00BC20F6">
        <w:t xml:space="preserve">, aby </w:t>
      </w:r>
      <w:r w:rsidR="00E82AEF" w:rsidRPr="00BA2FED">
        <w:t>Ministerstvo financí následně při správním řízení mohlo ověřit, že bude zaručen řádný výkon této činnosti (dále jen „metodi</w:t>
      </w:r>
      <w:r w:rsidR="00BC20F6">
        <w:t xml:space="preserve">ka odborného posuzování“). Tyto </w:t>
      </w:r>
      <w:r w:rsidR="00E82AEF" w:rsidRPr="00BA2FED">
        <w:t>požadavky jsou částečně hodnoceny samotným Ministerstvem financí, v části posuzování metod týkajících se generátoru náhodných čísel (dále jen „RNG“) jsou posuzovány externími pracovníky, v současnosti zaměstnanci Matematickofyzikální fakulty. Pověřená osoba je povinna se touto metodikou odborného posuzování řídit při výkonu odborného posuzování a osvědčování a v případě jakýchkoli změn je povinna upravenou dokumentaci Ministerstvu financí předložit k posouzení.</w:t>
      </w:r>
    </w:p>
    <w:p w14:paraId="18008486" w14:textId="724A4EEB" w:rsidR="00E82AEF" w:rsidRPr="00BA2FED" w:rsidRDefault="00424CC2" w:rsidP="00E82AEF">
      <w:r>
        <w:t>Pokud</w:t>
      </w:r>
      <w:r w:rsidR="00E82AEF" w:rsidRPr="00BA2FED">
        <w:t xml:space="preserve"> žadatel splní veškeré zákonem vyžadované podmínky a doloží přílohy dané zákonem o hazardních hrách, je mu vydáno po</w:t>
      </w:r>
      <w:r>
        <w:t>věření k odbornému posuzování a </w:t>
      </w:r>
      <w:r w:rsidR="00E82AEF" w:rsidRPr="00BA2FED">
        <w:t>osvědčování, ve kterém Ministerstvo financí stanov</w:t>
      </w:r>
      <w:r>
        <w:t>í</w:t>
      </w:r>
      <w:r w:rsidR="00E82AEF" w:rsidRPr="00BA2FED">
        <w:t xml:space="preserve"> podmínky pro řádný výkon odborného posuzování a osvědčování. Tyto podmínky aktuálně do určité míry odpovídají podmínkám stanoveným ve vyhlášce o náležitostech výstupních dokumentů, </w:t>
      </w:r>
      <w:r>
        <w:t xml:space="preserve">neboť </w:t>
      </w:r>
      <w:r w:rsidR="00E82AEF" w:rsidRPr="00BA2FED">
        <w:t>pověření byla vydávána před účinností této vyhlášky a bylo nutné zajistit řádný výkon činnosti. Zároveň jsou v pověření uvedeny také další požadavky na výkon činnosti, například ve vztahu k vydávání registračních známek</w:t>
      </w:r>
      <w:r>
        <w:t>.</w:t>
      </w:r>
    </w:p>
    <w:p w14:paraId="66E8CAD7" w14:textId="5D596E5D" w:rsidR="00E82AEF" w:rsidRPr="00BA2FED" w:rsidRDefault="00E82AEF" w:rsidP="00E82AEF">
      <w:r w:rsidRPr="00BA2FED">
        <w:t xml:space="preserve">Po oznámení pověřené osoby o zahájení činnosti Ministerstvo financí zveřejňuje informaci na </w:t>
      </w:r>
      <w:r w:rsidRPr="00424CC2">
        <w:rPr>
          <w:b/>
        </w:rPr>
        <w:t>seznamu všech pověřených osob</w:t>
      </w:r>
      <w:r w:rsidR="00424CC2">
        <w:t>, který je k dispozici na </w:t>
      </w:r>
      <w:r w:rsidRPr="00BA2FED">
        <w:t>internetových stránkách Ministerstva financí.</w:t>
      </w:r>
    </w:p>
    <w:p w14:paraId="0BBA82DC" w14:textId="52A45D77" w:rsidR="00E82AEF" w:rsidRPr="00BA2FED" w:rsidRDefault="00E82AEF" w:rsidP="00E82AEF">
      <w:pPr>
        <w:pStyle w:val="Titulek"/>
        <w:keepNext/>
        <w:spacing w:after="160"/>
      </w:pPr>
      <w:bookmarkStart w:id="9" w:name="_Toc73534636"/>
      <w:r w:rsidRPr="00BA2FED">
        <w:t xml:space="preserve">Tabulka č. </w:t>
      </w:r>
      <w:r w:rsidR="002635CB">
        <w:fldChar w:fldCharType="begin"/>
      </w:r>
      <w:r w:rsidR="002635CB">
        <w:instrText xml:space="preserve"> SEQ Tabulka_č. \* ARABIC </w:instrText>
      </w:r>
      <w:r w:rsidR="002635CB">
        <w:fldChar w:fldCharType="separate"/>
      </w:r>
      <w:r w:rsidR="00B66245">
        <w:rPr>
          <w:noProof/>
        </w:rPr>
        <w:t>1</w:t>
      </w:r>
      <w:r w:rsidR="002635CB">
        <w:rPr>
          <w:noProof/>
        </w:rPr>
        <w:fldChar w:fldCharType="end"/>
      </w:r>
      <w:r w:rsidRPr="00BA2FED">
        <w:t>: Seznam všech pověřených autorizovaných osob (stav ke dni 31.</w:t>
      </w:r>
      <w:r w:rsidR="00A123C7">
        <w:t> </w:t>
      </w:r>
      <w:r w:rsidRPr="00BA2FED">
        <w:t>3.</w:t>
      </w:r>
      <w:r w:rsidR="00A123C7">
        <w:t> </w:t>
      </w:r>
      <w:r w:rsidRPr="00BA2FED">
        <w:t>2021)</w:t>
      </w:r>
      <w:bookmarkEnd w:id="9"/>
    </w:p>
    <w:tbl>
      <w:tblPr>
        <w:tblpPr w:leftFromText="141" w:rightFromText="141" w:vertAnchor="text" w:horzAnchor="margin" w:tblpY="75"/>
        <w:tblW w:w="8932" w:type="dxa"/>
        <w:tblCellMar>
          <w:left w:w="70" w:type="dxa"/>
          <w:right w:w="70" w:type="dxa"/>
        </w:tblCellMar>
        <w:tblLook w:val="04A0" w:firstRow="1" w:lastRow="0" w:firstColumn="1" w:lastColumn="0" w:noHBand="0" w:noVBand="1"/>
      </w:tblPr>
      <w:tblGrid>
        <w:gridCol w:w="1534"/>
        <w:gridCol w:w="1057"/>
        <w:gridCol w:w="1313"/>
        <w:gridCol w:w="1227"/>
        <w:gridCol w:w="1657"/>
        <w:gridCol w:w="1066"/>
        <w:gridCol w:w="1198"/>
      </w:tblGrid>
      <w:tr w:rsidR="00BA2FED" w:rsidRPr="00BA2FED" w14:paraId="271D9020" w14:textId="77777777" w:rsidTr="00D95B59">
        <w:trPr>
          <w:trHeight w:val="300"/>
        </w:trPr>
        <w:tc>
          <w:tcPr>
            <w:tcW w:w="8932" w:type="dxa"/>
            <w:gridSpan w:val="7"/>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D3AE2DA"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Seznam pověřených osob dle § 110 zákona o hazardních hrách</w:t>
            </w:r>
          </w:p>
        </w:tc>
      </w:tr>
      <w:tr w:rsidR="00BA2FED" w:rsidRPr="00BA2FED" w14:paraId="76CB7F0E" w14:textId="77777777" w:rsidTr="00D95B59">
        <w:trPr>
          <w:trHeight w:val="836"/>
        </w:trPr>
        <w:tc>
          <w:tcPr>
            <w:tcW w:w="1538" w:type="dxa"/>
            <w:tcBorders>
              <w:top w:val="nil"/>
              <w:left w:val="single" w:sz="8" w:space="0" w:color="auto"/>
              <w:bottom w:val="single" w:sz="4" w:space="0" w:color="auto"/>
              <w:right w:val="single" w:sz="4" w:space="0" w:color="auto"/>
            </w:tcBorders>
            <w:shd w:val="clear" w:color="auto" w:fill="auto"/>
            <w:vAlign w:val="center"/>
            <w:hideMark/>
          </w:tcPr>
          <w:p w14:paraId="342EE7AE"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Subjekt</w:t>
            </w:r>
          </w:p>
        </w:tc>
        <w:tc>
          <w:tcPr>
            <w:tcW w:w="984" w:type="dxa"/>
            <w:tcBorders>
              <w:top w:val="nil"/>
              <w:left w:val="nil"/>
              <w:bottom w:val="single" w:sz="4" w:space="0" w:color="auto"/>
              <w:right w:val="single" w:sz="4" w:space="0" w:color="auto"/>
            </w:tcBorders>
            <w:shd w:val="clear" w:color="auto" w:fill="auto"/>
            <w:vAlign w:val="center"/>
            <w:hideMark/>
          </w:tcPr>
          <w:p w14:paraId="067ABFB4"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IČ</w:t>
            </w:r>
          </w:p>
        </w:tc>
        <w:tc>
          <w:tcPr>
            <w:tcW w:w="1318" w:type="dxa"/>
            <w:tcBorders>
              <w:top w:val="nil"/>
              <w:left w:val="nil"/>
              <w:bottom w:val="single" w:sz="4" w:space="0" w:color="auto"/>
              <w:right w:val="single" w:sz="4" w:space="0" w:color="auto"/>
            </w:tcBorders>
            <w:shd w:val="clear" w:color="auto" w:fill="auto"/>
            <w:vAlign w:val="center"/>
            <w:hideMark/>
          </w:tcPr>
          <w:p w14:paraId="2E19066D"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Sídlo</w:t>
            </w:r>
          </w:p>
        </w:tc>
        <w:tc>
          <w:tcPr>
            <w:tcW w:w="1231" w:type="dxa"/>
            <w:tcBorders>
              <w:top w:val="nil"/>
              <w:left w:val="nil"/>
              <w:bottom w:val="single" w:sz="4" w:space="0" w:color="auto"/>
              <w:right w:val="single" w:sz="4" w:space="0" w:color="auto"/>
            </w:tcBorders>
            <w:shd w:val="clear" w:color="auto" w:fill="auto"/>
            <w:vAlign w:val="center"/>
            <w:hideMark/>
          </w:tcPr>
          <w:p w14:paraId="1118599E"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 xml:space="preserve">Rozsah pověření </w:t>
            </w:r>
          </w:p>
        </w:tc>
        <w:tc>
          <w:tcPr>
            <w:tcW w:w="1663" w:type="dxa"/>
            <w:tcBorders>
              <w:top w:val="nil"/>
              <w:left w:val="nil"/>
              <w:bottom w:val="single" w:sz="4" w:space="0" w:color="auto"/>
              <w:right w:val="single" w:sz="4" w:space="0" w:color="auto"/>
            </w:tcBorders>
            <w:shd w:val="clear" w:color="auto" w:fill="auto"/>
            <w:vAlign w:val="center"/>
            <w:hideMark/>
          </w:tcPr>
          <w:p w14:paraId="6E32C9F4"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číslo jednací rozhodnutí</w:t>
            </w:r>
          </w:p>
        </w:tc>
        <w:tc>
          <w:tcPr>
            <w:tcW w:w="992" w:type="dxa"/>
            <w:tcBorders>
              <w:top w:val="nil"/>
              <w:left w:val="nil"/>
              <w:bottom w:val="single" w:sz="4" w:space="0" w:color="auto"/>
              <w:right w:val="single" w:sz="4" w:space="0" w:color="auto"/>
            </w:tcBorders>
            <w:shd w:val="clear" w:color="auto" w:fill="auto"/>
            <w:vAlign w:val="center"/>
            <w:hideMark/>
          </w:tcPr>
          <w:p w14:paraId="2D7A8164"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Nabytí právní moci rozhodnutí</w:t>
            </w:r>
          </w:p>
        </w:tc>
        <w:tc>
          <w:tcPr>
            <w:tcW w:w="1202" w:type="dxa"/>
            <w:tcBorders>
              <w:top w:val="nil"/>
              <w:left w:val="nil"/>
              <w:bottom w:val="single" w:sz="4" w:space="0" w:color="auto"/>
              <w:right w:val="single" w:sz="8" w:space="0" w:color="auto"/>
            </w:tcBorders>
            <w:shd w:val="clear" w:color="auto" w:fill="auto"/>
            <w:vAlign w:val="center"/>
            <w:hideMark/>
          </w:tcPr>
          <w:p w14:paraId="4FC29499" w14:textId="77777777" w:rsidR="00E82AEF" w:rsidRPr="00BA2FED" w:rsidRDefault="00E82AEF" w:rsidP="00E82AEF">
            <w:pPr>
              <w:keepNext/>
              <w:keepLines/>
              <w:spacing w:after="0"/>
              <w:jc w:val="center"/>
              <w:rPr>
                <w:rFonts w:eastAsia="Times New Roman" w:cstheme="minorHAnsi"/>
                <w:b/>
                <w:bCs/>
                <w:sz w:val="18"/>
                <w:szCs w:val="18"/>
                <w:lang w:eastAsia="cs-CZ"/>
              </w:rPr>
            </w:pPr>
            <w:r w:rsidRPr="00BA2FED">
              <w:rPr>
                <w:rFonts w:eastAsia="Times New Roman" w:cstheme="minorHAnsi"/>
                <w:b/>
                <w:bCs/>
                <w:sz w:val="18"/>
                <w:szCs w:val="18"/>
                <w:lang w:eastAsia="cs-CZ"/>
              </w:rPr>
              <w:t>Zahájení činnosti</w:t>
            </w:r>
          </w:p>
        </w:tc>
      </w:tr>
      <w:tr w:rsidR="00BA2FED" w:rsidRPr="00BA2FED" w14:paraId="04785123" w14:textId="77777777" w:rsidTr="00D95B59">
        <w:trPr>
          <w:trHeight w:val="503"/>
        </w:trPr>
        <w:tc>
          <w:tcPr>
            <w:tcW w:w="1538" w:type="dxa"/>
            <w:tcBorders>
              <w:top w:val="nil"/>
              <w:left w:val="single" w:sz="8" w:space="0" w:color="auto"/>
              <w:bottom w:val="single" w:sz="4" w:space="0" w:color="auto"/>
              <w:right w:val="single" w:sz="4" w:space="0" w:color="auto"/>
            </w:tcBorders>
            <w:shd w:val="clear" w:color="auto" w:fill="auto"/>
            <w:vAlign w:val="center"/>
            <w:hideMark/>
          </w:tcPr>
          <w:p w14:paraId="77D6353E" w14:textId="18A8F1ED"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 xml:space="preserve">GLI </w:t>
            </w:r>
            <w:r w:rsidR="007F5B39" w:rsidRPr="00BA2FED">
              <w:rPr>
                <w:rFonts w:eastAsia="Times New Roman" w:cstheme="minorHAnsi"/>
                <w:sz w:val="18"/>
                <w:szCs w:val="18"/>
                <w:lang w:eastAsia="cs-CZ"/>
              </w:rPr>
              <w:t>Europe B. V.</w:t>
            </w:r>
          </w:p>
        </w:tc>
        <w:tc>
          <w:tcPr>
            <w:tcW w:w="984" w:type="dxa"/>
            <w:tcBorders>
              <w:top w:val="nil"/>
              <w:left w:val="nil"/>
              <w:bottom w:val="single" w:sz="4" w:space="0" w:color="auto"/>
              <w:right w:val="single" w:sz="4" w:space="0" w:color="auto"/>
            </w:tcBorders>
            <w:shd w:val="clear" w:color="auto" w:fill="auto"/>
            <w:vAlign w:val="center"/>
            <w:hideMark/>
          </w:tcPr>
          <w:p w14:paraId="6FC580C9"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818473393 (20201958)</w:t>
            </w:r>
          </w:p>
        </w:tc>
        <w:tc>
          <w:tcPr>
            <w:tcW w:w="1318" w:type="dxa"/>
            <w:tcBorders>
              <w:top w:val="nil"/>
              <w:left w:val="nil"/>
              <w:bottom w:val="single" w:sz="4" w:space="0" w:color="auto"/>
              <w:right w:val="single" w:sz="4" w:space="0" w:color="auto"/>
            </w:tcBorders>
            <w:shd w:val="clear" w:color="auto" w:fill="auto"/>
            <w:vAlign w:val="center"/>
            <w:hideMark/>
          </w:tcPr>
          <w:p w14:paraId="06EA8334"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Nizozemské království</w:t>
            </w:r>
          </w:p>
        </w:tc>
        <w:tc>
          <w:tcPr>
            <w:tcW w:w="1231" w:type="dxa"/>
            <w:tcBorders>
              <w:top w:val="nil"/>
              <w:left w:val="nil"/>
              <w:bottom w:val="single" w:sz="4" w:space="0" w:color="auto"/>
              <w:right w:val="single" w:sz="4" w:space="0" w:color="auto"/>
            </w:tcBorders>
            <w:shd w:val="clear" w:color="auto" w:fill="auto"/>
            <w:vAlign w:val="center"/>
            <w:hideMark/>
          </w:tcPr>
          <w:p w14:paraId="6DB80FD2"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nil"/>
              <w:left w:val="nil"/>
              <w:bottom w:val="single" w:sz="4" w:space="0" w:color="auto"/>
              <w:right w:val="single" w:sz="4" w:space="0" w:color="auto"/>
            </w:tcBorders>
            <w:shd w:val="clear" w:color="auto" w:fill="auto"/>
            <w:vAlign w:val="center"/>
            <w:hideMark/>
          </w:tcPr>
          <w:p w14:paraId="4943D264"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MF-40572/2016/3403</w:t>
            </w:r>
          </w:p>
        </w:tc>
        <w:tc>
          <w:tcPr>
            <w:tcW w:w="992" w:type="dxa"/>
            <w:tcBorders>
              <w:top w:val="nil"/>
              <w:left w:val="nil"/>
              <w:bottom w:val="single" w:sz="4" w:space="0" w:color="auto"/>
              <w:right w:val="single" w:sz="4" w:space="0" w:color="auto"/>
            </w:tcBorders>
            <w:shd w:val="clear" w:color="auto" w:fill="auto"/>
            <w:vAlign w:val="center"/>
            <w:hideMark/>
          </w:tcPr>
          <w:p w14:paraId="49EB1DC5"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24. 12. 2016</w:t>
            </w:r>
          </w:p>
        </w:tc>
        <w:tc>
          <w:tcPr>
            <w:tcW w:w="1202" w:type="dxa"/>
            <w:tcBorders>
              <w:top w:val="nil"/>
              <w:left w:val="nil"/>
              <w:bottom w:val="single" w:sz="4" w:space="0" w:color="auto"/>
              <w:right w:val="single" w:sz="8" w:space="0" w:color="auto"/>
            </w:tcBorders>
            <w:shd w:val="clear" w:color="auto" w:fill="auto"/>
            <w:vAlign w:val="center"/>
            <w:hideMark/>
          </w:tcPr>
          <w:p w14:paraId="5BE1E76E"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05. 01. 2017</w:t>
            </w:r>
          </w:p>
        </w:tc>
      </w:tr>
      <w:tr w:rsidR="00BA2FED" w:rsidRPr="00BA2FED" w14:paraId="4DB92D47" w14:textId="77777777" w:rsidTr="00D95B59">
        <w:trPr>
          <w:trHeight w:val="539"/>
        </w:trPr>
        <w:tc>
          <w:tcPr>
            <w:tcW w:w="1538" w:type="dxa"/>
            <w:tcBorders>
              <w:top w:val="nil"/>
              <w:left w:val="single" w:sz="8" w:space="0" w:color="auto"/>
              <w:bottom w:val="single" w:sz="4" w:space="0" w:color="auto"/>
              <w:right w:val="single" w:sz="4" w:space="0" w:color="auto"/>
            </w:tcBorders>
            <w:shd w:val="clear" w:color="auto" w:fill="auto"/>
            <w:vAlign w:val="center"/>
            <w:hideMark/>
          </w:tcPr>
          <w:p w14:paraId="16CD6DF4" w14:textId="09F8865A"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 xml:space="preserve">Elektrotechnický zkušební ústav, </w:t>
            </w:r>
            <w:r w:rsidR="007F5B39" w:rsidRPr="00BA2FED">
              <w:rPr>
                <w:rFonts w:eastAsia="Times New Roman" w:cstheme="minorHAnsi"/>
                <w:sz w:val="18"/>
                <w:szCs w:val="18"/>
                <w:lang w:eastAsia="cs-CZ"/>
              </w:rPr>
              <w:t>s.</w:t>
            </w:r>
            <w:r w:rsidR="007F5B39">
              <w:rPr>
                <w:rFonts w:eastAsia="Times New Roman" w:cstheme="minorHAnsi"/>
                <w:sz w:val="18"/>
                <w:szCs w:val="18"/>
                <w:lang w:eastAsia="cs-CZ"/>
              </w:rPr>
              <w:t xml:space="preserve"> </w:t>
            </w:r>
            <w:r w:rsidR="007F5B39" w:rsidRPr="00BA2FED">
              <w:rPr>
                <w:rFonts w:eastAsia="Times New Roman" w:cstheme="minorHAnsi"/>
                <w:sz w:val="18"/>
                <w:szCs w:val="18"/>
                <w:lang w:eastAsia="cs-CZ"/>
              </w:rPr>
              <w:t>p</w:t>
            </w:r>
            <w:r w:rsidRPr="00BA2FED">
              <w:rPr>
                <w:rFonts w:eastAsia="Times New Roman" w:cstheme="minorHAnsi"/>
                <w:sz w:val="18"/>
                <w:szCs w:val="18"/>
                <w:lang w:eastAsia="cs-CZ"/>
              </w:rPr>
              <w:t>.</w:t>
            </w:r>
          </w:p>
        </w:tc>
        <w:tc>
          <w:tcPr>
            <w:tcW w:w="984" w:type="dxa"/>
            <w:tcBorders>
              <w:top w:val="nil"/>
              <w:left w:val="nil"/>
              <w:bottom w:val="single" w:sz="4" w:space="0" w:color="auto"/>
              <w:right w:val="single" w:sz="4" w:space="0" w:color="auto"/>
            </w:tcBorders>
            <w:shd w:val="clear" w:color="auto" w:fill="auto"/>
            <w:vAlign w:val="center"/>
            <w:hideMark/>
          </w:tcPr>
          <w:p w14:paraId="61FFF2FE"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00001481</w:t>
            </w:r>
          </w:p>
        </w:tc>
        <w:tc>
          <w:tcPr>
            <w:tcW w:w="1318" w:type="dxa"/>
            <w:tcBorders>
              <w:top w:val="nil"/>
              <w:left w:val="nil"/>
              <w:bottom w:val="single" w:sz="4" w:space="0" w:color="auto"/>
              <w:right w:val="single" w:sz="4" w:space="0" w:color="auto"/>
            </w:tcBorders>
            <w:shd w:val="clear" w:color="auto" w:fill="auto"/>
            <w:vAlign w:val="center"/>
            <w:hideMark/>
          </w:tcPr>
          <w:p w14:paraId="3319F3CF"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Česká republika</w:t>
            </w:r>
          </w:p>
        </w:tc>
        <w:tc>
          <w:tcPr>
            <w:tcW w:w="1231" w:type="dxa"/>
            <w:tcBorders>
              <w:top w:val="nil"/>
              <w:left w:val="nil"/>
              <w:bottom w:val="single" w:sz="4" w:space="0" w:color="auto"/>
              <w:right w:val="single" w:sz="4" w:space="0" w:color="auto"/>
            </w:tcBorders>
            <w:shd w:val="clear" w:color="auto" w:fill="auto"/>
            <w:vAlign w:val="center"/>
            <w:hideMark/>
          </w:tcPr>
          <w:p w14:paraId="05AB1782"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nil"/>
              <w:left w:val="nil"/>
              <w:bottom w:val="single" w:sz="4" w:space="0" w:color="auto"/>
              <w:right w:val="single" w:sz="4" w:space="0" w:color="auto"/>
            </w:tcBorders>
            <w:shd w:val="clear" w:color="auto" w:fill="auto"/>
            <w:vAlign w:val="center"/>
            <w:hideMark/>
          </w:tcPr>
          <w:p w14:paraId="0FB17866"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MF-24042/2016/3403-2</w:t>
            </w:r>
          </w:p>
        </w:tc>
        <w:tc>
          <w:tcPr>
            <w:tcW w:w="992" w:type="dxa"/>
            <w:tcBorders>
              <w:top w:val="nil"/>
              <w:left w:val="nil"/>
              <w:bottom w:val="single" w:sz="4" w:space="0" w:color="auto"/>
              <w:right w:val="single" w:sz="4" w:space="0" w:color="auto"/>
            </w:tcBorders>
            <w:shd w:val="clear" w:color="auto" w:fill="auto"/>
            <w:vAlign w:val="center"/>
            <w:hideMark/>
          </w:tcPr>
          <w:p w14:paraId="26648DF0"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05. 01. 2017</w:t>
            </w:r>
          </w:p>
        </w:tc>
        <w:tc>
          <w:tcPr>
            <w:tcW w:w="1202" w:type="dxa"/>
            <w:tcBorders>
              <w:top w:val="nil"/>
              <w:left w:val="nil"/>
              <w:bottom w:val="single" w:sz="4" w:space="0" w:color="auto"/>
              <w:right w:val="single" w:sz="8" w:space="0" w:color="auto"/>
            </w:tcBorders>
            <w:shd w:val="clear" w:color="auto" w:fill="auto"/>
            <w:vAlign w:val="center"/>
            <w:hideMark/>
          </w:tcPr>
          <w:p w14:paraId="7AA60275"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16. 01. 2017</w:t>
            </w:r>
          </w:p>
        </w:tc>
      </w:tr>
      <w:tr w:rsidR="00BA2FED" w:rsidRPr="00BA2FED" w14:paraId="4F0A6313" w14:textId="77777777" w:rsidTr="00D95B59">
        <w:trPr>
          <w:trHeight w:val="769"/>
        </w:trPr>
        <w:tc>
          <w:tcPr>
            <w:tcW w:w="1538" w:type="dxa"/>
            <w:tcBorders>
              <w:top w:val="nil"/>
              <w:left w:val="single" w:sz="8" w:space="0" w:color="auto"/>
              <w:bottom w:val="single" w:sz="4" w:space="0" w:color="auto"/>
              <w:right w:val="single" w:sz="4" w:space="0" w:color="auto"/>
            </w:tcBorders>
            <w:shd w:val="clear" w:color="auto" w:fill="auto"/>
            <w:vAlign w:val="center"/>
            <w:hideMark/>
          </w:tcPr>
          <w:p w14:paraId="540AD07D"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eCOGRA</w:t>
            </w:r>
          </w:p>
        </w:tc>
        <w:tc>
          <w:tcPr>
            <w:tcW w:w="984" w:type="dxa"/>
            <w:tcBorders>
              <w:top w:val="nil"/>
              <w:left w:val="nil"/>
              <w:bottom w:val="single" w:sz="4" w:space="0" w:color="auto"/>
              <w:right w:val="single" w:sz="4" w:space="0" w:color="auto"/>
            </w:tcBorders>
            <w:shd w:val="clear" w:color="auto" w:fill="auto"/>
            <w:vAlign w:val="center"/>
            <w:hideMark/>
          </w:tcPr>
          <w:p w14:paraId="3DED2121"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4690117</w:t>
            </w:r>
          </w:p>
        </w:tc>
        <w:tc>
          <w:tcPr>
            <w:tcW w:w="1318" w:type="dxa"/>
            <w:tcBorders>
              <w:top w:val="nil"/>
              <w:left w:val="nil"/>
              <w:bottom w:val="single" w:sz="4" w:space="0" w:color="auto"/>
              <w:right w:val="single" w:sz="4" w:space="0" w:color="auto"/>
            </w:tcBorders>
            <w:shd w:val="clear" w:color="auto" w:fill="auto"/>
            <w:vAlign w:val="center"/>
            <w:hideMark/>
          </w:tcPr>
          <w:p w14:paraId="4D1CC109"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Spojené království Velké Británie a Severního Irska</w:t>
            </w:r>
          </w:p>
        </w:tc>
        <w:tc>
          <w:tcPr>
            <w:tcW w:w="1231" w:type="dxa"/>
            <w:tcBorders>
              <w:top w:val="nil"/>
              <w:left w:val="nil"/>
              <w:bottom w:val="single" w:sz="4" w:space="0" w:color="auto"/>
              <w:right w:val="single" w:sz="4" w:space="0" w:color="auto"/>
            </w:tcBorders>
            <w:shd w:val="clear" w:color="auto" w:fill="auto"/>
            <w:vAlign w:val="center"/>
            <w:hideMark/>
          </w:tcPr>
          <w:p w14:paraId="63264C23"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nil"/>
              <w:left w:val="nil"/>
              <w:bottom w:val="single" w:sz="4" w:space="0" w:color="auto"/>
              <w:right w:val="single" w:sz="4" w:space="0" w:color="auto"/>
            </w:tcBorders>
            <w:shd w:val="clear" w:color="auto" w:fill="auto"/>
            <w:vAlign w:val="center"/>
            <w:hideMark/>
          </w:tcPr>
          <w:p w14:paraId="4F43BAB3"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MF-40989/2016/3403</w:t>
            </w:r>
          </w:p>
        </w:tc>
        <w:tc>
          <w:tcPr>
            <w:tcW w:w="992" w:type="dxa"/>
            <w:tcBorders>
              <w:top w:val="nil"/>
              <w:left w:val="nil"/>
              <w:bottom w:val="single" w:sz="4" w:space="0" w:color="auto"/>
              <w:right w:val="single" w:sz="4" w:space="0" w:color="auto"/>
            </w:tcBorders>
            <w:shd w:val="clear" w:color="auto" w:fill="auto"/>
            <w:vAlign w:val="center"/>
            <w:hideMark/>
          </w:tcPr>
          <w:p w14:paraId="745E32A6"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07. 02. 2017</w:t>
            </w:r>
          </w:p>
        </w:tc>
        <w:tc>
          <w:tcPr>
            <w:tcW w:w="1202" w:type="dxa"/>
            <w:tcBorders>
              <w:top w:val="nil"/>
              <w:left w:val="nil"/>
              <w:bottom w:val="single" w:sz="4" w:space="0" w:color="auto"/>
              <w:right w:val="single" w:sz="8" w:space="0" w:color="auto"/>
            </w:tcBorders>
            <w:shd w:val="clear" w:color="auto" w:fill="auto"/>
            <w:vAlign w:val="center"/>
            <w:hideMark/>
          </w:tcPr>
          <w:p w14:paraId="5CCA1166"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07. 02. 2017</w:t>
            </w:r>
          </w:p>
        </w:tc>
      </w:tr>
      <w:tr w:rsidR="00BA2FED" w:rsidRPr="00BA2FED" w14:paraId="3575E78F" w14:textId="77777777" w:rsidTr="00D95B59">
        <w:trPr>
          <w:trHeight w:val="539"/>
        </w:trPr>
        <w:tc>
          <w:tcPr>
            <w:tcW w:w="1538" w:type="dxa"/>
            <w:tcBorders>
              <w:top w:val="nil"/>
              <w:left w:val="single" w:sz="8" w:space="0" w:color="auto"/>
              <w:bottom w:val="single" w:sz="4" w:space="0" w:color="auto"/>
              <w:right w:val="single" w:sz="4" w:space="0" w:color="auto"/>
            </w:tcBorders>
            <w:shd w:val="clear" w:color="auto" w:fill="auto"/>
            <w:vAlign w:val="center"/>
            <w:hideMark/>
          </w:tcPr>
          <w:p w14:paraId="5C87B4C1"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GLI UK GAMING LTD (dříve Nmi)</w:t>
            </w:r>
          </w:p>
        </w:tc>
        <w:tc>
          <w:tcPr>
            <w:tcW w:w="984" w:type="dxa"/>
            <w:tcBorders>
              <w:top w:val="nil"/>
              <w:left w:val="nil"/>
              <w:bottom w:val="single" w:sz="4" w:space="0" w:color="auto"/>
              <w:right w:val="single" w:sz="4" w:space="0" w:color="auto"/>
            </w:tcBorders>
            <w:shd w:val="clear" w:color="auto" w:fill="auto"/>
            <w:vAlign w:val="center"/>
            <w:hideMark/>
          </w:tcPr>
          <w:p w14:paraId="5D2E3CAF"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6765652</w:t>
            </w:r>
          </w:p>
        </w:tc>
        <w:tc>
          <w:tcPr>
            <w:tcW w:w="1318" w:type="dxa"/>
            <w:tcBorders>
              <w:top w:val="nil"/>
              <w:left w:val="nil"/>
              <w:bottom w:val="single" w:sz="4" w:space="0" w:color="auto"/>
              <w:right w:val="single" w:sz="4" w:space="0" w:color="auto"/>
            </w:tcBorders>
            <w:shd w:val="clear" w:color="auto" w:fill="auto"/>
            <w:vAlign w:val="center"/>
            <w:hideMark/>
          </w:tcPr>
          <w:p w14:paraId="51DAE6FB"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Spojené království Velké Británie a Severního Irska</w:t>
            </w:r>
          </w:p>
        </w:tc>
        <w:tc>
          <w:tcPr>
            <w:tcW w:w="1231" w:type="dxa"/>
            <w:tcBorders>
              <w:top w:val="nil"/>
              <w:left w:val="nil"/>
              <w:bottom w:val="single" w:sz="4" w:space="0" w:color="auto"/>
              <w:right w:val="single" w:sz="4" w:space="0" w:color="auto"/>
            </w:tcBorders>
            <w:shd w:val="clear" w:color="auto" w:fill="auto"/>
            <w:vAlign w:val="center"/>
            <w:hideMark/>
          </w:tcPr>
          <w:p w14:paraId="55DC0A1E"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nil"/>
              <w:left w:val="nil"/>
              <w:bottom w:val="single" w:sz="4" w:space="0" w:color="auto"/>
              <w:right w:val="single" w:sz="4" w:space="0" w:color="auto"/>
            </w:tcBorders>
            <w:shd w:val="clear" w:color="auto" w:fill="auto"/>
            <w:vAlign w:val="center"/>
            <w:hideMark/>
          </w:tcPr>
          <w:p w14:paraId="757D000E"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MF-446/2017/3403</w:t>
            </w:r>
          </w:p>
        </w:tc>
        <w:tc>
          <w:tcPr>
            <w:tcW w:w="992" w:type="dxa"/>
            <w:tcBorders>
              <w:top w:val="nil"/>
              <w:left w:val="nil"/>
              <w:bottom w:val="single" w:sz="4" w:space="0" w:color="auto"/>
              <w:right w:val="single" w:sz="4" w:space="0" w:color="auto"/>
            </w:tcBorders>
            <w:shd w:val="clear" w:color="auto" w:fill="auto"/>
            <w:vAlign w:val="center"/>
            <w:hideMark/>
          </w:tcPr>
          <w:p w14:paraId="57780D26"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14. 04. 2017</w:t>
            </w:r>
          </w:p>
        </w:tc>
        <w:tc>
          <w:tcPr>
            <w:tcW w:w="1202" w:type="dxa"/>
            <w:tcBorders>
              <w:top w:val="nil"/>
              <w:left w:val="nil"/>
              <w:bottom w:val="single" w:sz="4" w:space="0" w:color="auto"/>
              <w:right w:val="single" w:sz="8" w:space="0" w:color="auto"/>
            </w:tcBorders>
            <w:shd w:val="clear" w:color="auto" w:fill="auto"/>
            <w:vAlign w:val="center"/>
            <w:hideMark/>
          </w:tcPr>
          <w:p w14:paraId="339D5295"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27. 04. 2017</w:t>
            </w:r>
          </w:p>
        </w:tc>
      </w:tr>
      <w:tr w:rsidR="00BA2FED" w:rsidRPr="00BA2FED" w14:paraId="02D5390B" w14:textId="77777777" w:rsidTr="00D95B59">
        <w:trPr>
          <w:trHeight w:val="539"/>
        </w:trPr>
        <w:tc>
          <w:tcPr>
            <w:tcW w:w="1538" w:type="dxa"/>
            <w:tcBorders>
              <w:top w:val="nil"/>
              <w:left w:val="single" w:sz="8" w:space="0" w:color="auto"/>
              <w:bottom w:val="single" w:sz="4" w:space="0" w:color="auto"/>
              <w:right w:val="single" w:sz="4" w:space="0" w:color="auto"/>
            </w:tcBorders>
            <w:shd w:val="clear" w:color="auto" w:fill="auto"/>
            <w:vAlign w:val="center"/>
            <w:hideMark/>
          </w:tcPr>
          <w:p w14:paraId="07413317"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Institut pro testování a certifikaci, a.s.</w:t>
            </w:r>
          </w:p>
        </w:tc>
        <w:tc>
          <w:tcPr>
            <w:tcW w:w="984" w:type="dxa"/>
            <w:tcBorders>
              <w:top w:val="nil"/>
              <w:left w:val="nil"/>
              <w:bottom w:val="single" w:sz="4" w:space="0" w:color="auto"/>
              <w:right w:val="single" w:sz="4" w:space="0" w:color="auto"/>
            </w:tcBorders>
            <w:shd w:val="clear" w:color="auto" w:fill="auto"/>
            <w:vAlign w:val="center"/>
            <w:hideMark/>
          </w:tcPr>
          <w:p w14:paraId="6B51C089"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47910381</w:t>
            </w:r>
          </w:p>
        </w:tc>
        <w:tc>
          <w:tcPr>
            <w:tcW w:w="1318" w:type="dxa"/>
            <w:tcBorders>
              <w:top w:val="nil"/>
              <w:left w:val="nil"/>
              <w:bottom w:val="single" w:sz="4" w:space="0" w:color="auto"/>
              <w:right w:val="single" w:sz="4" w:space="0" w:color="auto"/>
            </w:tcBorders>
            <w:shd w:val="clear" w:color="auto" w:fill="auto"/>
            <w:vAlign w:val="center"/>
            <w:hideMark/>
          </w:tcPr>
          <w:p w14:paraId="3A54370A"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Česká republika</w:t>
            </w:r>
          </w:p>
        </w:tc>
        <w:tc>
          <w:tcPr>
            <w:tcW w:w="1231" w:type="dxa"/>
            <w:tcBorders>
              <w:top w:val="nil"/>
              <w:left w:val="nil"/>
              <w:bottom w:val="single" w:sz="4" w:space="0" w:color="auto"/>
              <w:right w:val="single" w:sz="4" w:space="0" w:color="auto"/>
            </w:tcBorders>
            <w:shd w:val="clear" w:color="auto" w:fill="auto"/>
            <w:vAlign w:val="center"/>
            <w:hideMark/>
          </w:tcPr>
          <w:p w14:paraId="4BD04A6E"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nil"/>
              <w:left w:val="nil"/>
              <w:bottom w:val="single" w:sz="4" w:space="0" w:color="auto"/>
              <w:right w:val="single" w:sz="4" w:space="0" w:color="auto"/>
            </w:tcBorders>
            <w:shd w:val="clear" w:color="auto" w:fill="auto"/>
            <w:vAlign w:val="center"/>
            <w:hideMark/>
          </w:tcPr>
          <w:p w14:paraId="10C448F6"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MF-44497/2016/3403</w:t>
            </w:r>
          </w:p>
        </w:tc>
        <w:tc>
          <w:tcPr>
            <w:tcW w:w="992" w:type="dxa"/>
            <w:tcBorders>
              <w:top w:val="nil"/>
              <w:left w:val="nil"/>
              <w:bottom w:val="single" w:sz="4" w:space="0" w:color="auto"/>
              <w:right w:val="single" w:sz="4" w:space="0" w:color="auto"/>
            </w:tcBorders>
            <w:shd w:val="clear" w:color="auto" w:fill="auto"/>
            <w:vAlign w:val="center"/>
            <w:hideMark/>
          </w:tcPr>
          <w:p w14:paraId="552FC787"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20. 07. 2017</w:t>
            </w:r>
          </w:p>
        </w:tc>
        <w:tc>
          <w:tcPr>
            <w:tcW w:w="1202" w:type="dxa"/>
            <w:tcBorders>
              <w:top w:val="nil"/>
              <w:left w:val="nil"/>
              <w:bottom w:val="single" w:sz="4" w:space="0" w:color="auto"/>
              <w:right w:val="single" w:sz="8" w:space="0" w:color="auto"/>
            </w:tcBorders>
            <w:shd w:val="clear" w:color="auto" w:fill="auto"/>
            <w:vAlign w:val="center"/>
            <w:hideMark/>
          </w:tcPr>
          <w:p w14:paraId="25066ECB"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01. 08. 2017</w:t>
            </w:r>
          </w:p>
        </w:tc>
      </w:tr>
      <w:tr w:rsidR="00BA2FED" w:rsidRPr="00BA2FED" w14:paraId="17DD84EA" w14:textId="77777777" w:rsidTr="00D95B59">
        <w:trPr>
          <w:trHeight w:val="481"/>
        </w:trPr>
        <w:tc>
          <w:tcPr>
            <w:tcW w:w="1538" w:type="dxa"/>
            <w:tcBorders>
              <w:top w:val="nil"/>
              <w:left w:val="single" w:sz="8" w:space="0" w:color="auto"/>
              <w:bottom w:val="single" w:sz="4" w:space="0" w:color="auto"/>
              <w:right w:val="single" w:sz="4" w:space="0" w:color="auto"/>
            </w:tcBorders>
            <w:shd w:val="clear" w:color="auto" w:fill="auto"/>
            <w:vAlign w:val="center"/>
            <w:hideMark/>
          </w:tcPr>
          <w:p w14:paraId="48F9FF90" w14:textId="48FCAEE6"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 xml:space="preserve">Quinel </w:t>
            </w:r>
            <w:r w:rsidR="007F5B39" w:rsidRPr="00BA2FED">
              <w:rPr>
                <w:rFonts w:eastAsia="Times New Roman" w:cstheme="minorHAnsi"/>
                <w:sz w:val="18"/>
                <w:szCs w:val="18"/>
                <w:lang w:eastAsia="cs-CZ"/>
              </w:rPr>
              <w:t>M. Ltd</w:t>
            </w:r>
          </w:p>
        </w:tc>
        <w:tc>
          <w:tcPr>
            <w:tcW w:w="984" w:type="dxa"/>
            <w:tcBorders>
              <w:top w:val="nil"/>
              <w:left w:val="nil"/>
              <w:bottom w:val="single" w:sz="4" w:space="0" w:color="auto"/>
              <w:right w:val="single" w:sz="4" w:space="0" w:color="auto"/>
            </w:tcBorders>
            <w:shd w:val="clear" w:color="auto" w:fill="auto"/>
            <w:vAlign w:val="center"/>
            <w:hideMark/>
          </w:tcPr>
          <w:p w14:paraId="39CE035E"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03802190</w:t>
            </w:r>
          </w:p>
        </w:tc>
        <w:tc>
          <w:tcPr>
            <w:tcW w:w="1318" w:type="dxa"/>
            <w:tcBorders>
              <w:top w:val="nil"/>
              <w:left w:val="nil"/>
              <w:bottom w:val="single" w:sz="4" w:space="0" w:color="auto"/>
              <w:right w:val="single" w:sz="4" w:space="0" w:color="auto"/>
            </w:tcBorders>
            <w:shd w:val="clear" w:color="auto" w:fill="auto"/>
            <w:vAlign w:val="center"/>
            <w:hideMark/>
          </w:tcPr>
          <w:p w14:paraId="2F6405A4" w14:textId="77777777" w:rsidR="00E82AEF" w:rsidRPr="00BA2FED" w:rsidRDefault="00E82AEF" w:rsidP="00E82AEF">
            <w:pPr>
              <w:keepNext/>
              <w:keepLines/>
              <w:spacing w:after="0"/>
              <w:ind w:left="-845" w:firstLine="845"/>
              <w:rPr>
                <w:rFonts w:eastAsia="Times New Roman" w:cstheme="minorHAnsi"/>
                <w:sz w:val="18"/>
                <w:szCs w:val="18"/>
                <w:lang w:eastAsia="cs-CZ"/>
              </w:rPr>
            </w:pPr>
            <w:r w:rsidRPr="00BA2FED">
              <w:rPr>
                <w:rFonts w:eastAsia="Times New Roman" w:cstheme="minorHAnsi"/>
                <w:sz w:val="18"/>
                <w:szCs w:val="18"/>
                <w:lang w:eastAsia="cs-CZ"/>
              </w:rPr>
              <w:t>Malta</w:t>
            </w:r>
          </w:p>
        </w:tc>
        <w:tc>
          <w:tcPr>
            <w:tcW w:w="1231" w:type="dxa"/>
            <w:tcBorders>
              <w:top w:val="nil"/>
              <w:left w:val="nil"/>
              <w:bottom w:val="single" w:sz="4" w:space="0" w:color="auto"/>
              <w:right w:val="single" w:sz="4" w:space="0" w:color="auto"/>
            </w:tcBorders>
            <w:shd w:val="clear" w:color="auto" w:fill="auto"/>
            <w:vAlign w:val="center"/>
            <w:hideMark/>
          </w:tcPr>
          <w:p w14:paraId="2B392BE9"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nil"/>
              <w:left w:val="nil"/>
              <w:bottom w:val="single" w:sz="4" w:space="0" w:color="auto"/>
              <w:right w:val="single" w:sz="4" w:space="0" w:color="auto"/>
            </w:tcBorders>
            <w:shd w:val="clear" w:color="auto" w:fill="auto"/>
            <w:vAlign w:val="center"/>
            <w:hideMark/>
          </w:tcPr>
          <w:p w14:paraId="4B56607C"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MF-10839/2017/3403</w:t>
            </w:r>
          </w:p>
        </w:tc>
        <w:tc>
          <w:tcPr>
            <w:tcW w:w="992" w:type="dxa"/>
            <w:tcBorders>
              <w:top w:val="nil"/>
              <w:left w:val="nil"/>
              <w:bottom w:val="single" w:sz="4" w:space="0" w:color="auto"/>
              <w:right w:val="single" w:sz="4" w:space="0" w:color="auto"/>
            </w:tcBorders>
            <w:shd w:val="clear" w:color="auto" w:fill="auto"/>
            <w:vAlign w:val="center"/>
            <w:hideMark/>
          </w:tcPr>
          <w:p w14:paraId="4BC062E4"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07. 12. 2017</w:t>
            </w:r>
          </w:p>
        </w:tc>
        <w:tc>
          <w:tcPr>
            <w:tcW w:w="1202" w:type="dxa"/>
            <w:tcBorders>
              <w:top w:val="nil"/>
              <w:left w:val="nil"/>
              <w:bottom w:val="single" w:sz="4" w:space="0" w:color="auto"/>
              <w:right w:val="single" w:sz="8" w:space="0" w:color="auto"/>
            </w:tcBorders>
            <w:shd w:val="clear" w:color="auto" w:fill="auto"/>
            <w:vAlign w:val="center"/>
            <w:hideMark/>
          </w:tcPr>
          <w:p w14:paraId="2E9EA99C"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 </w:t>
            </w:r>
          </w:p>
        </w:tc>
      </w:tr>
      <w:tr w:rsidR="00BA2FED" w:rsidRPr="00BA2FED" w14:paraId="77C0B352" w14:textId="77777777" w:rsidTr="00D95B59">
        <w:trPr>
          <w:trHeight w:val="324"/>
        </w:trPr>
        <w:tc>
          <w:tcPr>
            <w:tcW w:w="1538" w:type="dxa"/>
            <w:tcBorders>
              <w:top w:val="nil"/>
              <w:left w:val="single" w:sz="8" w:space="0" w:color="auto"/>
              <w:bottom w:val="nil"/>
              <w:right w:val="single" w:sz="4" w:space="0" w:color="auto"/>
            </w:tcBorders>
            <w:shd w:val="clear" w:color="auto" w:fill="auto"/>
            <w:vAlign w:val="center"/>
            <w:hideMark/>
          </w:tcPr>
          <w:p w14:paraId="2840C42D"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lastRenderedPageBreak/>
              <w:t>iTech Labs Italia</w:t>
            </w:r>
          </w:p>
        </w:tc>
        <w:tc>
          <w:tcPr>
            <w:tcW w:w="984" w:type="dxa"/>
            <w:tcBorders>
              <w:top w:val="nil"/>
              <w:left w:val="nil"/>
              <w:bottom w:val="nil"/>
              <w:right w:val="single" w:sz="4" w:space="0" w:color="auto"/>
            </w:tcBorders>
            <w:shd w:val="clear" w:color="auto" w:fill="auto"/>
            <w:vAlign w:val="center"/>
            <w:hideMark/>
          </w:tcPr>
          <w:p w14:paraId="57B2AA8B"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1282510</w:t>
            </w:r>
          </w:p>
        </w:tc>
        <w:tc>
          <w:tcPr>
            <w:tcW w:w="1318" w:type="dxa"/>
            <w:tcBorders>
              <w:top w:val="nil"/>
              <w:left w:val="nil"/>
              <w:bottom w:val="nil"/>
              <w:right w:val="single" w:sz="4" w:space="0" w:color="auto"/>
            </w:tcBorders>
            <w:shd w:val="clear" w:color="auto" w:fill="auto"/>
            <w:vAlign w:val="center"/>
            <w:hideMark/>
          </w:tcPr>
          <w:p w14:paraId="7C45792C"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Itálie</w:t>
            </w:r>
          </w:p>
        </w:tc>
        <w:tc>
          <w:tcPr>
            <w:tcW w:w="1231" w:type="dxa"/>
            <w:tcBorders>
              <w:top w:val="nil"/>
              <w:left w:val="nil"/>
              <w:bottom w:val="nil"/>
              <w:right w:val="single" w:sz="4" w:space="0" w:color="auto"/>
            </w:tcBorders>
            <w:shd w:val="clear" w:color="auto" w:fill="auto"/>
            <w:vAlign w:val="center"/>
            <w:hideMark/>
          </w:tcPr>
          <w:p w14:paraId="104695A8"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nil"/>
              <w:left w:val="nil"/>
              <w:bottom w:val="nil"/>
              <w:right w:val="single" w:sz="4" w:space="0" w:color="auto"/>
            </w:tcBorders>
            <w:shd w:val="clear" w:color="auto" w:fill="auto"/>
            <w:vAlign w:val="center"/>
            <w:hideMark/>
          </w:tcPr>
          <w:p w14:paraId="7EE80D7E"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MF-9570/2017/3403</w:t>
            </w:r>
          </w:p>
        </w:tc>
        <w:tc>
          <w:tcPr>
            <w:tcW w:w="992" w:type="dxa"/>
            <w:tcBorders>
              <w:top w:val="nil"/>
              <w:left w:val="nil"/>
              <w:bottom w:val="nil"/>
              <w:right w:val="single" w:sz="4" w:space="0" w:color="auto"/>
            </w:tcBorders>
            <w:shd w:val="clear" w:color="auto" w:fill="auto"/>
            <w:vAlign w:val="center"/>
            <w:hideMark/>
          </w:tcPr>
          <w:p w14:paraId="275A9535"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04. 04. 2018</w:t>
            </w:r>
          </w:p>
        </w:tc>
        <w:tc>
          <w:tcPr>
            <w:tcW w:w="1202" w:type="dxa"/>
            <w:tcBorders>
              <w:top w:val="nil"/>
              <w:left w:val="nil"/>
              <w:bottom w:val="nil"/>
              <w:right w:val="single" w:sz="8" w:space="0" w:color="auto"/>
            </w:tcBorders>
            <w:shd w:val="clear" w:color="auto" w:fill="auto"/>
            <w:vAlign w:val="center"/>
            <w:hideMark/>
          </w:tcPr>
          <w:p w14:paraId="591AE499"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14. 08. 2018</w:t>
            </w:r>
          </w:p>
        </w:tc>
      </w:tr>
      <w:tr w:rsidR="00BA2FED" w:rsidRPr="00BA2FED" w14:paraId="3804CCF4" w14:textId="77777777" w:rsidTr="00D95B59">
        <w:trPr>
          <w:trHeight w:val="309"/>
        </w:trPr>
        <w:tc>
          <w:tcPr>
            <w:tcW w:w="1538" w:type="dxa"/>
            <w:tcBorders>
              <w:top w:val="single" w:sz="4" w:space="0" w:color="auto"/>
              <w:left w:val="single" w:sz="8" w:space="0" w:color="auto"/>
              <w:bottom w:val="nil"/>
              <w:right w:val="single" w:sz="4" w:space="0" w:color="auto"/>
            </w:tcBorders>
            <w:shd w:val="clear" w:color="auto" w:fill="auto"/>
            <w:noWrap/>
            <w:vAlign w:val="center"/>
            <w:hideMark/>
          </w:tcPr>
          <w:p w14:paraId="36AC46A7"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BMM Spain Testlabs, s.l.u.</w:t>
            </w:r>
          </w:p>
        </w:tc>
        <w:tc>
          <w:tcPr>
            <w:tcW w:w="984" w:type="dxa"/>
            <w:tcBorders>
              <w:top w:val="single" w:sz="4" w:space="0" w:color="auto"/>
              <w:left w:val="nil"/>
              <w:bottom w:val="nil"/>
              <w:right w:val="single" w:sz="4" w:space="0" w:color="auto"/>
            </w:tcBorders>
            <w:shd w:val="clear" w:color="auto" w:fill="auto"/>
            <w:noWrap/>
            <w:vAlign w:val="center"/>
            <w:hideMark/>
          </w:tcPr>
          <w:p w14:paraId="0A1F43DF"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 </w:t>
            </w:r>
          </w:p>
        </w:tc>
        <w:tc>
          <w:tcPr>
            <w:tcW w:w="1318" w:type="dxa"/>
            <w:tcBorders>
              <w:top w:val="single" w:sz="4" w:space="0" w:color="auto"/>
              <w:left w:val="nil"/>
              <w:bottom w:val="nil"/>
              <w:right w:val="single" w:sz="4" w:space="0" w:color="auto"/>
            </w:tcBorders>
            <w:shd w:val="clear" w:color="auto" w:fill="auto"/>
            <w:noWrap/>
            <w:vAlign w:val="center"/>
            <w:hideMark/>
          </w:tcPr>
          <w:p w14:paraId="6C7B7543"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Španělsko</w:t>
            </w:r>
          </w:p>
        </w:tc>
        <w:tc>
          <w:tcPr>
            <w:tcW w:w="1231" w:type="dxa"/>
            <w:tcBorders>
              <w:top w:val="single" w:sz="4" w:space="0" w:color="auto"/>
              <w:left w:val="nil"/>
              <w:bottom w:val="nil"/>
              <w:right w:val="single" w:sz="4" w:space="0" w:color="auto"/>
            </w:tcBorders>
            <w:shd w:val="clear" w:color="auto" w:fill="auto"/>
            <w:noWrap/>
            <w:vAlign w:val="center"/>
            <w:hideMark/>
          </w:tcPr>
          <w:p w14:paraId="574E6E78"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single" w:sz="4" w:space="0" w:color="auto"/>
              <w:left w:val="nil"/>
              <w:bottom w:val="nil"/>
              <w:right w:val="single" w:sz="4" w:space="0" w:color="auto"/>
            </w:tcBorders>
            <w:shd w:val="clear" w:color="auto" w:fill="auto"/>
            <w:noWrap/>
            <w:vAlign w:val="center"/>
            <w:hideMark/>
          </w:tcPr>
          <w:p w14:paraId="76F0D76B"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MF-18391/2018/3402-3</w:t>
            </w:r>
          </w:p>
        </w:tc>
        <w:tc>
          <w:tcPr>
            <w:tcW w:w="992" w:type="dxa"/>
            <w:tcBorders>
              <w:top w:val="single" w:sz="4" w:space="0" w:color="auto"/>
              <w:left w:val="nil"/>
              <w:bottom w:val="nil"/>
              <w:right w:val="single" w:sz="4" w:space="0" w:color="auto"/>
            </w:tcBorders>
            <w:shd w:val="clear" w:color="auto" w:fill="auto"/>
            <w:noWrap/>
            <w:vAlign w:val="center"/>
            <w:hideMark/>
          </w:tcPr>
          <w:p w14:paraId="10851E4F"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25. 10. 2018</w:t>
            </w:r>
          </w:p>
        </w:tc>
        <w:tc>
          <w:tcPr>
            <w:tcW w:w="1202" w:type="dxa"/>
            <w:tcBorders>
              <w:top w:val="single" w:sz="4" w:space="0" w:color="auto"/>
              <w:left w:val="nil"/>
              <w:bottom w:val="nil"/>
              <w:right w:val="single" w:sz="8" w:space="0" w:color="auto"/>
            </w:tcBorders>
            <w:shd w:val="clear" w:color="auto" w:fill="auto"/>
            <w:noWrap/>
            <w:vAlign w:val="center"/>
            <w:hideMark/>
          </w:tcPr>
          <w:p w14:paraId="5DE868AE"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25. 10. 2018</w:t>
            </w:r>
          </w:p>
        </w:tc>
      </w:tr>
      <w:tr w:rsidR="00BA2FED" w:rsidRPr="00BA2FED" w14:paraId="020AF31D" w14:textId="77777777" w:rsidTr="00D95B59">
        <w:trPr>
          <w:trHeight w:val="332"/>
        </w:trPr>
        <w:tc>
          <w:tcPr>
            <w:tcW w:w="1538"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2B377C24"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SIQ Ljubljana</w:t>
            </w:r>
          </w:p>
        </w:tc>
        <w:tc>
          <w:tcPr>
            <w:tcW w:w="984" w:type="dxa"/>
            <w:tcBorders>
              <w:top w:val="single" w:sz="4" w:space="0" w:color="auto"/>
              <w:left w:val="nil"/>
              <w:bottom w:val="single" w:sz="8" w:space="0" w:color="auto"/>
              <w:right w:val="single" w:sz="4" w:space="0" w:color="auto"/>
            </w:tcBorders>
            <w:shd w:val="clear" w:color="auto" w:fill="auto"/>
            <w:noWrap/>
            <w:vAlign w:val="center"/>
            <w:hideMark/>
          </w:tcPr>
          <w:p w14:paraId="0AA24035"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 </w:t>
            </w:r>
          </w:p>
        </w:tc>
        <w:tc>
          <w:tcPr>
            <w:tcW w:w="1318" w:type="dxa"/>
            <w:tcBorders>
              <w:top w:val="single" w:sz="4" w:space="0" w:color="auto"/>
              <w:left w:val="nil"/>
              <w:bottom w:val="single" w:sz="8" w:space="0" w:color="auto"/>
              <w:right w:val="single" w:sz="4" w:space="0" w:color="auto"/>
            </w:tcBorders>
            <w:shd w:val="clear" w:color="auto" w:fill="auto"/>
            <w:vAlign w:val="center"/>
            <w:hideMark/>
          </w:tcPr>
          <w:p w14:paraId="0D85DD8A"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Slovinsko</w:t>
            </w:r>
          </w:p>
        </w:tc>
        <w:tc>
          <w:tcPr>
            <w:tcW w:w="1231" w:type="dxa"/>
            <w:tcBorders>
              <w:top w:val="single" w:sz="4" w:space="0" w:color="auto"/>
              <w:left w:val="nil"/>
              <w:bottom w:val="single" w:sz="8" w:space="0" w:color="auto"/>
              <w:right w:val="single" w:sz="4" w:space="0" w:color="auto"/>
            </w:tcBorders>
            <w:shd w:val="clear" w:color="auto" w:fill="auto"/>
            <w:vAlign w:val="center"/>
            <w:hideMark/>
          </w:tcPr>
          <w:p w14:paraId="6390B805"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Pověřen v plném rozsahu</w:t>
            </w:r>
          </w:p>
        </w:tc>
        <w:tc>
          <w:tcPr>
            <w:tcW w:w="1663" w:type="dxa"/>
            <w:tcBorders>
              <w:top w:val="single" w:sz="4" w:space="0" w:color="auto"/>
              <w:left w:val="nil"/>
              <w:bottom w:val="single" w:sz="8" w:space="0" w:color="auto"/>
              <w:right w:val="single" w:sz="4" w:space="0" w:color="auto"/>
            </w:tcBorders>
            <w:shd w:val="clear" w:color="auto" w:fill="auto"/>
            <w:vAlign w:val="center"/>
            <w:hideMark/>
          </w:tcPr>
          <w:p w14:paraId="41F07D32" w14:textId="77777777" w:rsidR="00E82AEF" w:rsidRPr="00BA2FED" w:rsidRDefault="00E82AEF" w:rsidP="00E82AEF">
            <w:pPr>
              <w:keepNext/>
              <w:keepLines/>
              <w:spacing w:after="0"/>
              <w:rPr>
                <w:rFonts w:eastAsia="Times New Roman" w:cstheme="minorHAnsi"/>
                <w:sz w:val="18"/>
                <w:szCs w:val="18"/>
                <w:lang w:eastAsia="cs-CZ"/>
              </w:rPr>
            </w:pPr>
            <w:r w:rsidRPr="00BA2FED">
              <w:rPr>
                <w:rFonts w:eastAsia="Times New Roman" w:cstheme="minorHAnsi"/>
                <w:sz w:val="18"/>
                <w:szCs w:val="18"/>
                <w:lang w:eastAsia="cs-CZ"/>
              </w:rPr>
              <w:t>MF-21901/2019/73-6</w:t>
            </w:r>
          </w:p>
        </w:tc>
        <w:tc>
          <w:tcPr>
            <w:tcW w:w="992" w:type="dxa"/>
            <w:tcBorders>
              <w:top w:val="single" w:sz="4" w:space="0" w:color="auto"/>
              <w:left w:val="nil"/>
              <w:bottom w:val="single" w:sz="8" w:space="0" w:color="auto"/>
              <w:right w:val="single" w:sz="4" w:space="0" w:color="auto"/>
            </w:tcBorders>
            <w:shd w:val="clear" w:color="auto" w:fill="auto"/>
            <w:noWrap/>
            <w:vAlign w:val="center"/>
            <w:hideMark/>
          </w:tcPr>
          <w:p w14:paraId="41FFB7CA"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14. 02. 2020</w:t>
            </w:r>
          </w:p>
        </w:tc>
        <w:tc>
          <w:tcPr>
            <w:tcW w:w="1202" w:type="dxa"/>
            <w:tcBorders>
              <w:top w:val="single" w:sz="4" w:space="0" w:color="auto"/>
              <w:left w:val="nil"/>
              <w:bottom w:val="single" w:sz="8" w:space="0" w:color="auto"/>
              <w:right w:val="single" w:sz="8" w:space="0" w:color="auto"/>
            </w:tcBorders>
            <w:shd w:val="clear" w:color="auto" w:fill="auto"/>
            <w:noWrap/>
            <w:vAlign w:val="center"/>
            <w:hideMark/>
          </w:tcPr>
          <w:p w14:paraId="0A3A84F2" w14:textId="77777777" w:rsidR="00E82AEF" w:rsidRPr="00BA2FED" w:rsidRDefault="00E82AEF" w:rsidP="00E82AEF">
            <w:pPr>
              <w:keepNext/>
              <w:keepLines/>
              <w:spacing w:after="0"/>
              <w:jc w:val="left"/>
              <w:rPr>
                <w:rFonts w:eastAsia="Times New Roman" w:cstheme="minorHAnsi"/>
                <w:sz w:val="18"/>
                <w:szCs w:val="18"/>
                <w:lang w:eastAsia="cs-CZ"/>
              </w:rPr>
            </w:pPr>
            <w:r w:rsidRPr="00BA2FED">
              <w:rPr>
                <w:rFonts w:eastAsia="Times New Roman" w:cstheme="minorHAnsi"/>
                <w:sz w:val="18"/>
                <w:szCs w:val="18"/>
                <w:lang w:eastAsia="cs-CZ"/>
              </w:rPr>
              <w:t>14. 09. 2020</w:t>
            </w:r>
          </w:p>
        </w:tc>
      </w:tr>
    </w:tbl>
    <w:p w14:paraId="791D3FAD" w14:textId="77777777" w:rsidR="00E82AEF" w:rsidRPr="00BA2FED" w:rsidRDefault="00E82AEF" w:rsidP="00E82AEF">
      <w:pPr>
        <w:rPr>
          <w:i/>
          <w:sz w:val="20"/>
          <w:szCs w:val="20"/>
        </w:rPr>
      </w:pPr>
      <w:r w:rsidRPr="00BA2FED">
        <w:rPr>
          <w:i/>
          <w:sz w:val="20"/>
          <w:szCs w:val="20"/>
        </w:rPr>
        <w:t>Zdroj: Ministerstvo financí.</w:t>
      </w:r>
    </w:p>
    <w:p w14:paraId="7AEF10CE" w14:textId="52D084A4" w:rsidR="00E82AEF" w:rsidRPr="00BA2FED" w:rsidRDefault="006229D8" w:rsidP="00DE0411">
      <w:r w:rsidRPr="00BA2FED">
        <w:t>Zrušení pověření k odbornému posuzování a osvědčování je upraveno § 111 zákona o hazardních hrách</w:t>
      </w:r>
      <w:r w:rsidR="00424CC2">
        <w:t>.</w:t>
      </w:r>
      <w:r w:rsidR="00205255">
        <w:t xml:space="preserve"> P</w:t>
      </w:r>
      <w:r w:rsidRPr="00BA2FED">
        <w:t>ři zjištění skutečností uvedených v § 111 odst. 2 zákona o</w:t>
      </w:r>
      <w:r w:rsidR="00CC4A8E">
        <w:t> </w:t>
      </w:r>
      <w:r w:rsidRPr="00BA2FED">
        <w:t xml:space="preserve">hazardních hrách je </w:t>
      </w:r>
      <w:r w:rsidR="0098781B" w:rsidRPr="00BA2FED">
        <w:t>M</w:t>
      </w:r>
      <w:r w:rsidRPr="00BA2FED">
        <w:t xml:space="preserve">inisterstvo </w:t>
      </w:r>
      <w:r w:rsidR="0098781B" w:rsidRPr="00BA2FED">
        <w:t xml:space="preserve">financí </w:t>
      </w:r>
      <w:r w:rsidR="00C26DB0">
        <w:t>povinno zahájit řízení o </w:t>
      </w:r>
      <w:r w:rsidRPr="00BA2FED">
        <w:t>zrušení pověření k</w:t>
      </w:r>
      <w:r w:rsidR="00CC4A8E">
        <w:t> </w:t>
      </w:r>
      <w:r w:rsidRPr="00BA2FED">
        <w:t xml:space="preserve">odbornému posuzování a osvědčování z moci úřední. </w:t>
      </w:r>
      <w:r w:rsidR="00AF4E32" w:rsidRPr="00AF4E32">
        <w:t xml:space="preserve">Zjistí-li </w:t>
      </w:r>
      <w:r w:rsidR="0036061A">
        <w:t>M</w:t>
      </w:r>
      <w:r w:rsidR="00AF4E32" w:rsidRPr="00AF4E32">
        <w:t>inisterstvo</w:t>
      </w:r>
      <w:r w:rsidR="0036061A">
        <w:t xml:space="preserve"> financí</w:t>
      </w:r>
      <w:r w:rsidR="00AF4E32" w:rsidRPr="00AF4E32">
        <w:t>, že pověřená osoba přesta</w:t>
      </w:r>
      <w:r w:rsidR="0036061A">
        <w:t>la</w:t>
      </w:r>
      <w:r w:rsidR="00AF4E32" w:rsidRPr="00AF4E32">
        <w:t xml:space="preserve"> splňovat podmínky </w:t>
      </w:r>
      <w:r w:rsidR="00AF4E32">
        <w:t>stanovené pro vydání pověření k </w:t>
      </w:r>
      <w:r w:rsidR="00AF4E32" w:rsidRPr="00AF4E32">
        <w:t>odbornému posuzování a osvědčování, vyzve pově</w:t>
      </w:r>
      <w:r w:rsidR="00AF4E32">
        <w:t>řenou osobu k jejich splnění ve </w:t>
      </w:r>
      <w:r w:rsidR="00AF4E32" w:rsidRPr="00AF4E32">
        <w:t>stanovené lhůtě, pokud povaha těchto po</w:t>
      </w:r>
      <w:r w:rsidR="0036061A">
        <w:t>dmínek toto splnění připouští a </w:t>
      </w:r>
      <w:r w:rsidR="00AF4E32" w:rsidRPr="00AF4E32">
        <w:t>nehrozí nebezpečí z prodlení.</w:t>
      </w:r>
      <w:r w:rsidR="00AF4E32">
        <w:t xml:space="preserve"> Zákon o </w:t>
      </w:r>
      <w:r w:rsidRPr="00BA2FED">
        <w:t>hazardních hrách tak poskytuje šanci pověřeným osobám napravit stav obnovením dod</w:t>
      </w:r>
      <w:r w:rsidR="00BC20F6">
        <w:t xml:space="preserve">ržování podmínek nezbytných pro </w:t>
      </w:r>
      <w:r w:rsidRPr="00BA2FED">
        <w:t>vydání pověřen</w:t>
      </w:r>
      <w:r w:rsidR="00AF4E32">
        <w:t>í k odbornému posuzování a </w:t>
      </w:r>
      <w:r w:rsidRPr="00BA2FED">
        <w:t xml:space="preserve">osvědčování. </w:t>
      </w:r>
      <w:r w:rsidR="00AF4E32">
        <w:t>N</w:t>
      </w:r>
      <w:r w:rsidR="00C045A8">
        <w:t>a základě zákona č. </w:t>
      </w:r>
      <w:r w:rsidR="00AF4E32">
        <w:t>527/2020 Sb.</w:t>
      </w:r>
      <w:r w:rsidRPr="00BA2FED">
        <w:t xml:space="preserve"> zák</w:t>
      </w:r>
      <w:r w:rsidR="00BD35E4" w:rsidRPr="00BA2FED">
        <w:t>on o hazardních hrách explicitně upravuje</w:t>
      </w:r>
      <w:r w:rsidRPr="00BA2FED">
        <w:t xml:space="preserve"> možnost vyda</w:t>
      </w:r>
      <w:r w:rsidR="00C26DB0">
        <w:t>t rozhodnutí o </w:t>
      </w:r>
      <w:r w:rsidR="0098781B" w:rsidRPr="00BA2FED">
        <w:t>změně pověření</w:t>
      </w:r>
      <w:r w:rsidR="00710E71">
        <w:t>,</w:t>
      </w:r>
      <w:r w:rsidR="0098781B" w:rsidRPr="00BA2FED">
        <w:t xml:space="preserve"> a </w:t>
      </w:r>
      <w:r w:rsidRPr="00BA2FED">
        <w:t>také stanoví sankce za případné jednání pověřené osoby v rozporu se zákonem, podzákonnými předpisy nebo podmínkami stanovenými v pověření.</w:t>
      </w:r>
    </w:p>
    <w:p w14:paraId="4F060C67" w14:textId="7C6D70BE" w:rsidR="006229D8" w:rsidRPr="00BA2FED" w:rsidRDefault="006229D8" w:rsidP="00DE0411">
      <w:r w:rsidRPr="00BA2FED">
        <w:t>Pověřené osoby jsou oprávněny vykonávat činnost odborn</w:t>
      </w:r>
      <w:r w:rsidR="00D5103C" w:rsidRPr="00BA2FED">
        <w:t>ého posuzování a </w:t>
      </w:r>
      <w:r w:rsidR="00BD35E4" w:rsidRPr="00BA2FED">
        <w:t>osvědčování, tedy ověřovat, zda</w:t>
      </w:r>
      <w:r w:rsidRPr="00BA2FED">
        <w:t xml:space="preserve"> jsou splněny technické parametry zákona o</w:t>
      </w:r>
      <w:r w:rsidR="00D5103C" w:rsidRPr="00BA2FED">
        <w:t> </w:t>
      </w:r>
      <w:r w:rsidRPr="00BA2FED">
        <w:t>hazardních hrách a dalších podzákonných předpisů. V rámci této činnosti musí postupovat podle metodiky</w:t>
      </w:r>
      <w:r w:rsidR="00B63A6E" w:rsidRPr="00BA2FED">
        <w:t xml:space="preserve"> odborného posuzování</w:t>
      </w:r>
      <w:r w:rsidRPr="00BA2FED">
        <w:t>, která byla podkladem pro vydání pověření k</w:t>
      </w:r>
      <w:r w:rsidR="00B63A6E" w:rsidRPr="00BA2FED">
        <w:t> </w:t>
      </w:r>
      <w:r w:rsidRPr="00BA2FED">
        <w:t>činnosti. Ačkoli se</w:t>
      </w:r>
      <w:r w:rsidR="00D5103C" w:rsidRPr="00BA2FED">
        <w:t xml:space="preserve"> v zákoně o </w:t>
      </w:r>
      <w:r w:rsidRPr="00BA2FED">
        <w:t>hazardních hrách a technické vyhlášce objevují technické parametry ke všem druhům hazardních her,</w:t>
      </w:r>
      <w:r w:rsidR="000A3190" w:rsidRPr="00BA2FED">
        <w:t xml:space="preserve"> jejichž provozování je podmíněno základním povolením,</w:t>
      </w:r>
      <w:r w:rsidRPr="00BA2FED">
        <w:t xml:space="preserve"> </w:t>
      </w:r>
      <w:r w:rsidR="00D5103C" w:rsidRPr="00BA2FED">
        <w:t>§ 110 odst. 1 zákona o </w:t>
      </w:r>
      <w:r w:rsidRPr="00BA2FED">
        <w:t>hazardních hrách pož</w:t>
      </w:r>
      <w:r w:rsidR="00BD35E4" w:rsidRPr="00BA2FED">
        <w:t>aduje ověření splnění povinností</w:t>
      </w:r>
      <w:r w:rsidRPr="00BA2FED">
        <w:t xml:space="preserve"> pouze vůči hazardním hrám uvede</w:t>
      </w:r>
      <w:r w:rsidR="00B66245">
        <w:t>ným v § </w:t>
      </w:r>
      <w:r w:rsidRPr="00BA2FED">
        <w:t xml:space="preserve">3 odst. 2 písm. a) až e), internetové hře a zařízení, jejichž prostřednictvím jsou tyto hazardní hry provozovány (pověřené osoby tedy neposuzují splnění technických parametrů vůči živé hře provozované </w:t>
      </w:r>
      <w:r w:rsidR="00C26DB0">
        <w:t xml:space="preserve">formou </w:t>
      </w:r>
      <w:r w:rsidRPr="00BA2FED">
        <w:t>land-based</w:t>
      </w:r>
      <w:r w:rsidR="00C26DB0">
        <w:t>, tombole a </w:t>
      </w:r>
      <w:r w:rsidRPr="00BA2FED">
        <w:t>turnaji malého rozsahu.</w:t>
      </w:r>
    </w:p>
    <w:p w14:paraId="2F6498DC" w14:textId="0C4226A0" w:rsidR="006229D8" w:rsidRPr="00BA2FED" w:rsidRDefault="00A25E35" w:rsidP="00DE0411">
      <w:r w:rsidRPr="00BA2FED">
        <w:t>V zákoně o hazardních hrách účinném do 31. 1</w:t>
      </w:r>
      <w:r w:rsidR="00D75092">
        <w:t>2</w:t>
      </w:r>
      <w:r w:rsidRPr="00BA2FED">
        <w:t xml:space="preserve">. 2020 byl upraven </w:t>
      </w:r>
      <w:r w:rsidR="006229D8" w:rsidRPr="00BA2FED">
        <w:t xml:space="preserve">proces </w:t>
      </w:r>
      <w:r w:rsidRPr="00BA2FED">
        <w:t xml:space="preserve">správního řízení ve věci </w:t>
      </w:r>
      <w:r w:rsidR="006229D8" w:rsidRPr="00BA2FED">
        <w:t>vy</w:t>
      </w:r>
      <w:r w:rsidRPr="00BA2FED">
        <w:t>dávání a rušení po</w:t>
      </w:r>
      <w:r w:rsidR="00B66245">
        <w:t>věření k odbornému posuzování a </w:t>
      </w:r>
      <w:r w:rsidRPr="00BA2FED">
        <w:t xml:space="preserve">osvědčování, </w:t>
      </w:r>
      <w:r w:rsidR="006229D8" w:rsidRPr="00BA2FED">
        <w:t>nikoli však možnost změny pověření.</w:t>
      </w:r>
      <w:r w:rsidR="00BC41F8" w:rsidRPr="00BA2FED">
        <w:t xml:space="preserve"> </w:t>
      </w:r>
      <w:r w:rsidR="006229D8" w:rsidRPr="00BA2FED">
        <w:t xml:space="preserve">Dále </w:t>
      </w:r>
      <w:r w:rsidR="00710E71">
        <w:t xml:space="preserve">v </w:t>
      </w:r>
      <w:r w:rsidR="00BC41F8" w:rsidRPr="00BA2FED">
        <w:t xml:space="preserve">zákonné úpravě absentovala </w:t>
      </w:r>
      <w:r w:rsidR="000716B0">
        <w:t xml:space="preserve">povinnost </w:t>
      </w:r>
      <w:r w:rsidR="006229D8" w:rsidRPr="00BA2FED">
        <w:t>oznamování změn skutečností, jež má zajist</w:t>
      </w:r>
      <w:r w:rsidR="000716B0">
        <w:t>it aktuálnost veškerých údajů a </w:t>
      </w:r>
      <w:r w:rsidR="006229D8" w:rsidRPr="00BA2FED">
        <w:t>podkladů, za kterých bylo vydáno pověření k odbornému posuzování a osvědčování, a současně</w:t>
      </w:r>
      <w:r w:rsidR="00D75092">
        <w:t xml:space="preserve"> požadavek</w:t>
      </w:r>
      <w:r w:rsidR="006229D8" w:rsidRPr="00BA2FED">
        <w:t xml:space="preserve"> naplnění veškerých podmínek po celou dobu platnosti pověření. </w:t>
      </w:r>
      <w:r w:rsidR="00710E71">
        <w:t>V zákoně o hazardních hrách</w:t>
      </w:r>
      <w:r w:rsidR="00D75092">
        <w:t xml:space="preserve"> před 1. 1. 2021</w:t>
      </w:r>
      <w:r w:rsidR="00710E71">
        <w:t xml:space="preserve"> také</w:t>
      </w:r>
      <w:r w:rsidR="006229D8" w:rsidRPr="00BA2FED">
        <w:t xml:space="preserve"> nebyla upravena možnost zrušit pověření </w:t>
      </w:r>
      <w:r w:rsidR="00D75092">
        <w:t>z důvodu</w:t>
      </w:r>
      <w:r w:rsidR="006229D8" w:rsidRPr="00BA2FED">
        <w:t xml:space="preserve"> porušení </w:t>
      </w:r>
      <w:r w:rsidR="00D75092">
        <w:t xml:space="preserve">povinnosti </w:t>
      </w:r>
      <w:r w:rsidR="006229D8" w:rsidRPr="00BA2FED">
        <w:t>uveden</w:t>
      </w:r>
      <w:r w:rsidR="00D75092">
        <w:t>é</w:t>
      </w:r>
      <w:r w:rsidR="006229D8" w:rsidRPr="00BA2FED">
        <w:t xml:space="preserve"> v</w:t>
      </w:r>
      <w:r w:rsidR="00D75092">
        <w:t> </w:t>
      </w:r>
      <w:r w:rsidR="006229D8" w:rsidRPr="00BA2FED">
        <w:t>pověření, ale pouze v situacíc</w:t>
      </w:r>
      <w:r w:rsidR="0098781B" w:rsidRPr="00BA2FED">
        <w:t>h, kdy pověřená osoba na výzvu M</w:t>
      </w:r>
      <w:r w:rsidR="006229D8" w:rsidRPr="00BA2FED">
        <w:t>inisterstva</w:t>
      </w:r>
      <w:r w:rsidR="0098781B" w:rsidRPr="00BA2FED">
        <w:t xml:space="preserve"> financí</w:t>
      </w:r>
      <w:r w:rsidR="006229D8" w:rsidRPr="00BA2FED">
        <w:t xml:space="preserve"> nezajistí splnění podmínek stanovených pro vydání pověření k odbornému posuzování a</w:t>
      </w:r>
      <w:r w:rsidR="00CC4A8E">
        <w:t> </w:t>
      </w:r>
      <w:r w:rsidR="006229D8" w:rsidRPr="00BA2FED">
        <w:t>osvědčování</w:t>
      </w:r>
      <w:r w:rsidR="00CD60D0">
        <w:t>, popř. v</w:t>
      </w:r>
      <w:r w:rsidR="00BE4EB9" w:rsidRPr="00BA2FED">
        <w:t>yjdou</w:t>
      </w:r>
      <w:r w:rsidR="006229D8" w:rsidRPr="00BA2FED">
        <w:t>-li dodatečně najevo skutečnosti, pro které by nebylo možné pověření k</w:t>
      </w:r>
      <w:r w:rsidR="007C0EBD" w:rsidRPr="00BA2FED">
        <w:t> </w:t>
      </w:r>
      <w:r w:rsidR="006229D8" w:rsidRPr="00BA2FED">
        <w:t>odbornému posuzování a osvědčování udělit, poruší-li pověřená osoba opakovaně nebo závažným způsobem povinnosti stanovené zákonem o</w:t>
      </w:r>
      <w:r w:rsidR="00CC4A8E">
        <w:t> </w:t>
      </w:r>
      <w:r w:rsidR="006229D8" w:rsidRPr="00BA2FED">
        <w:t>hazardních hrách nebo přestane-li pověřená osoba splňovat podmínky stanovené zákonem o hazardn</w:t>
      </w:r>
      <w:r w:rsidR="00B66245">
        <w:t>ích hrách pro vydání pověření k </w:t>
      </w:r>
      <w:r w:rsidR="006229D8" w:rsidRPr="00BA2FED">
        <w:t>odbornému posuzování a</w:t>
      </w:r>
      <w:r w:rsidR="00CC4A8E">
        <w:t> </w:t>
      </w:r>
      <w:r w:rsidR="006229D8" w:rsidRPr="00BA2FED">
        <w:t xml:space="preserve">osvědčování. </w:t>
      </w:r>
    </w:p>
    <w:p w14:paraId="414906B0" w14:textId="753D5A5F" w:rsidR="006229D8" w:rsidRDefault="006229D8" w:rsidP="00DE0411">
      <w:r w:rsidRPr="00BA2FED">
        <w:lastRenderedPageBreak/>
        <w:t>Výše uvedené nedostatky byly vyhodnoceny j</w:t>
      </w:r>
      <w:r w:rsidR="00D5103C" w:rsidRPr="00BA2FED">
        <w:t>iž v průběhu roku 2019 a 2020 a </w:t>
      </w:r>
      <w:r w:rsidR="00DD460E">
        <w:t>zákonem č. 527/2020 Sb.</w:t>
      </w:r>
      <w:r w:rsidRPr="00710E71">
        <w:rPr>
          <w:b/>
        </w:rPr>
        <w:t xml:space="preserve"> bylo přistoupeno k legislativní změně</w:t>
      </w:r>
      <w:r w:rsidRPr="00BA2FED">
        <w:t xml:space="preserve"> příslušných ustano</w:t>
      </w:r>
      <w:r w:rsidR="00BC41F8" w:rsidRPr="00BA2FED">
        <w:t>vení</w:t>
      </w:r>
      <w:r w:rsidR="00E415F6" w:rsidRPr="00BA2FED">
        <w:t xml:space="preserve">, čímž byly </w:t>
      </w:r>
      <w:r w:rsidR="00BC41F8" w:rsidRPr="00710E71">
        <w:rPr>
          <w:b/>
        </w:rPr>
        <w:t>nedostatky</w:t>
      </w:r>
      <w:r w:rsidR="00181B9C" w:rsidRPr="00710E71">
        <w:rPr>
          <w:b/>
        </w:rPr>
        <w:t xml:space="preserve"> </w:t>
      </w:r>
      <w:r w:rsidR="00BC41F8" w:rsidRPr="00710E71">
        <w:rPr>
          <w:b/>
        </w:rPr>
        <w:t>odstraněny</w:t>
      </w:r>
      <w:r w:rsidR="00BC41F8" w:rsidRPr="00BA2FED">
        <w:t>.</w:t>
      </w:r>
    </w:p>
    <w:p w14:paraId="4DC0F6BB" w14:textId="417987B4" w:rsidR="00111E24" w:rsidRPr="00BA2FED" w:rsidRDefault="00111E24" w:rsidP="00EF64DB">
      <w:pPr>
        <w:pStyle w:val="Nadpis5"/>
      </w:pPr>
      <w:bookmarkStart w:id="10" w:name="_Toc73608101"/>
      <w:r>
        <w:t>Výstupní dokumenty</w:t>
      </w:r>
      <w:bookmarkEnd w:id="10"/>
    </w:p>
    <w:p w14:paraId="72983876" w14:textId="657F5778" w:rsidR="006229D8" w:rsidRPr="00BA2FED" w:rsidRDefault="006229D8" w:rsidP="00DE0411">
      <w:r w:rsidRPr="00BA2FED">
        <w:t>Na základě provedení ověření nastavení technický</w:t>
      </w:r>
      <w:r w:rsidR="006A2947">
        <w:t>ch parametrů hazardní hry, nebo</w:t>
      </w:r>
      <w:r w:rsidR="00BC20F6">
        <w:t xml:space="preserve"> </w:t>
      </w:r>
      <w:r w:rsidRPr="00BA2FED">
        <w:t xml:space="preserve">zařízení, prostřednictvím kterého jsou hazardní hry provozovány, vydává pověřená osoba výstupní dokumenty, a to </w:t>
      </w:r>
      <w:r w:rsidR="00C26DB0">
        <w:t>odborné posouzení a osvědčení o </w:t>
      </w:r>
      <w:r w:rsidRPr="00BA2FED">
        <w:t xml:space="preserve">provozuschopnosti. V návaznosti na </w:t>
      </w:r>
      <w:r w:rsidR="00DD460E">
        <w:t xml:space="preserve">zákon č. 527/2020 Sb. </w:t>
      </w:r>
      <w:r w:rsidRPr="00BA2FED">
        <w:t>zároveň pov</w:t>
      </w:r>
      <w:r w:rsidR="00BC41F8" w:rsidRPr="00BA2FED">
        <w:t>ěřená osoba vydává další druh</w:t>
      </w:r>
      <w:r w:rsidRPr="00BA2FED">
        <w:t xml:space="preserve"> výstupního dokumentu, a to zprávu o </w:t>
      </w:r>
      <w:r w:rsidR="006A2947">
        <w:t>posouzen</w:t>
      </w:r>
      <w:r w:rsidRPr="00BA2FED">
        <w:t xml:space="preserve">í změn. </w:t>
      </w:r>
    </w:p>
    <w:p w14:paraId="79156493" w14:textId="37FF4F1B" w:rsidR="001B3DFE" w:rsidRDefault="006229D8" w:rsidP="00DE0411">
      <w:r w:rsidRPr="006A2947">
        <w:rPr>
          <w:b/>
        </w:rPr>
        <w:t>Odborné posouzení</w:t>
      </w:r>
      <w:r w:rsidRPr="00BA2FED">
        <w:t xml:space="preserve"> je detailním zhodnocením</w:t>
      </w:r>
      <w:r w:rsidR="006A2947">
        <w:t xml:space="preserve"> “prototypu” hazardní hry, nebo</w:t>
      </w:r>
      <w:r w:rsidR="00BC20F6">
        <w:t xml:space="preserve"> </w:t>
      </w:r>
      <w:r w:rsidRPr="00BA2FED">
        <w:t>zařízení, prostřednictvím kterého jsou tyto hazardní hry provozovány. Dokument obsahuje detailní popis procesu posou</w:t>
      </w:r>
      <w:r w:rsidR="006A2947">
        <w:t>zení a závěry, zda </w:t>
      </w:r>
      <w:r w:rsidRPr="00BA2FED">
        <w:t xml:space="preserve">byly naplněny technické parametry zákona o hazardních hrách a podzákonných </w:t>
      </w:r>
      <w:r w:rsidR="006A2947">
        <w:t xml:space="preserve">právních </w:t>
      </w:r>
      <w:r w:rsidRPr="00BA2FED">
        <w:t>předpisů</w:t>
      </w:r>
      <w:r w:rsidR="00567932">
        <w:t xml:space="preserve"> či nikoliv</w:t>
      </w:r>
      <w:r w:rsidRPr="00BA2FED">
        <w:t xml:space="preserve">. </w:t>
      </w:r>
    </w:p>
    <w:p w14:paraId="54BAEC18" w14:textId="6FECD7DB" w:rsidR="006229D8" w:rsidRPr="00BA2FED" w:rsidRDefault="001B3DFE" w:rsidP="00DE0411">
      <w:r w:rsidRPr="00EF64DB">
        <w:rPr>
          <w:b/>
        </w:rPr>
        <w:t>O</w:t>
      </w:r>
      <w:r w:rsidR="006229D8" w:rsidRPr="00EF64DB">
        <w:rPr>
          <w:b/>
        </w:rPr>
        <w:t>svědčení o provozuschopnosti</w:t>
      </w:r>
      <w:r w:rsidR="006229D8" w:rsidRPr="00BA2FED">
        <w:t xml:space="preserve"> </w:t>
      </w:r>
      <w:r>
        <w:t>je</w:t>
      </w:r>
      <w:r w:rsidR="006229D8" w:rsidRPr="00BA2FED">
        <w:t xml:space="preserve"> souhrn</w:t>
      </w:r>
      <w:r>
        <w:t>em</w:t>
      </w:r>
      <w:r w:rsidR="006229D8" w:rsidRPr="00BA2FED">
        <w:t xml:space="preserve"> informací z odborného posouzení</w:t>
      </w:r>
      <w:r w:rsidR="00D16C40">
        <w:t>.</w:t>
      </w:r>
      <w:r w:rsidR="006229D8" w:rsidRPr="00BA2FED">
        <w:t xml:space="preserve"> </w:t>
      </w:r>
      <w:r w:rsidR="00D16C40">
        <w:t>K</w:t>
      </w:r>
      <w:r w:rsidR="006229D8" w:rsidRPr="00BA2FED">
        <w:t xml:space="preserve">e každé hazardní hře, popř. </w:t>
      </w:r>
      <w:r w:rsidR="00D16C40">
        <w:t xml:space="preserve">ke každému </w:t>
      </w:r>
      <w:r w:rsidR="006229D8" w:rsidRPr="00BA2FED">
        <w:t xml:space="preserve">zařízení, prostřednictvím kterého jsou tyto hazardní hry provozovány </w:t>
      </w:r>
      <w:r w:rsidR="00D16C40">
        <w:t>(</w:t>
      </w:r>
      <w:r w:rsidR="006229D8" w:rsidRPr="00BA2FED">
        <w:t>označeném</w:t>
      </w:r>
      <w:r w:rsidR="00D16C40">
        <w:t>u</w:t>
      </w:r>
      <w:r w:rsidR="006229D8" w:rsidRPr="00BA2FED">
        <w:t xml:space="preserve"> konkrétním výrobním číslem</w:t>
      </w:r>
      <w:r w:rsidR="00D16C40">
        <w:t>)</w:t>
      </w:r>
      <w:r w:rsidR="006229D8" w:rsidRPr="00BA2FED">
        <w:t>, exist</w:t>
      </w:r>
      <w:r w:rsidR="00D16C40">
        <w:t>uje osvědčení o </w:t>
      </w:r>
      <w:r w:rsidR="006229D8" w:rsidRPr="00BA2FED">
        <w:t xml:space="preserve">provozuschopnosti. </w:t>
      </w:r>
    </w:p>
    <w:p w14:paraId="22003DD8" w14:textId="34E9BE86" w:rsidR="006229D8" w:rsidRPr="00BA2FED" w:rsidRDefault="001B3DFE" w:rsidP="00DE0411">
      <w:r>
        <w:t>Osvědčení o provozuschopnosti</w:t>
      </w:r>
      <w:r w:rsidR="00567932">
        <w:t xml:space="preserve"> </w:t>
      </w:r>
      <w:r w:rsidR="006229D8" w:rsidRPr="00BA2FED">
        <w:t xml:space="preserve">může </w:t>
      </w:r>
      <w:r>
        <w:t xml:space="preserve">mít formu </w:t>
      </w:r>
      <w:r w:rsidR="006229D8" w:rsidRPr="00BA2FED">
        <w:t>struč</w:t>
      </w:r>
      <w:r w:rsidR="00C26DB0">
        <w:t>n</w:t>
      </w:r>
      <w:r>
        <w:t xml:space="preserve">ého </w:t>
      </w:r>
      <w:r w:rsidR="00C26DB0">
        <w:t>výpis</w:t>
      </w:r>
      <w:r>
        <w:t>u</w:t>
      </w:r>
      <w:r w:rsidR="00C26DB0">
        <w:t xml:space="preserve"> </w:t>
      </w:r>
      <w:r w:rsidR="00567932">
        <w:t xml:space="preserve">z </w:t>
      </w:r>
      <w:r w:rsidR="00C26DB0">
        <w:t>odborného posouzení (v </w:t>
      </w:r>
      <w:r w:rsidR="006229D8" w:rsidRPr="00BA2FED">
        <w:t>případě, že testovaný prototyp je totožný s hrou, nebo zařízením, prostřednictvím kterého jsou tyto hazardní hry provozovány),</w:t>
      </w:r>
      <w:r w:rsidR="00D16C40">
        <w:t xml:space="preserve"> nebo </w:t>
      </w:r>
      <w:r w:rsidR="00567932">
        <w:t xml:space="preserve">formu </w:t>
      </w:r>
      <w:r w:rsidR="00D16C40">
        <w:t>prohlášení o shodě (tj. </w:t>
      </w:r>
      <w:r w:rsidR="006229D8" w:rsidRPr="00BA2FED">
        <w:t xml:space="preserve">prohlášení formou stručného shrnutí informací z odborného posouzení </w:t>
      </w:r>
      <w:r w:rsidR="00567932">
        <w:t>které osvědčuje totožnost</w:t>
      </w:r>
      <w:r w:rsidR="006229D8" w:rsidRPr="00BA2FED">
        <w:t xml:space="preserve"> zařízení s výrobními čísly uve</w:t>
      </w:r>
      <w:r w:rsidR="00C26DB0">
        <w:t>denými na dokumentu osvědčení o </w:t>
      </w:r>
      <w:r w:rsidR="006229D8" w:rsidRPr="00BA2FED">
        <w:t xml:space="preserve">provozuschopnosti, </w:t>
      </w:r>
      <w:r w:rsidR="00567932">
        <w:t>s</w:t>
      </w:r>
      <w:r w:rsidR="006229D8" w:rsidRPr="00BA2FED">
        <w:t xml:space="preserve"> t</w:t>
      </w:r>
      <w:r w:rsidR="00C26DB0">
        <w:t>estovaný</w:t>
      </w:r>
      <w:r w:rsidR="00567932">
        <w:t>m</w:t>
      </w:r>
      <w:r w:rsidR="00C26DB0">
        <w:t xml:space="preserve"> prototyp</w:t>
      </w:r>
      <w:r w:rsidR="00567932">
        <w:t>em</w:t>
      </w:r>
      <w:r w:rsidR="00C26DB0">
        <w:t>). Osvědčení o </w:t>
      </w:r>
      <w:r w:rsidR="006229D8" w:rsidRPr="00BA2FED">
        <w:t>provozuschopnosti je tak možné vydat pouze v okamžiku, kdy je vydáno odborné posouzení.</w:t>
      </w:r>
    </w:p>
    <w:p w14:paraId="7E515B3C" w14:textId="29C4FFC5" w:rsidR="006229D8" w:rsidRPr="00BA2FED" w:rsidRDefault="006229D8" w:rsidP="00DE0411">
      <w:r w:rsidRPr="00567932">
        <w:rPr>
          <w:b/>
        </w:rPr>
        <w:t>Vyhláška o náležitostech výstupních dokumentů</w:t>
      </w:r>
      <w:r w:rsidRPr="00BA2FED">
        <w:t xml:space="preserve"> obsahuje </w:t>
      </w:r>
      <w:r w:rsidR="00E2662E" w:rsidRPr="00BA2FED">
        <w:t xml:space="preserve">minimální </w:t>
      </w:r>
      <w:r w:rsidRPr="00BA2FED">
        <w:t>obsahové náležitosti odborného posouzení a osvědčení o provozuschopnosti</w:t>
      </w:r>
      <w:r w:rsidR="00910851" w:rsidRPr="00BA2FED">
        <w:rPr>
          <w:rStyle w:val="Znakapoznpodarou"/>
        </w:rPr>
        <w:footnoteReference w:id="3"/>
      </w:r>
      <w:r w:rsidRPr="00BA2FED">
        <w:t>. Neobsahuje však minimální obsahové náležitost</w:t>
      </w:r>
      <w:r w:rsidR="0042575D" w:rsidRPr="00BA2FED">
        <w:t>i zprávy o provedení změn, která</w:t>
      </w:r>
      <w:r w:rsidRPr="00BA2FED">
        <w:t xml:space="preserve"> je součástí právní úpravy od účinnosti </w:t>
      </w:r>
      <w:r w:rsidR="00BC2834">
        <w:t>zákona č. 527/2020 Sb</w:t>
      </w:r>
      <w:r w:rsidR="00437660">
        <w:t>. Dále vyhláška o </w:t>
      </w:r>
      <w:r w:rsidRPr="00BA2FED">
        <w:t>náležitostech výstupních dokumentů obsahuje institut úložiště výstupních dokumentů</w:t>
      </w:r>
      <w:r w:rsidR="00493770" w:rsidRPr="00BA2FED">
        <w:t xml:space="preserve"> vydávaných </w:t>
      </w:r>
      <w:r w:rsidRPr="00BA2FED">
        <w:t>pověřen</w:t>
      </w:r>
      <w:r w:rsidR="00493770" w:rsidRPr="00BA2FED">
        <w:t>ou</w:t>
      </w:r>
      <w:r w:rsidRPr="00BA2FED">
        <w:t xml:space="preserve"> osob</w:t>
      </w:r>
      <w:r w:rsidR="00493770" w:rsidRPr="00BA2FED">
        <w:t>ou</w:t>
      </w:r>
      <w:r w:rsidRPr="00BA2FED">
        <w:t xml:space="preserve">. </w:t>
      </w:r>
    </w:p>
    <w:p w14:paraId="12260FD9" w14:textId="3FFA4822" w:rsidR="006229D8" w:rsidRPr="00BA2FED" w:rsidRDefault="00ED7184" w:rsidP="00DE0411">
      <w:r>
        <w:t>V § 1 odst. 2 vyhlášky o náležitostech výstupních dokument</w:t>
      </w:r>
      <w:r w:rsidR="009E5996">
        <w:t>ů</w:t>
      </w:r>
      <w:r>
        <w:t xml:space="preserve"> jsou definovány m</w:t>
      </w:r>
      <w:r w:rsidR="006229D8" w:rsidRPr="00BA2FED">
        <w:t>inimální obsahové náležitosti odborného posouzení</w:t>
      </w:r>
      <w:r>
        <w:t>,</w:t>
      </w:r>
      <w:r w:rsidR="006229D8" w:rsidRPr="00BA2FED">
        <w:t xml:space="preserve"> např. </w:t>
      </w:r>
      <w:r w:rsidR="00E2662E" w:rsidRPr="00BA2FED">
        <w:t xml:space="preserve">identifikace </w:t>
      </w:r>
      <w:r w:rsidR="006229D8" w:rsidRPr="00BA2FED">
        <w:t>dokumentu, objednatele, pověřené osoby, atd.), přičem</w:t>
      </w:r>
      <w:r w:rsidR="00C045A8">
        <w:t>ž zcela zásadní je požadavek na </w:t>
      </w:r>
      <w:r w:rsidR="006229D8" w:rsidRPr="00BA2FED">
        <w:t>i</w:t>
      </w:r>
      <w:r w:rsidR="00146A86" w:rsidRPr="00BA2FED">
        <w:t xml:space="preserve">dentifikaci předmětu posouzení. </w:t>
      </w:r>
      <w:r w:rsidR="006229D8" w:rsidRPr="00BA2FED">
        <w:t xml:space="preserve">Dále je </w:t>
      </w:r>
      <w:r>
        <w:t>pověřená osoba povinna</w:t>
      </w:r>
      <w:r w:rsidRPr="00BA2FED">
        <w:t xml:space="preserve"> </w:t>
      </w:r>
      <w:r w:rsidR="006229D8" w:rsidRPr="00BA2FED">
        <w:t xml:space="preserve">uvést podrobnou technickou charakteristiku předmětu posouzení (popř. popis průběhu hry), výčet metod, podle kterých pověřená osoba provedla posouzení a popis průběhu posouzení, spolu se seznamem podkladů pro posouzení. Dalším klíčovým požadavkem je uvedení výsledku posouzení, ve smyslu vyhodnocení shody jednotlivých parametrů hazardní hry, zařízení, jehož prostřednictvím má být hazardní hra provozována, nebo jeho samostatně stojící části, je-li předmětem posouzení </w:t>
      </w:r>
      <w:r w:rsidR="00827ECE">
        <w:t>RNG</w:t>
      </w:r>
      <w:r w:rsidR="0042575D" w:rsidRPr="00BA2FED">
        <w:t xml:space="preserve"> nebo koncové zařízení</w:t>
      </w:r>
      <w:r w:rsidR="00D5103C" w:rsidRPr="00BA2FED">
        <w:t xml:space="preserve"> s </w:t>
      </w:r>
      <w:r w:rsidR="006229D8" w:rsidRPr="00BA2FED">
        <w:t>parametry, které jsou pro ně stanoveny zákonem o</w:t>
      </w:r>
      <w:r w:rsidR="00827ECE">
        <w:t> </w:t>
      </w:r>
      <w:r w:rsidR="006229D8" w:rsidRPr="00BA2FED">
        <w:t xml:space="preserve">hazardních hrách, a uvedení použitých metod a uvedení hodnot jednotlivých parametrů podle písmene a) u těch </w:t>
      </w:r>
      <w:r w:rsidR="006229D8" w:rsidRPr="00BA2FED">
        <w:lastRenderedPageBreak/>
        <w:t>parametrů, které lze hodnotově vyjádřit. Samozřejmostí jsou pak formální náležitosti na dokument (např. číslování) a délka platnosti dokumentu. Podle § 110 odst. 5 zákona o hazardních hrách se dokumenty odborného posouzení a</w:t>
      </w:r>
      <w:r w:rsidR="00B66245">
        <w:t> </w:t>
      </w:r>
      <w:r w:rsidR="006229D8" w:rsidRPr="00BA2FED">
        <w:t>osvědčení vydáva</w:t>
      </w:r>
      <w:r w:rsidR="00C045A8">
        <w:t>jí nejdéle na dobu 5 let, avšak pověřená osoba</w:t>
      </w:r>
      <w:r w:rsidR="006229D8" w:rsidRPr="00BA2FED">
        <w:t xml:space="preserve"> může tuto platnost dle svého uvážení zkrátit.</w:t>
      </w:r>
    </w:p>
    <w:p w14:paraId="593AC5D5" w14:textId="31D43E75" w:rsidR="006229D8" w:rsidRPr="00BA2FED" w:rsidRDefault="006229D8" w:rsidP="00DE0411">
      <w:r w:rsidRPr="00BA2FED">
        <w:t>V souvislosti s odborným posouzením vyhláška o nále</w:t>
      </w:r>
      <w:r w:rsidR="00CB2B78" w:rsidRPr="00BA2FED">
        <w:t>žitostech</w:t>
      </w:r>
      <w:r w:rsidR="008212B3">
        <w:t xml:space="preserve"> výstupních dokumentů</w:t>
      </w:r>
      <w:r w:rsidR="00CB2B78" w:rsidRPr="00BA2FED">
        <w:t xml:space="preserve"> zdůrazňuje, že </w:t>
      </w:r>
      <w:r w:rsidR="00CB2B78" w:rsidRPr="00BB4FB1">
        <w:rPr>
          <w:b/>
        </w:rPr>
        <w:t>pouze M</w:t>
      </w:r>
      <w:r w:rsidRPr="00BB4FB1">
        <w:rPr>
          <w:b/>
        </w:rPr>
        <w:t>inisterstvo</w:t>
      </w:r>
      <w:r w:rsidR="00CB2B78" w:rsidRPr="00BB4FB1">
        <w:rPr>
          <w:b/>
        </w:rPr>
        <w:t xml:space="preserve"> financí</w:t>
      </w:r>
      <w:r w:rsidRPr="00BB4FB1">
        <w:rPr>
          <w:b/>
        </w:rPr>
        <w:t xml:space="preserve"> je oprávněno posuzovat otázky, které souvisí s provozování hazardní hry, nebo zařízení</w:t>
      </w:r>
      <w:r w:rsidRPr="00BA2FED">
        <w:t xml:space="preserve">, prostřednictvím kterého jsou hazardní hry provozovány. Kladné ani záporné </w:t>
      </w:r>
      <w:r w:rsidRPr="00BB4FB1">
        <w:rPr>
          <w:b/>
        </w:rPr>
        <w:t>posouzení shody s technickými parametry</w:t>
      </w:r>
      <w:r w:rsidRPr="00BA2FED">
        <w:t xml:space="preserve"> stanovenými v právních předpisech </w:t>
      </w:r>
      <w:r w:rsidRPr="00BB4FB1">
        <w:rPr>
          <w:b/>
        </w:rPr>
        <w:t xml:space="preserve">nezakládá oprávnění k provozování hazardní hry, </w:t>
      </w:r>
      <w:r w:rsidR="00040363">
        <w:rPr>
          <w:b/>
        </w:rPr>
        <w:t xml:space="preserve">ani oprávnění k provozování </w:t>
      </w:r>
      <w:r w:rsidRPr="00BB4FB1">
        <w:rPr>
          <w:b/>
        </w:rPr>
        <w:t>zařízení</w:t>
      </w:r>
      <w:r w:rsidR="00C045A8">
        <w:t>, jehož </w:t>
      </w:r>
      <w:r w:rsidRPr="00BA2FED">
        <w:t>prostřednictvím má být hazardní hra provozována, nebo jeho samostatně stojících částí.</w:t>
      </w:r>
    </w:p>
    <w:p w14:paraId="3EC45997" w14:textId="3A984251" w:rsidR="006229D8" w:rsidRPr="00BA2FED" w:rsidRDefault="006229D8" w:rsidP="00DE0411">
      <w:r w:rsidRPr="00BA2FED">
        <w:t xml:space="preserve">Obsahové náležitosti kladené na </w:t>
      </w:r>
      <w:r w:rsidRPr="00BB4FB1">
        <w:rPr>
          <w:b/>
        </w:rPr>
        <w:t>osvědčení o provozuschopnosti</w:t>
      </w:r>
      <w:r w:rsidRPr="00BA2FED">
        <w:t xml:space="preserve"> </w:t>
      </w:r>
      <w:r w:rsidR="0042575D" w:rsidRPr="00BA2FED">
        <w:t xml:space="preserve">jsou </w:t>
      </w:r>
      <w:r w:rsidRPr="00BA2FED">
        <w:t xml:space="preserve">z povahy tohoto dokumentu odlišné </w:t>
      </w:r>
      <w:r w:rsidR="00E2662E" w:rsidRPr="00BA2FED">
        <w:t xml:space="preserve">než obsahové náležitosti kladené na odborné posouzení </w:t>
      </w:r>
      <w:r w:rsidR="00B66245">
        <w:t>a </w:t>
      </w:r>
      <w:r w:rsidRPr="00BA2FED">
        <w:t>obsahují pouze vybrané údaje z odborného posouzení. Minimální náležitostí jsou identifikační údaje (např. dokumentu, pověřené</w:t>
      </w:r>
      <w:r w:rsidR="00040363">
        <w:t xml:space="preserve"> osoby, odborného posouzení, na </w:t>
      </w:r>
      <w:r w:rsidRPr="00BA2FED">
        <w:t>které navazuje), zejména pak id</w:t>
      </w:r>
      <w:r w:rsidR="00040363">
        <w:t>entifikace</w:t>
      </w:r>
      <w:r w:rsidR="00D5103C" w:rsidRPr="00BA2FED">
        <w:t xml:space="preserve"> předmětu osvědčení o </w:t>
      </w:r>
      <w:r w:rsidR="00B66245">
        <w:t>provozuschopnosti. V </w:t>
      </w:r>
      <w:r w:rsidRPr="00BA2FED">
        <w:t xml:space="preserve">souvislosti s funkcí osvědčení o provozuschopnosti je zde nutné uvést výrobní číslo (pokud se jedná o samostatně stojící </w:t>
      </w:r>
      <w:r w:rsidR="00827ECE">
        <w:t>RNG</w:t>
      </w:r>
      <w:r w:rsidR="00CB2B78" w:rsidRPr="00BA2FED">
        <w:t xml:space="preserve"> nebo koncové zařízení. </w:t>
      </w:r>
      <w:r w:rsidRPr="00BA2FED">
        <w:t>Pokud má zařízení vice herních pozic, je nu</w:t>
      </w:r>
      <w:r w:rsidR="00B66245">
        <w:t>tné uvést počet herních pozic a </w:t>
      </w:r>
      <w:r w:rsidRPr="00BA2FED">
        <w:t>jejich výrobní číslo). Dalším údajem, který</w:t>
      </w:r>
      <w:r w:rsidR="00CB2B78" w:rsidRPr="00BA2FED">
        <w:t xml:space="preserve"> </w:t>
      </w:r>
      <w:r w:rsidR="00CB2B78" w:rsidRPr="008212B3">
        <w:t xml:space="preserve">vyhláška </w:t>
      </w:r>
      <w:r w:rsidR="0042575D" w:rsidRPr="008212B3">
        <w:t>o náležitostech výstupních dokumentů</w:t>
      </w:r>
      <w:r w:rsidR="0042575D" w:rsidRPr="00BA2FED">
        <w:t xml:space="preserve"> </w:t>
      </w:r>
      <w:r w:rsidR="00CB2B78" w:rsidRPr="00BA2FED">
        <w:t xml:space="preserve">požaduje, </w:t>
      </w:r>
      <w:r w:rsidRPr="00BA2FED">
        <w:t>jsou hodnoty jednotlivých parametrů předmětu osvědčení o</w:t>
      </w:r>
      <w:r w:rsidR="00D5103C" w:rsidRPr="00BA2FED">
        <w:t> </w:t>
      </w:r>
      <w:r w:rsidRPr="00BA2FED">
        <w:t xml:space="preserve">provozuschopnosti, </w:t>
      </w:r>
      <w:r w:rsidR="00D131CD" w:rsidRPr="00BA2FED">
        <w:t>pokud lze tyto parametry</w:t>
      </w:r>
      <w:r w:rsidRPr="00BA2FED">
        <w:t xml:space="preserve"> hodno</w:t>
      </w:r>
      <w:r w:rsidR="00BC20F6">
        <w:t xml:space="preserve">tově vyjádřit (jedná se např. </w:t>
      </w:r>
      <w:r w:rsidR="00B66245">
        <w:t>o </w:t>
      </w:r>
      <w:r w:rsidRPr="00BA2FED">
        <w:t>maximální výše sázek).</w:t>
      </w:r>
      <w:r w:rsidR="0042575D" w:rsidRPr="00BA2FED">
        <w:t xml:space="preserve"> </w:t>
      </w:r>
    </w:p>
    <w:p w14:paraId="0DADCE33" w14:textId="41A2AC54" w:rsidR="00C45CB5" w:rsidRPr="00BA2FED" w:rsidRDefault="006229D8" w:rsidP="00DE0411">
      <w:r w:rsidRPr="00BA2FED">
        <w:t>Kromě toho, že jsou originály dokumentů odborného posouzení a osvědčení předkládány v rámci správního řízení, jsou pověřené osoby povinny poskytovat tyto dokumenty orgánům vykonávajícím správu v oblast</w:t>
      </w:r>
      <w:r w:rsidR="00040363">
        <w:t>i provozování hazardních her, a </w:t>
      </w:r>
      <w:r w:rsidRPr="00BA2FED">
        <w:t xml:space="preserve">to prostřednictvím </w:t>
      </w:r>
      <w:r w:rsidRPr="00040363">
        <w:rPr>
          <w:b/>
        </w:rPr>
        <w:t>vzdáleného přístupu do úložiště</w:t>
      </w:r>
      <w:r w:rsidRPr="00BA2FED">
        <w:t xml:space="preserve"> těchto dokumentů. Vyhláška o náležitostech výstupních dokumentů stanoví formu, v jaké mají být tyto dokumenty poskytovány (v závislosti na povaze dokumentu elektronicky podepsaný originál, nebo naskenovaný originál, k</w:t>
      </w:r>
      <w:r w:rsidR="00D5103C" w:rsidRPr="00BA2FED">
        <w:t>terý byl podepsán fyzicky), a v </w:t>
      </w:r>
      <w:r w:rsidR="00040363">
        <w:t>případě osvědčení o </w:t>
      </w:r>
      <w:r w:rsidRPr="00BA2FED">
        <w:t>provozuschopnosti také mi</w:t>
      </w:r>
      <w:r w:rsidR="00CB2B78" w:rsidRPr="00BA2FED">
        <w:t>nimální údaje, které musí být v </w:t>
      </w:r>
      <w:r w:rsidRPr="00BA2FED">
        <w:t>úložišti zveřejněny. Těmi jsou doba platnosti, jedinečný identifik</w:t>
      </w:r>
      <w:r w:rsidR="00040363">
        <w:t>átor, datum vydání osvědčení o </w:t>
      </w:r>
      <w:r w:rsidRPr="00BA2FED">
        <w:t xml:space="preserve">provozuschopnosti, výrobní číslo zařízení, prostřednictvím kterého má být provozována hazardní hra, nebo jeho samostatně stojící části, je-li předmětem posouzení </w:t>
      </w:r>
      <w:r w:rsidR="00827ECE">
        <w:t>RNG</w:t>
      </w:r>
      <w:r w:rsidRPr="00BA2FED">
        <w:t xml:space="preserve"> nebo koncové zařízení a jedinečný identifikátor odborného posouzení, na základě </w:t>
      </w:r>
      <w:r w:rsidR="00D5103C" w:rsidRPr="00BA2FED">
        <w:t>kterého bylo vydáno osvědčení o </w:t>
      </w:r>
      <w:r w:rsidRPr="00BA2FED">
        <w:t>provozuschopnosti. Vzdálený přístup do úložiště musí také umožňovat vyhledávání odborných posouzení nebo údajů uvedených v osvědčení o provozuschopnosti, a to alespoň na základě výrobního čísla zařízení, jehož prostřednictvím má být provozována hazardní hra, koncového zařízení nebo herní pozice nebo</w:t>
      </w:r>
      <w:r w:rsidR="00040363">
        <w:t xml:space="preserve"> na základě</w:t>
      </w:r>
      <w:r w:rsidRPr="00BA2FED">
        <w:t xml:space="preserve"> jedinečného identifikátoru odborného posouzení nebo osvědčení o provo</w:t>
      </w:r>
      <w:r w:rsidR="00040363">
        <w:t>zuschopnosti. Forma přístupu do </w:t>
      </w:r>
      <w:r w:rsidR="00D95B59">
        <w:t>úložiště není zákonem o </w:t>
      </w:r>
      <w:r w:rsidRPr="00BA2FED">
        <w:t>hazardních hrách ani vyhláškou o náležitostech výstup</w:t>
      </w:r>
      <w:r w:rsidR="00C45CB5" w:rsidRPr="00BA2FED">
        <w:t>ních dokumentů předepsaná.</w:t>
      </w:r>
    </w:p>
    <w:p w14:paraId="5FCC33EC" w14:textId="04D78F8B" w:rsidR="006229D8" w:rsidRPr="00BA2FED" w:rsidRDefault="00841A12" w:rsidP="00DE0411">
      <w:r w:rsidRPr="00BA2FED">
        <w:t xml:space="preserve">Samostatnou problematiku tvoří </w:t>
      </w:r>
      <w:r w:rsidRPr="00040363">
        <w:rPr>
          <w:b/>
        </w:rPr>
        <w:t>registrační známka</w:t>
      </w:r>
      <w:r w:rsidRPr="00BA2FED">
        <w:t xml:space="preserve">. </w:t>
      </w:r>
      <w:r w:rsidR="00040363">
        <w:t>Technická vyhláška v § 8 odst. </w:t>
      </w:r>
      <w:r w:rsidR="006229D8" w:rsidRPr="00BA2FED">
        <w:t>1 upravuje povinnost provozovatele označit koncové zařízení, p</w:t>
      </w:r>
      <w:r w:rsidR="00C26DB0">
        <w:t>opř. server a </w:t>
      </w:r>
      <w:r w:rsidR="00827ECE">
        <w:t>RNG</w:t>
      </w:r>
      <w:r w:rsidR="006229D8" w:rsidRPr="00BA2FED">
        <w:t xml:space="preserve"> registrační </w:t>
      </w:r>
      <w:r w:rsidR="006229D8" w:rsidRPr="00BA2FED">
        <w:rPr>
          <w:rFonts w:cs="Arial"/>
        </w:rPr>
        <w:t>známkou. Povinnost pověřené osoby registrační známku vydat není obsažena v zákoně o haz</w:t>
      </w:r>
      <w:r w:rsidR="00B66245">
        <w:rPr>
          <w:rFonts w:cs="Arial"/>
        </w:rPr>
        <w:t>ardních hrách ani ve vyhlášce o </w:t>
      </w:r>
      <w:r w:rsidR="006229D8" w:rsidRPr="00BA2FED">
        <w:rPr>
          <w:rFonts w:cs="Arial"/>
        </w:rPr>
        <w:t>náležitostech výstupních dokumentů</w:t>
      </w:r>
      <w:r w:rsidRPr="00BA2FED">
        <w:rPr>
          <w:rFonts w:cs="Arial"/>
        </w:rPr>
        <w:t xml:space="preserve">, nýbrž </w:t>
      </w:r>
      <w:r w:rsidR="00C26DB0">
        <w:rPr>
          <w:rFonts w:cs="Arial"/>
        </w:rPr>
        <w:t>je upravena v rozhodnutí o </w:t>
      </w:r>
      <w:r w:rsidR="006229D8" w:rsidRPr="00BA2FED">
        <w:rPr>
          <w:rFonts w:cs="Arial"/>
        </w:rPr>
        <w:t>pověření.</w:t>
      </w:r>
    </w:p>
    <w:p w14:paraId="2A951606" w14:textId="6B8097A2" w:rsidR="006229D8" w:rsidRPr="00BA2FED" w:rsidRDefault="00841A12" w:rsidP="00DE0411">
      <w:r w:rsidRPr="00BA2FED">
        <w:lastRenderedPageBreak/>
        <w:t xml:space="preserve">Příslušná podmínka uvedená </w:t>
      </w:r>
      <w:r w:rsidR="00D5103C" w:rsidRPr="00BA2FED">
        <w:t>v </w:t>
      </w:r>
      <w:r w:rsidRPr="00BA2FED">
        <w:t>rozhodnutí o pověření váže</w:t>
      </w:r>
      <w:r w:rsidR="006229D8" w:rsidRPr="00BA2FED">
        <w:t xml:space="preserve"> </w:t>
      </w:r>
      <w:r w:rsidRPr="00BA2FED">
        <w:t xml:space="preserve">vydání registrační známky </w:t>
      </w:r>
      <w:r w:rsidR="006229D8" w:rsidRPr="00BA2FED">
        <w:t xml:space="preserve">na kladný výsledek odborného posouzení. Obdobně jako v případě vydání osvědčení o provozuschopnosti se také registrační známka vydává pro server, </w:t>
      </w:r>
      <w:r w:rsidR="00827ECE">
        <w:t>RNG</w:t>
      </w:r>
      <w:r w:rsidR="006229D8" w:rsidRPr="00BA2FED">
        <w:t>, je-li samostatně stojící, a koncové zařízení. Podmínka uvedená v pověření stanoví minimální obsahové náležitosti registrační známky, konkrétní identifikační číslo pověřené osoby, výrobní číslo, nebo obdobné identifikační označení a dobu platnosti osvědčení o provozuschopnosti. Pokud registrační známka slouží k identifikaci koncových zařízení, která jsou vybavena více než jednou herní pozicí, musí obsahovat počet herních pozic a jejich výrobní čísla</w:t>
      </w:r>
      <w:r w:rsidRPr="00BA2FED">
        <w:rPr>
          <w:rStyle w:val="Znakapoznpodarou"/>
        </w:rPr>
        <w:footnoteReference w:id="4"/>
      </w:r>
      <w:r w:rsidR="00B66245">
        <w:t>. V rozhodnutí o </w:t>
      </w:r>
      <w:r w:rsidR="006229D8" w:rsidRPr="00BA2FED">
        <w:t xml:space="preserve">pověření </w:t>
      </w:r>
      <w:r w:rsidR="00D94E62" w:rsidRPr="00BA2FED">
        <w:t>je dále</w:t>
      </w:r>
      <w:r w:rsidR="006229D8" w:rsidRPr="00BA2FED">
        <w:t xml:space="preserve"> stanovena podmínka, že registrační známka musí obsahovat alespoň čtyři </w:t>
      </w:r>
      <w:r w:rsidR="006229D8" w:rsidRPr="00540D8A">
        <w:rPr>
          <w:b/>
        </w:rPr>
        <w:t>ochranné prvky</w:t>
      </w:r>
      <w:r w:rsidR="006229D8" w:rsidRPr="00BA2FED">
        <w:t xml:space="preserve"> používané k zabezpečení cenin proti padělání. Volba ochranných prvků je zcela na volbě pověřené osoby, která vzorovou známku (resp. její vzor) zasílá </w:t>
      </w:r>
      <w:r w:rsidR="00BC20F6">
        <w:t xml:space="preserve">před </w:t>
      </w:r>
      <w:r w:rsidR="00540D8A" w:rsidRPr="00BA2FED">
        <w:t xml:space="preserve">zahájením činnosti </w:t>
      </w:r>
      <w:r w:rsidR="006229D8" w:rsidRPr="00BA2FED">
        <w:t>Ministerstvu financí. V praxi se nejčastěji objevují prvky loga pověřené osoby, hologram, unikátní číslování nebo sériování, kovový pásek, nekopírovatelný vodoznak, speciální UV barva nebo mikroperforace. Nad</w:t>
      </w:r>
      <w:r w:rsidR="00BC20F6">
        <w:t xml:space="preserve"> </w:t>
      </w:r>
      <w:r w:rsidR="006229D8" w:rsidRPr="00BA2FED">
        <w:t>rámec</w:t>
      </w:r>
      <w:r w:rsidR="00BC20F6">
        <w:t xml:space="preserve"> </w:t>
      </w:r>
      <w:r w:rsidR="006229D8" w:rsidRPr="00BA2FED">
        <w:t xml:space="preserve">uvedeného musí být registrační známka vyrobena takovým způsobem, aby byla při odlepení nenávratně poškozena. </w:t>
      </w:r>
    </w:p>
    <w:p w14:paraId="347AA9A4" w14:textId="77777777" w:rsidR="006229D8" w:rsidRPr="00BA2FED" w:rsidRDefault="006229D8" w:rsidP="00DE0411">
      <w:r w:rsidRPr="00BA2FED">
        <w:t>Diskreci pověřených osob podléhá také formát, resp. přístup do úložišť, přičemž v návaznosti na vydání pověření pověřená osoba předá Ministerstvu financí přístupové údaje k tomuto úložišti. V praxi se Ministerstvo financí setkává nejčastěji s přístupem k úložišti z webového rozhraní, přičemž některé pověřené osoby předávají Ministerstvu financí, resp. dozorovým orgánům, jednu sadu přístupových údajů, jiné pověřené osoby poskytují přístupové údaje konkrétní osobě. Rozdíly panují i ve vizuální stránce úložiště, resp. jeho vnitřní struktuře.</w:t>
      </w:r>
    </w:p>
    <w:p w14:paraId="5C67ED8A" w14:textId="47D13804" w:rsidR="0043215C" w:rsidRPr="00BA2FED" w:rsidRDefault="0043215C" w:rsidP="003B5F37">
      <w:pPr>
        <w:pStyle w:val="Nadpis3"/>
      </w:pPr>
      <w:bookmarkStart w:id="11" w:name="_Toc73608102"/>
      <w:r w:rsidRPr="00BA2FED">
        <w:t>Konkrétní popis nástrojů, včet</w:t>
      </w:r>
      <w:r w:rsidR="00B66245">
        <w:t>ně oblastí, na které by</w:t>
      </w:r>
      <w:r w:rsidR="003B5F37">
        <w:t xml:space="preserve"> </w:t>
      </w:r>
      <w:r w:rsidR="004B6B52" w:rsidRPr="00BA2FED">
        <w:t xml:space="preserve">bylo </w:t>
      </w:r>
      <w:r w:rsidR="003B5F37">
        <w:t>vhodné</w:t>
      </w:r>
      <w:r w:rsidR="00B66245">
        <w:t xml:space="preserve"> </w:t>
      </w:r>
      <w:r w:rsidR="003E4D5F">
        <w:t xml:space="preserve">se </w:t>
      </w:r>
      <w:r w:rsidRPr="00BA2FED">
        <w:t xml:space="preserve">v budoucnu zaměřit, a návrh </w:t>
      </w:r>
      <w:r w:rsidR="003E4D5F">
        <w:t xml:space="preserve">doporučení či </w:t>
      </w:r>
      <w:r w:rsidRPr="00BA2FED">
        <w:t>možných variant řešení</w:t>
      </w:r>
      <w:bookmarkEnd w:id="11"/>
    </w:p>
    <w:p w14:paraId="7E8D09C2" w14:textId="6AEC8218" w:rsidR="003003F4" w:rsidRPr="00BA2FED" w:rsidRDefault="003003F4" w:rsidP="00DE0411">
      <w:r w:rsidRPr="00BA2FED">
        <w:t xml:space="preserve">V úvodu je nutné uvést, že jak v oblasti technických parametrů, tak i procesu pověřování k odbornému posuzování a osvědčování </w:t>
      </w:r>
      <w:r w:rsidRPr="00540D8A">
        <w:rPr>
          <w:b/>
        </w:rPr>
        <w:t>došlo na základě novely</w:t>
      </w:r>
      <w:r w:rsidR="00827ECE">
        <w:rPr>
          <w:b/>
        </w:rPr>
        <w:t xml:space="preserve"> zákona o hazardních hrách</w:t>
      </w:r>
      <w:r w:rsidR="00540D8A">
        <w:rPr>
          <w:b/>
        </w:rPr>
        <w:t xml:space="preserve"> zákonem č. 527/2020 Sb.</w:t>
      </w:r>
      <w:r w:rsidRPr="00540D8A">
        <w:rPr>
          <w:b/>
        </w:rPr>
        <w:t xml:space="preserve"> s účinností k 1. 1. 2021 k výrazným změnám</w:t>
      </w:r>
      <w:r w:rsidR="008212B3">
        <w:rPr>
          <w:b/>
        </w:rPr>
        <w:t xml:space="preserve"> </w:t>
      </w:r>
      <w:r w:rsidR="008212B3" w:rsidRPr="007C6DD7">
        <w:t>a</w:t>
      </w:r>
      <w:r w:rsidR="00827ECE">
        <w:t> </w:t>
      </w:r>
      <w:r w:rsidR="008212B3" w:rsidRPr="007C6DD7">
        <w:t>úpravě detekovaných problémů</w:t>
      </w:r>
      <w:r w:rsidRPr="00BA2FED">
        <w:t xml:space="preserve">. Zásadní </w:t>
      </w:r>
      <w:r w:rsidR="00C21D32" w:rsidRPr="00BA2FED">
        <w:t xml:space="preserve">změnou </w:t>
      </w:r>
      <w:r w:rsidRPr="00BA2FED">
        <w:t xml:space="preserve">je zejména </w:t>
      </w:r>
      <w:r w:rsidRPr="007C6DD7">
        <w:rPr>
          <w:b/>
        </w:rPr>
        <w:t>umožnění zásahů do hazardních her nebo zařízení</w:t>
      </w:r>
      <w:r w:rsidR="001E7421">
        <w:t xml:space="preserve">, prostřednictvím </w:t>
      </w:r>
      <w:r w:rsidRPr="00BA2FED">
        <w:t xml:space="preserve">kterých jsou hazardní hry provozovány, a to podle stupně intenzity zásahu. Tato změna vyžaduje aktualizaci vyhlášky o náležitostech výstupních dokumentů, která je v současnosti připravována. Účinnost </w:t>
      </w:r>
      <w:r w:rsidR="00582846">
        <w:t xml:space="preserve">dotčené </w:t>
      </w:r>
      <w:r w:rsidR="00BC20F6">
        <w:t>právní úpravy tak</w:t>
      </w:r>
      <w:r w:rsidR="00582846">
        <w:t xml:space="preserve">i s ohledem na její poměrně krátkou dobu </w:t>
      </w:r>
      <w:r w:rsidR="00BE09A2">
        <w:t xml:space="preserve">aplikace </w:t>
      </w:r>
      <w:r w:rsidRPr="00BA2FED">
        <w:t xml:space="preserve">nelze prozatím </w:t>
      </w:r>
      <w:r w:rsidR="00582846">
        <w:t>rozumně vy</w:t>
      </w:r>
      <w:r w:rsidRPr="00BA2FED">
        <w:t xml:space="preserve">hodnotit. </w:t>
      </w:r>
    </w:p>
    <w:p w14:paraId="0B389F6B" w14:textId="022102C2" w:rsidR="0043215C" w:rsidRPr="00BA2FED" w:rsidRDefault="005A56B1" w:rsidP="00E4277E">
      <w:pPr>
        <w:pStyle w:val="Nadpis5"/>
        <w:numPr>
          <w:ilvl w:val="0"/>
          <w:numId w:val="38"/>
        </w:numPr>
      </w:pPr>
      <w:bookmarkStart w:id="12" w:name="_Toc73608103"/>
      <w:r w:rsidRPr="00BA2FED">
        <w:t>Pověření k odbornému posuzování a osvědčování</w:t>
      </w:r>
      <w:bookmarkEnd w:id="12"/>
    </w:p>
    <w:p w14:paraId="4693A879" w14:textId="5C606FAC" w:rsidR="005A56B1" w:rsidRPr="00BA2FED" w:rsidRDefault="005A56B1" w:rsidP="00B96FDD">
      <w:pPr>
        <w:pStyle w:val="Nadpis6"/>
      </w:pPr>
      <w:bookmarkStart w:id="13" w:name="_Toc73608104"/>
      <w:r w:rsidRPr="00BA2FED">
        <w:t>Prověření podmínek uvedených v pověření k odbornému posuzování a osvědčování</w:t>
      </w:r>
      <w:bookmarkEnd w:id="13"/>
    </w:p>
    <w:p w14:paraId="09CEA5D5" w14:textId="6712822F" w:rsidR="005A56B1" w:rsidRPr="00BA2FED" w:rsidRDefault="005A56B1" w:rsidP="00DE0411">
      <w:r w:rsidRPr="00BA2FED">
        <w:t>Pověření o odborném posuzování a osvědčování je vydáváno Ministerstvem financí a jsou v něm stanovena pravidla a podmínky pro výkon samotného posuzování a o</w:t>
      </w:r>
      <w:r w:rsidR="00C22B63" w:rsidRPr="00BA2FED">
        <w:t>svědčování. Podmínky stanovené M</w:t>
      </w:r>
      <w:r w:rsidRPr="00BA2FED">
        <w:t xml:space="preserve">inisterstvem </w:t>
      </w:r>
      <w:r w:rsidR="00C22B63" w:rsidRPr="00BA2FED">
        <w:t xml:space="preserve">financí </w:t>
      </w:r>
      <w:r w:rsidRPr="00BA2FED">
        <w:t xml:space="preserve">implementují ustanovení </w:t>
      </w:r>
      <w:r w:rsidR="003937CC" w:rsidRPr="00BA2FED">
        <w:lastRenderedPageBreak/>
        <w:t>zákona o hazardních hrách a technické vyhlášky</w:t>
      </w:r>
      <w:r w:rsidRPr="00BA2FED">
        <w:t>. Mezi tyto podmínky patří zejména podmínky týkající se registrační známky, mlčenlivosti spojené s</w:t>
      </w:r>
      <w:r w:rsidR="001343B0" w:rsidRPr="00BA2FED">
        <w:t> výkonem odborného posuzování a </w:t>
      </w:r>
      <w:r w:rsidRPr="00BA2FED">
        <w:t>osvědčování a oznamování</w:t>
      </w:r>
      <w:r w:rsidR="001343B0" w:rsidRPr="00BA2FED">
        <w:t xml:space="preserve"> zahájení osvědčování</w:t>
      </w:r>
      <w:r w:rsidRPr="00BA2FED">
        <w:t xml:space="preserve"> dozorovému orgánu. </w:t>
      </w:r>
      <w:r w:rsidR="007C6DD7">
        <w:t>V</w:t>
      </w:r>
      <w:r w:rsidRPr="00BA2FED">
        <w:t>zhledem k</w:t>
      </w:r>
      <w:r w:rsidR="007C6DD7">
        <w:t xml:space="preserve"> tomu, že k </w:t>
      </w:r>
      <w:r w:rsidRPr="00BA2FED">
        <w:t xml:space="preserve">nabytí účinnosti vyhlášky o náležitostech výstupních dokumentů </w:t>
      </w:r>
      <w:r w:rsidR="003937CC" w:rsidRPr="00BA2FED">
        <w:t xml:space="preserve">došlo až po vydání prvních pověření, </w:t>
      </w:r>
      <w:r w:rsidR="00DA2CAD" w:rsidRPr="00BA2FED">
        <w:t xml:space="preserve">vyskytuje </w:t>
      </w:r>
      <w:r w:rsidRPr="00BA2FED">
        <w:t>se v</w:t>
      </w:r>
      <w:r w:rsidR="001E7421">
        <w:t> </w:t>
      </w:r>
      <w:r w:rsidR="007C6DD7">
        <w:t>některých</w:t>
      </w:r>
      <w:r w:rsidR="001E7421">
        <w:t xml:space="preserve"> </w:t>
      </w:r>
      <w:r w:rsidRPr="00BA2FED">
        <w:t>pověření</w:t>
      </w:r>
      <w:r w:rsidR="007C6DD7">
        <w:t>ch</w:t>
      </w:r>
      <w:r w:rsidRPr="00BA2FED">
        <w:t xml:space="preserve"> několik podmínek, které jsou obsaženy i v této vyhlášce</w:t>
      </w:r>
      <w:r w:rsidR="00A123C7">
        <w:t xml:space="preserve"> o náležitostech výstupních dokumentů</w:t>
      </w:r>
      <w:r w:rsidRPr="00BA2FED">
        <w:t>.</w:t>
      </w:r>
    </w:p>
    <w:p w14:paraId="569978C4" w14:textId="405ED508" w:rsidR="005A56B1" w:rsidRPr="00BA2FED" w:rsidRDefault="005A56B1" w:rsidP="002521DE">
      <w:pPr>
        <w:pStyle w:val="Nadpis7"/>
      </w:pPr>
      <w:r w:rsidRPr="00BA2FED">
        <w:t>Varianta I.</w:t>
      </w:r>
      <w:r w:rsidR="001343B0" w:rsidRPr="00BA2FED">
        <w:t xml:space="preserve"> – </w:t>
      </w:r>
      <w:r w:rsidR="00C8613C">
        <w:t>Zachování současného</w:t>
      </w:r>
      <w:r w:rsidR="001343B0" w:rsidRPr="00BA2FED">
        <w:t xml:space="preserve"> stavu, vypuštění podmínek </w:t>
      </w:r>
      <w:r w:rsidR="00974B13">
        <w:t xml:space="preserve">duplicitních s právní úpravou </w:t>
      </w:r>
    </w:p>
    <w:p w14:paraId="7F0C4289" w14:textId="4AFE37E3" w:rsidR="001343B0" w:rsidRPr="00BA2FED" w:rsidRDefault="001343B0" w:rsidP="00DE0411">
      <w:r w:rsidRPr="00BA2FED">
        <w:t>Jak je uvedeno výše, v pověření k odbornému posuzování a osvědčování jsou ukládány podmínky řádného výkonu tét</w:t>
      </w:r>
      <w:r w:rsidR="00C22B63" w:rsidRPr="00BA2FED">
        <w:t>o činnosti. Podmínky stanovené M</w:t>
      </w:r>
      <w:r w:rsidRPr="00BA2FED">
        <w:t xml:space="preserve">inisterstvem </w:t>
      </w:r>
      <w:r w:rsidR="00C22B63" w:rsidRPr="00BA2FED">
        <w:t xml:space="preserve">financí </w:t>
      </w:r>
      <w:r w:rsidRPr="00BA2FED">
        <w:t>odpovídají podmínká</w:t>
      </w:r>
      <w:r w:rsidR="00C26DB0">
        <w:t>m výkonu odborného posuzování a </w:t>
      </w:r>
      <w:r w:rsidRPr="00BA2FED">
        <w:t xml:space="preserve">osvědčování stanoveným v zákoně o hazardních hrách a vyhlášce o náležitostech výstupních dokumentů. </w:t>
      </w:r>
    </w:p>
    <w:p w14:paraId="14618F50" w14:textId="6254C2A4" w:rsidR="001343B0" w:rsidRPr="00BA2FED" w:rsidRDefault="001343B0" w:rsidP="00DE0411">
      <w:r w:rsidRPr="00BA2FED">
        <w:t xml:space="preserve">Vzhledem k výše uvedenému by tato úprava mohla být v obecné rovině zachována, neboť </w:t>
      </w:r>
      <w:r w:rsidR="00C22B63" w:rsidRPr="00BA2FED">
        <w:t>M</w:t>
      </w:r>
      <w:r w:rsidRPr="00BA2FED">
        <w:t xml:space="preserve">inisterstvo </w:t>
      </w:r>
      <w:r w:rsidR="00C22B63" w:rsidRPr="00BA2FED">
        <w:t xml:space="preserve">financí </w:t>
      </w:r>
      <w:r w:rsidRPr="00BA2FED">
        <w:t xml:space="preserve">neeviduje připomínky pověřených osob k ukládaným podmínkám, ačkoli některé mohou budit dojem, že </w:t>
      </w:r>
      <w:r w:rsidR="00370FD6">
        <w:t>zakládají</w:t>
      </w:r>
      <w:r w:rsidR="00370FD6" w:rsidRPr="00BA2FED">
        <w:t xml:space="preserve"> </w:t>
      </w:r>
      <w:r w:rsidRPr="00BA2FED">
        <w:t>povinnosti spíše samotný</w:t>
      </w:r>
      <w:r w:rsidR="00370FD6">
        <w:t>m</w:t>
      </w:r>
      <w:r w:rsidRPr="00BA2FED">
        <w:t xml:space="preserve"> provozovatelů</w:t>
      </w:r>
      <w:r w:rsidR="00370FD6">
        <w:t>m</w:t>
      </w:r>
      <w:r w:rsidRPr="00BA2FED">
        <w:t xml:space="preserve"> hazardní her než </w:t>
      </w:r>
      <w:r w:rsidR="00370FD6" w:rsidRPr="00BA2FED">
        <w:t>pověřený</w:t>
      </w:r>
      <w:r w:rsidR="00370FD6">
        <w:t>m</w:t>
      </w:r>
      <w:r w:rsidR="00370FD6" w:rsidRPr="00BA2FED">
        <w:t xml:space="preserve"> </w:t>
      </w:r>
      <w:r w:rsidRPr="00BA2FED">
        <w:t>osob</w:t>
      </w:r>
      <w:r w:rsidR="00370FD6">
        <w:t>ám</w:t>
      </w:r>
      <w:r w:rsidRPr="00BA2FED">
        <w:t xml:space="preserve">, nicméně bez součinnosti </w:t>
      </w:r>
      <w:r w:rsidR="00EE6AF3">
        <w:t xml:space="preserve">pověřených osob </w:t>
      </w:r>
      <w:r w:rsidRPr="00BA2FED">
        <w:t xml:space="preserve">nelze tyto povinnosti plnit. </w:t>
      </w:r>
      <w:r w:rsidR="003B5295">
        <w:t>V</w:t>
      </w:r>
      <w:r w:rsidRPr="00BA2FED">
        <w:t>zhledem k principu a účelu institutu podmínek řádného výkonu odborného posuzování a osvědčování by i v této variantě mělo dojít k</w:t>
      </w:r>
      <w:r w:rsidR="00582846">
        <w:t> spíše formálnímu</w:t>
      </w:r>
      <w:r w:rsidRPr="00BA2FED">
        <w:t> odstranění duplicit s právní úpravou, která vznikla z</w:t>
      </w:r>
      <w:r w:rsidR="00827ECE">
        <w:t> </w:t>
      </w:r>
      <w:r w:rsidRPr="00BA2FED">
        <w:t>důvodu vydávání pověření v době, která předcházela účinnosti vyhlášky o</w:t>
      </w:r>
      <w:r w:rsidR="00827ECE">
        <w:t> </w:t>
      </w:r>
      <w:r w:rsidRPr="00BA2FED">
        <w:t>náležitostech výstupních dokumentů.</w:t>
      </w:r>
    </w:p>
    <w:p w14:paraId="30970542" w14:textId="2C2870B6" w:rsidR="005A56B1" w:rsidRPr="00BA2FED" w:rsidRDefault="005A56B1" w:rsidP="00DE0411">
      <w:r w:rsidRPr="00BA2FED">
        <w:t>Nevýhody:</w:t>
      </w:r>
    </w:p>
    <w:p w14:paraId="6B66ACF1" w14:textId="5301F383" w:rsidR="001343B0" w:rsidRPr="00BA2FED" w:rsidRDefault="001343B0" w:rsidP="00DE0411">
      <w:r w:rsidRPr="00BA2FED">
        <w:t xml:space="preserve">Negativním dopadem zachování aktuálního stavu se může jevit poměrně velký počet ukládaných podmínek pověření, </w:t>
      </w:r>
      <w:r w:rsidR="003A1229" w:rsidRPr="00BA2FED">
        <w:t xml:space="preserve">resp. jejich možná nepřehlednost, </w:t>
      </w:r>
      <w:r w:rsidRPr="00BA2FED">
        <w:t>kter</w:t>
      </w:r>
      <w:r w:rsidR="003A1229" w:rsidRPr="00BA2FED">
        <w:t>é</w:t>
      </w:r>
      <w:r w:rsidRPr="00BA2FED">
        <w:t xml:space="preserve"> by bylo možné </w:t>
      </w:r>
      <w:r w:rsidR="003A1229" w:rsidRPr="00BA2FED">
        <w:t xml:space="preserve">předejít </w:t>
      </w:r>
      <w:r w:rsidRPr="00BA2FED">
        <w:t>zobecn</w:t>
      </w:r>
      <w:r w:rsidR="003A1229" w:rsidRPr="00BA2FED">
        <w:t>ěním</w:t>
      </w:r>
      <w:r w:rsidRPr="00BA2FED">
        <w:t xml:space="preserve"> na úroveň </w:t>
      </w:r>
      <w:r w:rsidR="003A1229" w:rsidRPr="00BA2FED">
        <w:t>právního předpisu.</w:t>
      </w:r>
    </w:p>
    <w:p w14:paraId="7463FD41" w14:textId="26C8A77D" w:rsidR="001343B0" w:rsidRPr="00BA2FED" w:rsidRDefault="001343B0" w:rsidP="002521DE">
      <w:pPr>
        <w:pStyle w:val="Nadpis7"/>
      </w:pPr>
      <w:r w:rsidRPr="00BA2FED">
        <w:t xml:space="preserve">Varianta II. – Doplnění podmínek </w:t>
      </w:r>
      <w:r w:rsidR="00D5103C" w:rsidRPr="00BA2FED">
        <w:t>do zákona o </w:t>
      </w:r>
      <w:r w:rsidR="003B5295">
        <w:t>hazardních hrách, popř. </w:t>
      </w:r>
      <w:r w:rsidR="00D95B59">
        <w:t>vyhlášky o </w:t>
      </w:r>
      <w:r w:rsidRPr="00BA2FED">
        <w:t>náležitoste</w:t>
      </w:r>
      <w:r w:rsidR="00C52791" w:rsidRPr="00BA2FED">
        <w:t>c</w:t>
      </w:r>
      <w:r w:rsidRPr="00BA2FED">
        <w:t>h výstupních dokumentů</w:t>
      </w:r>
    </w:p>
    <w:p w14:paraId="6249ADBB" w14:textId="68BBE9F6" w:rsidR="00C52791" w:rsidRPr="00BA2FED" w:rsidRDefault="00C52791" w:rsidP="00DE0411">
      <w:r w:rsidRPr="00BA2FED">
        <w:t>Tato varianta předpokládá změnu zákona o hazardních hrách, případně změnu vyhlášky o náležitostech výstupních dokumentů</w:t>
      </w:r>
      <w:r w:rsidR="003B5295">
        <w:t>. P</w:t>
      </w:r>
      <w:r w:rsidRPr="00BA2FED">
        <w:t xml:space="preserve">odmínky aktuálně stanovené pouze v pověření o odborném posuzování a osvědčování </w:t>
      </w:r>
      <w:r w:rsidR="003B5295">
        <w:t>by byly začleněny do právních</w:t>
      </w:r>
      <w:r w:rsidR="003B5295" w:rsidRPr="00BA2FED">
        <w:t xml:space="preserve"> </w:t>
      </w:r>
      <w:r w:rsidRPr="00BA2FED">
        <w:t>norem. Jednalo by se zejména o podmínky, které primárně implementují povinnosti provozovatel</w:t>
      </w:r>
      <w:r w:rsidR="003A1229" w:rsidRPr="00BA2FED">
        <w:t>ů</w:t>
      </w:r>
      <w:r w:rsidRPr="00BA2FED">
        <w:t xml:space="preserve"> a u kterých se nepředpokládá změna právní úpravy.</w:t>
      </w:r>
      <w:r w:rsidR="00236018" w:rsidRPr="00BA2FED">
        <w:t xml:space="preserve"> </w:t>
      </w:r>
      <w:r w:rsidR="003A1229" w:rsidRPr="00BA2FED">
        <w:t>Zároveň bylo za dobu účinnosti zákona o</w:t>
      </w:r>
      <w:r w:rsidR="003B5295">
        <w:t xml:space="preserve"> hazardních hrách potvrzeno, že </w:t>
      </w:r>
      <w:r w:rsidR="003A1229" w:rsidRPr="00BA2FED">
        <w:t>bez plnění těchto podmínek není možné zajistit řád</w:t>
      </w:r>
      <w:r w:rsidR="0003311F">
        <w:t>ný výkon odborného posuzování a </w:t>
      </w:r>
      <w:r w:rsidR="003A1229" w:rsidRPr="00BA2FED">
        <w:t xml:space="preserve">osvědčování. </w:t>
      </w:r>
      <w:r w:rsidRPr="00BA2FED">
        <w:t xml:space="preserve">Tyto podmínky ukládané </w:t>
      </w:r>
      <w:r w:rsidR="00483889" w:rsidRPr="00BA2FED">
        <w:t xml:space="preserve">v </w:t>
      </w:r>
      <w:r w:rsidRPr="00BA2FED">
        <w:t>pověření by bylo možné zobecnit na</w:t>
      </w:r>
      <w:r w:rsidR="0003311F">
        <w:t> </w:t>
      </w:r>
      <w:r w:rsidRPr="00BA2FED">
        <w:t>úroveň vyhlášky o náležitostech výst</w:t>
      </w:r>
      <w:r w:rsidR="003B5295">
        <w:t>upních dokumentů nebo zákona o </w:t>
      </w:r>
      <w:r w:rsidRPr="00BA2FED">
        <w:t xml:space="preserve">hazardních hrách. </w:t>
      </w:r>
    </w:p>
    <w:p w14:paraId="47718C92" w14:textId="77777777" w:rsidR="001343B0" w:rsidRPr="00BA2FED" w:rsidRDefault="001343B0" w:rsidP="00DE0411">
      <w:r w:rsidRPr="00BA2FED">
        <w:t>Výhody:</w:t>
      </w:r>
    </w:p>
    <w:p w14:paraId="00537174" w14:textId="55B78EEC" w:rsidR="00C52791" w:rsidRPr="00BA2FED" w:rsidRDefault="00C52791" w:rsidP="00DE0411">
      <w:r w:rsidRPr="00BA2FED">
        <w:t>Tímto způsobem by došlo ke zvýšení právní jisto</w:t>
      </w:r>
      <w:r w:rsidR="001E7421">
        <w:t xml:space="preserve">ty adresátů právních norem. </w:t>
      </w:r>
      <w:r w:rsidR="003B5295">
        <w:t>Dle</w:t>
      </w:r>
      <w:r w:rsidR="001E7421">
        <w:t xml:space="preserve"> </w:t>
      </w:r>
      <w:r w:rsidRPr="00BA2FED">
        <w:t xml:space="preserve">předběžných vyhodnocení, která je nutné </w:t>
      </w:r>
      <w:r w:rsidR="0003311F">
        <w:t>dále podrobit další analýze, by</w:t>
      </w:r>
      <w:r w:rsidR="001E7421">
        <w:t xml:space="preserve"> </w:t>
      </w:r>
      <w:r w:rsidRPr="00BA2FED">
        <w:t>se mělo jednat například o podmínku týkající se vydávání registrační známky.</w:t>
      </w:r>
    </w:p>
    <w:p w14:paraId="78CD0548" w14:textId="30AE6DA1" w:rsidR="005A56B1" w:rsidRPr="00BA2FED" w:rsidRDefault="005A56B1" w:rsidP="002521DE">
      <w:pPr>
        <w:pStyle w:val="Nadpis7"/>
      </w:pPr>
      <w:r w:rsidRPr="00BA2FED">
        <w:lastRenderedPageBreak/>
        <w:t>Hodnocení variant</w:t>
      </w:r>
    </w:p>
    <w:p w14:paraId="44AC8ABC" w14:textId="68BF3B50" w:rsidR="005E543C" w:rsidRPr="00BA2FED" w:rsidRDefault="005E543C" w:rsidP="00DE0411">
      <w:pPr>
        <w:rPr>
          <w:u w:val="single"/>
        </w:rPr>
      </w:pPr>
      <w:r w:rsidRPr="00BA2FED">
        <w:t>V návaznosti na zhodnocení výše navrhovaných variant se jako vhodnější doporučuje postup podle varianty II., a to promítnout podmínky ukládané pověřeným osobám v rámci pověření k odbornému posuzování a osvědčování v právním předpisu, ať již na úrovni zákona o hazardních hrách nebo vyhlášky o náležitostech výstupních dokumentů. Je však třeba věnovat pozornost vyhodnocení, které</w:t>
      </w:r>
      <w:r w:rsidR="001E7421">
        <w:t xml:space="preserve"> </w:t>
      </w:r>
      <w:r w:rsidRPr="00BA2FED">
        <w:t>podmínky se z pohledu pověřených osob opírají o podmínky stanovené provozovatelům, a je tedy vhodný výše uvedený postup, a které již dnes mají základ v podmínkách ukládaných pověřeným osobám a tyto dále rozvíjejí. U takových podmínek by nemělo docházet k přesunu do legislativní úpravy, neboť by mohlo docházet k </w:t>
      </w:r>
      <w:r w:rsidR="003B5295">
        <w:t>„</w:t>
      </w:r>
      <w:r w:rsidRPr="00BA2FED">
        <w:t>zaplevelování</w:t>
      </w:r>
      <w:r w:rsidR="003B5295">
        <w:t>“</w:t>
      </w:r>
      <w:r w:rsidRPr="00BA2FED">
        <w:t xml:space="preserve"> právní</w:t>
      </w:r>
      <w:r w:rsidR="00483889" w:rsidRPr="00BA2FED">
        <w:t>ch</w:t>
      </w:r>
      <w:r w:rsidRPr="00BA2FED">
        <w:t xml:space="preserve"> předpis</w:t>
      </w:r>
      <w:r w:rsidR="00483889" w:rsidRPr="00BA2FED">
        <w:t>ů</w:t>
      </w:r>
      <w:r w:rsidRPr="00BA2FED">
        <w:t>.</w:t>
      </w:r>
    </w:p>
    <w:p w14:paraId="14F31FD9" w14:textId="44DAC17D" w:rsidR="003D572B" w:rsidRPr="00BA2FED" w:rsidRDefault="008C446A" w:rsidP="00B96FDD">
      <w:pPr>
        <w:pStyle w:val="Nadpis6"/>
      </w:pPr>
      <w:bookmarkStart w:id="14" w:name="_Toc73608105"/>
      <w:r w:rsidRPr="00BA2FED">
        <w:t>Akreditace pověřené osoby</w:t>
      </w:r>
      <w:bookmarkEnd w:id="14"/>
    </w:p>
    <w:p w14:paraId="4E1971CB" w14:textId="6A886D86" w:rsidR="003D572B" w:rsidRPr="00BA2FED" w:rsidRDefault="003D572B" w:rsidP="00DE0411">
      <w:r w:rsidRPr="00BA2FED">
        <w:t>Žadatelé o vydání pověření k odbornému posuzo</w:t>
      </w:r>
      <w:r w:rsidR="00C26DB0">
        <w:t>vání a osvědčování jsou podle § </w:t>
      </w:r>
      <w:r w:rsidRPr="00BA2FED">
        <w:t>110 odst. 3 písm. b) zákona o hazardních hrách povinni v rámci</w:t>
      </w:r>
      <w:r w:rsidR="00C26DB0">
        <w:t xml:space="preserve"> správního řízení o </w:t>
      </w:r>
      <w:r w:rsidRPr="00BA2FED">
        <w:t>vydání pověření doložit akreditaci pro odborné posuzování, zkoušení a inspekci technických herních zařízení. Zákon o hazardních hrách nespecifiku</w:t>
      </w:r>
      <w:r w:rsidR="00DA55FF" w:rsidRPr="00BA2FED">
        <w:t xml:space="preserve">je akreditační orgán, nicméně </w:t>
      </w:r>
      <w:r w:rsidRPr="00BA2FED">
        <w:t xml:space="preserve">vzhledem k terminologii </w:t>
      </w:r>
      <w:r w:rsidR="008C446A" w:rsidRPr="00BA2FED">
        <w:t xml:space="preserve">zákona o hazardních hrách </w:t>
      </w:r>
      <w:r w:rsidRPr="00BA2FED">
        <w:t xml:space="preserve">má být </w:t>
      </w:r>
      <w:r w:rsidR="0079038C">
        <w:t xml:space="preserve">akreditace </w:t>
      </w:r>
      <w:r w:rsidRPr="00BA2FED">
        <w:t xml:space="preserve">udělena Českým institutem pro akreditaci, což potvrzuje metodický pokyn </w:t>
      </w:r>
      <w:r w:rsidR="00EB7FA0" w:rsidRPr="00BA2FED">
        <w:t xml:space="preserve">PAO </w:t>
      </w:r>
      <w:r w:rsidRPr="00BA2FED">
        <w:t>a podmínka uložená v</w:t>
      </w:r>
      <w:r w:rsidR="00CC5ABB" w:rsidRPr="00BA2FED">
        <w:t> </w:t>
      </w:r>
      <w:r w:rsidRPr="00BA2FED">
        <w:t>pověření</w:t>
      </w:r>
      <w:r w:rsidR="00CC5ABB" w:rsidRPr="00BA2FED">
        <w:rPr>
          <w:rStyle w:val="Znakapoznpodarou"/>
        </w:rPr>
        <w:footnoteReference w:id="5"/>
      </w:r>
      <w:r w:rsidRPr="00BA2FED">
        <w:t xml:space="preserve">. Aktuálně je vzhledem ke </w:t>
      </w:r>
      <w:r w:rsidR="0079038C">
        <w:t>skutečnosti, že </w:t>
      </w:r>
      <w:r w:rsidRPr="00BA2FED">
        <w:t>všechny prováděcí předpisy dosud nenabyly účinnosti</w:t>
      </w:r>
      <w:r w:rsidR="00DA55FF" w:rsidRPr="00BA2FED">
        <w:t>,</w:t>
      </w:r>
      <w:r w:rsidRPr="00BA2FED">
        <w:t xml:space="preserve"> akceptováno, pokud jsou žadatelé akreditováni v oblasti provozování hazardních her akreditačním úřadem členského státu Evropské unie, a to </w:t>
      </w:r>
      <w:r w:rsidR="0079038C">
        <w:t>i s ohledem na</w:t>
      </w:r>
      <w:r w:rsidRPr="00BA2FED">
        <w:t> vzájemné uznávání akreditací. Povinnost doložit akreditaci od Českého institutu pro akreditaci je nicméně jednou z podmínek stanovených v pověření.</w:t>
      </w:r>
    </w:p>
    <w:p w14:paraId="412F47CC" w14:textId="2C18BD1C" w:rsidR="003D572B" w:rsidRPr="00BA2FED" w:rsidRDefault="003D572B" w:rsidP="002521DE">
      <w:pPr>
        <w:pStyle w:val="Nadpis7"/>
      </w:pPr>
      <w:r w:rsidRPr="00BA2FED">
        <w:t>Varianta I.</w:t>
      </w:r>
      <w:r w:rsidR="00B66245">
        <w:t xml:space="preserve"> – </w:t>
      </w:r>
      <w:r w:rsidR="00DA55FF" w:rsidRPr="00BA2FED">
        <w:t>Odstranění povinnosti a</w:t>
      </w:r>
      <w:r w:rsidR="0003311F">
        <w:t>kreditace Českým institutem pro </w:t>
      </w:r>
      <w:r w:rsidR="00D95B59">
        <w:t>akreditaci a </w:t>
      </w:r>
      <w:r w:rsidR="00DA55FF" w:rsidRPr="00BA2FED">
        <w:t>akceptace akreditace obdržené akreditačním orgánem jiného členského státu Evropské unie</w:t>
      </w:r>
    </w:p>
    <w:p w14:paraId="4ECF9977" w14:textId="5C755586" w:rsidR="00DA55FF" w:rsidRPr="00BA2FED" w:rsidRDefault="00DA55FF" w:rsidP="00DE0411">
      <w:r w:rsidRPr="00BA2FED">
        <w:t>Tato varianta by spočívala v úpravě metodického pokynu</w:t>
      </w:r>
      <w:r w:rsidR="00892A35" w:rsidRPr="00BA2FED">
        <w:t xml:space="preserve"> PAO</w:t>
      </w:r>
      <w:r w:rsidRPr="00BA2FED">
        <w:t>, neboť samotný zákon o hazardních hrách obsahuje pouze obecnou pov</w:t>
      </w:r>
      <w:r w:rsidR="00A42592" w:rsidRPr="00BA2FED">
        <w:t>innost disponovat akreditací, a </w:t>
      </w:r>
      <w:r w:rsidR="0079038C">
        <w:t>v</w:t>
      </w:r>
      <w:r w:rsidR="001E7421">
        <w:t xml:space="preserve"> úpravě </w:t>
      </w:r>
      <w:r w:rsidRPr="00BA2FED">
        <w:t>pověření</w:t>
      </w:r>
      <w:r w:rsidR="00892A35" w:rsidRPr="00BA2FED">
        <w:t xml:space="preserve"> k odbornému posuzování a osvědčování</w:t>
      </w:r>
      <w:r w:rsidRPr="00BA2FED">
        <w:t xml:space="preserve">, </w:t>
      </w:r>
      <w:r w:rsidR="0079038C">
        <w:t>v němž</w:t>
      </w:r>
      <w:r w:rsidRPr="00BA2FED">
        <w:t xml:space="preserve"> je v současnosti povinnost zakotvena. </w:t>
      </w:r>
      <w:r w:rsidR="0079038C">
        <w:t>P</w:t>
      </w:r>
      <w:r w:rsidRPr="00BA2FED">
        <w:t>ovinnost akreditace</w:t>
      </w:r>
      <w:r w:rsidR="0079038C">
        <w:t xml:space="preserve"> by byla</w:t>
      </w:r>
      <w:r w:rsidRPr="00BA2FED">
        <w:t xml:space="preserve"> zachována, </w:t>
      </w:r>
      <w:r w:rsidR="00CC795C">
        <w:t>ovšem</w:t>
      </w:r>
      <w:r w:rsidR="00CC795C" w:rsidRPr="00BA2FED">
        <w:t xml:space="preserve"> </w:t>
      </w:r>
      <w:r w:rsidR="00A42592" w:rsidRPr="00BA2FED">
        <w:t>bez přímé návaznosti na zákon o </w:t>
      </w:r>
      <w:r w:rsidRPr="00BA2FED">
        <w:t>hazardních hrách</w:t>
      </w:r>
      <w:r w:rsidR="00892A35" w:rsidRPr="00BA2FED">
        <w:t>. B</w:t>
      </w:r>
      <w:r w:rsidR="00B05804" w:rsidRPr="00BA2FED">
        <w:t xml:space="preserve">yla </w:t>
      </w:r>
      <w:r w:rsidR="00892A35" w:rsidRPr="00BA2FED">
        <w:t xml:space="preserve">by tedy </w:t>
      </w:r>
      <w:r w:rsidRPr="00BA2FED">
        <w:t xml:space="preserve">akceptována akreditace </w:t>
      </w:r>
      <w:r w:rsidR="0079038C" w:rsidRPr="00BA2FED">
        <w:t xml:space="preserve">v oblasti provozování hazardních her </w:t>
      </w:r>
      <w:r w:rsidRPr="00BA2FED">
        <w:t>z jakéhokoli ze států Evropské unie.</w:t>
      </w:r>
      <w:r w:rsidR="0079038C">
        <w:t xml:space="preserve"> </w:t>
      </w:r>
    </w:p>
    <w:p w14:paraId="159EB450" w14:textId="633AB7C6" w:rsidR="00093185" w:rsidRPr="00BA2FED" w:rsidRDefault="00DA55FF" w:rsidP="00DE0411">
      <w:r w:rsidRPr="00BA2FED">
        <w:t xml:space="preserve">Význam získání akreditace </w:t>
      </w:r>
      <w:r w:rsidR="00B05804" w:rsidRPr="00BA2FED">
        <w:t xml:space="preserve">spočívá </w:t>
      </w:r>
      <w:r w:rsidRPr="00BA2FED">
        <w:t xml:space="preserve">v tom, že </w:t>
      </w:r>
      <w:r w:rsidR="0079038C" w:rsidRPr="00BA2FED">
        <w:t xml:space="preserve">je </w:t>
      </w:r>
      <w:r w:rsidRPr="00BA2FED">
        <w:t>subjekt akreditačním orgánem hodnocen nejen co do metod testování příslušné povinnosti, která je stanovena v zákoně o hazardních hrác</w:t>
      </w:r>
      <w:r w:rsidR="00A42592" w:rsidRPr="00BA2FED">
        <w:t>h</w:t>
      </w:r>
      <w:r w:rsidR="002D6964" w:rsidRPr="00BA2FED">
        <w:t>, ale</w:t>
      </w:r>
      <w:r w:rsidRPr="00BA2FED">
        <w:t xml:space="preserve"> také co do vybavení a kvalifikace subjektů. Tyto oblasti v </w:t>
      </w:r>
      <w:r w:rsidR="00A42592" w:rsidRPr="00BA2FED">
        <w:t xml:space="preserve">rámci vydávání pověření </w:t>
      </w:r>
      <w:r w:rsidR="002D6964" w:rsidRPr="00BA2FED">
        <w:t xml:space="preserve">k odbornému posuzování a osvědčování </w:t>
      </w:r>
      <w:r w:rsidR="00A42592" w:rsidRPr="00BA2FED">
        <w:t>nejsou M</w:t>
      </w:r>
      <w:r w:rsidRPr="00BA2FED">
        <w:t>inisterstvem</w:t>
      </w:r>
      <w:r w:rsidR="00A42592" w:rsidRPr="00BA2FED">
        <w:t xml:space="preserve"> financí</w:t>
      </w:r>
      <w:r w:rsidRPr="00BA2FED">
        <w:t xml:space="preserve"> posuzovány. </w:t>
      </w:r>
      <w:r w:rsidR="00093185" w:rsidRPr="00BA2FED">
        <w:t xml:space="preserve">Zároveň úroveň </w:t>
      </w:r>
      <w:r w:rsidR="00B66245">
        <w:t>posuzování vhodnosti vybavení a </w:t>
      </w:r>
      <w:r w:rsidR="00093185" w:rsidRPr="00BA2FED">
        <w:t>kvalifikace subjektů je napříč členskými státy Evropské unie srovnatelná.</w:t>
      </w:r>
      <w:r w:rsidR="005573E3" w:rsidRPr="00BA2FED">
        <w:t xml:space="preserve"> </w:t>
      </w:r>
    </w:p>
    <w:p w14:paraId="71D4FF8B" w14:textId="2E3CC363" w:rsidR="00DA55FF" w:rsidRPr="00BA2FED" w:rsidRDefault="0079038C" w:rsidP="00DE0411">
      <w:r>
        <w:lastRenderedPageBreak/>
        <w:t>M</w:t>
      </w:r>
      <w:r w:rsidR="00DA55FF" w:rsidRPr="00BA2FED">
        <w:t xml:space="preserve">etoda posuzování povinností stanovených v zákoně o hazardních hrách </w:t>
      </w:r>
      <w:r>
        <w:t xml:space="preserve">je </w:t>
      </w:r>
      <w:r w:rsidR="00DA55FF" w:rsidRPr="00BA2FED">
        <w:t>hodnocena akreditačním orgánem</w:t>
      </w:r>
      <w:r w:rsidR="002D6964" w:rsidRPr="00BA2FED">
        <w:t xml:space="preserve">, který </w:t>
      </w:r>
      <w:r>
        <w:t xml:space="preserve">však </w:t>
      </w:r>
      <w:r w:rsidR="002D6964" w:rsidRPr="00BA2FED">
        <w:t>nutně nemusí disponovat aktuálními informacemi v oblasti provozování hazardních her, resp. nejsou mu známy stanoviska a názory Ministerstva financí na posuzování konkrétních technick</w:t>
      </w:r>
      <w:r w:rsidR="00093185" w:rsidRPr="00BA2FED">
        <w:t>ých parametrů. Ačkoli toto platí i pro akreditační o</w:t>
      </w:r>
      <w:r w:rsidR="001E7421">
        <w:t xml:space="preserve">rgán České republiky, v případě </w:t>
      </w:r>
      <w:r w:rsidR="00093185" w:rsidRPr="00BA2FED">
        <w:t>zahraničních akreditačních orgánů je riziko výraznější.</w:t>
      </w:r>
      <w:r w:rsidR="001D60BF" w:rsidRPr="00BA2FED">
        <w:t xml:space="preserve"> Tímto postupem</w:t>
      </w:r>
      <w:r w:rsidR="00DA55FF" w:rsidRPr="00BA2FED">
        <w:t xml:space="preserve"> dochází k hodnocení dvěma subjekty</w:t>
      </w:r>
      <w:r w:rsidR="001D60BF" w:rsidRPr="00BA2FED">
        <w:t>,</w:t>
      </w:r>
      <w:r w:rsidR="00DA55FF" w:rsidRPr="00BA2FED">
        <w:t xml:space="preserve"> což může mít za následek jak zvýšení administrativní náročnosti všech subjektů, tak i riziko odlišných závěrů. </w:t>
      </w:r>
      <w:r>
        <w:t>P</w:t>
      </w:r>
      <w:r w:rsidR="00DA55FF" w:rsidRPr="00BA2FED">
        <w:t>ouze hodno</w:t>
      </w:r>
      <w:r w:rsidR="00A42592" w:rsidRPr="00BA2FED">
        <w:t>cení M</w:t>
      </w:r>
      <w:r w:rsidR="00DA55FF" w:rsidRPr="00BA2FED">
        <w:t xml:space="preserve">inisterstva </w:t>
      </w:r>
      <w:r w:rsidR="00A42592" w:rsidRPr="00BA2FED">
        <w:t xml:space="preserve">financí </w:t>
      </w:r>
      <w:r w:rsidR="00DA55FF" w:rsidRPr="00BA2FED">
        <w:t>je rozhodující pro využití konkrétní metody.</w:t>
      </w:r>
    </w:p>
    <w:p w14:paraId="78439263" w14:textId="38A3753A" w:rsidR="003D572B" w:rsidRPr="00BA2FED" w:rsidRDefault="003D572B" w:rsidP="00DE0411">
      <w:r w:rsidRPr="00BA2FED">
        <w:t>Výhody:</w:t>
      </w:r>
    </w:p>
    <w:p w14:paraId="397FD002" w14:textId="054360ED" w:rsidR="00F91E4D" w:rsidRPr="00BA2FED" w:rsidRDefault="00D943ED" w:rsidP="00DE0411">
      <w:r>
        <w:t>P</w:t>
      </w:r>
      <w:r w:rsidR="00F91E4D" w:rsidRPr="00BA2FED">
        <w:t>ozitivem by bylo výrazné snížení zátěž</w:t>
      </w:r>
      <w:r w:rsidR="005D46CB" w:rsidRPr="00BA2FED">
        <w:t>e</w:t>
      </w:r>
      <w:r w:rsidR="00F91E4D" w:rsidRPr="00BA2FED">
        <w:t xml:space="preserve"> na straně </w:t>
      </w:r>
      <w:r w:rsidR="005D46CB" w:rsidRPr="00BA2FED">
        <w:t xml:space="preserve">zahraničních </w:t>
      </w:r>
      <w:r w:rsidR="00F91E4D" w:rsidRPr="00BA2FED">
        <w:t xml:space="preserve">pověřených osob, neboť </w:t>
      </w:r>
      <w:r w:rsidR="0079038C" w:rsidRPr="00BA2FED">
        <w:t xml:space="preserve">již </w:t>
      </w:r>
      <w:r w:rsidR="00F91E4D" w:rsidRPr="00BA2FED">
        <w:t xml:space="preserve">ve velké míře akreditacemi z jiných evropských států disponují. Zároveň nebylo identifikováno riziko </w:t>
      </w:r>
      <w:r w:rsidR="005D46CB" w:rsidRPr="00BA2FED">
        <w:t xml:space="preserve">z hlediska </w:t>
      </w:r>
      <w:r w:rsidR="00F91E4D" w:rsidRPr="00BA2FED">
        <w:t>odlišné úrovně v</w:t>
      </w:r>
      <w:r w:rsidR="00A42592" w:rsidRPr="00BA2FED">
        <w:t> oblasti zajištění personální a </w:t>
      </w:r>
      <w:r w:rsidR="00F91E4D" w:rsidRPr="00BA2FED">
        <w:t>technické odbornosti jednotlivých subjektů</w:t>
      </w:r>
      <w:r w:rsidR="005573E3" w:rsidRPr="00BA2FED">
        <w:t>, přičemž toto posouzení je z pohledu odborného posuzování a osvědčování důležité.</w:t>
      </w:r>
      <w:r w:rsidR="00F91E4D" w:rsidRPr="00BA2FED">
        <w:t xml:space="preserve"> </w:t>
      </w:r>
      <w:r w:rsidR="0079038C">
        <w:t xml:space="preserve"> </w:t>
      </w:r>
    </w:p>
    <w:p w14:paraId="5577F006" w14:textId="77777777" w:rsidR="003D572B" w:rsidRPr="00BA2FED" w:rsidRDefault="003D572B" w:rsidP="00DE0411">
      <w:r w:rsidRPr="00BA2FED">
        <w:t>Nevýhody:</w:t>
      </w:r>
    </w:p>
    <w:p w14:paraId="5862F643" w14:textId="79683B6B" w:rsidR="00F91E4D" w:rsidRPr="00BA2FED" w:rsidRDefault="00F91E4D" w:rsidP="00DE0411">
      <w:r w:rsidRPr="00BA2FED">
        <w:t>Je třeba zdůraznit, že regulace v oblasti provozování hazardních her je velmi odlišná napříč jednotlivými členskými státy Evropské unie. Lze předpokládat, že požadavky na personální a technickou odbornost subjektů jsou obdobné, a to vzhledem k systému uznávání akreditací. Nicméně samotné metody testování technických parametrů se s největší pravděpodobností mohou lišit</w:t>
      </w:r>
      <w:r w:rsidR="00676697" w:rsidRPr="00BA2FED">
        <w:t xml:space="preserve">, resp. se </w:t>
      </w:r>
      <w:r w:rsidR="00533492">
        <w:t xml:space="preserve">mohou </w:t>
      </w:r>
      <w:r w:rsidR="00676697" w:rsidRPr="00BA2FED">
        <w:t>odliš</w:t>
      </w:r>
      <w:r w:rsidR="00533492">
        <w:t>ovat</w:t>
      </w:r>
      <w:r w:rsidR="00676697" w:rsidRPr="00BA2FED">
        <w:t xml:space="preserve"> samotné technické param</w:t>
      </w:r>
      <w:r w:rsidR="00B63A6E" w:rsidRPr="00BA2FED">
        <w:t>et</w:t>
      </w:r>
      <w:r w:rsidR="00676697" w:rsidRPr="00BA2FED">
        <w:t>ry</w:t>
      </w:r>
      <w:r w:rsidRPr="00BA2FED">
        <w:t xml:space="preserve">. Mohlo by tak docházet k situaci, </w:t>
      </w:r>
      <w:r w:rsidR="00533492">
        <w:t>že</w:t>
      </w:r>
      <w:r w:rsidRPr="00BA2FED">
        <w:t xml:space="preserve"> by v obou řízeních (v řízení o akreditaci a řízení o vydání pově</w:t>
      </w:r>
      <w:r w:rsidR="00B66245">
        <w:t>ření) docházelo k předkládání a </w:t>
      </w:r>
      <w:r w:rsidRPr="00BA2FED">
        <w:t xml:space="preserve">schvalování odlišných metod, což by mělo nejen zásadní vliv na administrativní zatížení všech subjektů, ale i na jejich právní jistotu. </w:t>
      </w:r>
      <w:r w:rsidR="00533492">
        <w:t>T</w:t>
      </w:r>
      <w:r w:rsidR="00B66245">
        <w:t>oto riziko panuje i </w:t>
      </w:r>
      <w:r w:rsidRPr="00BA2FED">
        <w:t>v případě, pokud by byl ponechán požadavek získání akreditace výlučně od Českého institutu pro akreditaci.</w:t>
      </w:r>
    </w:p>
    <w:p w14:paraId="067FFB31" w14:textId="186668BC" w:rsidR="00F91E4D" w:rsidRPr="00BA2FED" w:rsidRDefault="00F91E4D" w:rsidP="002521DE">
      <w:pPr>
        <w:pStyle w:val="Nadpis7"/>
      </w:pPr>
      <w:r w:rsidRPr="00BA2FED">
        <w:t>Varianta II. – Ponech</w:t>
      </w:r>
      <w:r w:rsidR="005573E3" w:rsidRPr="00BA2FED">
        <w:t>ání</w:t>
      </w:r>
      <w:r w:rsidRPr="00BA2FED">
        <w:t xml:space="preserve"> aktuální</w:t>
      </w:r>
      <w:r w:rsidR="005573E3" w:rsidRPr="00BA2FED">
        <w:t>ho</w:t>
      </w:r>
      <w:r w:rsidRPr="00BA2FED">
        <w:t xml:space="preserve"> stav</w:t>
      </w:r>
      <w:r w:rsidR="005573E3" w:rsidRPr="00BA2FED">
        <w:t>u</w:t>
      </w:r>
      <w:r w:rsidRPr="00BA2FED">
        <w:t xml:space="preserve"> a požad</w:t>
      </w:r>
      <w:r w:rsidR="005573E3" w:rsidRPr="00BA2FED">
        <w:t>avku</w:t>
      </w:r>
      <w:r w:rsidRPr="00BA2FED">
        <w:t xml:space="preserve"> </w:t>
      </w:r>
      <w:r w:rsidR="005573E3" w:rsidRPr="00BA2FED">
        <w:t xml:space="preserve">získat </w:t>
      </w:r>
      <w:r w:rsidRPr="00BA2FED">
        <w:t>akreditaci od Českého institutu pro akreditaci</w:t>
      </w:r>
    </w:p>
    <w:p w14:paraId="76D4454A" w14:textId="33A7FE42" w:rsidR="00F91E4D" w:rsidRPr="00BA2FED" w:rsidRDefault="00F91E4D" w:rsidP="00DE0411">
      <w:r w:rsidRPr="00BA2FED">
        <w:t xml:space="preserve">Tato varianta </w:t>
      </w:r>
      <w:r w:rsidR="005D46CB" w:rsidRPr="00BA2FED">
        <w:t xml:space="preserve">spočívá v </w:t>
      </w:r>
      <w:r w:rsidRPr="00BA2FED">
        <w:t>ponech</w:t>
      </w:r>
      <w:r w:rsidR="005D46CB" w:rsidRPr="00BA2FED">
        <w:t>ání</w:t>
      </w:r>
      <w:r w:rsidRPr="00BA2FED">
        <w:t xml:space="preserve"> aktuální</w:t>
      </w:r>
      <w:r w:rsidR="005D46CB" w:rsidRPr="00BA2FED">
        <w:t>h</w:t>
      </w:r>
      <w:r w:rsidR="005573E3" w:rsidRPr="00BA2FED">
        <w:t>o</w:t>
      </w:r>
      <w:r w:rsidRPr="00BA2FED">
        <w:t xml:space="preserve"> stav</w:t>
      </w:r>
      <w:r w:rsidR="005D46CB" w:rsidRPr="00BA2FED">
        <w:t>u založeného na</w:t>
      </w:r>
      <w:r w:rsidRPr="00BA2FED">
        <w:t xml:space="preserve"> povinnost</w:t>
      </w:r>
      <w:r w:rsidR="005D46CB" w:rsidRPr="00BA2FED">
        <w:t>i</w:t>
      </w:r>
      <w:r w:rsidRPr="00BA2FED">
        <w:t xml:space="preserve"> pověřených osob doložit akreditaci od Českého institutu pro akreditaci</w:t>
      </w:r>
      <w:r w:rsidR="00567B0D" w:rsidRPr="00BA2FED">
        <w:t>. Tato povinnost by byla i </w:t>
      </w:r>
      <w:r w:rsidRPr="00BA2FED">
        <w:t>nadále vázána na okamžik, kdy nabyde účinnosti poslední z podzákonných předpisů.</w:t>
      </w:r>
      <w:r w:rsidR="005573E3" w:rsidRPr="00BA2FED">
        <w:t xml:space="preserve"> </w:t>
      </w:r>
    </w:p>
    <w:p w14:paraId="48731474" w14:textId="77777777" w:rsidR="00F91E4D" w:rsidRPr="00BA2FED" w:rsidRDefault="00F91E4D" w:rsidP="00DE0411">
      <w:r w:rsidRPr="00BA2FED">
        <w:t>Výhody:</w:t>
      </w:r>
    </w:p>
    <w:p w14:paraId="602FA760" w14:textId="681ACF78" w:rsidR="00D73C80" w:rsidRDefault="00F91E4D" w:rsidP="00DE0411">
      <w:r w:rsidRPr="00BA2FED">
        <w:t>Jak již je uvedeno u z</w:t>
      </w:r>
      <w:r w:rsidR="00A42592" w:rsidRPr="00BA2FED">
        <w:t>hodnocení varianty I.</w:t>
      </w:r>
      <w:r w:rsidRPr="00BA2FED">
        <w:t>, nesporným kladem by bylo zajištění</w:t>
      </w:r>
      <w:r w:rsidR="00B66245">
        <w:t xml:space="preserve"> totožného hodnocení </w:t>
      </w:r>
      <w:r w:rsidRPr="00BA2FED">
        <w:t>výsledk</w:t>
      </w:r>
      <w:r w:rsidR="007D005F" w:rsidRPr="00BA2FED">
        <w:t>ů</w:t>
      </w:r>
      <w:r w:rsidRPr="00BA2FED">
        <w:t xml:space="preserve"> posouzení metody posuzování</w:t>
      </w:r>
      <w:r w:rsidR="007D005F" w:rsidRPr="00BA2FED">
        <w:t>.</w:t>
      </w:r>
      <w:r w:rsidRPr="00BA2FED">
        <w:t xml:space="preserve"> Na hodnocení personálních a technických předpokladů by neměla varianta </w:t>
      </w:r>
      <w:r w:rsidR="00EB66D0" w:rsidRPr="00BA2FED">
        <w:t>II. v porovnání varianty I.</w:t>
      </w:r>
      <w:r w:rsidRPr="00BA2FED">
        <w:t xml:space="preserve"> pravděpodobně výrazný dopad.</w:t>
      </w:r>
    </w:p>
    <w:p w14:paraId="3733C4AA" w14:textId="4189D7FC" w:rsidR="00F91E4D" w:rsidRPr="00BA2FED" w:rsidRDefault="00F91E4D" w:rsidP="00DE0411">
      <w:r w:rsidRPr="00BA2FED">
        <w:t>Nevýhody:</w:t>
      </w:r>
    </w:p>
    <w:p w14:paraId="5848D4E0" w14:textId="04EA0BAA" w:rsidR="00F91E4D" w:rsidRPr="00BA2FED" w:rsidRDefault="00F91E4D" w:rsidP="00DE0411">
      <w:r w:rsidRPr="00BA2FED">
        <w:t>Negativní dopad by zvolená varianta mohla mít na finanční náklady na straně pověřených osob, resp. žadatelů o vydání pověření,</w:t>
      </w:r>
      <w:r w:rsidR="005573E3" w:rsidRPr="00BA2FED">
        <w:t xml:space="preserve"> zejména pak se sídlem v jiném státě Evropské unie,</w:t>
      </w:r>
      <w:r w:rsidRPr="00BA2FED">
        <w:t xml:space="preserve"> neboť by to znamenalo získání další akreditace v dalším členském státě Evropsk</w:t>
      </w:r>
      <w:r w:rsidR="00567B0D" w:rsidRPr="00BA2FED">
        <w:t>é unie. Zároveň by se jednalo o </w:t>
      </w:r>
      <w:r w:rsidRPr="00BA2FED">
        <w:t xml:space="preserve">výrazné zatížení </w:t>
      </w:r>
      <w:r w:rsidR="005573E3" w:rsidRPr="00BA2FED">
        <w:t>Českého institutu pro akreditaci</w:t>
      </w:r>
      <w:r w:rsidRPr="00BA2FED">
        <w:t xml:space="preserve">, neboť by byl v krátké době </w:t>
      </w:r>
      <w:r w:rsidR="00A6621C" w:rsidRPr="00BA2FED">
        <w:t xml:space="preserve">vystaven velkému objemu </w:t>
      </w:r>
      <w:r w:rsidRPr="00BA2FED">
        <w:t>žádost</w:t>
      </w:r>
      <w:r w:rsidR="00A6621C" w:rsidRPr="00BA2FED">
        <w:t>í</w:t>
      </w:r>
      <w:r w:rsidRPr="00BA2FED">
        <w:t xml:space="preserve"> o akreditaci od všech pověřených osob</w:t>
      </w:r>
      <w:r w:rsidR="005573E3" w:rsidRPr="00BA2FED">
        <w:t xml:space="preserve"> a v návaznosti na rychlost vydávání akreditace </w:t>
      </w:r>
      <w:r w:rsidR="005573E3" w:rsidRPr="00BA2FED">
        <w:lastRenderedPageBreak/>
        <w:t>různým subjektům by mohlo dojít ke konkurenčnímu z</w:t>
      </w:r>
      <w:r w:rsidR="002F6D2B">
        <w:t>ne</w:t>
      </w:r>
      <w:r w:rsidR="005573E3" w:rsidRPr="00BA2FED">
        <w:t xml:space="preserve">výhodnění některých pověřených osob, u kterých by byl </w:t>
      </w:r>
      <w:r w:rsidR="007B4477" w:rsidRPr="00BA2FED">
        <w:t xml:space="preserve">proces udělení akreditace časově náročnější. </w:t>
      </w:r>
      <w:r w:rsidR="00F22322">
        <w:t>T</w:t>
      </w:r>
      <w:r w:rsidR="007B4477" w:rsidRPr="00BA2FED">
        <w:t xml:space="preserve">ato varianta </w:t>
      </w:r>
      <w:r w:rsidR="00F22322">
        <w:t xml:space="preserve">by </w:t>
      </w:r>
      <w:r w:rsidR="007B4477" w:rsidRPr="00BA2FED">
        <w:t xml:space="preserve">měla vliv i na </w:t>
      </w:r>
      <w:r w:rsidR="00EB66D0" w:rsidRPr="00BA2FED">
        <w:t>zatížení Ministerstva financí</w:t>
      </w:r>
      <w:r w:rsidR="007B4477" w:rsidRPr="00BA2FED">
        <w:t>,</w:t>
      </w:r>
      <w:r w:rsidR="00F22322">
        <w:t xml:space="preserve"> neboť</w:t>
      </w:r>
      <w:r w:rsidRPr="00BA2FED">
        <w:t xml:space="preserve"> by s největší pravděpodobností akreditačnímu orgánu </w:t>
      </w:r>
      <w:r w:rsidR="00F22322">
        <w:t xml:space="preserve">muselo </w:t>
      </w:r>
      <w:r w:rsidRPr="00BA2FED">
        <w:t>poskytova</w:t>
      </w:r>
      <w:r w:rsidR="00F22322">
        <w:t>t</w:t>
      </w:r>
      <w:r w:rsidRPr="00BA2FED">
        <w:t xml:space="preserve"> v oblasti hodnocení metod součinnost. </w:t>
      </w:r>
      <w:r w:rsidR="00F22322">
        <w:t>I</w:t>
      </w:r>
      <w:r w:rsidRPr="00BA2FED">
        <w:t xml:space="preserve"> nadále</w:t>
      </w:r>
      <w:r w:rsidR="00F22322">
        <w:t xml:space="preserve"> by</w:t>
      </w:r>
      <w:r w:rsidRPr="00BA2FED">
        <w:t xml:space="preserve"> </w:t>
      </w:r>
      <w:r w:rsidR="00F22322">
        <w:t>bylo závazné</w:t>
      </w:r>
      <w:r w:rsidRPr="00BA2FED">
        <w:t xml:space="preserve"> </w:t>
      </w:r>
      <w:r w:rsidR="00F22322" w:rsidRPr="00BA2FED">
        <w:t xml:space="preserve">pouze </w:t>
      </w:r>
      <w:r w:rsidR="00EB66D0" w:rsidRPr="00BA2FED">
        <w:t xml:space="preserve">hodnocení metody </w:t>
      </w:r>
      <w:r w:rsidR="00F22322">
        <w:t>ze </w:t>
      </w:r>
      <w:r w:rsidR="00EB66D0" w:rsidRPr="00BA2FED">
        <w:t>strany Ministerstva financí,</w:t>
      </w:r>
      <w:r w:rsidRPr="00BA2FED">
        <w:t xml:space="preserve"> ať již v rámci metodiky nebo při </w:t>
      </w:r>
      <w:r w:rsidR="000939D6">
        <w:t>výkonu dozoru nad odborným posuzováním.</w:t>
      </w:r>
      <w:r w:rsidR="005573E3" w:rsidRPr="00BA2FED">
        <w:t xml:space="preserve"> </w:t>
      </w:r>
    </w:p>
    <w:p w14:paraId="6D75E23B" w14:textId="77777777" w:rsidR="00F91E4D" w:rsidRPr="00BA2FED" w:rsidRDefault="00F91E4D" w:rsidP="002521DE">
      <w:pPr>
        <w:pStyle w:val="Nadpis7"/>
      </w:pPr>
      <w:r w:rsidRPr="00BA2FED">
        <w:t>Hodnocení variant</w:t>
      </w:r>
    </w:p>
    <w:p w14:paraId="5E834834" w14:textId="3E13B268" w:rsidR="00F91E4D" w:rsidRDefault="00F91E4D" w:rsidP="00DE0411">
      <w:r w:rsidRPr="00BA2FED">
        <w:t xml:space="preserve">Obě navrhované varianty obsahují negativní </w:t>
      </w:r>
      <w:r w:rsidR="00F22322">
        <w:t>i pozitivní dopady. Vzhledem ke </w:t>
      </w:r>
      <w:r w:rsidRPr="00BA2FED">
        <w:t xml:space="preserve">skutečnosti, že v obou variantách akreditační orgán hodnotí personální a technické předpoklady daného subjektu, přičemž v návaznosti na povinnost dodržet určitý standard musí mít akreditační orgány srovnatelné nároky na jednotlivé subjekty, by bylo </w:t>
      </w:r>
      <w:r w:rsidR="007B4477" w:rsidRPr="00BA2FED">
        <w:t xml:space="preserve">v obou variantách </w:t>
      </w:r>
      <w:r w:rsidRPr="00BA2FED">
        <w:t xml:space="preserve">zajištěno </w:t>
      </w:r>
      <w:r w:rsidR="007B4477" w:rsidRPr="00BA2FED">
        <w:t xml:space="preserve">dostatečné </w:t>
      </w:r>
      <w:r w:rsidR="001E7421">
        <w:t>posuzování personálních a </w:t>
      </w:r>
      <w:r w:rsidRPr="00BA2FED">
        <w:t>technických předpokladů. Zároveň by nemělo dojít ani ke snížení možnosti dozoru nad použitými metodami posuzování techn</w:t>
      </w:r>
      <w:r w:rsidR="001E7421">
        <w:t>ických parametrů podle zákona o </w:t>
      </w:r>
      <w:r w:rsidRPr="00BA2FED">
        <w:t>hazardních hrách, neboť ty by byly i nadále po</w:t>
      </w:r>
      <w:r w:rsidR="00EB66D0" w:rsidRPr="00BA2FED">
        <w:t>suzovány M</w:t>
      </w:r>
      <w:r w:rsidRPr="00BA2FED">
        <w:t>inisterstvem</w:t>
      </w:r>
      <w:r w:rsidR="00EB66D0" w:rsidRPr="00BA2FED">
        <w:t xml:space="preserve"> financí,</w:t>
      </w:r>
      <w:r w:rsidRPr="00BA2FED">
        <w:t xml:space="preserve"> ať již v rámci posouzení žádostí o vydání pověření</w:t>
      </w:r>
      <w:r w:rsidR="007B4477" w:rsidRPr="00BA2FED">
        <w:t xml:space="preserve">, nebo v případě vydávání </w:t>
      </w:r>
      <w:r w:rsidR="002F6D2B">
        <w:t>základního povolení</w:t>
      </w:r>
      <w:r w:rsidR="007B4477" w:rsidRPr="00BA2FED">
        <w:t xml:space="preserve"> a zároveň pouze posouzení ze strany Ministerstva financí je závazné</w:t>
      </w:r>
      <w:r w:rsidRPr="00BA2FED">
        <w:t xml:space="preserve">. V současné chvíli se </w:t>
      </w:r>
      <w:r w:rsidR="00EB66D0" w:rsidRPr="00BA2FED">
        <w:t>M</w:t>
      </w:r>
      <w:r w:rsidRPr="00BA2FED">
        <w:t>inisterstvo</w:t>
      </w:r>
      <w:r w:rsidR="00EB66D0" w:rsidRPr="00BA2FED">
        <w:t xml:space="preserve"> financí </w:t>
      </w:r>
      <w:r w:rsidR="0057761B" w:rsidRPr="00BA2FED">
        <w:t xml:space="preserve">po zvážení finančních nákladů pověřených osob </w:t>
      </w:r>
      <w:r w:rsidR="00EB66D0" w:rsidRPr="00BA2FED">
        <w:t>přiklání k variantě I.</w:t>
      </w:r>
      <w:r w:rsidR="007B4477" w:rsidRPr="00BA2FED">
        <w:t xml:space="preserve">, </w:t>
      </w:r>
      <w:r w:rsidR="0003311F">
        <w:t>která </w:t>
      </w:r>
      <w:r w:rsidRPr="00BA2FED">
        <w:t>bude dále konzultována s </w:t>
      </w:r>
      <w:r w:rsidR="0057761B">
        <w:t>Českým institutem pro </w:t>
      </w:r>
      <w:r w:rsidR="007B4477" w:rsidRPr="00BA2FED">
        <w:t xml:space="preserve">akreditaci </w:t>
      </w:r>
      <w:r w:rsidRPr="00BA2FED">
        <w:t>a pověřenými osobami.</w:t>
      </w:r>
    </w:p>
    <w:p w14:paraId="2D251C9C" w14:textId="38E7EF1D" w:rsidR="00751183" w:rsidRPr="00BA2FED" w:rsidRDefault="002617C1" w:rsidP="00EF64DB">
      <w:pPr>
        <w:pStyle w:val="Nadpis5"/>
      </w:pPr>
      <w:bookmarkStart w:id="15" w:name="_Toc73608106"/>
      <w:r w:rsidRPr="00EF64DB">
        <w:t>Výstupní dokumenty</w:t>
      </w:r>
      <w:bookmarkEnd w:id="15"/>
    </w:p>
    <w:p w14:paraId="7E18B122" w14:textId="723B34DD" w:rsidR="009A0251" w:rsidRPr="00BA2FED" w:rsidRDefault="007B4477" w:rsidP="00B96FDD">
      <w:pPr>
        <w:pStyle w:val="Nadpis6"/>
        <w:numPr>
          <w:ilvl w:val="0"/>
          <w:numId w:val="35"/>
        </w:numPr>
      </w:pPr>
      <w:bookmarkStart w:id="16" w:name="_Toc73608107"/>
      <w:r w:rsidRPr="00B96FDD">
        <w:t>Jedinečný identifikátor</w:t>
      </w:r>
      <w:r w:rsidR="009A0251" w:rsidRPr="00B96FDD">
        <w:t xml:space="preserve"> dokumentu od</w:t>
      </w:r>
      <w:r w:rsidR="00567B0D" w:rsidRPr="00B96FDD">
        <w:t>borného posouzení a osvědčení</w:t>
      </w:r>
      <w:r w:rsidR="00567B0D" w:rsidRPr="00BA2FED">
        <w:t xml:space="preserve"> o </w:t>
      </w:r>
      <w:r w:rsidR="009A0251" w:rsidRPr="00BA2FED">
        <w:t>provozuschopnosti</w:t>
      </w:r>
      <w:bookmarkEnd w:id="16"/>
    </w:p>
    <w:p w14:paraId="0C590144" w14:textId="651CAB90" w:rsidR="009A0251" w:rsidRPr="00BA2FED" w:rsidRDefault="009A0251" w:rsidP="00DE0411">
      <w:r w:rsidRPr="00BA2FED">
        <w:t>V současné době není proces a forma identifikačních čísel dokumentů odborného posouzení a osvědčení o provozuschopnosti ob</w:t>
      </w:r>
      <w:r w:rsidR="001E7421">
        <w:t xml:space="preserve">sažena ani v právní úpravě, ani </w:t>
      </w:r>
      <w:r w:rsidRPr="00BA2FED">
        <w:t xml:space="preserve">v pověření </w:t>
      </w:r>
      <w:r w:rsidR="004C1813" w:rsidRPr="00BA2FED">
        <w:t>k odbornému posuzování a osvědčování</w:t>
      </w:r>
      <w:r w:rsidRPr="00BA2FED">
        <w:t xml:space="preserve">. Tato skutečnost činí dokumenty odborného posouzení a osvědčení o provozuschopnosti nepřehledné </w:t>
      </w:r>
      <w:r w:rsidR="001E7421">
        <w:t xml:space="preserve">jak </w:t>
      </w:r>
      <w:r w:rsidR="00B66245">
        <w:t>pr</w:t>
      </w:r>
      <w:r w:rsidR="00EB66D0" w:rsidRPr="00BA2FED">
        <w:t>o Ministerstvo financí,</w:t>
      </w:r>
      <w:r w:rsidRPr="00BA2FED">
        <w:t xml:space="preserve"> tak pro celní úřady a obce. </w:t>
      </w:r>
      <w:r w:rsidR="0057761B">
        <w:t>P</w:t>
      </w:r>
      <w:r w:rsidRPr="00BA2FED">
        <w:t xml:space="preserve">okud by byl proveden koncept doplňku odborného posouzení, </w:t>
      </w:r>
      <w:r w:rsidR="0057761B" w:rsidRPr="00BA2FED">
        <w:t xml:space="preserve">bylo by </w:t>
      </w:r>
      <w:r w:rsidRPr="00BA2FED">
        <w:t>sjednocení identifikačních čísel zcela zásadní.</w:t>
      </w:r>
    </w:p>
    <w:p w14:paraId="22620BE7" w14:textId="7487D18A" w:rsidR="009A0251" w:rsidRPr="00BA2FED" w:rsidRDefault="009A0251" w:rsidP="00DE0411">
      <w:pPr>
        <w:rPr>
          <w:u w:val="single"/>
        </w:rPr>
      </w:pPr>
      <w:r w:rsidRPr="00BA2FED">
        <w:t xml:space="preserve">Navrhovaný způsob řešení nedostatku by spočíval ve stanovení konkrétní jednotné struktury </w:t>
      </w:r>
      <w:r w:rsidR="004C1813" w:rsidRPr="00BA2FED">
        <w:t>jedinečného identifikátoru</w:t>
      </w:r>
      <w:r w:rsidRPr="00BA2FED">
        <w:t xml:space="preserve">. Ačkoli byly zvažovány varianty, </w:t>
      </w:r>
      <w:r w:rsidR="0057761B">
        <w:t>že</w:t>
      </w:r>
      <w:r w:rsidRPr="00BA2FED">
        <w:t xml:space="preserve"> by byl stanoven přesný formát identifikačního čísla, který by mohl spočívat např. v uvedení IČO (popř. VPČ) pověřené osoby, IČO (popř. VPČ) zadavatele, roku vydání odborného posouzení, zkratky OP (tj. odborné posouzení) a případného uvedení pořadového číslu doplňku, bylo </w:t>
      </w:r>
      <w:r w:rsidR="0057761B">
        <w:t>o</w:t>
      </w:r>
      <w:r w:rsidRPr="00BA2FED">
        <w:t>d této možnosti upuštěno z důvodu výraznějších negativních dopadů na pověřené osoby. Varianta, která je v současnosti navrhována, spočívá v </w:t>
      </w:r>
      <w:r w:rsidRPr="00EF64DB">
        <w:rPr>
          <w:b/>
        </w:rPr>
        <w:t>povinnosti zavedení jednotného způsobu přidělov</w:t>
      </w:r>
      <w:r w:rsidR="00EB26A2" w:rsidRPr="00EF64DB">
        <w:rPr>
          <w:b/>
        </w:rPr>
        <w:t xml:space="preserve">ání </w:t>
      </w:r>
      <w:r w:rsidR="007A0008" w:rsidRPr="00EF64DB">
        <w:rPr>
          <w:b/>
        </w:rPr>
        <w:t>jedinečných identifikátorů</w:t>
      </w:r>
      <w:r w:rsidR="00EB26A2" w:rsidRPr="00EF64DB">
        <w:rPr>
          <w:b/>
        </w:rPr>
        <w:t>, která</w:t>
      </w:r>
      <w:r w:rsidRPr="00EF64DB">
        <w:rPr>
          <w:b/>
        </w:rPr>
        <w:t xml:space="preserve"> se však může lišit v rámci jednotlivých pověřených osob</w:t>
      </w:r>
      <w:r w:rsidRPr="00BA2FED">
        <w:t xml:space="preserve">. </w:t>
      </w:r>
    </w:p>
    <w:p w14:paraId="07C6D78F" w14:textId="12D57C73" w:rsidR="009A0251" w:rsidRPr="00BA2FED" w:rsidRDefault="009A0251" w:rsidP="00DE0411">
      <w:r w:rsidRPr="00BA2FED">
        <w:t>Zvolen</w:t>
      </w:r>
      <w:r w:rsidR="007A0008" w:rsidRPr="00BA2FED">
        <w:t>ý jedinečný identifikátor j</w:t>
      </w:r>
      <w:r w:rsidRPr="00BA2FED">
        <w:t>e nutné přizpů</w:t>
      </w:r>
      <w:r w:rsidR="00567B0D" w:rsidRPr="00BA2FED">
        <w:t xml:space="preserve">sobit také </w:t>
      </w:r>
      <w:r w:rsidR="00EB66D0" w:rsidRPr="00BA2FED">
        <w:t xml:space="preserve">pro </w:t>
      </w:r>
      <w:r w:rsidR="00567B0D" w:rsidRPr="00BA2FED">
        <w:t>vydávání osvědčení o </w:t>
      </w:r>
      <w:r w:rsidRPr="00BA2FED">
        <w:t>provozuschopnosti tak, aby byla zcela zřejmá</w:t>
      </w:r>
      <w:r w:rsidR="00EB66D0" w:rsidRPr="00BA2FED">
        <w:t xml:space="preserve"> </w:t>
      </w:r>
      <w:r w:rsidRPr="00BA2FED">
        <w:t xml:space="preserve">vazba na </w:t>
      </w:r>
      <w:r w:rsidR="007A0008" w:rsidRPr="00BA2FED">
        <w:t>jedinečný identifikátor</w:t>
      </w:r>
      <w:r w:rsidRPr="00BA2FED">
        <w:t xml:space="preserve"> odborného posouzení, na základě kterého je osvědčení o provozuschopnosti vydáváno.</w:t>
      </w:r>
    </w:p>
    <w:p w14:paraId="5842F345" w14:textId="4288D1B6" w:rsidR="009A0251" w:rsidRPr="00BA2FED" w:rsidRDefault="009A0251" w:rsidP="00DE0411">
      <w:r w:rsidRPr="00BA2FED">
        <w:lastRenderedPageBreak/>
        <w:t>Pozitivním dopadem sjednocení tvorby identifikačních čísel je bezesporu umožnění, resp. zjednodušení</w:t>
      </w:r>
      <w:r w:rsidR="00D53EAD">
        <w:t xml:space="preserve"> orientace relevantních orgánů ve výstupních dokumentech</w:t>
      </w:r>
      <w:r w:rsidR="00E703ED">
        <w:t>,</w:t>
      </w:r>
      <w:r w:rsidR="00976C0F" w:rsidRPr="00BA2FED">
        <w:t xml:space="preserve"> spočívající v</w:t>
      </w:r>
      <w:r w:rsidRPr="00BA2FED">
        <w:t xml:space="preserve"> zavedení konceptu </w:t>
      </w:r>
      <w:r w:rsidR="007A0008" w:rsidRPr="00BA2FED">
        <w:t xml:space="preserve">jedinečných </w:t>
      </w:r>
      <w:r w:rsidR="00976C0F" w:rsidRPr="00BA2FED">
        <w:t xml:space="preserve">identifikátorů </w:t>
      </w:r>
      <w:r w:rsidRPr="00BA2FED">
        <w:t>do</w:t>
      </w:r>
      <w:r w:rsidR="00567B0D" w:rsidRPr="00BA2FED">
        <w:t>plňkového odborného posouzení a </w:t>
      </w:r>
      <w:r w:rsidRPr="00BA2FED">
        <w:t>osvědčení o provozuschopnosti. Pokud by tato úprava nebyla zavedena, byla by orientace v dokumentech velmi problemat</w:t>
      </w:r>
      <w:r w:rsidR="00C26DB0">
        <w:t>ická a </w:t>
      </w:r>
      <w:r w:rsidR="00D95B59">
        <w:t>mělo by to negativní dopad i </w:t>
      </w:r>
      <w:r w:rsidRPr="00BA2FED">
        <w:t xml:space="preserve">do správního řízení </w:t>
      </w:r>
      <w:r w:rsidR="00C26DB0">
        <w:t xml:space="preserve">o vydání základního povolení, </w:t>
      </w:r>
      <w:r w:rsidRPr="00BA2FED">
        <w:t>zejména v souvislosti s</w:t>
      </w:r>
      <w:r w:rsidR="00976C0F" w:rsidRPr="00BA2FED">
        <w:t>e zvýšenou</w:t>
      </w:r>
      <w:r w:rsidRPr="00BA2FED">
        <w:t> časovou náročností správního řízení.</w:t>
      </w:r>
    </w:p>
    <w:p w14:paraId="6AA85178" w14:textId="55FABB84" w:rsidR="009A0251" w:rsidRPr="00BA2FED" w:rsidRDefault="009A0251" w:rsidP="00DE0411">
      <w:r w:rsidRPr="00BA2FED">
        <w:t>Určitý negativní dopad ve formě dodatečných nákladů lze spatřovat v povinnosti pověřených osob upravit způsob přidělování</w:t>
      </w:r>
      <w:r w:rsidR="00B71614" w:rsidRPr="00BA2FED">
        <w:t xml:space="preserve"> jedinečných identifikátorů</w:t>
      </w:r>
      <w:r w:rsidR="00E703ED">
        <w:t>.</w:t>
      </w:r>
      <w:r w:rsidRPr="00BA2FED">
        <w:t xml:space="preserve"> </w:t>
      </w:r>
      <w:r w:rsidR="00E703ED">
        <w:t>T</w:t>
      </w:r>
      <w:r w:rsidRPr="00BA2FED">
        <w:t>ento negativní dopad je</w:t>
      </w:r>
      <w:r w:rsidR="00E703ED">
        <w:t xml:space="preserve"> však</w:t>
      </w:r>
      <w:r w:rsidRPr="00BA2FED">
        <w:t xml:space="preserve"> jednorázový a nepředpokládá se, že by se jednalo</w:t>
      </w:r>
      <w:r w:rsidR="00863F2D">
        <w:t xml:space="preserve"> o</w:t>
      </w:r>
      <w:r w:rsidRPr="00BA2FED">
        <w:t xml:space="preserve"> vysoké finanční náklady</w:t>
      </w:r>
      <w:r w:rsidR="00E703ED">
        <w:t xml:space="preserve"> - </w:t>
      </w:r>
      <w:r w:rsidRPr="00BA2FED">
        <w:t>výše uvedené pozitivum negativa výrazně převyšuje. Některé pověřené osoby navíc již tento způsob aplikují.</w:t>
      </w:r>
    </w:p>
    <w:p w14:paraId="311172BA" w14:textId="3702FF2B" w:rsidR="00111E24" w:rsidRDefault="00567B0D" w:rsidP="00EF64DB">
      <w:r w:rsidRPr="002617C1">
        <w:t>Vzhledem ke skutečnosti, že již probíhají práce na novelizaci vyhlá</w:t>
      </w:r>
      <w:r w:rsidR="001E7421">
        <w:t xml:space="preserve">šky </w:t>
      </w:r>
      <w:r w:rsidR="00E703ED" w:rsidRPr="002617C1">
        <w:t>o </w:t>
      </w:r>
      <w:r w:rsidR="00990DA6" w:rsidRPr="002617C1">
        <w:t xml:space="preserve">náležitostech výstupních dokumentů </w:t>
      </w:r>
      <w:r w:rsidRPr="005416B4">
        <w:t>a byly zahájeny konzultace s pověřenými osobami, přičemž prozatím nebyly identifikovány další vhodné varianty, jedná se aktuálně o</w:t>
      </w:r>
      <w:r w:rsidR="006917BA">
        <w:t> </w:t>
      </w:r>
      <w:r w:rsidRPr="006917BA">
        <w:t>doporučovaný postup. Pouze ze strany jedné pověřené osoby byly zdůrazňovány negativní dopady, které jsou uvedeny výše.</w:t>
      </w:r>
      <w:r w:rsidR="00C5240F" w:rsidRPr="006917BA">
        <w:t xml:space="preserve"> </w:t>
      </w:r>
    </w:p>
    <w:p w14:paraId="1B6AC069" w14:textId="4D903A17" w:rsidR="00C5240F" w:rsidRPr="00111E24" w:rsidRDefault="00C5240F" w:rsidP="00B96FDD">
      <w:pPr>
        <w:pStyle w:val="Nadpis6"/>
        <w:numPr>
          <w:ilvl w:val="0"/>
          <w:numId w:val="37"/>
        </w:numPr>
      </w:pPr>
      <w:bookmarkStart w:id="17" w:name="_Toc73608108"/>
      <w:r w:rsidRPr="00111E24">
        <w:t>Doplnění odborného posouzení a osvědčení o provozuschopnosti v případech, kde dojde k zásahu do technických parametrů hazardní hry nebo zařízení, prostřednictvím kterého je hazardní hra provozována</w:t>
      </w:r>
      <w:bookmarkEnd w:id="17"/>
    </w:p>
    <w:p w14:paraId="69643D1B" w14:textId="77777777" w:rsidR="00C5240F" w:rsidRPr="00BA2FED" w:rsidRDefault="00C5240F" w:rsidP="00C5240F">
      <w:r w:rsidRPr="00EF64DB">
        <w:t>Odborné posouzení obsahuje detailní zhodnocení technických parametrů hazardní hry nebo zařízení, prostřednictvím kterého jsou hazardní hry provozovány. Při každé změně technického parametru je nutné znovu ověřit, že i nadále jsou veškeré technické parametry v souladu se zákonem o hazardních hrách a podzákonnými předpisy, a tedy vydat i nové dokumenty odborného posouzení, osvědčení o provozuschopnosti a novou registrační známku (na každou dílčí část zařízení, tj. např. každé koncové zařízení).</w:t>
      </w:r>
      <w:r w:rsidRPr="00BA2FED">
        <w:t xml:space="preserve"> </w:t>
      </w:r>
    </w:p>
    <w:p w14:paraId="45892128" w14:textId="77777777" w:rsidR="00C5240F" w:rsidRPr="00BA2FED" w:rsidRDefault="00C5240F" w:rsidP="00C5240F">
      <w:r w:rsidRPr="00BA2FED">
        <w:t xml:space="preserve">Výše uvedený postup je finančně, personálně i administrativně zatěžující zejména pro provozovatele, ale i pro pověřené osoby a do určité míry i Ministerstvo financí </w:t>
      </w:r>
      <w:r>
        <w:t>při </w:t>
      </w:r>
      <w:r w:rsidRPr="00BA2FED">
        <w:t xml:space="preserve">vydávání změn základního povolení. </w:t>
      </w:r>
      <w:r>
        <w:t>V</w:t>
      </w:r>
      <w:r w:rsidRPr="00BA2FED">
        <w:t>ydání nového od</w:t>
      </w:r>
      <w:r>
        <w:t>borného posouzení v </w:t>
      </w:r>
      <w:r w:rsidRPr="00BA2FED">
        <w:t>současné době vyžaduje kro</w:t>
      </w:r>
      <w:r>
        <w:t>mě vydání změny základního povolení i </w:t>
      </w:r>
      <w:r w:rsidRPr="00BA2FED">
        <w:t>vydání nové registrační známky, kterou je nutné umístit na zařízení, prostřednictvím kterých jsou hazardní hry provozovány (např. veškerá koncová zařízení, kterých jednotliv</w:t>
      </w:r>
      <w:r>
        <w:t>í</w:t>
      </w:r>
      <w:r w:rsidRPr="00BA2FED">
        <w:t xml:space="preserve"> provozovatelé mohou provozovat stovky). Dalším nedostatkem této úpravy je bezesporu nepřehlednost dokumentů pro Ministerstvo financí</w:t>
      </w:r>
      <w:r>
        <w:t>.</w:t>
      </w:r>
      <w:r w:rsidRPr="00BA2FED">
        <w:t xml:space="preserve"> </w:t>
      </w:r>
      <w:r>
        <w:t xml:space="preserve">V </w:t>
      </w:r>
      <w:r w:rsidRPr="00BA2FED">
        <w:t xml:space="preserve">rámci odborného posouzení předkládaného ve správním řízení o změně základního povolení není </w:t>
      </w:r>
      <w:r>
        <w:t xml:space="preserve">často </w:t>
      </w:r>
      <w:r w:rsidRPr="00BA2FED">
        <w:t xml:space="preserve">zřejmé, v jaké části k zásahu </w:t>
      </w:r>
      <w:r>
        <w:t xml:space="preserve">do hazardní hry, nebo zařízení, prostřednictvím kterého jsou hazardní hry provozovány, </w:t>
      </w:r>
      <w:r w:rsidRPr="00BA2FED">
        <w:t>došlo, a tím dochází i k prodloužení správního řízení.</w:t>
      </w:r>
    </w:p>
    <w:p w14:paraId="38C9C809" w14:textId="760C9DE7" w:rsidR="00C5240F" w:rsidRPr="00BA2FED" w:rsidRDefault="00C5240F" w:rsidP="00C5240F">
      <w:r w:rsidRPr="00BA2FED">
        <w:t>Vzhledem k výše uvedenému nedostatku je na</w:t>
      </w:r>
      <w:r>
        <w:t>vrhováno zavedení konceptu tzv. </w:t>
      </w:r>
      <w:r w:rsidRPr="00BA2FED">
        <w:t>doplňku odborného posouzení, které by vyžadovalo novelizaci vyhlášky</w:t>
      </w:r>
      <w:r w:rsidRPr="00F43D5B">
        <w:t xml:space="preserve"> </w:t>
      </w:r>
      <w:r w:rsidRPr="00BA2FED">
        <w:t>o</w:t>
      </w:r>
      <w:r>
        <w:t> </w:t>
      </w:r>
      <w:r w:rsidRPr="00BA2FED">
        <w:t>náležitostech</w:t>
      </w:r>
      <w:r>
        <w:t xml:space="preserve"> výstupních dokumentů</w:t>
      </w:r>
      <w:r w:rsidRPr="00BA2FED">
        <w:t xml:space="preserve">, neboť by se jednalo </w:t>
      </w:r>
      <w:r>
        <w:t xml:space="preserve">o </w:t>
      </w:r>
      <w:r w:rsidRPr="00BA2FED">
        <w:t xml:space="preserve">doplnění odborného posouzení a osvědčení o provozuschopnosti jakožto </w:t>
      </w:r>
      <w:r>
        <w:t>výstupního dokumentu, a také </w:t>
      </w:r>
      <w:r w:rsidRPr="00BA2FED">
        <w:t>pověření. Odborné posouzení, které by bylo doplňkem aktualizován</w:t>
      </w:r>
      <w:r>
        <w:t>o</w:t>
      </w:r>
      <w:r w:rsidR="00760DAA">
        <w:t>, by se </w:t>
      </w:r>
      <w:r w:rsidRPr="00BA2FED">
        <w:t>označovalo jako základní odborné posouzení.</w:t>
      </w:r>
    </w:p>
    <w:p w14:paraId="300BC634" w14:textId="10B7E67F" w:rsidR="00C5240F" w:rsidRPr="00BA2FED" w:rsidRDefault="00C5240F" w:rsidP="00C5240F">
      <w:r w:rsidRPr="00BA2FED">
        <w:lastRenderedPageBreak/>
        <w:t>Po stránce procesu posuzování by byl doplněk</w:t>
      </w:r>
      <w:r>
        <w:t xml:space="preserve"> odborného posouzení zaměřen na </w:t>
      </w:r>
      <w:r w:rsidRPr="00BA2FED">
        <w:t>detailní posouzení nového prvku v rámci zařízení (</w:t>
      </w:r>
      <w:r>
        <w:t>ať již s</w:t>
      </w:r>
      <w:r w:rsidR="00CC764E">
        <w:t xml:space="preserve">e jedná o doplnění nebo </w:t>
      </w:r>
      <w:r w:rsidRPr="00BA2FED">
        <w:t>naopak odstranění funkce, hazardní hry, atd</w:t>
      </w:r>
      <w:r>
        <w:t>.</w:t>
      </w:r>
      <w:r w:rsidRPr="00BA2FED">
        <w:t>) a zhodnocení, zda i nadále zařízení jako celek odpovídá požadavkům zákona o hazardních hrách a technické vyhlášky. Aby bylo možné zaručit řádný výkon provozování a zároveň minimalizovat časovou, finanční a personální náročnost ověření hazardní hry nebo zařízení, prostřednictvím kterého jsou hazardní hry provozovány, bylo by nutné, aby byla zaručena znalost zařízení z předchozí činnosti, tj. činnosti, která vedla k vydání základního odborného posouzení.</w:t>
      </w:r>
    </w:p>
    <w:p w14:paraId="4EBF96ED" w14:textId="77777777" w:rsidR="00C5240F" w:rsidRPr="00BA2FED" w:rsidRDefault="00C5240F" w:rsidP="00C5240F">
      <w:r w:rsidRPr="00BA2FED">
        <w:t>Aby byl pozitivní dopad v maximální možné míře, bylo by využití konceptu doplňků povinností pověřené osoby, resp. provozovatele, a</w:t>
      </w:r>
      <w:r>
        <w:t xml:space="preserve"> to za předpokladu, že zásah do </w:t>
      </w:r>
      <w:r w:rsidRPr="00BA2FED">
        <w:t xml:space="preserve">technického parametru by byl ověřován totožnou pověřenou osobou, která vydala základní odborné posouzení. Naopak v případě, že by provozovatel využil služeb jiné pověřené osoby, vydání doplňku odborného posouzení by nebylo možné a tato osoba by vydávala zcela nové základní odborné </w:t>
      </w:r>
      <w:r>
        <w:t>posouzení, základní osvědčení o </w:t>
      </w:r>
      <w:r w:rsidRPr="00BA2FED">
        <w:t>provozuschopnosti a registrační známku. V případě následovného ověřování změn technických parametrů by byl opět využit proces popsaný výše, tj. vydávání doplňků.</w:t>
      </w:r>
    </w:p>
    <w:p w14:paraId="270DDA5D" w14:textId="6AF5175F" w:rsidR="00C5240F" w:rsidRPr="00BA2FED" w:rsidRDefault="00C5240F" w:rsidP="00C5240F">
      <w:r w:rsidRPr="00BA2FED">
        <w:t>Kromě toho, že doplněk by mohla vydat pouze pověřená osoba, která vydala základní odborné posouzení, bylo by jeho vydávání vázáno také na platnost základního odborného posouzení, neboť není možné, aby byl aktualizován již</w:t>
      </w:r>
      <w:r w:rsidR="00CC764E">
        <w:t xml:space="preserve"> </w:t>
      </w:r>
      <w:r w:rsidRPr="00BA2FED">
        <w:t>neplatný výstupní dokument. Vydáním doplňku odborného posouzení by tedy nedošlo k prodloužení platnosti základního odborného posouzení. V případě, že by bylo odborné posouzení přikládáno v rámci správního řízení o vydání základního povolení (nikoli jeho změně), bylo by nutné předložit zcela nové odborné posouzení, neboť platnost základního odborného posouzení se navrhuje sjednotit s platností základního povolení (viz výše). Je tomu tak z toh</w:t>
      </w:r>
      <w:r w:rsidR="00CC764E">
        <w:t xml:space="preserve">o důvodu, aby správní orgán při </w:t>
      </w:r>
      <w:r w:rsidRPr="00BA2FED">
        <w:t>vydání nového základního povolení disponoval kompletními informacemi</w:t>
      </w:r>
      <w:r>
        <w:t xml:space="preserve">. </w:t>
      </w:r>
      <w:r w:rsidR="00CC764E">
        <w:t xml:space="preserve">Naopak </w:t>
      </w:r>
      <w:r>
        <w:t>není nutné, aby měl přehled o </w:t>
      </w:r>
      <w:r w:rsidRPr="00BA2FED">
        <w:t xml:space="preserve">změnách probíhajících v době platnosti předchozího základního povolení, což by mohlo způsobit zmatečnost dokumentu. </w:t>
      </w:r>
    </w:p>
    <w:p w14:paraId="597EFA93" w14:textId="77777777" w:rsidR="00C5240F" w:rsidRPr="00BA2FED" w:rsidRDefault="00C5240F" w:rsidP="00C5240F">
      <w:r w:rsidRPr="00BA2FED">
        <w:t xml:space="preserve">Totožný koncept vydávání doplňků se </w:t>
      </w:r>
      <w:r>
        <w:t>navrhuje zavést i u osvědčení o </w:t>
      </w:r>
      <w:r w:rsidRPr="00BA2FED">
        <w:t>provozuschopnosti. Důležitou změnou by bylo, že v okamžiku vydání doplňku odborného posouzení a doplňku osvědčení o provozuschopnosti by nebyla vydávána registrační známka a v platnosti by zůstávala registrační známka vydaná spolu se základním odborným posouzením a základním osvědčením o provozuschopnosti.</w:t>
      </w:r>
    </w:p>
    <w:p w14:paraId="775FBC9B" w14:textId="77777777" w:rsidR="00C5240F" w:rsidRPr="00BA2FED" w:rsidRDefault="00C5240F" w:rsidP="00C5240F">
      <w:r w:rsidRPr="00BA2FED">
        <w:t>Z pohledu provedení tohoto konceptu do vyhlášky o náležitostech výstupních dokumentů se jako vhodná úprava jeví novelizace ustanovení upravujícího minimální náležitosti odborného posouzení, neboť doplněk odborného posouzení je jeho variantou. Vzhledem ke skutečnosti, že za účel</w:t>
      </w:r>
      <w:r>
        <w:t>em přehlednosti dokumentace pro </w:t>
      </w:r>
      <w:r w:rsidRPr="00BA2FED">
        <w:t xml:space="preserve">Ministerstvo financí, obce i celní úřady je nutné i nadále naplňovat veškeré požadavky ve smyslu minimálních obsahových náležitostí odborného posouzení, bylo by doplněno ustanovení o dodatečném požadavku v případě doplňujícího odborného posouzení, a to povinnost uvést detailní popis změny technického parametru zařízení a informaci o tom, zda tento parametr ovlivnil či nikoli nastavení ostatních technických parametrů a funkčnost celého zařízení. </w:t>
      </w:r>
    </w:p>
    <w:p w14:paraId="2ED37308" w14:textId="77777777" w:rsidR="00C5240F" w:rsidRPr="00BA2FED" w:rsidRDefault="00C5240F" w:rsidP="00C5240F">
      <w:r w:rsidRPr="00BA2FED">
        <w:t>Navrhovaný způsob výrazně zvyšuje přehlednost dokumentů pro Ministerstvo financí, dozorové orgány a obce, a zároveň snižuje náklady prov</w:t>
      </w:r>
      <w:r>
        <w:t>ozovatelů v souvislosti s </w:t>
      </w:r>
      <w:r w:rsidRPr="00BA2FED">
        <w:t xml:space="preserve">vydáváním registračních známek, což je blíže popsáno níže. Výrazným pozitivem je </w:t>
      </w:r>
      <w:r w:rsidRPr="00BA2FED">
        <w:lastRenderedPageBreak/>
        <w:t xml:space="preserve">dále předpokládaný dopad na správní řízení o vydání základního povolení, resp. jeho změn, neboť bude zcela jasná formální i věcná návaznost mezi jednotlivými odbornými posouzeními, resp. jejich doplňky a zároveň bude snazší sledovat změny technických parametrů v čase. </w:t>
      </w:r>
      <w:r>
        <w:t>Zároveň n</w:t>
      </w:r>
      <w:r w:rsidRPr="00BA2FED">
        <w:t xml:space="preserve">ebyl vyhodnocen významný negativní dopad na žádný relevantní subjekt. </w:t>
      </w:r>
    </w:p>
    <w:p w14:paraId="0A1FB969" w14:textId="75D73B13" w:rsidR="009A0251" w:rsidRPr="00BA2FED" w:rsidRDefault="00C5240F" w:rsidP="00DE0411">
      <w:r w:rsidRPr="00BA2FED">
        <w:t>Vzhledem ke skutečnosti, že v současnosti již probíhají práce na novelizaci vyhlášky a byly zahájeny konzultace s pověřenými osobami, přičemž prozatím nebyly identifikovány další vhodné varianty, jedná se aktuálně o doporučovaný postup.</w:t>
      </w:r>
    </w:p>
    <w:p w14:paraId="46777E18" w14:textId="40104C9B" w:rsidR="00567B0D" w:rsidRPr="00BA2FED" w:rsidRDefault="00567B0D" w:rsidP="00B96FDD">
      <w:pPr>
        <w:pStyle w:val="Nadpis6"/>
      </w:pPr>
      <w:bookmarkStart w:id="18" w:name="_Toc73608109"/>
      <w:r w:rsidRPr="00BA2FED">
        <w:t>Platnost základního odborného posouzení</w:t>
      </w:r>
      <w:bookmarkEnd w:id="18"/>
    </w:p>
    <w:p w14:paraId="5875715A" w14:textId="3998D6EF" w:rsidR="00567B0D" w:rsidRPr="00BA2FED" w:rsidRDefault="00567B0D" w:rsidP="00DE0411">
      <w:r w:rsidRPr="00BA2FED">
        <w:t xml:space="preserve">Platnost dokumentu odborného posouzení a osvědčení o provozuschopnosti je stanovena § 110 odst. </w:t>
      </w:r>
      <w:r w:rsidR="00B71614" w:rsidRPr="00BA2FED">
        <w:t>5</w:t>
      </w:r>
      <w:r w:rsidRPr="00BA2FED">
        <w:t xml:space="preserve"> zákona o</w:t>
      </w:r>
      <w:r w:rsidR="002F7008">
        <w:t xml:space="preserve"> hazardních hrách </w:t>
      </w:r>
      <w:r w:rsidRPr="00BA2FED">
        <w:t xml:space="preserve">na dobu </w:t>
      </w:r>
      <w:r w:rsidR="002F7008">
        <w:t xml:space="preserve">maximálně </w:t>
      </w:r>
      <w:r w:rsidRPr="00BA2FED">
        <w:t>5 let. V praxi pověřené osoby vydávají odborná posouzení v odlišné délce, což je velmi kritizované provozovateli pro administrativní a finanční náklady (zejména v souvislosti s vydáváním registračních známek).</w:t>
      </w:r>
    </w:p>
    <w:p w14:paraId="7086249C" w14:textId="6D6998A5" w:rsidR="00567B0D" w:rsidRPr="00BA2FED" w:rsidRDefault="00567B0D" w:rsidP="002521DE">
      <w:pPr>
        <w:pStyle w:val="Nadpis7"/>
      </w:pPr>
      <w:r w:rsidRPr="00BA2FED">
        <w:t>Varianta I.</w:t>
      </w:r>
      <w:r w:rsidR="00D53EAD">
        <w:t xml:space="preserve"> </w:t>
      </w:r>
      <w:r w:rsidR="006917BA">
        <w:t xml:space="preserve">– </w:t>
      </w:r>
      <w:r w:rsidR="00D53EAD">
        <w:t>Sjednocení platnosti výstupních dokumentů</w:t>
      </w:r>
    </w:p>
    <w:p w14:paraId="5B82FB71" w14:textId="73E0E715" w:rsidR="00747317" w:rsidRPr="00BA2FED" w:rsidRDefault="000603D9" w:rsidP="00DE0411">
      <w:r w:rsidRPr="00BA2FED">
        <w:t xml:space="preserve">Možným řešením by mohlo být zachování aktuálního stavu, ve smyslu stanovení pouze maximální možné délky platnosti výstupních dokumentů. Návrh řešení by se omezil na sjednocení platnosti obou </w:t>
      </w:r>
      <w:r w:rsidR="002D0D13" w:rsidRPr="00BA2FED">
        <w:t xml:space="preserve">výstupních </w:t>
      </w:r>
      <w:r w:rsidRPr="00BA2FED">
        <w:t>dokumentů a tím i registrační známky na totožnou dobu s tím, že tato doba může být stanovena pověřenou osobou i nadále libovolně, v rozsahu až 5 let</w:t>
      </w:r>
      <w:r w:rsidR="00CE7734">
        <w:t>.</w:t>
      </w:r>
      <w:r w:rsidRPr="00BA2FED">
        <w:t xml:space="preserve"> </w:t>
      </w:r>
      <w:r w:rsidR="00CE7734">
        <w:t>Nedošlo by</w:t>
      </w:r>
      <w:r w:rsidRPr="00BA2FED">
        <w:t xml:space="preserve"> tak k omezení možnosti pověřené osoby stanov</w:t>
      </w:r>
      <w:r w:rsidR="00747317" w:rsidRPr="00BA2FED">
        <w:t>it</w:t>
      </w:r>
      <w:r w:rsidRPr="00BA2FED">
        <w:t xml:space="preserve"> vlastní délk</w:t>
      </w:r>
      <w:r w:rsidR="00747317" w:rsidRPr="00BA2FED">
        <w:t>u</w:t>
      </w:r>
      <w:r w:rsidRPr="00BA2FED">
        <w:t xml:space="preserve"> platnosti dokumentů. </w:t>
      </w:r>
    </w:p>
    <w:p w14:paraId="6AD2203D" w14:textId="1A2BAB57" w:rsidR="00747317" w:rsidRPr="00BA2FED" w:rsidRDefault="00747317" w:rsidP="00DE0411">
      <w:r w:rsidRPr="00BA2FED">
        <w:t>Výhody:</w:t>
      </w:r>
    </w:p>
    <w:p w14:paraId="4DC206A2" w14:textId="2C038AF6" w:rsidR="00747317" w:rsidRPr="00BA2FED" w:rsidRDefault="000603D9" w:rsidP="00DE0411">
      <w:r w:rsidRPr="00BA2FED">
        <w:t>Tato varianta zajistí funkčnost konceptu doplňků odborného posouzení</w:t>
      </w:r>
      <w:r w:rsidR="00747317" w:rsidRPr="00BA2FED">
        <w:t>.</w:t>
      </w:r>
    </w:p>
    <w:p w14:paraId="6992DD44" w14:textId="77777777" w:rsidR="00747317" w:rsidRPr="00BA2FED" w:rsidRDefault="00747317" w:rsidP="00DE0411">
      <w:r w:rsidRPr="00BA2FED">
        <w:t>Nevýhody:</w:t>
      </w:r>
    </w:p>
    <w:p w14:paraId="65375627" w14:textId="1C5FF5B2" w:rsidR="00567B0D" w:rsidRPr="00BA2FED" w:rsidRDefault="00747317" w:rsidP="00DE0411">
      <w:r w:rsidRPr="00BA2FED">
        <w:t xml:space="preserve">Varianta </w:t>
      </w:r>
      <w:r w:rsidR="000603D9" w:rsidRPr="00BA2FED">
        <w:t xml:space="preserve">nemá </w:t>
      </w:r>
      <w:r w:rsidRPr="00BA2FED">
        <w:t xml:space="preserve">výrazný </w:t>
      </w:r>
      <w:r w:rsidR="000603D9" w:rsidRPr="00BA2FED">
        <w:t xml:space="preserve">přínos z pohledu nákladů na </w:t>
      </w:r>
      <w:r w:rsidR="00B66245">
        <w:t xml:space="preserve">straně provozovatelů. </w:t>
      </w:r>
      <w:r w:rsidR="00CE7734">
        <w:t>V</w:t>
      </w:r>
      <w:r w:rsidR="000603D9" w:rsidRPr="00BA2FED">
        <w:t xml:space="preserve"> případě doplňků je efekt omezený, neboť doplňky by bylo možné vydávat po dobu kratší, pokud </w:t>
      </w:r>
      <w:r w:rsidR="00CE7734">
        <w:t>by se pověřená osoba rozhodla</w:t>
      </w:r>
      <w:r w:rsidR="000603D9" w:rsidRPr="00BA2FED">
        <w:t xml:space="preserve"> omezit platnost základního odborného posouzení pod maximální hranici 5 let.</w:t>
      </w:r>
    </w:p>
    <w:p w14:paraId="594E600B" w14:textId="2E579C93" w:rsidR="000603D9" w:rsidRPr="00BA2FED" w:rsidRDefault="000603D9" w:rsidP="002521DE">
      <w:pPr>
        <w:pStyle w:val="Nadpis7"/>
      </w:pPr>
      <w:r w:rsidRPr="00BA2FED">
        <w:t>Varianta I</w:t>
      </w:r>
      <w:r w:rsidR="00E15606" w:rsidRPr="00BA2FED">
        <w:t>I</w:t>
      </w:r>
      <w:r w:rsidRPr="00BA2FED">
        <w:t>.</w:t>
      </w:r>
      <w:r w:rsidR="00D53EAD">
        <w:t xml:space="preserve"> </w:t>
      </w:r>
      <w:r w:rsidR="006917BA">
        <w:t xml:space="preserve">– </w:t>
      </w:r>
      <w:r w:rsidR="00D53EAD">
        <w:t>Stanovení platnosti výstupních dokumentů</w:t>
      </w:r>
    </w:p>
    <w:p w14:paraId="14B447B2" w14:textId="3D0BE903" w:rsidR="000603D9" w:rsidRPr="00BA2FED" w:rsidRDefault="000603D9" w:rsidP="00DE0411">
      <w:r w:rsidRPr="00BA2FED">
        <w:t>Za účelem větší efektivity vydávání doplňků od</w:t>
      </w:r>
      <w:r w:rsidR="001F651B" w:rsidRPr="00BA2FED">
        <w:t>borného posouzení a osvědčení o </w:t>
      </w:r>
      <w:r w:rsidRPr="00BA2FED">
        <w:t xml:space="preserve">provozuschopnosti a snížení nákladů na straně provozovatelů se jako možné řešení jeví prodloužení </w:t>
      </w:r>
      <w:r w:rsidR="00591532" w:rsidRPr="00BA2FED">
        <w:t xml:space="preserve">a sjednocení </w:t>
      </w:r>
      <w:r w:rsidRPr="00BA2FED">
        <w:t>délky vydávaných výstupních dokumentů.</w:t>
      </w:r>
    </w:p>
    <w:p w14:paraId="0144205B" w14:textId="3A688471" w:rsidR="008B4529" w:rsidRPr="00BA2FED" w:rsidRDefault="005E77AC" w:rsidP="00DE0411">
      <w:r>
        <w:t>Ř</w:t>
      </w:r>
      <w:r w:rsidR="000603D9" w:rsidRPr="00BA2FED">
        <w:t xml:space="preserve">ešení předpokládá v prvé řadě vydávání základního odborného posouzení s totožnou dobou platnosti, jako osvědčení o provozuschopnosti. Zároveň by došlo k úpravě doby platnosti výstupních dokumentů, a to na dobu vydání základního povolení, k jehož účelu jsou </w:t>
      </w:r>
      <w:r w:rsidR="00591532" w:rsidRPr="00BA2FED">
        <w:t xml:space="preserve">výlučně </w:t>
      </w:r>
      <w:r w:rsidR="000603D9" w:rsidRPr="00BA2FED">
        <w:t>výstupní d</w:t>
      </w:r>
      <w:r w:rsidR="0003311F">
        <w:t>okumenty vydávány.  Vzhledem </w:t>
      </w:r>
      <w:r>
        <w:t>ke </w:t>
      </w:r>
      <w:r w:rsidR="000603D9" w:rsidRPr="00BA2FED">
        <w:t xml:space="preserve">skutečnosti, že vydání odborného posouzení </w:t>
      </w:r>
      <w:r w:rsidR="000603D9" w:rsidRPr="00EF64DB">
        <w:t xml:space="preserve">vždy časově předchází vydání rozhodnutí o vydání základního povolení, byla by platnost odborného posouzení navázána na splnění podmínky spočívající </w:t>
      </w:r>
      <w:r w:rsidR="0003311F" w:rsidRPr="00EF64DB">
        <w:t>v nabytí účinnosti rozhodnutí o </w:t>
      </w:r>
      <w:r w:rsidR="000603D9" w:rsidRPr="00EF64DB">
        <w:t xml:space="preserve">vydání základního povolení </w:t>
      </w:r>
      <w:r w:rsidR="001F651B" w:rsidRPr="00EF64DB">
        <w:t>a </w:t>
      </w:r>
      <w:r w:rsidR="000106EE" w:rsidRPr="00EF64DB">
        <w:t xml:space="preserve">činila </w:t>
      </w:r>
      <w:r w:rsidR="000603D9" w:rsidRPr="00EF64DB">
        <w:t>by 6 let (tj. maximální dobu platnosti základního povolení, přičemž</w:t>
      </w:r>
      <w:r w:rsidR="00591532" w:rsidRPr="00EF64DB">
        <w:t>,</w:t>
      </w:r>
      <w:r w:rsidR="000603D9" w:rsidRPr="00EF64DB">
        <w:t xml:space="preserve"> jak bylo výše řečeno, při žádosti o nové základní povolení by</w:t>
      </w:r>
      <w:r w:rsidR="000603D9" w:rsidRPr="00BA2FED">
        <w:t xml:space="preserve"> bylo nutné vždy předložit nové odborné posouzení, nikoli jeho doplněk).</w:t>
      </w:r>
      <w:r w:rsidR="00067656">
        <w:t xml:space="preserve"> Zároveň je však </w:t>
      </w:r>
      <w:r w:rsidR="00067656">
        <w:lastRenderedPageBreak/>
        <w:t>nutné dále zhodnotit, jakým způsobem omezit předkládané odborné posouzení (zejména vzhledem k technologickému pokroku) co do uplynutí doby od jeho vydání.</w:t>
      </w:r>
    </w:p>
    <w:p w14:paraId="346EE6FD" w14:textId="3398A023" w:rsidR="000603D9" w:rsidRPr="00BA2FED" w:rsidRDefault="000603D9" w:rsidP="00DE0411">
      <w:r w:rsidRPr="00BA2FED">
        <w:t>Výhody:</w:t>
      </w:r>
    </w:p>
    <w:p w14:paraId="4A3F6D96" w14:textId="2E235A7F" w:rsidR="000106EE" w:rsidRPr="00BA2FED" w:rsidRDefault="00591532" w:rsidP="00DE0411">
      <w:r w:rsidRPr="00BA2FED">
        <w:t xml:space="preserve">Výše uvedeným </w:t>
      </w:r>
      <w:r w:rsidR="005E77AC">
        <w:t>by byla</w:t>
      </w:r>
      <w:r w:rsidR="000106EE" w:rsidRPr="00BA2FED">
        <w:t xml:space="preserve"> zajištěn</w:t>
      </w:r>
      <w:r w:rsidR="005E77AC">
        <w:t xml:space="preserve">a totožná délka </w:t>
      </w:r>
      <w:r w:rsidR="000106EE" w:rsidRPr="00BA2FED">
        <w:t>platnost</w:t>
      </w:r>
      <w:r w:rsidR="005E77AC">
        <w:t>i výstupních dokumentů a </w:t>
      </w:r>
      <w:r w:rsidR="000106EE" w:rsidRPr="00BA2FED">
        <w:t xml:space="preserve">základního povolení. Pokud by základní povolení nikdy vydáno nebylo, odborné </w:t>
      </w:r>
      <w:r w:rsidR="005E77AC">
        <w:t>posouzení by nenabylo platnosti.</w:t>
      </w:r>
      <w:r w:rsidR="000106EE" w:rsidRPr="00BA2FED">
        <w:t xml:space="preserve"> </w:t>
      </w:r>
      <w:r w:rsidR="005E77AC">
        <w:t>V</w:t>
      </w:r>
      <w:r w:rsidR="000106EE" w:rsidRPr="00BA2FED">
        <w:t xml:space="preserve">zhledem k tomu, že </w:t>
      </w:r>
      <w:r w:rsidR="005E77AC">
        <w:t xml:space="preserve">je </w:t>
      </w:r>
      <w:r w:rsidR="000106EE" w:rsidRPr="00BA2FED">
        <w:t>odborné posouzení vytvářeno pouze pro potřeby správního řízení o vydání základního povolení, nelze tuto skutečnost považovat za negativum</w:t>
      </w:r>
      <w:r w:rsidR="00A92266" w:rsidRPr="00BA2FED">
        <w:t>.</w:t>
      </w:r>
    </w:p>
    <w:p w14:paraId="29C36C0E" w14:textId="77777777" w:rsidR="000603D9" w:rsidRPr="00BA2FED" w:rsidRDefault="000603D9" w:rsidP="00DE0411">
      <w:r w:rsidRPr="00BA2FED">
        <w:t>Nevýhody:</w:t>
      </w:r>
    </w:p>
    <w:p w14:paraId="093DCB6E" w14:textId="2D6A96C5" w:rsidR="000106EE" w:rsidRPr="00BA2FED" w:rsidRDefault="000106EE" w:rsidP="00DE0411">
      <w:r w:rsidRPr="00BA2FED">
        <w:t xml:space="preserve">Negativum v minulosti spatřovaly pověřené osoby v tom, že v případě vydání odborného posouzení na delší období není z jejich strany možné zaručit, že zařízení bude po celou dobu splňovat zákonem požadované náležitosti. Ministerstvo </w:t>
      </w:r>
      <w:r w:rsidR="001F651B" w:rsidRPr="00BA2FED">
        <w:t xml:space="preserve">financí </w:t>
      </w:r>
      <w:r w:rsidRPr="00BA2FED">
        <w:t xml:space="preserve">se domnívá, že tato obava je v současné době neodůvodněná, neboť v případě </w:t>
      </w:r>
      <w:r w:rsidR="003863BC" w:rsidRPr="00BA2FED">
        <w:t xml:space="preserve">provedení </w:t>
      </w:r>
      <w:r w:rsidRPr="00BA2FED">
        <w:t xml:space="preserve">malých změn </w:t>
      </w:r>
      <w:r w:rsidR="003863BC" w:rsidRPr="00BA2FED">
        <w:t xml:space="preserve">ze strany provozovatele </w:t>
      </w:r>
      <w:r w:rsidRPr="00BA2FED">
        <w:t>jsou zařízení každoročně posuzována a na základě tohoto posouzení je vydávána zpráva o posouzení změn. V případě, že dojde k zásahu do technických parametrů zařízení, je vydáván doplněk odborného posouzení a osvědčení o provozuschopnosti, popř. nové odborné posouzení, pokud je oslovena odlišná pověřená osoba.</w:t>
      </w:r>
    </w:p>
    <w:p w14:paraId="4B82A0B4" w14:textId="77777777" w:rsidR="000106EE" w:rsidRPr="00BA2FED" w:rsidRDefault="000106EE" w:rsidP="002521DE">
      <w:pPr>
        <w:pStyle w:val="Nadpis7"/>
      </w:pPr>
      <w:r w:rsidRPr="00BA2FED">
        <w:t>Hodnocení variant</w:t>
      </w:r>
    </w:p>
    <w:p w14:paraId="770665F7" w14:textId="382CCBF1" w:rsidR="000106EE" w:rsidRPr="00BA2FED" w:rsidRDefault="000106EE" w:rsidP="00DE0411">
      <w:r w:rsidRPr="00BA2FED">
        <w:t>A</w:t>
      </w:r>
      <w:r w:rsidR="001F651B" w:rsidRPr="00BA2FED">
        <w:t>čkoli byla v rámci varianty I.</w:t>
      </w:r>
      <w:r w:rsidRPr="00BA2FED">
        <w:t xml:space="preserve"> identifikována řada nedostatků, jedná se o řešení, které je možné provést bezodkladně, pouze na základě aktualizace pověření a vy</w:t>
      </w:r>
      <w:r w:rsidR="005E77AC">
        <w:t>hlášky o</w:t>
      </w:r>
      <w:r w:rsidR="0003311F">
        <w:t> </w:t>
      </w:r>
      <w:r w:rsidRPr="00BA2FED">
        <w:t>náležitostech výstupních dokumentů. Vzhledem k tomu, že koncept doplňků by měl být zaveden již v roce 2021, navrhuje se provést tuto variantu bez zbytečných odkladů. Zároveň se však doporučuje dále využít variantu II. v okamžiku, kdy bude možné provést novelizaci zákona o hazardních hrách, neboť tato změna právní úpravy narovná odlišnosti napříč pověřenými osobami a zajistí maximálně efektivní využití doplňků.</w:t>
      </w:r>
    </w:p>
    <w:p w14:paraId="2518AB33" w14:textId="3F310DD2" w:rsidR="00DA2B0F" w:rsidRPr="00BA2FED" w:rsidRDefault="00DA2B0F" w:rsidP="00B96FDD">
      <w:pPr>
        <w:pStyle w:val="Nadpis6"/>
      </w:pPr>
      <w:bookmarkStart w:id="19" w:name="_Toc73608110"/>
      <w:r w:rsidRPr="00BA2FED">
        <w:t>Zpráva o provedení změn</w:t>
      </w:r>
      <w:bookmarkEnd w:id="19"/>
      <w:r w:rsidRPr="00BA2FED">
        <w:t xml:space="preserve"> </w:t>
      </w:r>
    </w:p>
    <w:p w14:paraId="3E6C8C48" w14:textId="219901F2" w:rsidR="00DA2B0F" w:rsidRPr="00BA2FED" w:rsidRDefault="00DA2B0F" w:rsidP="00DA2B0F">
      <w:r w:rsidRPr="00BA2FED">
        <w:t>S aktuální formou dokumentů odborného posouzení a osvědčení se pojí řada nedostatků, které mají negativní dopady jak na pověře</w:t>
      </w:r>
      <w:r w:rsidR="00CC764E">
        <w:t xml:space="preserve">né osoby a provozovatele, tak </w:t>
      </w:r>
      <w:r w:rsidR="00B66245">
        <w:t>i </w:t>
      </w:r>
      <w:r w:rsidRPr="00BA2FED">
        <w:t>povolovací a doz</w:t>
      </w:r>
      <w:r w:rsidR="00D90921">
        <w:t>orující</w:t>
      </w:r>
      <w:r w:rsidRPr="00BA2FED">
        <w:t xml:space="preserve"> orgány. Jedná se zejména </w:t>
      </w:r>
      <w:r w:rsidR="00D90921">
        <w:t>o již zmiňovanou skutečnost, že </w:t>
      </w:r>
      <w:r w:rsidRPr="00BA2FED">
        <w:t>při jakémkoli zásahu do uceleného souboru hardwaru a softwaru provozovatele hazardní hry, jehož nastavení bylo předmětem odbor</w:t>
      </w:r>
      <w:r w:rsidR="00B66245">
        <w:t>ného posouzení, by mělo dojít k </w:t>
      </w:r>
      <w:r w:rsidRPr="00BA2FED">
        <w:t>novému ověření, že veškeré technické parametry jsou v souladu se zákonem</w:t>
      </w:r>
      <w:r w:rsidR="00F1126D">
        <w:t xml:space="preserve"> o hazardních hrách</w:t>
      </w:r>
      <w:r w:rsidRPr="00BA2FED">
        <w:t xml:space="preserve">. Vzhledem ke skutečnosti, že na aktuální odborné posouzení je výslovně odkazováno v základním povolení, je nutné požádat také o vydání nového základního povolení. Přijatá novela </w:t>
      </w:r>
      <w:r w:rsidR="00844C74" w:rsidRPr="00BA2FED">
        <w:t xml:space="preserve">zákona o hazardních hrách </w:t>
      </w:r>
      <w:r w:rsidRPr="00BA2FED">
        <w:t>tento nedostatek s</w:t>
      </w:r>
      <w:r w:rsidR="00F1126D">
        <w:t> </w:t>
      </w:r>
      <w:r w:rsidRPr="00BA2FED">
        <w:t xml:space="preserve">účinností od 1. 1. 2021 napravuje. Provozovatelé hazardních her jsou oprávněni provádět tzv. změny malého rozsahu, tj. změny, které nemají vliv na plnění požadavků podle § 109 odst. 1 zákona o hazardních hrách, tedy nejsou technickými parametry pro hazardní hry nebo zařízení, jejichž prostřednictvím jsou tyto hazardní hry provozovány. </w:t>
      </w:r>
    </w:p>
    <w:p w14:paraId="11B6329C" w14:textId="0ACA7829" w:rsidR="00DA2B0F" w:rsidRPr="00BA2FED" w:rsidRDefault="00DA2B0F" w:rsidP="00DA2B0F">
      <w:r w:rsidRPr="00BA2FED">
        <w:t>V těchto případech budou provozovatelé povinni j</w:t>
      </w:r>
      <w:r w:rsidR="00B66245">
        <w:t>ednou ročně předkládat zprávu o </w:t>
      </w:r>
      <w:r w:rsidRPr="00BA2FED">
        <w:t xml:space="preserve">posouzení změn, ve které pověřená osoba uvede, zda tyto změny byly změnami malého rozsahu a zda jsou i ve svém souhrnu změnou malého rozsahu. V případě, že </w:t>
      </w:r>
      <w:r w:rsidRPr="00BA2FED">
        <w:lastRenderedPageBreak/>
        <w:t xml:space="preserve">jsou odpovědi na tyto otázky zodpovězeny kladně, je tato zpráva zasílána </w:t>
      </w:r>
      <w:r w:rsidR="00216E4B" w:rsidRPr="00BA2FED">
        <w:t>M</w:t>
      </w:r>
      <w:r w:rsidRPr="00BA2FED">
        <w:t>inisterstvu</w:t>
      </w:r>
      <w:r w:rsidR="00216E4B" w:rsidRPr="00BA2FED">
        <w:t xml:space="preserve"> financí</w:t>
      </w:r>
      <w:r w:rsidRPr="00BA2FED">
        <w:t xml:space="preserve"> pouze na vědomí. Zpráva o posouzení změn je výstupním dokumentem vydávaným pověřenými osobami, je tedy nutné stanovit její minimální obsahové náležitosti a </w:t>
      </w:r>
      <w:r w:rsidR="00216E4B" w:rsidRPr="00BA2FED">
        <w:t>zároveň</w:t>
      </w:r>
      <w:r w:rsidRPr="00BA2FED">
        <w:t xml:space="preserve"> provést novelizaci vyhlášky o náležitostech výstupních dokumentů. Novelizace si vyžádá tak</w:t>
      </w:r>
      <w:r w:rsidR="00C26DB0">
        <w:t>é změnu rozhodnutí o pověření k </w:t>
      </w:r>
      <w:r w:rsidRPr="00BA2FED">
        <w:t>odbornému posuzování a osvědčování, ke které dojde v nadcházejících měsících, neboť zde jsou obsaženy druhy výstupních dokumentů, které po</w:t>
      </w:r>
      <w:r w:rsidR="00B66245">
        <w:t>věřená osoba vydává, a zpráva o </w:t>
      </w:r>
      <w:r w:rsidRPr="00BA2FED">
        <w:t>posouzen</w:t>
      </w:r>
      <w:r w:rsidR="008C54F5" w:rsidRPr="00BA2FED">
        <w:t>í změn je výstupním dokumentem.</w:t>
      </w:r>
    </w:p>
    <w:p w14:paraId="0DD1CA50" w14:textId="377A62E5" w:rsidR="00DA2B0F" w:rsidRPr="00BA2FED" w:rsidRDefault="00DA2B0F" w:rsidP="00DA2B0F">
      <w:r w:rsidRPr="00BA2FED">
        <w:t xml:space="preserve">Současný </w:t>
      </w:r>
      <w:r w:rsidR="00D53EAD">
        <w:t>věcný záměr</w:t>
      </w:r>
      <w:r w:rsidR="00D53EAD" w:rsidRPr="00BA2FED">
        <w:t xml:space="preserve"> </w:t>
      </w:r>
      <w:r w:rsidRPr="00BA2FED">
        <w:t>novely vyhlášky o náležitostech</w:t>
      </w:r>
      <w:r w:rsidR="00C26DB0">
        <w:t xml:space="preserve"> výstupních dokumentů spočívá v </w:t>
      </w:r>
      <w:r w:rsidRPr="00BA2FED">
        <w:t xml:space="preserve">tom, že obdobně jako v případě odborného posouzení a </w:t>
      </w:r>
      <w:r w:rsidR="00C26DB0">
        <w:t>osvědčení o </w:t>
      </w:r>
      <w:r w:rsidR="00B66245">
        <w:t>provozuschopnosti i </w:t>
      </w:r>
      <w:r w:rsidR="006A366E">
        <w:t>v </w:t>
      </w:r>
      <w:r w:rsidRPr="00BA2FED">
        <w:t>případě zprávy o posouzení změn vyhláška</w:t>
      </w:r>
      <w:r w:rsidR="008C54F5" w:rsidRPr="00BA2FED">
        <w:t xml:space="preserve"> o náležitostech výstupních dokumentů </w:t>
      </w:r>
      <w:r w:rsidRPr="00BA2FED">
        <w:t xml:space="preserve">zavede minimální náležitosti. </w:t>
      </w:r>
    </w:p>
    <w:p w14:paraId="444B165C" w14:textId="271F5F28" w:rsidR="00DA2B0F" w:rsidRPr="00BA2FED" w:rsidRDefault="00DA2B0F" w:rsidP="00DA2B0F">
      <w:r w:rsidRPr="00BA2FED">
        <w:t>Vzhledem ke skutečnosti, že pro vydání zprávy o posouzení změn nebude nutné rozsáhlé testování hry, nebo zařízení, jehož prostřednictví jsou hazardní hry provozovány tak, jako je tomu u odborného posouzení, rozsah obsahových náležitostí bude přiměřeně snížen, nicméně i nadále budou zachovány náležitosti týkající se identifikace předmětu posouzení, objed</w:t>
      </w:r>
      <w:r w:rsidR="00C26DB0">
        <w:t>natele a fyzické osoby, která v </w:t>
      </w:r>
      <w:r w:rsidRPr="00BA2FED">
        <w:t xml:space="preserve">rámci pověřené osoby posouzení provedla. </w:t>
      </w:r>
    </w:p>
    <w:p w14:paraId="0FA5A336" w14:textId="3B6983E9" w:rsidR="00DA2B0F" w:rsidRPr="00BA2FED" w:rsidRDefault="008C54F5" w:rsidP="00DA2B0F">
      <w:r w:rsidRPr="00BA2FED">
        <w:t>J</w:t>
      </w:r>
      <w:r w:rsidR="00DA2B0F" w:rsidRPr="00BA2FED">
        <w:t xml:space="preserve">edná </w:t>
      </w:r>
      <w:r w:rsidR="00E8537B">
        <w:t xml:space="preserve">se </w:t>
      </w:r>
      <w:r w:rsidR="00DA2B0F" w:rsidRPr="00BA2FED">
        <w:t>o zjednodušení procesu posuzování</w:t>
      </w:r>
      <w:r w:rsidR="00935FDD">
        <w:t>.</w:t>
      </w:r>
      <w:r w:rsidR="00DA2B0F" w:rsidRPr="00BA2FED">
        <w:t xml:space="preserve"> </w:t>
      </w:r>
      <w:r w:rsidR="00935FDD">
        <w:t>P</w:t>
      </w:r>
      <w:r w:rsidR="00DA2B0F" w:rsidRPr="00BA2FED">
        <w:t>osuzovány jsou pouze provedené zásahy ve vaz</w:t>
      </w:r>
      <w:r w:rsidR="00990DA6">
        <w:t>b</w:t>
      </w:r>
      <w:r w:rsidR="00DA2B0F" w:rsidRPr="00BA2FED">
        <w:t>ě na již posouzenou hazardní hru nebo zařízení, prostřednictvím kterého jsou hazardní hry provozovány, avšak formální náležitosti, které budou upraveny ve vyhlášce</w:t>
      </w:r>
      <w:r w:rsidR="00232142">
        <w:t xml:space="preserve"> o náležitostech výstupních dokumentů</w:t>
      </w:r>
      <w:r w:rsidR="00DA2B0F" w:rsidRPr="00BA2FED">
        <w:t>, zůstanou za účelem využití dozor</w:t>
      </w:r>
      <w:r w:rsidR="00935FDD">
        <w:t xml:space="preserve">ujícími </w:t>
      </w:r>
      <w:r w:rsidR="00DA2B0F" w:rsidRPr="00BA2FED">
        <w:t>orgány obdobné.</w:t>
      </w:r>
    </w:p>
    <w:p w14:paraId="607315A6" w14:textId="3DD5794B" w:rsidR="00DA2B0F" w:rsidRPr="00BA2FED" w:rsidRDefault="00DA2B0F" w:rsidP="00DA2B0F">
      <w:r w:rsidRPr="00BA2FED">
        <w:t xml:space="preserve">Vzhledem ke skutečnosti, že </w:t>
      </w:r>
      <w:r w:rsidR="00935FDD" w:rsidRPr="00BA2FED">
        <w:t xml:space="preserve">již </w:t>
      </w:r>
      <w:r w:rsidRPr="00BA2FED">
        <w:t>v současnosti probíhají práce na novelizaci vyhlášky</w:t>
      </w:r>
      <w:r w:rsidR="00232142">
        <w:t xml:space="preserve"> o náležitostech výstupních dokumentů</w:t>
      </w:r>
      <w:r w:rsidRPr="00BA2FED">
        <w:t xml:space="preserve"> a byly zahájeny konzultace s pověřenými osobami, přičemž prozatím nebyly identifikovány další vhodné varianty, jedná se aktuálně o doporučovaný postup.</w:t>
      </w:r>
    </w:p>
    <w:p w14:paraId="5F4C215B" w14:textId="2BB3F3EF" w:rsidR="00DA2B0F" w:rsidRPr="00BA2FED" w:rsidRDefault="00DA2B0F" w:rsidP="00B96FDD">
      <w:pPr>
        <w:pStyle w:val="Nadpis6"/>
      </w:pPr>
      <w:bookmarkStart w:id="20" w:name="_Toc73608111"/>
      <w:r w:rsidRPr="00BA2FED">
        <w:t>Možnost odkazovat v rámci tzv. zastřešujícího odborného posouzení na dílčí odborná posouzení</w:t>
      </w:r>
      <w:bookmarkEnd w:id="20"/>
    </w:p>
    <w:p w14:paraId="06A88D15" w14:textId="41A73F4C" w:rsidR="00DA2B0F" w:rsidRPr="00BA2FED" w:rsidRDefault="00DA2B0F" w:rsidP="00DA2B0F">
      <w:r w:rsidRPr="00BA2FED">
        <w:t xml:space="preserve">V současné době </w:t>
      </w:r>
      <w:r w:rsidR="00DB2316" w:rsidRPr="00BA2FED">
        <w:t xml:space="preserve">vyhláška o náležitostech výstupních dokumentů </w:t>
      </w:r>
      <w:r w:rsidR="00CC764E">
        <w:t xml:space="preserve">umožňuje, aby </w:t>
      </w:r>
      <w:r w:rsidRPr="00BA2FED">
        <w:t>odborné posouzení a osvědčení o provozuschopnosti osvědčovaly posouzení zařízení, jehož prostřednictvím má být hazardní hra provozována (tj. ucelený soubor hardwaru a softwar</w:t>
      </w:r>
      <w:r w:rsidR="00DB2316" w:rsidRPr="00BA2FED">
        <w:t>u provozovatele hazardních her),</w:t>
      </w:r>
      <w:r w:rsidRPr="00BA2FED">
        <w:t xml:space="preserve"> samostatně stojící části zařízení (tj. </w:t>
      </w:r>
      <w:r w:rsidR="00827ECE">
        <w:t>RNG</w:t>
      </w:r>
      <w:r w:rsidR="00DB2316" w:rsidRPr="00BA2FED">
        <w:t xml:space="preserve"> nebo koncové zařízení) nebo</w:t>
      </w:r>
      <w:r w:rsidR="008F42BD" w:rsidRPr="00BA2FED">
        <w:t xml:space="preserve"> samotnou hazardní hru.</w:t>
      </w:r>
    </w:p>
    <w:p w14:paraId="0B391D1F" w14:textId="04D5842E" w:rsidR="00DA2B0F" w:rsidRPr="00BA2FED" w:rsidRDefault="00DA2B0F" w:rsidP="00DA2B0F">
      <w:r w:rsidRPr="00BA2FED">
        <w:t>Ačkoli pověřená osoba může ověřit v případě těc</w:t>
      </w:r>
      <w:r w:rsidR="000568AA">
        <w:t>hto dílčích částí zařízení nebo </w:t>
      </w:r>
      <w:r w:rsidRPr="00BA2FED">
        <w:t>hazardní hry splnění technických p</w:t>
      </w:r>
      <w:r w:rsidR="000568AA">
        <w:t>arametrů stanovených v zákoně o </w:t>
      </w:r>
      <w:r w:rsidRPr="00BA2FED">
        <w:t>hazardních hrách a podzákonných předpisů a v</w:t>
      </w:r>
      <w:r w:rsidR="000568AA">
        <w:t>ydat dílčí odborná posouzení, v </w:t>
      </w:r>
      <w:r w:rsidRPr="00BA2FED">
        <w:t xml:space="preserve">rámci správního řízení ve věci vydání základního povolení je nutné předložit </w:t>
      </w:r>
      <w:r w:rsidR="000568AA">
        <w:t>tzv. </w:t>
      </w:r>
      <w:r w:rsidRPr="00BA2FED">
        <w:t>zastřešující odborné posouzení, tedy takové, které posuzuje celé zařízení, včetně samostatně stojících částí a hazardních her. Vzhledem k tomu, že dílčí odborná posouzení jsou součástí tzv. zastřešu</w:t>
      </w:r>
      <w:r w:rsidR="0003311F">
        <w:t>jícího odborného posouzení jako </w:t>
      </w:r>
      <w:r w:rsidRPr="00BA2FED">
        <w:t>přílohy tohoto dokumentu, postač</w:t>
      </w:r>
      <w:r w:rsidR="000568AA">
        <w:t>uje uvedení tohoto odkazu a</w:t>
      </w:r>
      <w:r w:rsidR="008F42BD" w:rsidRPr="00BA2FED">
        <w:t xml:space="preserve"> M</w:t>
      </w:r>
      <w:r w:rsidRPr="00BA2FED">
        <w:t xml:space="preserve">inisterstvo </w:t>
      </w:r>
      <w:r w:rsidR="008F42BD" w:rsidRPr="00BA2FED">
        <w:t xml:space="preserve">financí </w:t>
      </w:r>
      <w:r w:rsidRPr="00BA2FED">
        <w:t>si případné odkazované výstupy dohledá v jemu dostupném uložišti pověřené osoby.</w:t>
      </w:r>
    </w:p>
    <w:p w14:paraId="291EF479" w14:textId="289CE1C2" w:rsidR="00DA2B0F" w:rsidRPr="00BA2FED" w:rsidRDefault="00DA2B0F" w:rsidP="00DA2B0F">
      <w:r w:rsidRPr="00BA2FED">
        <w:t>Dílčí odborná posouzení jsou v současnosti využívána jako podklady pro zastřešující odborné posouzení. Toto vytváří řadu pr</w:t>
      </w:r>
      <w:r w:rsidR="000568AA">
        <w:t xml:space="preserve">oblémů. V první řadě se jedná </w:t>
      </w:r>
      <w:r w:rsidR="000568AA">
        <w:lastRenderedPageBreak/>
        <w:t>o </w:t>
      </w:r>
      <w:r w:rsidRPr="00BA2FED">
        <w:t>nepřehlednost dokumentů pro Ministerstvo financí, neboť zastřešující odborné posouzení pouze odkazuje na odborná posouzení dílčí. V konečném důsledku může zastřešující odborné posouzení vycházet z desítek dílčích odborných posouzení, která je však následně nutné dohledávat v přílohách, nebo častěji v</w:t>
      </w:r>
      <w:r w:rsidR="007C772A">
        <w:t> </w:t>
      </w:r>
      <w:r w:rsidRPr="00BA2FED">
        <w:t xml:space="preserve">rámci úložiště jednotlivých pověřených osob (k tomuto upozorňujeme, že každá pověřená osoba má odlišné úložiště, které nemusí být zcela uživatelsky přívětivé). </w:t>
      </w:r>
    </w:p>
    <w:p w14:paraId="23958101" w14:textId="1E1556E2" w:rsidR="00DA2B0F" w:rsidRPr="00BA2FED" w:rsidRDefault="00DA2B0F" w:rsidP="00DA2B0F">
      <w:r w:rsidRPr="00BA2FED">
        <w:t>Dalším, závažnější</w:t>
      </w:r>
      <w:r w:rsidR="00755255" w:rsidRPr="00BA2FED">
        <w:t>m</w:t>
      </w:r>
      <w:r w:rsidRPr="00BA2FED">
        <w:t>, problémem je otázka odpovědnosti pověřené osoby za chybné ověření splnění technických parametrů stanovenýc</w:t>
      </w:r>
      <w:r w:rsidR="00914B60">
        <w:t>h v zákoně o hazardních hrách a </w:t>
      </w:r>
      <w:r w:rsidRPr="00BA2FED">
        <w:t xml:space="preserve">technické vyhlášce. </w:t>
      </w:r>
      <w:r w:rsidR="00F4069E">
        <w:t>V</w:t>
      </w:r>
      <w:r w:rsidRPr="00BA2FED">
        <w:t xml:space="preserve"> zastřešujícím odborném posouzení je na dílčí posouzení pouze odkazováno</w:t>
      </w:r>
      <w:r w:rsidR="00914B60">
        <w:t>, tj. jsou přebírány výsledky z </w:t>
      </w:r>
      <w:r w:rsidR="00F4069E">
        <w:t>dílčího posouzení. O</w:t>
      </w:r>
      <w:r w:rsidRPr="00BA2FED">
        <w:t>pětovné ověřování těchto prvků</w:t>
      </w:r>
      <w:r w:rsidR="00F4069E">
        <w:t xml:space="preserve"> tak</w:t>
      </w:r>
      <w:r w:rsidR="00755255" w:rsidRPr="00BA2FED">
        <w:t xml:space="preserve"> probíhá pouze v omezeném rozsahu</w:t>
      </w:r>
      <w:r w:rsidR="00F4069E">
        <w:t xml:space="preserve"> a může docházet k </w:t>
      </w:r>
      <w:r w:rsidRPr="00BA2FED">
        <w:t xml:space="preserve">situacím, kdy </w:t>
      </w:r>
      <w:r w:rsidR="00F4069E" w:rsidRPr="00BA2FED">
        <w:t>pověřená osoba</w:t>
      </w:r>
      <w:r w:rsidR="00F4069E">
        <w:t xml:space="preserve"> sice nese plnou odpovědnost</w:t>
      </w:r>
      <w:r w:rsidR="00F4069E" w:rsidRPr="00BA2FED">
        <w:t xml:space="preserve"> </w:t>
      </w:r>
      <w:r w:rsidRPr="00BA2FED">
        <w:t xml:space="preserve">za zastřešující odborné posouzení, </w:t>
      </w:r>
      <w:r w:rsidR="00F4069E">
        <w:t>avšak za případnou</w:t>
      </w:r>
      <w:r w:rsidRPr="00BA2FED">
        <w:t xml:space="preserve"> chyb</w:t>
      </w:r>
      <w:r w:rsidR="00F4069E">
        <w:t>u</w:t>
      </w:r>
      <w:r w:rsidRPr="00BA2FED">
        <w:t xml:space="preserve"> v</w:t>
      </w:r>
      <w:r w:rsidR="00C26DB0">
        <w:t> </w:t>
      </w:r>
      <w:r w:rsidRPr="00BA2FED">
        <w:t xml:space="preserve">rámci </w:t>
      </w:r>
      <w:r w:rsidR="00755255" w:rsidRPr="00BA2FED">
        <w:t>posuzování</w:t>
      </w:r>
      <w:r w:rsidRPr="00BA2FED">
        <w:t xml:space="preserve"> dílčího odborného posouzení nese odpovědnost pověřená osoba jiná.</w:t>
      </w:r>
      <w:r w:rsidR="00E00985" w:rsidRPr="00BA2FED">
        <w:t xml:space="preserve"> </w:t>
      </w:r>
      <w:r w:rsidR="001F32D8" w:rsidRPr="00BA2FED">
        <w:t>K</w:t>
      </w:r>
      <w:r w:rsidR="00F4069E">
        <w:t xml:space="preserve"> potenci</w:t>
      </w:r>
      <w:r w:rsidRPr="00BA2FED">
        <w:t>álním konfliktům může docházet v desítkách případů v rámci jednoho zastřešujícího odborného posouzení.</w:t>
      </w:r>
    </w:p>
    <w:p w14:paraId="3982BBEF" w14:textId="3BBF968C" w:rsidR="00DA2B0F" w:rsidRPr="00BA2FED" w:rsidRDefault="00DA2B0F" w:rsidP="00DA2B0F">
      <w:r w:rsidRPr="00BA2FED">
        <w:t>Dalším nedostatkem, který se v souvislosti s konceptem dílčích odborných posouzení může vyskytnout, zejména v situaci, kdy pověřené osoby vydávají odborná posouzení s odlišnou dobou platnosti, je nesoulad platností zastřešujícího odborného posouzení a dílčích odborných posouzení, na které je odkazováno. V krajním případě se tak může stát, že aktuální zastřešujíc</w:t>
      </w:r>
      <w:r w:rsidR="00F4069E">
        <w:t>í odborné posouzení odkazuje na </w:t>
      </w:r>
      <w:r w:rsidRPr="00BA2FED">
        <w:t>dílčí odborné posouzení, kterému uplynula doba platnosti, což z pohledu faktického může mít vliv i na platnost právě zastřešujícího odborného posouzení, které pozbytím platnosti dílčího odkazuje na neplatný dokument, což fakticky způsobuje absenci posouzení jednoho z částí celého zařízení.</w:t>
      </w:r>
    </w:p>
    <w:p w14:paraId="67709EFB" w14:textId="4591733F" w:rsidR="00DA2B0F" w:rsidRPr="00BA2FED" w:rsidRDefault="00914B60" w:rsidP="002521DE">
      <w:pPr>
        <w:pStyle w:val="Nadpis7"/>
      </w:pPr>
      <w:r>
        <w:t>Varianta I.</w:t>
      </w:r>
      <w:r w:rsidR="00EF64DB">
        <w:t xml:space="preserve"> - O</w:t>
      </w:r>
      <w:r w:rsidR="00EF64DB" w:rsidRPr="00BA2FED">
        <w:t>dstranění možnosti vydávat dílčí odborná posouzení</w:t>
      </w:r>
    </w:p>
    <w:p w14:paraId="668FF73F" w14:textId="41F5FCE9" w:rsidR="00DA2B0F" w:rsidRPr="00BA2FED" w:rsidRDefault="00DA2B0F" w:rsidP="00DA2B0F">
      <w:r w:rsidRPr="00BA2FED">
        <w:t>Nejefektivnějším řešením, z pohledu výše uvedených problémů, je odstranění možnosti vydávat dílčí odborná posouzení. Jednal</w:t>
      </w:r>
      <w:r w:rsidR="00914B60">
        <w:t>o by se o novelu vyhlášky o </w:t>
      </w:r>
      <w:r w:rsidRPr="00BA2FED">
        <w:t xml:space="preserve"> náležitostech </w:t>
      </w:r>
      <w:r w:rsidR="007B6F77">
        <w:t>výstupních dokumentů</w:t>
      </w:r>
      <w:r w:rsidR="00F4069E">
        <w:t xml:space="preserve">, podle které </w:t>
      </w:r>
      <w:r w:rsidRPr="00BA2FED">
        <w:t xml:space="preserve">by předmětem odborného posouzení mohlo být pouze zařízení (tj. soubor hardwaru a softwaru, nikoli jeho dílčí části). </w:t>
      </w:r>
    </w:p>
    <w:p w14:paraId="15EB5246" w14:textId="18CEAEA1" w:rsidR="00E91B13" w:rsidRPr="00BA2FED" w:rsidRDefault="00E91B13" w:rsidP="00DA2B0F">
      <w:r w:rsidRPr="00BA2FED">
        <w:t>Výhody:</w:t>
      </w:r>
    </w:p>
    <w:p w14:paraId="3C0D1397" w14:textId="14A6DCAA" w:rsidR="00DA2B0F" w:rsidRPr="00BA2FED" w:rsidRDefault="00DA2B0F" w:rsidP="00DA2B0F">
      <w:r w:rsidRPr="00BA2FED">
        <w:t>Tímto způsobem by nebylo pochyb o míře odpovědnosti pověřené osobě a nemohlo by docházet k případným sporům o odpovědnosti.  Zároveň by došlo ke značnému zjednodušení posouzení tohoto podkladu v rá</w:t>
      </w:r>
      <w:r w:rsidR="00CC764E">
        <w:t xml:space="preserve">mci vedení správního řízení pro </w:t>
      </w:r>
      <w:r w:rsidR="001F32D8" w:rsidRPr="00BA2FED">
        <w:t>M</w:t>
      </w:r>
      <w:r w:rsidRPr="00BA2FED">
        <w:t>inisterstvo</w:t>
      </w:r>
      <w:r w:rsidR="001F32D8" w:rsidRPr="00BA2FED">
        <w:t xml:space="preserve"> financí</w:t>
      </w:r>
      <w:r w:rsidRPr="00BA2FED">
        <w:t>, neboť by jeden dokument zahrnoval veškeré relevantní skutečnosti.</w:t>
      </w:r>
    </w:p>
    <w:p w14:paraId="27E8AC94" w14:textId="12F1BF6A" w:rsidR="00E91B13" w:rsidRPr="00BA2FED" w:rsidRDefault="00E91B13" w:rsidP="00DA2B0F">
      <w:r w:rsidRPr="00BA2FED">
        <w:t>Nevýhody:</w:t>
      </w:r>
    </w:p>
    <w:p w14:paraId="0DF9D5AB" w14:textId="4BB8FE57" w:rsidR="001F32D8" w:rsidRPr="00BA2FED" w:rsidRDefault="00DA2B0F" w:rsidP="00DA2B0F">
      <w:r w:rsidRPr="00BA2FED">
        <w:t>Nevýhodou tohoto řešení je výrazné omezení na straně výrobců he</w:t>
      </w:r>
      <w:r w:rsidR="00914B60">
        <w:t>r a </w:t>
      </w:r>
      <w:r w:rsidRPr="00BA2FED">
        <w:t xml:space="preserve">koncových zařízení, kteří mohou mít zájem o vydání dílčího odborného posouzení, aby mohli svůj produkt umístit na trh včetně záruky, že splňuje požadavky stanovené zákonem o hazardních hrách. Tato garance má význam i v případě, pokud finální odpovědnost za zastřešující posouzení nese odlišná pověřená osoba, neboť dílčí posouzení má význam z pohledu předvídatelnosti. </w:t>
      </w:r>
      <w:r w:rsidR="00E91B13" w:rsidRPr="00BA2FED">
        <w:t xml:space="preserve">Nedostatek je tedy možné spatřit také na straně provozovatelů, kteří v případě zájmu o produkt (např. hazardní hru nebo koncové zařízení) nebudou schopni ani v obecné rovině předvídat soulad tohoto produktu se </w:t>
      </w:r>
      <w:r w:rsidR="00E91B13" w:rsidRPr="00BA2FED">
        <w:lastRenderedPageBreak/>
        <w:t>zákonem o hazardních hrách. Určitým zmírněním tohoto negativního dopadu je však skutečnost, že</w:t>
      </w:r>
      <w:r w:rsidRPr="00BA2FED">
        <w:t xml:space="preserve"> dílčí odborné posouzení na koncové zařízení nebo hazardní hru nemůže poskytovat dostatečnou záruku toho, že uvedený předmět posouzení bude správně fungovat při „zas</w:t>
      </w:r>
      <w:r w:rsidR="00914B60">
        <w:t>azení“ do zařízení jako celku a </w:t>
      </w:r>
      <w:r w:rsidRPr="00BA2FED">
        <w:t>zaručit tak splnění podmínek daných právní úpravou při provozování hazardní hry v rámci celkového zařízení.</w:t>
      </w:r>
      <w:r w:rsidR="00E91B13" w:rsidRPr="00BA2FED">
        <w:t xml:space="preserve"> </w:t>
      </w:r>
    </w:p>
    <w:p w14:paraId="015B9DC0" w14:textId="37071B14" w:rsidR="00DA2B0F" w:rsidRPr="00B96FDD" w:rsidRDefault="00914B60" w:rsidP="00B96FDD">
      <w:pPr>
        <w:pStyle w:val="Nadpis7"/>
      </w:pPr>
      <w:r w:rsidRPr="00B96FDD">
        <w:t>Varianta II.</w:t>
      </w:r>
      <w:r w:rsidR="00DA2B0F" w:rsidRPr="00B96FDD">
        <w:t xml:space="preserve"> </w:t>
      </w:r>
      <w:r w:rsidR="00EF64DB" w:rsidRPr="00B96FDD">
        <w:t>– Zachování současného stavu</w:t>
      </w:r>
    </w:p>
    <w:p w14:paraId="5172DCC1" w14:textId="6B68A8EE" w:rsidR="00E91B13" w:rsidRPr="00BA2FED" w:rsidRDefault="00DA2B0F" w:rsidP="00DA2B0F">
      <w:r w:rsidRPr="00BA2FED">
        <w:t>Jako vhodné řešení se, zejména vzhledem k negativním dopadům na výrobce hazardních her a koncových zařízení</w:t>
      </w:r>
      <w:r w:rsidR="00E91B13" w:rsidRPr="00BA2FED">
        <w:t xml:space="preserve"> a i samotné provozovatele</w:t>
      </w:r>
      <w:r w:rsidRPr="00BA2FED">
        <w:t>, jeví možnost zachování současného stavu, nicméně s tím rozdílem, že dílčí posouzení budou co do obsahu převzat</w:t>
      </w:r>
      <w:r w:rsidR="00C23EB2">
        <w:t>a</w:t>
      </w:r>
      <w:r w:rsidRPr="00BA2FED">
        <w:t xml:space="preserve"> do zastřešujícího odborného posouzení</w:t>
      </w:r>
      <w:r w:rsidR="00C23EB2">
        <w:t xml:space="preserve"> a celkové posouzení bude v plné odpovědnosti pověřené osoby, která </w:t>
      </w:r>
      <w:r w:rsidR="00915385">
        <w:t>zastřešující odborné posouzení</w:t>
      </w:r>
      <w:r w:rsidR="00C23EB2">
        <w:t xml:space="preserve"> vydala</w:t>
      </w:r>
      <w:r w:rsidRPr="00BA2FED">
        <w:t xml:space="preserve">. Zároveň </w:t>
      </w:r>
      <w:r w:rsidR="007B6F77">
        <w:t>za </w:t>
      </w:r>
      <w:r w:rsidR="00E91B13" w:rsidRPr="00BA2FED">
        <w:t xml:space="preserve">účelem přehlednosti </w:t>
      </w:r>
      <w:r w:rsidRPr="00BA2FED">
        <w:t>budou i nadále ukládán</w:t>
      </w:r>
      <w:r w:rsidR="00C23EB2">
        <w:t>a</w:t>
      </w:r>
      <w:r w:rsidRPr="00BA2FED">
        <w:t xml:space="preserve"> do úložiště tak, jak nyní požaduje </w:t>
      </w:r>
      <w:r w:rsidR="00914B60">
        <w:t>vyhláška o </w:t>
      </w:r>
      <w:r w:rsidR="00E91B13" w:rsidRPr="00BA2FED">
        <w:t>náležitostech výstupních dokumentů.</w:t>
      </w:r>
    </w:p>
    <w:p w14:paraId="27756C28" w14:textId="77777777" w:rsidR="00E91B13" w:rsidRPr="00BA2FED" w:rsidRDefault="00E91B13" w:rsidP="00DA2B0F">
      <w:r w:rsidRPr="00BA2FED">
        <w:t>Výhody:</w:t>
      </w:r>
    </w:p>
    <w:p w14:paraId="75F133E4" w14:textId="4DB630FF" w:rsidR="00DA2B0F" w:rsidRPr="00BA2FED" w:rsidRDefault="007B6F77" w:rsidP="00DA2B0F">
      <w:r>
        <w:t>Výrazným pozitivem by byla</w:t>
      </w:r>
      <w:r w:rsidR="00DA2B0F" w:rsidRPr="00BA2FED">
        <w:t xml:space="preserve"> jasně stanov</w:t>
      </w:r>
      <w:r w:rsidR="004D7B48" w:rsidRPr="00BA2FED">
        <w:t>ená</w:t>
      </w:r>
      <w:r w:rsidR="00DA2B0F" w:rsidRPr="00BA2FED">
        <w:t xml:space="preserve"> odpovědnost pověřené osoby vydávající zastřešující odborné posouzení a </w:t>
      </w:r>
      <w:r>
        <w:t>odstranění potenci</w:t>
      </w:r>
      <w:r w:rsidR="00DA2B0F" w:rsidRPr="00BA2FED">
        <w:t>álních odlišností mezi platností dílčího odborného posouzení a zastř</w:t>
      </w:r>
      <w:r>
        <w:t xml:space="preserve">ešujícího odborného posouzení. </w:t>
      </w:r>
      <w:r w:rsidR="00DA2B0F" w:rsidRPr="00BA2FED">
        <w:t>Zároveň by byl ponechán benef</w:t>
      </w:r>
      <w:r w:rsidR="00C26DB0">
        <w:t>it pro výrobce hazardních her a </w:t>
      </w:r>
      <w:r w:rsidR="00DA2B0F" w:rsidRPr="00BA2FED">
        <w:t>koncových zařízení, kteří by mohli i nadále do určité míry garantovat, že jejich produkt má potenciál naplnit požadavky zákona o hazardních hrách. Pozitivní dopad by</w:t>
      </w:r>
      <w:r w:rsidR="004D7B48" w:rsidRPr="00BA2FED">
        <w:t>l identifikován také na straně M</w:t>
      </w:r>
      <w:r w:rsidR="00DA2B0F" w:rsidRPr="00BA2FED">
        <w:t>inisterstva</w:t>
      </w:r>
      <w:r w:rsidR="004D7B48" w:rsidRPr="00BA2FED">
        <w:t xml:space="preserve"> financí</w:t>
      </w:r>
      <w:r w:rsidR="00DA2B0F" w:rsidRPr="00BA2FED">
        <w:t>, obcí a celních úřadů, neboť nutnost vyhledávat dílčí odborná posouzení v úložišti bude minimalizována, nicméně tato možnost bude stále zachována v případech, pokud bude nutné získat dodatečné informace o dílčím odborném posouzení.</w:t>
      </w:r>
    </w:p>
    <w:p w14:paraId="41609F7C" w14:textId="04EF2303" w:rsidR="00DA2B0F" w:rsidRPr="00BA2FED" w:rsidRDefault="004D7B48" w:rsidP="002521DE">
      <w:pPr>
        <w:pStyle w:val="Nadpis7"/>
      </w:pPr>
      <w:r w:rsidRPr="00BA2FED">
        <w:t>Hodnocení variant</w:t>
      </w:r>
    </w:p>
    <w:p w14:paraId="4111A4A9" w14:textId="5941DF30" w:rsidR="00DA2B0F" w:rsidRPr="00BA2FED" w:rsidRDefault="00DA2B0F" w:rsidP="00DA2B0F">
      <w:r w:rsidRPr="00BA2FED">
        <w:t xml:space="preserve">Jako nejvhodnější řešení se jeví varianta č. 2, tedy zachování možnosti </w:t>
      </w:r>
      <w:r w:rsidR="007B6F77">
        <w:t>vydávat dílčí odborná posouzení</w:t>
      </w:r>
      <w:r w:rsidRPr="00BA2FED">
        <w:t xml:space="preserve"> za </w:t>
      </w:r>
      <w:r w:rsidR="004D7B48" w:rsidRPr="00BA2FED">
        <w:t xml:space="preserve">předpokladu </w:t>
      </w:r>
      <w:r w:rsidRPr="00BA2FED">
        <w:t>převzetí obsahu dílčích povolení do textu zastřešujícího odborného posouzení. Tento pož</w:t>
      </w:r>
      <w:r w:rsidR="00914B60">
        <w:t>adavek by měl být reflektován v </w:t>
      </w:r>
      <w:r w:rsidRPr="00BA2FED">
        <w:t>pověření.</w:t>
      </w:r>
    </w:p>
    <w:p w14:paraId="668F141C" w14:textId="53BF2B08" w:rsidR="00E15606" w:rsidRPr="00BA2FED" w:rsidRDefault="00E15606" w:rsidP="00B96FDD">
      <w:pPr>
        <w:pStyle w:val="Nadpis6"/>
      </w:pPr>
      <w:bookmarkStart w:id="21" w:name="_Toc73608112"/>
      <w:r w:rsidRPr="00BA2FED">
        <w:t>Odborné posouzení v případě živé hry</w:t>
      </w:r>
      <w:bookmarkEnd w:id="21"/>
    </w:p>
    <w:p w14:paraId="37CCE686" w14:textId="37399827" w:rsidR="00E15606" w:rsidRPr="00BA2FED" w:rsidRDefault="00E15606" w:rsidP="00DE0411">
      <w:r w:rsidRPr="00BA2FED">
        <w:t xml:space="preserve">Ačkoli se v zákoně o hazardních hrách a technické vyhlášce objevují technické parametry ke všem druhům hazardních her, § 110 odst. 1 </w:t>
      </w:r>
      <w:r w:rsidR="007B6F77">
        <w:t xml:space="preserve">zákona o hazardních hrách </w:t>
      </w:r>
      <w:r w:rsidRPr="00BA2FED">
        <w:t>ve vazbě na § 109 odst. 1 zákona o hazardních hrách požaduje ověření splnění povinnosti pouze vůči hazardním hrám uvedeným v § 3 odst. 2 písm. a) až e)</w:t>
      </w:r>
      <w:r w:rsidR="007B6F77">
        <w:t xml:space="preserve"> zákona o hazardních hrách</w:t>
      </w:r>
      <w:r w:rsidRPr="00BA2FED">
        <w:t>, internetové hře a zařízení</w:t>
      </w:r>
      <w:r w:rsidR="007B6F77">
        <w:t>m</w:t>
      </w:r>
      <w:r w:rsidRPr="00BA2FED">
        <w:t xml:space="preserve">, jejichž prostřednictvím jsou tyto hazardní hry provozovány. Pověřené osoby tedy neposuzují splnění technických parametrů vůči živé hře provozované </w:t>
      </w:r>
      <w:r w:rsidR="00440458">
        <w:t xml:space="preserve">formou </w:t>
      </w:r>
      <w:r w:rsidRPr="00BA2FED">
        <w:t>land-based, tombole a turnaji malého rozsahu.</w:t>
      </w:r>
    </w:p>
    <w:p w14:paraId="1A0371BB" w14:textId="5377C41C" w:rsidR="00E15606" w:rsidRPr="00BA2FED" w:rsidRDefault="00E15606" w:rsidP="00DE0411">
      <w:r w:rsidRPr="00BA2FED">
        <w:t>V současné době do</w:t>
      </w:r>
      <w:r w:rsidR="00435EB6" w:rsidRPr="00BA2FED">
        <w:t>chází</w:t>
      </w:r>
      <w:r w:rsidRPr="00BA2FED">
        <w:t xml:space="preserve"> k technologickému pokroku do té míry, že i v rámci živé hry dochází k použití řady zařízení, které </w:t>
      </w:r>
      <w:r w:rsidR="00E66C87">
        <w:t>teoreticky mohou být</w:t>
      </w:r>
      <w:r w:rsidR="00E66C87" w:rsidRPr="00BA2FED">
        <w:t xml:space="preserve"> </w:t>
      </w:r>
      <w:r w:rsidRPr="00BA2FED">
        <w:t>při p</w:t>
      </w:r>
      <w:r w:rsidR="001F651B" w:rsidRPr="00BA2FED">
        <w:t>rovozování živé hry používány a </w:t>
      </w:r>
      <w:r w:rsidRPr="00BA2FED">
        <w:t xml:space="preserve">hazardní hru </w:t>
      </w:r>
      <w:r w:rsidRPr="00034240">
        <w:t>spoluvytváří. Může se jednat např. o</w:t>
      </w:r>
      <w:r w:rsidR="00D31561" w:rsidRPr="00034240">
        <w:t> </w:t>
      </w:r>
      <w:r w:rsidRPr="00034240">
        <w:t>přístroj míchající karty, rulet</w:t>
      </w:r>
      <w:r w:rsidR="00BA7378" w:rsidRPr="00034240">
        <w:t>u</w:t>
      </w:r>
      <w:r w:rsidR="00435EB6" w:rsidRPr="00034240">
        <w:t xml:space="preserve"> v případech, kdy jsou žetony vybaveny </w:t>
      </w:r>
      <w:r w:rsidR="00E10294" w:rsidRPr="00034240">
        <w:t xml:space="preserve">RFID </w:t>
      </w:r>
      <w:r w:rsidR="00435EB6" w:rsidRPr="00034240">
        <w:t xml:space="preserve">čipy </w:t>
      </w:r>
      <w:r w:rsidRPr="00034240">
        <w:t xml:space="preserve">atp. Rovněž provozovatel i v případě zajištění dodržování sebeomezujících opatření musí </w:t>
      </w:r>
      <w:r w:rsidR="00E10294" w:rsidRPr="00034240">
        <w:t>disponovat takovým</w:t>
      </w:r>
      <w:r w:rsidRPr="00034240">
        <w:t xml:space="preserve"> technick</w:t>
      </w:r>
      <w:r w:rsidR="00E10294" w:rsidRPr="00034240">
        <w:t>ým</w:t>
      </w:r>
      <w:r w:rsidRPr="00034240">
        <w:t xml:space="preserve"> vybavení</w:t>
      </w:r>
      <w:r w:rsidR="00E10294" w:rsidRPr="00034240">
        <w:t>m</w:t>
      </w:r>
      <w:r w:rsidRPr="00034240">
        <w:t>, kterým bude zákonné</w:t>
      </w:r>
      <w:r w:rsidRPr="00BA2FED">
        <w:t xml:space="preserve"> povinnosti plnit</w:t>
      </w:r>
    </w:p>
    <w:p w14:paraId="50E7D18F" w14:textId="60D08AE2" w:rsidR="00915385" w:rsidRPr="00915385" w:rsidRDefault="00E15606" w:rsidP="002521DE">
      <w:pPr>
        <w:pStyle w:val="Nadpis7"/>
      </w:pPr>
      <w:r w:rsidRPr="00BA2FED">
        <w:lastRenderedPageBreak/>
        <w:t>Varianta I.</w:t>
      </w:r>
      <w:r w:rsidR="00915385">
        <w:t xml:space="preserve"> </w:t>
      </w:r>
      <w:r w:rsidR="006917BA">
        <w:t xml:space="preserve">– </w:t>
      </w:r>
      <w:r w:rsidR="00915385">
        <w:t>Rozšíření druhů hazardních her, které vyžadují odborné posouzení a</w:t>
      </w:r>
      <w:r w:rsidR="00CC4A8E">
        <w:t> </w:t>
      </w:r>
      <w:r w:rsidR="00915385">
        <w:t>osvědčení o provozuschopnosti</w:t>
      </w:r>
    </w:p>
    <w:p w14:paraId="7613A7A7" w14:textId="35F190ED" w:rsidR="00F80879" w:rsidRPr="00BA2FED" w:rsidRDefault="00EE7E80" w:rsidP="00DE0411">
      <w:r w:rsidRPr="00BA2FED">
        <w:t>Za účelem odstranění nedostatků a sjednocení požadavků na všechny hazardní hry, které jsou provozovány na základě základního povolení, by bylo vhodné rozšířit okruh hazardních her, u kterých je nutné ověřit splnění technických parametrů stanovených v</w:t>
      </w:r>
      <w:r w:rsidR="00CD3147">
        <w:t> </w:t>
      </w:r>
      <w:r w:rsidRPr="00BA2FED">
        <w:t>zákoně</w:t>
      </w:r>
      <w:r w:rsidR="00CD3147">
        <w:t xml:space="preserve"> o hazardních hrách</w:t>
      </w:r>
      <w:r w:rsidRPr="00BA2FED">
        <w:t xml:space="preserve"> a technické vyhlášce. </w:t>
      </w:r>
    </w:p>
    <w:p w14:paraId="5E07D8EB" w14:textId="77777777" w:rsidR="00F80879" w:rsidRPr="00BA2FED" w:rsidRDefault="00F80879" w:rsidP="00DE0411">
      <w:r w:rsidRPr="00BA2FED">
        <w:t>Výhody:</w:t>
      </w:r>
    </w:p>
    <w:p w14:paraId="1FB38E27" w14:textId="77C73DD5" w:rsidR="00F80879" w:rsidRPr="00BA2FED" w:rsidRDefault="00EE7E80" w:rsidP="00DE0411">
      <w:r w:rsidRPr="00BA2FED">
        <w:t>I v současné situaci musí provozovatelé soulad zajistit</w:t>
      </w:r>
      <w:r w:rsidR="006E49D4" w:rsidRPr="00BA2FED">
        <w:rPr>
          <w:rStyle w:val="Znakapoznpodarou"/>
        </w:rPr>
        <w:footnoteReference w:id="6"/>
      </w:r>
      <w:r w:rsidRPr="00BA2FED">
        <w:t xml:space="preserve">, nicméně ten není potvrzován ze strany pověřených osob. </w:t>
      </w:r>
      <w:r w:rsidR="00F80879" w:rsidRPr="00BA2FED">
        <w:t>Tato skutečnost může mít negativní dopad na efektivní výkon dozoru a také o</w:t>
      </w:r>
      <w:r w:rsidR="00935FBC" w:rsidRPr="00BA2FED">
        <w:t>chranu účastník</w:t>
      </w:r>
      <w:r w:rsidR="0098261A">
        <w:t>ů</w:t>
      </w:r>
      <w:r w:rsidR="00935FBC" w:rsidRPr="00BA2FED">
        <w:t xml:space="preserve"> hazardních her.</w:t>
      </w:r>
    </w:p>
    <w:p w14:paraId="199C0E5D" w14:textId="580CD23C" w:rsidR="00F80879" w:rsidRPr="00BA2FED" w:rsidRDefault="00F80879" w:rsidP="00DE0411">
      <w:r w:rsidRPr="00BA2FED">
        <w:t>Nevýhody:</w:t>
      </w:r>
    </w:p>
    <w:p w14:paraId="6E12B96B" w14:textId="49A1F7D8" w:rsidR="00EE7E80" w:rsidRPr="00BA2FED" w:rsidRDefault="00EE7E80" w:rsidP="00DE0411">
      <w:r w:rsidRPr="00BA2FED">
        <w:t xml:space="preserve">Navrhovaná varianta má negativní dopad na provozovatele ve smyslu nutnosti předkládat odborné </w:t>
      </w:r>
      <w:r w:rsidR="001F651B" w:rsidRPr="00BA2FED">
        <w:t>posouzení i v případě žádosti o </w:t>
      </w:r>
      <w:r w:rsidR="00914B60">
        <w:t>základní povolení, nicméně i </w:t>
      </w:r>
      <w:r w:rsidRPr="00BA2FED">
        <w:t>přesto je tento požadavek odůvodněný, neboť je zcela zásadní, aby bylo ze strany pověřených osob potvrzeno, že jsou splněny všechny</w:t>
      </w:r>
      <w:r w:rsidR="00914B60">
        <w:t xml:space="preserve"> technické parametry v zákoně o </w:t>
      </w:r>
      <w:r w:rsidR="00CB3F66" w:rsidRPr="00BA2FED">
        <w:t xml:space="preserve">hazardních hrách a </w:t>
      </w:r>
      <w:r w:rsidRPr="00BA2FED">
        <w:t>podzákonných předpisech.</w:t>
      </w:r>
    </w:p>
    <w:p w14:paraId="5B72C598" w14:textId="159B8DFB" w:rsidR="00EE7E80" w:rsidRPr="00BA2FED" w:rsidRDefault="00EE7E80" w:rsidP="002521DE">
      <w:pPr>
        <w:pStyle w:val="Nadpis7"/>
      </w:pPr>
      <w:r w:rsidRPr="00BA2FED">
        <w:t>Varianta II.</w:t>
      </w:r>
      <w:r w:rsidR="00915385">
        <w:t xml:space="preserve"> </w:t>
      </w:r>
      <w:r w:rsidR="006917BA">
        <w:t xml:space="preserve">– </w:t>
      </w:r>
      <w:r w:rsidR="00915385">
        <w:t>Zachování současného stavu</w:t>
      </w:r>
    </w:p>
    <w:p w14:paraId="3A2E98B9" w14:textId="1E4F16DC" w:rsidR="00EE7E80" w:rsidRDefault="00EE7E80" w:rsidP="00DE0411">
      <w:r w:rsidRPr="00BA2FED">
        <w:t>Možným řešením by mohlo být ponechání současného stavu, kdy v případě živé hry</w:t>
      </w:r>
      <w:r w:rsidR="00AD436A" w:rsidRPr="00BA2FED">
        <w:t xml:space="preserve"> (</w:t>
      </w:r>
      <w:r w:rsidRPr="00BA2FED">
        <w:t>jediného z druhů hazardních her, jejichž provozování podléhá vydání základního povolení</w:t>
      </w:r>
      <w:r w:rsidR="00AD436A" w:rsidRPr="00BA2FED">
        <w:t>)</w:t>
      </w:r>
      <w:r w:rsidRPr="00BA2FED">
        <w:t xml:space="preserve"> nebude vyžadováno ověření splnění t</w:t>
      </w:r>
      <w:r w:rsidR="001F651B" w:rsidRPr="00BA2FED">
        <w:t>echnických parametrů v zákoně o </w:t>
      </w:r>
      <w:r w:rsidRPr="00BA2FED">
        <w:t>hazardních hrách nebo podzákonných předpisech</w:t>
      </w:r>
      <w:r w:rsidR="00935FBC" w:rsidRPr="00BA2FED">
        <w:t>, a to z důvodu menšího rozsahu využití technických prvků při provozování živé hry.</w:t>
      </w:r>
      <w:r w:rsidRPr="00BA2FED">
        <w:t xml:space="preserve"> Tato varianta se však nejeví jako vhodná, neboť dochází k neodůvodněným rozdílům mezi jednotlivými druhy hazardních her a před vydáním základního povolení nelze ověřit, že zařízení, prostřednictvím kterého je hazardní hra provozována (ačkoli by se mohlo jednat pouze o dílčí prvek), odpovídá požadavkům právní úpravy.</w:t>
      </w:r>
      <w:r w:rsidR="00935FBC" w:rsidRPr="00BA2FED">
        <w:t xml:space="preserve"> </w:t>
      </w:r>
    </w:p>
    <w:p w14:paraId="5B2CB349" w14:textId="781EF003" w:rsidR="00BD1CF2" w:rsidRPr="00BA2FED" w:rsidRDefault="00BD1CF2" w:rsidP="00E4277E">
      <w:pPr>
        <w:pStyle w:val="Nadpis7"/>
      </w:pPr>
      <w:r>
        <w:t>Hodnocení variant</w:t>
      </w:r>
    </w:p>
    <w:p w14:paraId="3716B5CA" w14:textId="0C7EA45C" w:rsidR="009E1597" w:rsidRPr="00BA2FED" w:rsidRDefault="00EE7E80" w:rsidP="00DE0411">
      <w:r w:rsidRPr="00BA2FED">
        <w:t xml:space="preserve">Jako vhodné řešení se vzhledem </w:t>
      </w:r>
      <w:r w:rsidR="001F651B" w:rsidRPr="00BA2FED">
        <w:t>k výše uvedenému jeví varianta I.</w:t>
      </w:r>
      <w:r w:rsidR="00CC764E">
        <w:t xml:space="preserve">, neboť </w:t>
      </w:r>
      <w:r w:rsidRPr="00BA2FED">
        <w:t xml:space="preserve">odstraňuje nedůvodné rozdíly mezi jednotlivými druhy hazardních </w:t>
      </w:r>
      <w:r w:rsidR="0003311F">
        <w:t>her a </w:t>
      </w:r>
      <w:r w:rsidR="0098261A">
        <w:t xml:space="preserve">více </w:t>
      </w:r>
      <w:r w:rsidRPr="00BA2FED">
        <w:t>zajišťuje, že</w:t>
      </w:r>
      <w:r w:rsidR="00BA7378">
        <w:t> </w:t>
      </w:r>
      <w:r w:rsidRPr="00BA2FED">
        <w:t>hazardní hra bude provozována takovým z</w:t>
      </w:r>
      <w:r w:rsidR="00440458">
        <w:t>působem, jakým vyžaduje zákon o </w:t>
      </w:r>
      <w:r w:rsidRPr="00BA2FED">
        <w:t>hazardních hrách nebo podzákonné předpisy</w:t>
      </w:r>
      <w:r w:rsidR="0098261A">
        <w:t xml:space="preserve"> zejména ve vztahu k technickým aspektům daného provozu</w:t>
      </w:r>
      <w:r w:rsidRPr="00BA2FED">
        <w:t xml:space="preserve">. </w:t>
      </w:r>
    </w:p>
    <w:p w14:paraId="68314AAA" w14:textId="77113F7E" w:rsidR="00DA2B0F" w:rsidRPr="00BA2FED" w:rsidRDefault="00DA2B0F" w:rsidP="00B96FDD">
      <w:pPr>
        <w:pStyle w:val="Nadpis6"/>
      </w:pPr>
      <w:bookmarkStart w:id="22" w:name="_Toc73608113"/>
      <w:r w:rsidRPr="00BA2FED">
        <w:t>Registrační známka</w:t>
      </w:r>
      <w:bookmarkEnd w:id="22"/>
    </w:p>
    <w:p w14:paraId="4F894283" w14:textId="35A0FA0B" w:rsidR="009E1597" w:rsidRPr="00BA2FED" w:rsidRDefault="00DA2B0F" w:rsidP="00DA2B0F">
      <w:r w:rsidRPr="00BA2FED">
        <w:t xml:space="preserve">Současným nedostatkem právní úpravy je </w:t>
      </w:r>
      <w:r w:rsidR="00DB09D1">
        <w:t xml:space="preserve">v této oblasti </w:t>
      </w:r>
      <w:r w:rsidRPr="00BA2FED">
        <w:t xml:space="preserve">skutečnost, že povinnost vydávat registrační známky je stanovena v rámci </w:t>
      </w:r>
      <w:r w:rsidR="00BA7378">
        <w:t>rozhodnutí o pověření, nikoli v </w:t>
      </w:r>
      <w:r w:rsidRPr="00BA2FED">
        <w:t xml:space="preserve">právním předpise. Zároveň také registrační známka obsahuje výčet minimálních obsahovaných náležitostí, což způsobuje nejednotnost a nepřehlednost pro dozorové orgány. Obdobný nedostatek byl identifikován také u využití ochranných prvků </w:t>
      </w:r>
      <w:r w:rsidRPr="00BA2FED">
        <w:lastRenderedPageBreak/>
        <w:t>registrační známky, kdy pověření stanoví minimální počet, nicméně pověřená osoba je oprávněna zv</w:t>
      </w:r>
      <w:r w:rsidR="009E1597" w:rsidRPr="00BA2FED">
        <w:t xml:space="preserve">olit konkrétní ochranný prvek. </w:t>
      </w:r>
    </w:p>
    <w:p w14:paraId="134F0262" w14:textId="78263E02" w:rsidR="00DA2B0F" w:rsidRPr="00BA2FED" w:rsidRDefault="00DA2B0F" w:rsidP="009E1597">
      <w:pPr>
        <w:pStyle w:val="Odstavecseseznamem"/>
        <w:numPr>
          <w:ilvl w:val="0"/>
          <w:numId w:val="25"/>
        </w:numPr>
        <w:rPr>
          <w:rFonts w:ascii="Arial" w:hAnsi="Arial" w:cs="Arial"/>
          <w:sz w:val="24"/>
        </w:rPr>
      </w:pPr>
      <w:r w:rsidRPr="00BA2FED">
        <w:rPr>
          <w:rFonts w:ascii="Arial" w:hAnsi="Arial" w:cs="Arial"/>
          <w:sz w:val="24"/>
        </w:rPr>
        <w:t xml:space="preserve">Obsahové náležitosti a způsob vydávání </w:t>
      </w:r>
    </w:p>
    <w:p w14:paraId="591B23BF" w14:textId="5135531F" w:rsidR="00DA2B0F" w:rsidRPr="00BA2FED" w:rsidRDefault="00DA2B0F" w:rsidP="00DA2B0F">
      <w:r w:rsidRPr="00BA2FED">
        <w:t>Jednou z povinností uvedenou v pověření k odbornému posuzování a osvědčování je povinnost vydávat registrační známky, a to vždy, když je vydáno nové osvěd</w:t>
      </w:r>
      <w:r w:rsidR="00914B60">
        <w:t>čení o </w:t>
      </w:r>
      <w:r w:rsidR="00843892" w:rsidRPr="00BA2FED">
        <w:t>provozuschopnosti, resp.</w:t>
      </w:r>
      <w:r w:rsidR="00CD3147">
        <w:t xml:space="preserve"> </w:t>
      </w:r>
      <w:r w:rsidRPr="00BA2FED">
        <w:t>odborné posouzení. Tato skutečnost v konečném důsledku zavazuje pověřenou osobou s každým osvědčením o provozuschopnosti novou registrační známku vydat, a každého provozovatele hazardních her registrační známku umístit</w:t>
      </w:r>
      <w:r w:rsidR="00843892" w:rsidRPr="00BA2FED">
        <w:t xml:space="preserve"> na příslušné místo</w:t>
      </w:r>
      <w:r w:rsidRPr="00BA2FED">
        <w:t>. Vzhledem ke skutečnosti, že v průběhu platnosti dokumentů odborného posouzení a osvědčení o pr</w:t>
      </w:r>
      <w:r w:rsidR="00914B60">
        <w:t>ovozuschopnosti může docházet k </w:t>
      </w:r>
      <w:r w:rsidRPr="00BA2FED">
        <w:t>neomezenému počtu aktualizací ve smyslu vydání zcela nového odborného posouzení, jsou jak pověřené osoby, tak provozovat</w:t>
      </w:r>
      <w:r w:rsidR="00914B60">
        <w:t>elé povinnostmi souvisejícími s </w:t>
      </w:r>
      <w:r w:rsidRPr="00BA2FED">
        <w:t>registračními známkami</w:t>
      </w:r>
      <w:r w:rsidR="00BA7378">
        <w:t>,</w:t>
      </w:r>
      <w:r w:rsidRPr="00BA2FED">
        <w:t xml:space="preserve"> poměrně zatíženi</w:t>
      </w:r>
      <w:r w:rsidR="00843892" w:rsidRPr="00BA2FED">
        <w:t>.</w:t>
      </w:r>
    </w:p>
    <w:p w14:paraId="49AD9F68" w14:textId="485AD1A6" w:rsidR="00DA2B0F" w:rsidRPr="00BA2FED" w:rsidRDefault="00DA2B0F" w:rsidP="00DA2B0F">
      <w:r w:rsidRPr="00BA2FED">
        <w:t xml:space="preserve">Mezi povinně uváděné skutečnosti na registrační známce patří pouze identifikační číslo pověřené osoby, výrobní číslo zařízení nebo jeho části, nebo v případě, že </w:t>
      </w:r>
      <w:r w:rsidR="00827ECE">
        <w:t>RNG</w:t>
      </w:r>
      <w:r w:rsidRPr="00BA2FED">
        <w:t xml:space="preserve"> čísel nebo server nemá výrobní číslo, obdobné identifikační označení. Dále je zde uvedena doba platnosti o</w:t>
      </w:r>
      <w:r w:rsidR="00F131C1">
        <w:t>svědčení o</w:t>
      </w:r>
      <w:r w:rsidR="00CD3147">
        <w:t> </w:t>
      </w:r>
      <w:r w:rsidR="00F131C1">
        <w:t>provozuschopnosti. Z </w:t>
      </w:r>
      <w:r w:rsidR="00BA7378">
        <w:t>tohoto výčtu je zřejmé, že </w:t>
      </w:r>
      <w:r w:rsidRPr="00BA2FED">
        <w:t xml:space="preserve">registrační známka nemusí obsahovat informaci </w:t>
      </w:r>
      <w:r w:rsidR="00F131C1">
        <w:t>o </w:t>
      </w:r>
      <w:r w:rsidR="00B835ED" w:rsidRPr="00BA2FED">
        <w:t xml:space="preserve">jednotném identifikátoru </w:t>
      </w:r>
      <w:r w:rsidRPr="00BA2FED">
        <w:t>relevantního odbor</w:t>
      </w:r>
      <w:r w:rsidR="00F131C1">
        <w:t>ného posouzení, ani osvědčení o </w:t>
      </w:r>
      <w:r w:rsidRPr="00BA2FED">
        <w:t>provozuschopnosti.</w:t>
      </w:r>
    </w:p>
    <w:p w14:paraId="24C93638" w14:textId="7CD679C9" w:rsidR="00DA2B0F" w:rsidRPr="00BA2FED" w:rsidRDefault="00DA2B0F" w:rsidP="00DA2B0F">
      <w:r w:rsidRPr="00BA2FED">
        <w:t xml:space="preserve">Aby </w:t>
      </w:r>
      <w:r w:rsidR="001559D0" w:rsidRPr="00BA2FED">
        <w:t xml:space="preserve">byl </w:t>
      </w:r>
      <w:r w:rsidR="00033189" w:rsidRPr="00BA2FED">
        <w:t xml:space="preserve">odstraněn </w:t>
      </w:r>
      <w:r w:rsidRPr="00BA2FED">
        <w:t>nedostatek registračních známek ve smyslu nutnosti jejich opakovaného vydávání vždy, když dojde k zásahu do technických parametrů zařízení, je nutné dále propojit proces vydávání registračních známek s</w:t>
      </w:r>
      <w:r w:rsidR="00CD3147">
        <w:t> </w:t>
      </w:r>
      <w:r w:rsidRPr="00BA2FED">
        <w:t xml:space="preserve">konceptem doplňků odborného posouzení a osvědčení o provozuschopnosti. Zavedením konceptu doplňků by bylo zajištěno, aby registrační známky </w:t>
      </w:r>
      <w:r w:rsidR="00440458">
        <w:t>byly vydávány pouze v </w:t>
      </w:r>
      <w:r w:rsidRPr="00BA2FED">
        <w:t>okamžiku vydání základního odborného posouzen</w:t>
      </w:r>
      <w:r w:rsidR="00F131C1">
        <w:t>í, resp. základního osvědčení o </w:t>
      </w:r>
      <w:r w:rsidRPr="00BA2FED">
        <w:t>provozuschopnosti, přičemž na registrační známce (v</w:t>
      </w:r>
      <w:r w:rsidR="00CD3147">
        <w:t> </w:t>
      </w:r>
      <w:r w:rsidRPr="00BA2FED">
        <w:t>souladu s již dnes platnými podmínkami) by byla uváděna doba platnosti</w:t>
      </w:r>
      <w:r w:rsidR="00033189">
        <w:t>,</w:t>
      </w:r>
      <w:r w:rsidRPr="00BA2FED">
        <w:t xml:space="preserve"> a to totožná doba, jako je platnost základního odborného posouzení a základního osvědčení o provozuschopnosti. Zároveň by na registrační známce bylo uvedeno identifikační číslo základního odborného posouzení. Tato navrhovaná úpra</w:t>
      </w:r>
      <w:r w:rsidR="00F131C1">
        <w:t>va by se projevila v pověření k </w:t>
      </w:r>
      <w:r w:rsidRPr="00BA2FED">
        <w:t>odbornému posuzování a osvědčování, které povinnost v</w:t>
      </w:r>
      <w:r w:rsidR="001559D0" w:rsidRPr="00BA2FED">
        <w:t>ydat registrační známku stanoví, popř. samotné vyhlášce o náležitostech výstupních dokumentů.</w:t>
      </w:r>
    </w:p>
    <w:p w14:paraId="29EE46B3" w14:textId="31F23473" w:rsidR="001559D0" w:rsidRPr="00BA2FED" w:rsidRDefault="00DA2B0F" w:rsidP="00DA2B0F">
      <w:r w:rsidRPr="00BA2FED">
        <w:t xml:space="preserve">Pozitivní a negativní dopady této </w:t>
      </w:r>
      <w:r w:rsidR="00033189">
        <w:t>úpravy</w:t>
      </w:r>
      <w:r w:rsidR="00033189" w:rsidRPr="00BA2FED">
        <w:t xml:space="preserve"> </w:t>
      </w:r>
      <w:r w:rsidRPr="00BA2FED">
        <w:t>jsou v současnosti di</w:t>
      </w:r>
      <w:r w:rsidR="00440458">
        <w:t>skutovány v </w:t>
      </w:r>
      <w:r w:rsidRPr="00BA2FED">
        <w:t>souvislosti s přípravou novely vyhlášky o náležitostech výstupních dokumentů, nicméně se jedná o poměrně malý zásah do činnosti pověřených osob, u kterého nelze očekávat významné negativní dopady. Zcela zásadní je nastavení přiměřené lhůty pověřeným osobám k přizpůsobení se, a to i v souvislost</w:t>
      </w:r>
      <w:r w:rsidR="008A269D">
        <w:t>i s níže uvedenými požadavky na </w:t>
      </w:r>
      <w:r w:rsidRPr="00BA2FED">
        <w:t>úpravu ochranných prvků registrační známky. Naopak významné pozitivní dopady byly identifikovány na straně provozovatelů, kteří nadále nebudou nuceni obnovovat registrační známky při každém zásahu do zařízení, resp. vydá</w:t>
      </w:r>
      <w:r w:rsidR="001559D0" w:rsidRPr="00BA2FED">
        <w:t>ní doplňku odborného posouzení.</w:t>
      </w:r>
    </w:p>
    <w:p w14:paraId="09037A71" w14:textId="65B29F43" w:rsidR="00DA2B0F" w:rsidRPr="00BA2FED" w:rsidRDefault="00DA2B0F" w:rsidP="001559D0">
      <w:pPr>
        <w:pStyle w:val="Odstavecseseznamem"/>
        <w:numPr>
          <w:ilvl w:val="0"/>
          <w:numId w:val="25"/>
        </w:numPr>
        <w:rPr>
          <w:rFonts w:ascii="Arial" w:hAnsi="Arial" w:cs="Arial"/>
          <w:sz w:val="24"/>
          <w:szCs w:val="24"/>
        </w:rPr>
      </w:pPr>
      <w:r w:rsidRPr="00BA2FED">
        <w:rPr>
          <w:rFonts w:ascii="Arial" w:hAnsi="Arial" w:cs="Arial"/>
          <w:sz w:val="24"/>
          <w:szCs w:val="24"/>
        </w:rPr>
        <w:t>Ochranné prvky registrační známky</w:t>
      </w:r>
    </w:p>
    <w:p w14:paraId="657CFD37" w14:textId="77777777" w:rsidR="00DA2B0F" w:rsidRPr="00BA2FED" w:rsidRDefault="00DA2B0F" w:rsidP="00DA2B0F">
      <w:r w:rsidRPr="00BA2FED">
        <w:t xml:space="preserve">Současná podmínka uváděná v pověření k odbornému posuzování a osvědčování požaduje, aby registrační známka obsahovala alespoň čtyři ochranné prvky používané k zabezpečení cenin proti padělání a byla vyrobena takovým způsobem, aby byla při odlepení nenávratně poškozena. </w:t>
      </w:r>
    </w:p>
    <w:p w14:paraId="070B21B8" w14:textId="3E62F793" w:rsidR="00DA2B0F" w:rsidRPr="00BA2FED" w:rsidRDefault="001559D0" w:rsidP="00DA2B0F">
      <w:r w:rsidRPr="00BA2FED">
        <w:lastRenderedPageBreak/>
        <w:t>V</w:t>
      </w:r>
      <w:r w:rsidR="00DA2B0F" w:rsidRPr="00BA2FED">
        <w:t xml:space="preserve">izuální stránka registrační známky </w:t>
      </w:r>
      <w:r w:rsidRPr="00BA2FED">
        <w:t xml:space="preserve">se </w:t>
      </w:r>
      <w:r w:rsidR="00DA2B0F" w:rsidRPr="00BA2FED">
        <w:t xml:space="preserve">napříč pověřenými osobami odlišuje, zejména z důvodů zvolení odlišných ochranných prvků, přičemž přidaná hodnota v oblasti dozorové činnosti (tj. </w:t>
      </w:r>
      <w:r w:rsidRPr="00BA2FED">
        <w:t xml:space="preserve">relativně </w:t>
      </w:r>
      <w:r w:rsidR="00DA2B0F" w:rsidRPr="00BA2FED">
        <w:t xml:space="preserve">malá pravděpodobnost, že by se jednalo o padělanou registrační známku) je poměrně silně oslabena vysokým náklady na vydání registrační známky. </w:t>
      </w:r>
    </w:p>
    <w:p w14:paraId="4E80D1C2" w14:textId="2D2C608C" w:rsidR="00DA2B0F" w:rsidRPr="00BA2FED" w:rsidRDefault="00DA2B0F" w:rsidP="00DA2B0F">
      <w:r w:rsidRPr="00BA2FED">
        <w:t>Vzhledem ke skutečnosti, že Ministerstvo financí ne</w:t>
      </w:r>
      <w:r w:rsidR="00F131C1">
        <w:t>eviduje informace související s </w:t>
      </w:r>
      <w:r w:rsidRPr="00BA2FED">
        <w:t xml:space="preserve">možným porušováním zákona o hazardních hrách spočívajícím např. </w:t>
      </w:r>
      <w:r w:rsidR="00F131C1">
        <w:t>ve snaze o </w:t>
      </w:r>
      <w:r w:rsidRPr="00BA2FED">
        <w:t>padělání registračních známek, navrhuje se požadovat pouze dva ochranné prvky, a to hologram a fluorescentní barvy. Byly zvoleny takové prvky, které jsou již dnes napříč pověřeným osobami používané a zároveň jsou nejpraktičtější z pohledu dozor</w:t>
      </w:r>
      <w:r w:rsidR="008A269D">
        <w:t>ujících</w:t>
      </w:r>
      <w:r w:rsidRPr="00BA2FED">
        <w:t xml:space="preserve"> orgánů, neboť jsou nejjednodušeji ověřitelné. I nadále by zůstala zachována povinnost vyrobit registrační znám</w:t>
      </w:r>
      <w:r w:rsidR="00F131C1">
        <w:t>ku takovým způsobem, že dojde k </w:t>
      </w:r>
      <w:r w:rsidRPr="00BA2FED">
        <w:t>nevratnému poškození známky v případě, pokud by byla registrační známka ze zařízení odstraněna.</w:t>
      </w:r>
    </w:p>
    <w:p w14:paraId="40937989" w14:textId="2DF2691A" w:rsidR="00DA2B0F" w:rsidRPr="00BA2FED" w:rsidRDefault="00033189" w:rsidP="00DA2B0F">
      <w:r>
        <w:t>P</w:t>
      </w:r>
      <w:r w:rsidR="00DA2B0F" w:rsidRPr="00BA2FED">
        <w:t xml:space="preserve">ředpokládá </w:t>
      </w:r>
      <w:r>
        <w:t xml:space="preserve">se </w:t>
      </w:r>
      <w:r w:rsidR="00DA2B0F" w:rsidRPr="00BA2FED">
        <w:t>stanovení požadavků na r</w:t>
      </w:r>
      <w:r w:rsidR="00F131C1">
        <w:t>egistrační známku ve vyhlášce o </w:t>
      </w:r>
      <w:r w:rsidR="00DA2B0F" w:rsidRPr="00BA2FED">
        <w:t xml:space="preserve">náležitostech výstupních dokumentů. Tato právní úprava by obsahovala jak výčet obsahových náležitostí a náležitosti na </w:t>
      </w:r>
      <w:r w:rsidR="000F0855" w:rsidRPr="00BA2FED">
        <w:t>formu (tj. ochranné prvky), tak</w:t>
      </w:r>
      <w:r w:rsidR="00DA2B0F" w:rsidRPr="00BA2FED">
        <w:t xml:space="preserve"> vzor registrační známky, který zajistí sjednocení vizuální stránky registračních známek napříč všemi pověřenými osobami.  </w:t>
      </w:r>
    </w:p>
    <w:p w14:paraId="0D26D1C3" w14:textId="7D34335A" w:rsidR="000F0855" w:rsidRPr="00BA2FED" w:rsidRDefault="000F0855" w:rsidP="00DA2B0F">
      <w:r w:rsidRPr="00BA2FED">
        <w:t xml:space="preserve">Výhodou této </w:t>
      </w:r>
      <w:r w:rsidR="00033189">
        <w:t>úpravy</w:t>
      </w:r>
      <w:r w:rsidR="00033189" w:rsidRPr="00BA2FED">
        <w:t xml:space="preserve"> </w:t>
      </w:r>
      <w:r w:rsidRPr="00BA2FED">
        <w:t xml:space="preserve">je rovněž předvídatelnost pro </w:t>
      </w:r>
      <w:r w:rsidR="0003311F">
        <w:t>pověřené osoby v tom ohledu, že </w:t>
      </w:r>
      <w:r w:rsidRPr="00BA2FED">
        <w:t xml:space="preserve">je jim dopředu známo, jaké požadavky jsou </w:t>
      </w:r>
      <w:r w:rsidR="00F131C1">
        <w:t>na registrační známku kladeny a </w:t>
      </w:r>
      <w:r w:rsidRPr="00BA2FED">
        <w:t xml:space="preserve">nevystavují </w:t>
      </w:r>
      <w:r w:rsidR="00AD012A">
        <w:t>se</w:t>
      </w:r>
      <w:r w:rsidR="00AD012A" w:rsidRPr="00BA2FED">
        <w:t xml:space="preserve"> </w:t>
      </w:r>
      <w:r w:rsidRPr="00BA2FED">
        <w:t>nejistotě, že Ministerstvo financí bude zvolený ochranný prvek rozporovat. Zároveň by mělo být dosaženo snížení finančních nákladů, neboť bude výrazně snížen počet ochranných prvků registrač</w:t>
      </w:r>
      <w:r w:rsidR="00CC764E">
        <w:t xml:space="preserve">ních známek. Pominout nelze ani </w:t>
      </w:r>
      <w:r w:rsidRPr="00BA2FED">
        <w:t>pozitivum na straně dozorových orgánů, které jsou schopny pravost známek poměrně snadno ověřit.</w:t>
      </w:r>
    </w:p>
    <w:p w14:paraId="1EED7D7D" w14:textId="2E22D109" w:rsidR="001559D0" w:rsidRPr="00BA2FED" w:rsidRDefault="00033189" w:rsidP="001559D0">
      <w:r>
        <w:t>Nevýhodou je, že t</w:t>
      </w:r>
      <w:r w:rsidR="001559D0" w:rsidRPr="00BA2FED">
        <w:t xml:space="preserve">ato </w:t>
      </w:r>
      <w:r>
        <w:t>úprava</w:t>
      </w:r>
      <w:r w:rsidR="001559D0" w:rsidRPr="00BA2FED">
        <w:t xml:space="preserve"> odstraňuje možnost volby výběru libovolných ochranných prvků, nicméně případné zatížení těch pověřených osob, které využívají jiné než výše uvedené ochranné prvky, je do značné míry vyváženo snížením počtu požadovaných ochranných prvků.</w:t>
      </w:r>
    </w:p>
    <w:p w14:paraId="24EFE455" w14:textId="221751EB" w:rsidR="000F0855" w:rsidRPr="00BA2FED" w:rsidRDefault="000F0855" w:rsidP="001559D0">
      <w:r w:rsidRPr="00BA2FED">
        <w:t>Vzhledem ke skutečnosti, že v současnosti již probíhají práce na novelizaci vyhlášky o náležitostech výstupních dokumentů a byly zahájeny konzultace s pověřenými osobami, přičemž prozatím nebyly identifikovány další vhodné varianty, jedná se aktuálně o doporučovaný postup. Důraz však bude kladen na zajištění maximálního snížení nákladů na pověřené osoby, neboť ty mohou disponovat zásobou registračních známek, které neodpovídají navrhovaným požadavků. Zcela zásadní je tak nastavení přiměřené lhůty pověřeným osobám k přizpůsobení se.</w:t>
      </w:r>
    </w:p>
    <w:p w14:paraId="74C07CB8" w14:textId="7B2E217E" w:rsidR="0043215C" w:rsidRPr="00BA2FED" w:rsidRDefault="000106EE" w:rsidP="00B96FDD">
      <w:pPr>
        <w:pStyle w:val="Nadpis6"/>
      </w:pPr>
      <w:bookmarkStart w:id="23" w:name="_Toc73608114"/>
      <w:r w:rsidRPr="00BA2FED">
        <w:t>Úložiště</w:t>
      </w:r>
      <w:bookmarkEnd w:id="23"/>
    </w:p>
    <w:p w14:paraId="3029657E" w14:textId="59895A47" w:rsidR="00EE7E80" w:rsidRPr="00BA2FED" w:rsidRDefault="008219DC" w:rsidP="00DE0411">
      <w:r w:rsidRPr="00BA2FED">
        <w:t>Z hlediska obsahových náležitostí</w:t>
      </w:r>
      <w:r w:rsidR="00EE7E80" w:rsidRPr="00BA2FED">
        <w:t xml:space="preserve"> úložiště byla právní úprava vyhodnocena jako dostatečná. V případě vizuální stránky, resp. uživatelského komfortu při vyhledávání </w:t>
      </w:r>
      <w:r w:rsidR="00C90878" w:rsidRPr="00BA2FED">
        <w:t xml:space="preserve">informací </w:t>
      </w:r>
      <w:r w:rsidR="00EE7E80" w:rsidRPr="00BA2FED">
        <w:t>se kvalita úložiště napříč pověřenými osobami liší, nicméně tato oblast nebyla vyhodnocena jako relevantní problém, jedná se spíše o téma k diskuzi s pověřenými osobami.</w:t>
      </w:r>
    </w:p>
    <w:p w14:paraId="3F2754B6" w14:textId="5BC21B1A" w:rsidR="00EE7E80" w:rsidRPr="00BA2FED" w:rsidRDefault="00EE7E80" w:rsidP="00DE0411">
      <w:r w:rsidRPr="00BA2FED">
        <w:t xml:space="preserve">Nedostatek je však spatřován v nejednotné formě přístupu </w:t>
      </w:r>
      <w:r w:rsidR="0098781B" w:rsidRPr="00BA2FED">
        <w:t>M</w:t>
      </w:r>
      <w:r w:rsidRPr="00BA2FED">
        <w:t>inisterstva</w:t>
      </w:r>
      <w:r w:rsidR="0098781B" w:rsidRPr="00BA2FED">
        <w:t xml:space="preserve"> financí,</w:t>
      </w:r>
      <w:r w:rsidR="006B026D" w:rsidRPr="00BA2FED">
        <w:t xml:space="preserve"> obcí a </w:t>
      </w:r>
      <w:r w:rsidRPr="00BA2FED">
        <w:t>dozorových orgánů do tohoto úložiště a dále pak ve formě, ve které je dokument odborného posouzení uložen, neboť není vžd</w:t>
      </w:r>
      <w:r w:rsidR="0035401D">
        <w:t xml:space="preserve">y strojově čitelný. Vzhledem </w:t>
      </w:r>
      <w:r w:rsidR="0035401D">
        <w:lastRenderedPageBreak/>
        <w:t>ke </w:t>
      </w:r>
      <w:r w:rsidRPr="00BA2FED">
        <w:t>skutečnosti, že úložiště má sloužit zejména ke snížení administrativ</w:t>
      </w:r>
      <w:r w:rsidR="00C90878" w:rsidRPr="00BA2FED">
        <w:t>ních nákladů</w:t>
      </w:r>
      <w:r w:rsidRPr="00BA2FED">
        <w:t xml:space="preserve"> při výkonu dozoru nebo v rámci správního řízení o vydání základního povolení, </w:t>
      </w:r>
      <w:r w:rsidR="00C90878" w:rsidRPr="00BA2FED">
        <w:t>jsou tyto</w:t>
      </w:r>
      <w:r w:rsidRPr="00BA2FED">
        <w:t xml:space="preserve"> nedostatky zásadní.</w:t>
      </w:r>
    </w:p>
    <w:p w14:paraId="4799548F" w14:textId="5577350E" w:rsidR="0043215C" w:rsidRPr="00BA2FED" w:rsidRDefault="00EE7E80" w:rsidP="00B96FDD">
      <w:pPr>
        <w:pStyle w:val="Nadpis6"/>
        <w:numPr>
          <w:ilvl w:val="0"/>
          <w:numId w:val="26"/>
        </w:numPr>
      </w:pPr>
      <w:bookmarkStart w:id="24" w:name="_Toc73608115"/>
      <w:r w:rsidRPr="00BA2FED">
        <w:t>Přístup do úložiště</w:t>
      </w:r>
      <w:bookmarkEnd w:id="24"/>
    </w:p>
    <w:p w14:paraId="604DD3CE" w14:textId="487FED5E" w:rsidR="0043215C" w:rsidRPr="00BA2FED" w:rsidRDefault="00EE7E80" w:rsidP="00DE0411">
      <w:r w:rsidRPr="00BA2FED">
        <w:t xml:space="preserve">Přístup do úložiště je umožněn </w:t>
      </w:r>
      <w:r w:rsidR="00543B19">
        <w:t xml:space="preserve">různými způsoby, např. </w:t>
      </w:r>
      <w:r w:rsidRPr="00BA2FED">
        <w:t>prostřednictvím webového rozhraní na základě uživatelského jména a hesla</w:t>
      </w:r>
      <w:r w:rsidR="00543B19">
        <w:t xml:space="preserve"> nebo prostřednictvím speciálního klienta</w:t>
      </w:r>
      <w:r w:rsidRPr="00BA2FED">
        <w:t xml:space="preserve">. </w:t>
      </w:r>
      <w:r w:rsidR="00543B19">
        <w:t xml:space="preserve">V případě přidělování přístupových údajů dochází k nejednotnému přístupu, </w:t>
      </w:r>
      <w:r w:rsidR="0035401D">
        <w:t>ve </w:t>
      </w:r>
      <w:r w:rsidRPr="00BA2FED">
        <w:t xml:space="preserve">většině případů </w:t>
      </w:r>
      <w:r w:rsidR="00543B19">
        <w:t xml:space="preserve">musí být nahlášeni </w:t>
      </w:r>
      <w:r w:rsidRPr="00BA2FED">
        <w:t xml:space="preserve">konkrétní zaměstnanci relevantního orgánu </w:t>
      </w:r>
      <w:r w:rsidR="00B30FCF" w:rsidRPr="00BA2FED">
        <w:t>(např. konkrétnímu zaměstnanci M</w:t>
      </w:r>
      <w:r w:rsidRPr="00BA2FED">
        <w:t>inisterstva</w:t>
      </w:r>
      <w:r w:rsidR="00B30FCF" w:rsidRPr="00BA2FED">
        <w:t xml:space="preserve"> financí</w:t>
      </w:r>
      <w:r w:rsidRPr="00BA2FED">
        <w:t xml:space="preserve"> nebo celního úřadu). Toto má však negativní důsledky v tom smyslu, že přístup do úložiště nemá orgán jako celek, ale pouze </w:t>
      </w:r>
      <w:r w:rsidR="00543B19">
        <w:t>vybraní</w:t>
      </w:r>
      <w:r w:rsidR="00543B19" w:rsidRPr="00BA2FED">
        <w:t xml:space="preserve"> </w:t>
      </w:r>
      <w:r w:rsidRPr="00BA2FED">
        <w:t>konkrétní zaměstnanc</w:t>
      </w:r>
      <w:r w:rsidR="00543B19">
        <w:t>i</w:t>
      </w:r>
      <w:r w:rsidRPr="00BA2FED">
        <w:t>, což může způsob</w:t>
      </w:r>
      <w:r w:rsidR="0035401D">
        <w:t>ovat jak prodlevy například při </w:t>
      </w:r>
      <w:r w:rsidRPr="00BA2FED">
        <w:t>vedení správního řízení o vydání základního povolení, tak i závažnější dopady v oblasti výkonu dozoru.</w:t>
      </w:r>
      <w:r w:rsidR="00227917">
        <w:t xml:space="preserve"> Zároveň některé způsoby přístupu nemusí být z pohled</w:t>
      </w:r>
      <w:r w:rsidR="00CC764E">
        <w:t>u</w:t>
      </w:r>
      <w:r w:rsidR="00227917">
        <w:t xml:space="preserve"> kybernetické bezpečnostní politiky správního orgánu považovány za vyhovující.</w:t>
      </w:r>
    </w:p>
    <w:p w14:paraId="24C36838" w14:textId="00D19A8B" w:rsidR="0043215C" w:rsidRPr="00BA2FED" w:rsidRDefault="0043215C" w:rsidP="002521DE">
      <w:pPr>
        <w:pStyle w:val="Nadpis7"/>
      </w:pPr>
      <w:r w:rsidRPr="00BA2FED">
        <w:t>Varianta I.</w:t>
      </w:r>
      <w:r w:rsidR="002521DE">
        <w:t xml:space="preserve"> – Jednotný způsob poskytnutí přístupu</w:t>
      </w:r>
    </w:p>
    <w:p w14:paraId="1F3499A5" w14:textId="1FF9958F" w:rsidR="00EC255E" w:rsidRPr="00BA2FED" w:rsidRDefault="00EC255E" w:rsidP="00DE0411">
      <w:r w:rsidRPr="00BA2FED">
        <w:t xml:space="preserve">Vzhledem k aktuálním nedostatkům uvedeným výše se navrhuje, aby byl přístup </w:t>
      </w:r>
      <w:r w:rsidR="00B30FCF" w:rsidRPr="00BA2FED">
        <w:t>M</w:t>
      </w:r>
      <w:r w:rsidRPr="00BA2FED">
        <w:t>inisterstvu</w:t>
      </w:r>
      <w:r w:rsidR="00B30FCF" w:rsidRPr="00BA2FED">
        <w:t xml:space="preserve"> financí</w:t>
      </w:r>
      <w:r w:rsidRPr="00BA2FED">
        <w:t>, obcím a dozorovým orgánům poskytován jednotně. Přístup k úložišti by byl i nadále umožněn přes webové</w:t>
      </w:r>
      <w:r w:rsidR="00CC764E">
        <w:t xml:space="preserve"> rozhraní pověřené osoby, které </w:t>
      </w:r>
      <w:r w:rsidRPr="00BA2FED">
        <w:t>vyžaduje zadání přístupových údajů (uživatelské</w:t>
      </w:r>
      <w:r w:rsidR="00440458">
        <w:t>ho jména a hesla). Toto jméno a </w:t>
      </w:r>
      <w:r w:rsidRPr="00BA2FED">
        <w:t xml:space="preserve">heslo by však mělo být přiděleno konkrétnímu orgánu (tj. </w:t>
      </w:r>
      <w:r w:rsidR="00B30FCF" w:rsidRPr="00BA2FED">
        <w:t>M</w:t>
      </w:r>
      <w:r w:rsidRPr="00BA2FED">
        <w:t>inisterstvu</w:t>
      </w:r>
      <w:r w:rsidR="00B30FCF" w:rsidRPr="00BA2FED">
        <w:t xml:space="preserve"> financí</w:t>
      </w:r>
      <w:r w:rsidRPr="00BA2FED">
        <w:t>, konkrétní obci, konkrétnímu celnímu úřadu), a to ob</w:t>
      </w:r>
      <w:r w:rsidR="00CC764E">
        <w:t xml:space="preserve">ratem na základě žádosti, která </w:t>
      </w:r>
      <w:r w:rsidRPr="00BA2FED">
        <w:t xml:space="preserve">by byla zaslána ze strany </w:t>
      </w:r>
      <w:r w:rsidR="00B30FCF" w:rsidRPr="00BA2FED">
        <w:t>Ministerstva financí</w:t>
      </w:r>
      <w:r w:rsidR="00C90878" w:rsidRPr="00BA2FED">
        <w:t xml:space="preserve"> (to by žádost zasílalo na základě poptávky ze strany obcí nebo Celní správy)</w:t>
      </w:r>
      <w:r w:rsidR="00B30FCF" w:rsidRPr="00BA2FED">
        <w:t>.</w:t>
      </w:r>
      <w:r w:rsidRPr="00BA2FED">
        <w:t xml:space="preserve"> Tímto</w:t>
      </w:r>
      <w:r w:rsidR="00FE6779">
        <w:t xml:space="preserve"> způsobem by bylo zajištěno, že </w:t>
      </w:r>
      <w:r w:rsidRPr="00BA2FED">
        <w:t>žádosti jsou oprávněné. Navrhované řešení by spočívalo ve změně po</w:t>
      </w:r>
      <w:r w:rsidR="00F131C1">
        <w:t>věření k odbornému posuzování a </w:t>
      </w:r>
      <w:r w:rsidRPr="00BA2FED">
        <w:t>osvědčování, kde by byl stanoven výše popsaný proces vydávání přístupových údajů.</w:t>
      </w:r>
    </w:p>
    <w:p w14:paraId="4F4B8C3E" w14:textId="77777777" w:rsidR="0043215C" w:rsidRPr="00BA2FED" w:rsidRDefault="0043215C" w:rsidP="00DE0411">
      <w:r w:rsidRPr="00BA2FED">
        <w:t>Výhody:</w:t>
      </w:r>
    </w:p>
    <w:p w14:paraId="204FF92C" w14:textId="1206AE43" w:rsidR="0043215C" w:rsidRPr="00BA2FED" w:rsidRDefault="00EC255E" w:rsidP="00DE0411">
      <w:r w:rsidRPr="00BA2FED">
        <w:t>Jednoznačné pozitivum spočívá v zpřehlednění vyd</w:t>
      </w:r>
      <w:r w:rsidR="00FE6779">
        <w:t>ávání přístupových údajů, které</w:t>
      </w:r>
      <w:r w:rsidR="00CC764E">
        <w:t xml:space="preserve"> </w:t>
      </w:r>
      <w:r w:rsidRPr="00BA2FED">
        <w:t xml:space="preserve">se v současné době velmi liší a dále pak v zajištění, že přístup do úložiště bude mít daný orgán kdykoli k dispozici. </w:t>
      </w:r>
    </w:p>
    <w:p w14:paraId="3716CDE0" w14:textId="77777777" w:rsidR="0043215C" w:rsidRPr="00BA2FED" w:rsidRDefault="0043215C" w:rsidP="00DE0411">
      <w:r w:rsidRPr="00BA2FED">
        <w:t>Nevýhody:</w:t>
      </w:r>
    </w:p>
    <w:p w14:paraId="00E4C965" w14:textId="45046904" w:rsidR="0043215C" w:rsidRPr="00BA2FED" w:rsidRDefault="00EC255E" w:rsidP="00DE0411">
      <w:r w:rsidRPr="00BA2FED">
        <w:t xml:space="preserve">Negativním dopadem, který byl v minulosti zmiňován některými pověřenými osobami, by mohla být snížená ochrana dat dostupných v úložišti, která pověřené osoby považují za důvěrná. Tento nedostatek však není považován za zásadní, neboť </w:t>
      </w:r>
      <w:r w:rsidR="00C81363" w:rsidRPr="00BA2FED">
        <w:t>se předpokládá, že správní orgány postupují podle zákona a riziko</w:t>
      </w:r>
      <w:r w:rsidRPr="00BA2FED">
        <w:t xml:space="preserve">, že by některý z orgánů, nebo jejich zaměstnanců porušoval zásady výkonu státní správy, </w:t>
      </w:r>
      <w:r w:rsidR="00C81363" w:rsidRPr="00BA2FED">
        <w:t>je minimální a zároveň je přítomné i</w:t>
      </w:r>
      <w:r w:rsidRPr="00BA2FED">
        <w:t xml:space="preserve"> v současnosti.</w:t>
      </w:r>
    </w:p>
    <w:p w14:paraId="58A28DA1" w14:textId="5BCE71F8" w:rsidR="00EC255E" w:rsidRPr="00BA2FED" w:rsidRDefault="00EC255E" w:rsidP="002521DE">
      <w:pPr>
        <w:pStyle w:val="Nadpis7"/>
      </w:pPr>
      <w:r w:rsidRPr="00BA2FED">
        <w:t>Varianta II.</w:t>
      </w:r>
      <w:r w:rsidR="002521DE">
        <w:t xml:space="preserve"> – Zachování současného stavu</w:t>
      </w:r>
    </w:p>
    <w:p w14:paraId="0D9239D1" w14:textId="5658B534" w:rsidR="00EC255E" w:rsidRDefault="00EC255E" w:rsidP="00DE0411">
      <w:pPr>
        <w:rPr>
          <w:u w:val="single"/>
        </w:rPr>
      </w:pPr>
      <w:r w:rsidRPr="00BA2FED">
        <w:t xml:space="preserve">Další možnou variantou je zachování aktuálního stavu, tedy situace, kdy je volbou pověřené osoby, </w:t>
      </w:r>
      <w:r w:rsidR="00227917">
        <w:t>jakým způsobem zřídí požadovaný přístup do uložiště</w:t>
      </w:r>
      <w:r w:rsidRPr="00BA2FED">
        <w:t>. Ačkoli toto zcela nezabraňuje funkčnosti úložiště, z pohledu orgánů, které data využívají, se jedná o neefektivní způsob přístupu k informacím, kter</w:t>
      </w:r>
      <w:r w:rsidR="00227917">
        <w:t>ý</w:t>
      </w:r>
      <w:r w:rsidRPr="00BA2FED">
        <w:t xml:space="preserve"> způsobuje časové i finanční náklady.</w:t>
      </w:r>
      <w:r w:rsidRPr="00BA2FED">
        <w:rPr>
          <w:u w:val="single"/>
        </w:rPr>
        <w:t xml:space="preserve"> </w:t>
      </w:r>
    </w:p>
    <w:p w14:paraId="269BCF5F" w14:textId="272663D4" w:rsidR="00150035" w:rsidRPr="00BA2FED" w:rsidRDefault="00150035" w:rsidP="002521DE">
      <w:pPr>
        <w:pStyle w:val="Nadpis7"/>
      </w:pPr>
      <w:r w:rsidRPr="00BA2FED">
        <w:lastRenderedPageBreak/>
        <w:t>Varianta II</w:t>
      </w:r>
      <w:r>
        <w:t>I</w:t>
      </w:r>
      <w:r w:rsidRPr="00BA2FED">
        <w:t>.</w:t>
      </w:r>
      <w:r w:rsidR="00477CA6">
        <w:t xml:space="preserve"> – Zřízení centrálního úložiště</w:t>
      </w:r>
    </w:p>
    <w:p w14:paraId="426F2875" w14:textId="57BA5FB5" w:rsidR="00150035" w:rsidRDefault="00150035" w:rsidP="00150035">
      <w:pPr>
        <w:rPr>
          <w:u w:val="single"/>
        </w:rPr>
      </w:pPr>
      <w:r>
        <w:t>V neposlední řadě je nutné zmínit i variantu</w:t>
      </w:r>
      <w:r w:rsidRPr="00BA2FED">
        <w:t>,</w:t>
      </w:r>
      <w:r>
        <w:t xml:space="preserve"> kdy by bylo zřízeno centrální úložiště spravované </w:t>
      </w:r>
      <w:r w:rsidR="00FB17DF">
        <w:t>M</w:t>
      </w:r>
      <w:r>
        <w:t>inisterstvem financí, do kterého by přistupovaly jednotlivé pověřené osoby a ukládaly a aktualizovaly by zde příslušné dokumenty. Samozřejmě by měly přístup pouze k těm, které by sam</w:t>
      </w:r>
      <w:r w:rsidR="00FE6779">
        <w:t>y</w:t>
      </w:r>
      <w:r>
        <w:t xml:space="preserve"> vydaly. </w:t>
      </w:r>
      <w:r w:rsidRPr="00BA2FED">
        <w:rPr>
          <w:u w:val="single"/>
        </w:rPr>
        <w:t xml:space="preserve"> </w:t>
      </w:r>
    </w:p>
    <w:p w14:paraId="6610DDD0" w14:textId="74B94D26" w:rsidR="00C5240F" w:rsidRPr="002521DE" w:rsidRDefault="00C5240F" w:rsidP="00150035">
      <w:r w:rsidRPr="002521DE">
        <w:t>Výhody:</w:t>
      </w:r>
    </w:p>
    <w:p w14:paraId="03D19CED" w14:textId="6BA041FA" w:rsidR="00C5240F" w:rsidRPr="00EF64DB" w:rsidRDefault="00C5240F" w:rsidP="00150035">
      <w:r w:rsidRPr="00EF64DB">
        <w:t>Výhodou varianty by byla efektivnější spravovatelnost dokumentů a tedy i možný pozitivní vliv na vedení správního řízení.</w:t>
      </w:r>
    </w:p>
    <w:p w14:paraId="7E100C00" w14:textId="4BBBEDA1" w:rsidR="00C5240F" w:rsidRPr="002521DE" w:rsidRDefault="00C5240F" w:rsidP="00150035">
      <w:r w:rsidRPr="002521DE">
        <w:t>Nevýhody:</w:t>
      </w:r>
    </w:p>
    <w:p w14:paraId="0A3ECF1A" w14:textId="23F6842A" w:rsidR="00150035" w:rsidRPr="00BA2FED" w:rsidRDefault="00C5240F" w:rsidP="00DE0411">
      <w:pPr>
        <w:rPr>
          <w:u w:val="single"/>
        </w:rPr>
      </w:pPr>
      <w:r w:rsidRPr="00EF64DB">
        <w:t>Nevýhodou navrhovaného řešení by bezesporu byly zvýšené náklady na technické provedení centrálního úložiště, a to jak na straně pověřených osob, tak i Ministerstva financí.</w:t>
      </w:r>
    </w:p>
    <w:p w14:paraId="76750EEE" w14:textId="77777777" w:rsidR="00EC255E" w:rsidRPr="002521DE" w:rsidRDefault="00EC255E" w:rsidP="002521DE">
      <w:pPr>
        <w:pStyle w:val="Nadpis7"/>
      </w:pPr>
      <w:r w:rsidRPr="002521DE">
        <w:t>Hodnocení variant</w:t>
      </w:r>
    </w:p>
    <w:p w14:paraId="2D0D68AA" w14:textId="4338F7D4" w:rsidR="00EC255E" w:rsidRPr="00BA2FED" w:rsidRDefault="00150035" w:rsidP="00EC255E">
      <w:r>
        <w:t>Vhodné se jeví</w:t>
      </w:r>
      <w:r w:rsidR="00EC255E" w:rsidRPr="00BA2FED">
        <w:t xml:space="preserve"> variant</w:t>
      </w:r>
      <w:r w:rsidR="00FE6779">
        <w:t>a</w:t>
      </w:r>
      <w:r w:rsidR="00EC255E" w:rsidRPr="00BA2FED">
        <w:t xml:space="preserve"> I.</w:t>
      </w:r>
      <w:r w:rsidR="00FE6779">
        <w:t xml:space="preserve"> </w:t>
      </w:r>
      <w:r>
        <w:t>nebo III.</w:t>
      </w:r>
      <w:r w:rsidR="00EC255E" w:rsidRPr="00BA2FED">
        <w:t xml:space="preserve"> </w:t>
      </w:r>
      <w:r w:rsidR="00C81363" w:rsidRPr="00BA2FED">
        <w:t xml:space="preserve">Zároveň je však již nyní tento způsob přidělování přístupových údajů u některých pověřených osob uplatněn. </w:t>
      </w:r>
      <w:r w:rsidR="00EC255E" w:rsidRPr="00BA2FED">
        <w:t>V této oblasti je nicméně nutná další součinnost pověřených osob</w:t>
      </w:r>
      <w:r>
        <w:t xml:space="preserve"> a</w:t>
      </w:r>
      <w:r w:rsidR="00FB17DF">
        <w:t> </w:t>
      </w:r>
      <w:r>
        <w:t>podrobnější analýza</w:t>
      </w:r>
      <w:r w:rsidR="00227917">
        <w:t xml:space="preserve"> i ve vztahu k nastaveným požadavkům kladeným na samotné uložiště včetně přístupu do něj</w:t>
      </w:r>
      <w:r w:rsidR="00C5240F">
        <w:t>. Zároveň je nutné zvážit i časovou náročnost provedení varianty III.</w:t>
      </w:r>
    </w:p>
    <w:p w14:paraId="3493099A" w14:textId="1C5954AD" w:rsidR="00EC255E" w:rsidRPr="00BA2FED" w:rsidRDefault="00EC255E" w:rsidP="00B96FDD">
      <w:pPr>
        <w:pStyle w:val="Nadpis6"/>
        <w:numPr>
          <w:ilvl w:val="0"/>
          <w:numId w:val="26"/>
        </w:numPr>
      </w:pPr>
      <w:bookmarkStart w:id="25" w:name="_Toc73608116"/>
      <w:r w:rsidRPr="00BA2FED">
        <w:t>Forma dokumentů v úložišti</w:t>
      </w:r>
      <w:bookmarkEnd w:id="25"/>
    </w:p>
    <w:p w14:paraId="07E41C4F" w14:textId="169B0FEE" w:rsidR="00EC255E" w:rsidRPr="00BA2FED" w:rsidRDefault="00EC255E" w:rsidP="00DE0411">
      <w:r w:rsidRPr="00BA2FED">
        <w:t xml:space="preserve">V současné době </w:t>
      </w:r>
      <w:r w:rsidR="00FE6779" w:rsidRPr="00BA2FED">
        <w:t xml:space="preserve">narušuje </w:t>
      </w:r>
      <w:r w:rsidRPr="00BA2FED">
        <w:t>efektivi</w:t>
      </w:r>
      <w:r w:rsidR="00FE6779">
        <w:t xml:space="preserve">tu práce s odborným posouzením dostupným v úložišti </w:t>
      </w:r>
      <w:r w:rsidRPr="00BA2FED">
        <w:t>skutečnost, že dokument často není ukládán</w:t>
      </w:r>
      <w:r w:rsidR="00CC764E">
        <w:t xml:space="preserve"> ve strojově čitelné formě, ale </w:t>
      </w:r>
      <w:r w:rsidRPr="00BA2FED">
        <w:t>formou prostého skenu, který není vždy kvalitní. Není tak možné vyhledávání klíčového slova ani srovnání obsahu dokumentů.</w:t>
      </w:r>
      <w:r w:rsidR="00FE6779">
        <w:t xml:space="preserve"> </w:t>
      </w:r>
    </w:p>
    <w:p w14:paraId="3ED8FC53" w14:textId="03B83326" w:rsidR="00EC255E" w:rsidRPr="00BA2FED" w:rsidRDefault="00EC255E" w:rsidP="00DE0411">
      <w:r w:rsidRPr="00BA2FED">
        <w:t>Návrh řešení spočívá v povinnosti ukládat do úložiště dokument ve strojově čitelné verzi. V tomto smyslu by tak bylo nutné provést novelizaci vyhlášky o náležitostech výstupních dokumentů. Smyslem návrhu je zefektiv</w:t>
      </w:r>
      <w:r w:rsidR="00FE6779">
        <w:t>nit práci s dokumentem (zejména </w:t>
      </w:r>
      <w:r w:rsidRPr="00BA2FED">
        <w:t>umožnit vyhledávání v dokumentu podle klíčového slova</w:t>
      </w:r>
      <w:r w:rsidR="00B30FCF" w:rsidRPr="00BA2FED">
        <w:t xml:space="preserve"> a </w:t>
      </w:r>
      <w:r w:rsidRPr="00BA2FED">
        <w:t>porovnání obsahu dokumentů)</w:t>
      </w:r>
      <w:r w:rsidR="00B30FCF" w:rsidRPr="00BA2FED">
        <w:t>,</w:t>
      </w:r>
      <w:r w:rsidRPr="00BA2FED">
        <w:t xml:space="preserve"> a tak se i přiblížit obecné snaze o postupnou digitalizaci dokumentů. </w:t>
      </w:r>
    </w:p>
    <w:p w14:paraId="2554BF84" w14:textId="4C8EEC94" w:rsidR="00EC255E" w:rsidRPr="00BA2FED" w:rsidRDefault="00B7451F" w:rsidP="00DE0411">
      <w:r>
        <w:t>Způsob</w:t>
      </w:r>
      <w:r w:rsidR="00EC255E" w:rsidRPr="00BA2FED">
        <w:t>, kter</w:t>
      </w:r>
      <w:r>
        <w:t>ý</w:t>
      </w:r>
      <w:r w:rsidR="00EC255E" w:rsidRPr="00BA2FED">
        <w:t xml:space="preserve"> by byl ze strany </w:t>
      </w:r>
      <w:r w:rsidR="00B30FCF" w:rsidRPr="00BA2FED">
        <w:t>M</w:t>
      </w:r>
      <w:r w:rsidR="00EC255E" w:rsidRPr="00BA2FED">
        <w:t>inisterstva</w:t>
      </w:r>
      <w:r w:rsidR="00B30FCF" w:rsidRPr="00BA2FED">
        <w:t xml:space="preserve"> financí</w:t>
      </w:r>
      <w:r w:rsidR="00EC255E" w:rsidRPr="00BA2FED">
        <w:t xml:space="preserve"> preferován, by bylo vyžadovat, aby dokumenty vkládané do úložiště byly pouze dokumenty elektronicky podepsané, neboť jde o uživat</w:t>
      </w:r>
      <w:r w:rsidR="00B30FCF" w:rsidRPr="00BA2FED">
        <w:t>elsky nejpřívětivější formát a</w:t>
      </w:r>
      <w:r w:rsidR="00AB31FC">
        <w:t> </w:t>
      </w:r>
      <w:r w:rsidR="00B30FCF" w:rsidRPr="00BA2FED">
        <w:t>M</w:t>
      </w:r>
      <w:r w:rsidR="00EC255E" w:rsidRPr="00BA2FED">
        <w:t xml:space="preserve">inisterstvo </w:t>
      </w:r>
      <w:r w:rsidR="00B30FCF" w:rsidRPr="00BA2FED">
        <w:t xml:space="preserve">financí </w:t>
      </w:r>
      <w:r w:rsidR="00FE6779">
        <w:t>je toho názoru, že </w:t>
      </w:r>
      <w:r w:rsidR="00EC255E" w:rsidRPr="00BA2FED">
        <w:t>pověřené osoby jako podnikatelské subjekty by měly disponovat elektronickými podpisy, a to jak subjekty se sídlem na území Česk</w:t>
      </w:r>
      <w:r w:rsidR="00FE6779">
        <w:t>é republiky, tak i se sídlem na </w:t>
      </w:r>
      <w:r w:rsidR="00EC255E" w:rsidRPr="00BA2FED">
        <w:t xml:space="preserve">území Evropské unie. </w:t>
      </w:r>
      <w:r w:rsidR="001559EC">
        <w:t>Uvedené by znamenalo, že by do uložiště byly vkládány nikoliv kopie dokumentů, ale jejich originály.</w:t>
      </w:r>
    </w:p>
    <w:p w14:paraId="682010C5" w14:textId="560AE7F9" w:rsidR="00DA2B0F" w:rsidRPr="00BA2FED" w:rsidRDefault="00EC255E" w:rsidP="00DE0411">
      <w:r w:rsidRPr="00BA2FED">
        <w:t xml:space="preserve">Vzhledem ke skutečnosti, že v současnosti již probíhají práce na novelizaci vyhlášky </w:t>
      </w:r>
      <w:r w:rsidR="002E5D3F" w:rsidRPr="00BA2FED">
        <w:t xml:space="preserve">o náležitostech výstupních dokumentů </w:t>
      </w:r>
      <w:r w:rsidRPr="00BA2FED">
        <w:t>a byly zahájeny konzultace s pověřenými osobami, přičemž prozatím nebyly identifikovány další vhodné varianty, jedná se aktuálně o doporučovaný postup.</w:t>
      </w:r>
    </w:p>
    <w:p w14:paraId="30D64459" w14:textId="55597A5D" w:rsidR="00DA2B0F" w:rsidRPr="00BA2FED" w:rsidRDefault="00DA2B0F" w:rsidP="00B96FDD">
      <w:pPr>
        <w:pStyle w:val="Nadpis6"/>
      </w:pPr>
      <w:bookmarkStart w:id="26" w:name="_Toc73608117"/>
      <w:r w:rsidRPr="00BA2FED">
        <w:lastRenderedPageBreak/>
        <w:t>Technická vyhláška</w:t>
      </w:r>
      <w:bookmarkEnd w:id="26"/>
    </w:p>
    <w:p w14:paraId="2708EA2B" w14:textId="35BA9F4A" w:rsidR="00DA2B0F" w:rsidRPr="00BA2FED" w:rsidRDefault="00FE6779" w:rsidP="00DA2B0F">
      <w:r>
        <w:t>A</w:t>
      </w:r>
      <w:r w:rsidR="00DA2B0F" w:rsidRPr="00BA2FED">
        <w:t>by</w:t>
      </w:r>
      <w:r w:rsidR="00F131C1">
        <w:t xml:space="preserve"> bylo možné odborné posouzení a </w:t>
      </w:r>
      <w:r w:rsidR="00DA2B0F" w:rsidRPr="00BA2FED">
        <w:t>následně osvědčení o provozuschopnosti vydat, je</w:t>
      </w:r>
      <w:r>
        <w:t xml:space="preserve"> dle § 109 odst. 1 a § 110 odst. 1 zákona o hazardních hrách</w:t>
      </w:r>
      <w:r w:rsidR="00DA2B0F" w:rsidRPr="00BA2FED">
        <w:t xml:space="preserve"> nutné, aby</w:t>
      </w:r>
      <w:r w:rsidR="001567AB">
        <w:t> </w:t>
      </w:r>
      <w:r w:rsidR="00DA2B0F" w:rsidRPr="00BA2FED">
        <w:t>pověřená osoba ověřila hazardní hru, nebo zařízení, prostřednictvím kterého jsou tyto hazardní hry provozovány. Pověřené osoby jsou povinny ověřit, zda jsou splněny veškeré technické parametry, které jsou obsaženy jak v zákoně o</w:t>
      </w:r>
      <w:r w:rsidR="001567AB">
        <w:t> </w:t>
      </w:r>
      <w:r w:rsidR="00DA2B0F" w:rsidRPr="00BA2FED">
        <w:t xml:space="preserve">hazardních hrách, tak </w:t>
      </w:r>
      <w:r w:rsidR="00D2219A" w:rsidRPr="00BA2FED">
        <w:t>prováděcích vyhláškách.</w:t>
      </w:r>
    </w:p>
    <w:p w14:paraId="1C0C3350" w14:textId="5EC8AC7B" w:rsidR="00DA2B0F" w:rsidRPr="00BA2FED" w:rsidRDefault="00DA2B0F" w:rsidP="00DA2B0F">
      <w:r w:rsidRPr="00BA2FED">
        <w:t xml:space="preserve">Tyto </w:t>
      </w:r>
      <w:r w:rsidR="00D2219A" w:rsidRPr="00BA2FED">
        <w:t xml:space="preserve">technické </w:t>
      </w:r>
      <w:r w:rsidRPr="00BA2FED">
        <w:t>parametry nejsou v právní úpravě výslovně označeny jako technické parametry a je na pověřených osobách, aby podle o</w:t>
      </w:r>
      <w:r w:rsidR="001567AB">
        <w:t>bsahu ustanovení posoudily, zda </w:t>
      </w:r>
      <w:r w:rsidRPr="00BA2FED">
        <w:t xml:space="preserve">jim přísluší tato ustanovení posuzovat, nebo </w:t>
      </w:r>
      <w:r w:rsidR="001567AB">
        <w:t>zda se jedná o právní otázku, k </w:t>
      </w:r>
      <w:r w:rsidRPr="00BA2FED">
        <w:t>jejímuž výkladu je příslušné Ministerstvo financí. Dle analýzy odborných posouzení všech pověřených osob je zřejmé, že nejen m</w:t>
      </w:r>
      <w:r w:rsidR="001567AB">
        <w:t>etody testování, ale i názor na </w:t>
      </w:r>
      <w:r w:rsidRPr="00BA2FED">
        <w:t>konkrétní ustanoven</w:t>
      </w:r>
      <w:r w:rsidR="00D2219A" w:rsidRPr="00BA2FED">
        <w:t>í zákona o hazardních hrách a prováděcích vyhlášek</w:t>
      </w:r>
      <w:r w:rsidRPr="00BA2FED">
        <w:t xml:space="preserve"> z</w:t>
      </w:r>
      <w:r w:rsidR="001567AB">
        <w:t> </w:t>
      </w:r>
      <w:r w:rsidRPr="00BA2FED">
        <w:t xml:space="preserve">pohledu </w:t>
      </w:r>
      <w:r w:rsidR="001567AB">
        <w:t>se liší. Není tak výjimkou, že </w:t>
      </w:r>
      <w:r w:rsidRPr="00BA2FED">
        <w:t xml:space="preserve">Ministerstvo financí pověřené osoby upozorňuje </w:t>
      </w:r>
      <w:r w:rsidR="001567AB">
        <w:t>na nutnost posoudit některý z </w:t>
      </w:r>
      <w:r w:rsidRPr="00BA2FED">
        <w:t xml:space="preserve">technických parametrů, nebo naopak upozorňuje, že hodnocení některého právního ustanovení pověřené osobě nepřísluší, případně k takovému hodnocení vůbec nepřihlíží. </w:t>
      </w:r>
    </w:p>
    <w:p w14:paraId="47402796" w14:textId="34C896A4" w:rsidR="00DA2B0F" w:rsidRPr="00BA2FED" w:rsidRDefault="00D2219A" w:rsidP="00BA2FED">
      <w:r w:rsidRPr="00BA2FED">
        <w:t>Vý</w:t>
      </w:r>
      <w:r w:rsidR="00DA2B0F" w:rsidRPr="00BA2FED">
        <w:t xml:space="preserve">še uvedené nejasnosti posouzení, zda se jedná či nejedná o technický parametr napříč pověřenými osobami, ilustruje obtížnost vytvoření </w:t>
      </w:r>
      <w:r w:rsidRPr="00BA2FED">
        <w:t xml:space="preserve">případného seznamu ustanovení, které je nutné považovat za technické parametry. Je tomu tak mimo jiné i </w:t>
      </w:r>
      <w:r w:rsidR="00F131C1">
        <w:t> </w:t>
      </w:r>
      <w:r w:rsidRPr="00BA2FED">
        <w:t>z toho důvodu, že některá ustanovení mohou te</w:t>
      </w:r>
      <w:r w:rsidR="001567AB">
        <w:t>chnický parametr stanovit až ve </w:t>
      </w:r>
      <w:r w:rsidRPr="00BA2FED">
        <w:t xml:space="preserve">svém souhrnu. V rámci další analýzy </w:t>
      </w:r>
      <w:r w:rsidR="001567AB">
        <w:t xml:space="preserve">bude zvažována </w:t>
      </w:r>
      <w:r w:rsidRPr="00BA2FED">
        <w:t>možnost vytvořit případný seznam technických parametrů</w:t>
      </w:r>
      <w:r w:rsidR="001567AB">
        <w:t>.</w:t>
      </w:r>
      <w:r w:rsidRPr="00BA2FED">
        <w:t xml:space="preserve"> </w:t>
      </w:r>
    </w:p>
    <w:p w14:paraId="782A2B9F" w14:textId="603C8F0B" w:rsidR="00DA2B0F" w:rsidRDefault="00DA2B0F" w:rsidP="00DA2B0F">
      <w:r w:rsidRPr="001567AB">
        <w:rPr>
          <w:b/>
        </w:rPr>
        <w:t>Závěrem,</w:t>
      </w:r>
      <w:r w:rsidRPr="00BA2FED">
        <w:t xml:space="preserve"> v návaznosti na výše uvedené, je nutné zdůraznit </w:t>
      </w:r>
      <w:r w:rsidRPr="001567AB">
        <w:rPr>
          <w:b/>
        </w:rPr>
        <w:t>provázanost jednotlivých problematických oblastí</w:t>
      </w:r>
      <w:r w:rsidR="00B7451F" w:rsidRPr="001567AB">
        <w:rPr>
          <w:b/>
        </w:rPr>
        <w:t>, resp. jejich potenciálních úprav</w:t>
      </w:r>
      <w:r w:rsidR="00CC764E">
        <w:t xml:space="preserve">. Např. </w:t>
      </w:r>
      <w:r w:rsidRPr="00BA2FED">
        <w:t>bez zavedení konceptů doplňků základního odborného posouzení a osvědčení o</w:t>
      </w:r>
      <w:r w:rsidR="00272E8C">
        <w:t> </w:t>
      </w:r>
      <w:r w:rsidRPr="00BA2FED">
        <w:t>provozuschopnosti bude nutné zachovat současný postup vydávání registračních známek při každém zásahu do technických parametrů stanovených v zákoně o</w:t>
      </w:r>
      <w:r w:rsidR="00272E8C">
        <w:t> </w:t>
      </w:r>
      <w:r w:rsidRPr="00BA2FED">
        <w:t>hazardních hrách</w:t>
      </w:r>
      <w:r w:rsidR="00BA2FED" w:rsidRPr="00BA2FED">
        <w:t xml:space="preserve"> a prováděcích vyhláškách</w:t>
      </w:r>
      <w:r w:rsidRPr="00BA2FED">
        <w:t xml:space="preserve">. Dále pak stanovení jednotné struktury </w:t>
      </w:r>
      <w:r w:rsidR="00BA2FED" w:rsidRPr="00BA2FED">
        <w:t>jednotných identifikátorů</w:t>
      </w:r>
      <w:r w:rsidRPr="00BA2FED">
        <w:t xml:space="preserve"> dokumentů odborného posouzení a osvědčení o</w:t>
      </w:r>
      <w:r w:rsidR="00272E8C">
        <w:t> </w:t>
      </w:r>
      <w:r w:rsidRPr="00BA2FED">
        <w:t>provozuschopnosti je zásadní pro schopnost orientace Ministerstva financí, obcí a</w:t>
      </w:r>
      <w:r w:rsidR="00272E8C">
        <w:t> </w:t>
      </w:r>
      <w:r w:rsidRPr="00BA2FED">
        <w:t>dozorových orgánů v těchto dokumentech.</w:t>
      </w:r>
    </w:p>
    <w:p w14:paraId="00BD71FE" w14:textId="157E17C7" w:rsidR="00E87E0B" w:rsidRPr="00EF64DB" w:rsidRDefault="00E87E0B" w:rsidP="00E87E0B">
      <w:pPr>
        <w:pStyle w:val="Nadpis3"/>
      </w:pPr>
      <w:bookmarkStart w:id="27" w:name="_Toc71631362"/>
      <w:bookmarkStart w:id="28" w:name="_Toc73608118"/>
      <w:r w:rsidRPr="00EF64DB">
        <w:t xml:space="preserve">Seznam tabulek, </w:t>
      </w:r>
      <w:bookmarkEnd w:id="27"/>
      <w:r w:rsidR="001E41C9">
        <w:t>obrázků a grafů</w:t>
      </w:r>
      <w:bookmarkEnd w:id="28"/>
    </w:p>
    <w:p w14:paraId="76682BDA" w14:textId="77777777" w:rsidR="001E41C9" w:rsidRDefault="00E87E0B" w:rsidP="00E87E0B">
      <w:pPr>
        <w:pStyle w:val="Nadpis4"/>
        <w:ind w:left="864" w:hanging="864"/>
        <w:rPr>
          <w:noProof/>
        </w:rPr>
      </w:pPr>
      <w:bookmarkStart w:id="29" w:name="_Toc71631366"/>
      <w:bookmarkStart w:id="30" w:name="_Toc73608119"/>
      <w:r w:rsidRPr="00EF64DB">
        <w:t>Tabulky</w:t>
      </w:r>
      <w:bookmarkEnd w:id="29"/>
      <w:bookmarkEnd w:id="30"/>
      <w:r w:rsidRPr="00EF64DB">
        <w:fldChar w:fldCharType="begin"/>
      </w:r>
      <w:r w:rsidRPr="00EF64DB">
        <w:instrText xml:space="preserve"> TOC \h \z \c "Tabulka č." </w:instrText>
      </w:r>
      <w:r w:rsidRPr="00EF64DB">
        <w:fldChar w:fldCharType="separate"/>
      </w:r>
    </w:p>
    <w:p w14:paraId="15675018" w14:textId="436A6975" w:rsidR="001E41C9" w:rsidRDefault="002635CB">
      <w:pPr>
        <w:pStyle w:val="Seznamobrzk"/>
        <w:tabs>
          <w:tab w:val="right" w:leader="dot" w:pos="9062"/>
        </w:tabs>
        <w:rPr>
          <w:rFonts w:asciiTheme="minorHAnsi" w:eastAsiaTheme="minorEastAsia" w:hAnsiTheme="minorHAnsi"/>
          <w:noProof/>
          <w:sz w:val="22"/>
          <w:lang w:eastAsia="cs-CZ"/>
        </w:rPr>
      </w:pPr>
      <w:hyperlink w:anchor="_Toc73534636" w:history="1">
        <w:r w:rsidR="001E41C9" w:rsidRPr="003805CD">
          <w:rPr>
            <w:rStyle w:val="Hypertextovodkaz"/>
            <w:noProof/>
          </w:rPr>
          <w:t>Tabulka č. 1: Seznam všech pověřených autorizovaných osob (stav ke dni 31. 3. 2021)</w:t>
        </w:r>
        <w:r w:rsidR="001E41C9">
          <w:rPr>
            <w:noProof/>
            <w:webHidden/>
          </w:rPr>
          <w:tab/>
        </w:r>
        <w:r w:rsidR="001E41C9">
          <w:rPr>
            <w:noProof/>
            <w:webHidden/>
          </w:rPr>
          <w:fldChar w:fldCharType="begin"/>
        </w:r>
        <w:r w:rsidR="001E41C9">
          <w:rPr>
            <w:noProof/>
            <w:webHidden/>
          </w:rPr>
          <w:instrText xml:space="preserve"> PAGEREF _Toc73534636 \h </w:instrText>
        </w:r>
        <w:r w:rsidR="001E41C9">
          <w:rPr>
            <w:noProof/>
            <w:webHidden/>
          </w:rPr>
        </w:r>
        <w:r w:rsidR="001E41C9">
          <w:rPr>
            <w:noProof/>
            <w:webHidden/>
          </w:rPr>
          <w:fldChar w:fldCharType="separate"/>
        </w:r>
        <w:r w:rsidR="001E41C9">
          <w:rPr>
            <w:noProof/>
            <w:webHidden/>
          </w:rPr>
          <w:t>4</w:t>
        </w:r>
        <w:r w:rsidR="001E41C9">
          <w:rPr>
            <w:noProof/>
            <w:webHidden/>
          </w:rPr>
          <w:fldChar w:fldCharType="end"/>
        </w:r>
      </w:hyperlink>
    </w:p>
    <w:p w14:paraId="44160F56" w14:textId="77777777" w:rsidR="00E87E0B" w:rsidRDefault="00E87E0B" w:rsidP="00E87E0B">
      <w:pPr>
        <w:pStyle w:val="Nadpis4"/>
        <w:numPr>
          <w:ilvl w:val="0"/>
          <w:numId w:val="0"/>
        </w:numPr>
        <w:ind w:left="864" w:hanging="864"/>
      </w:pPr>
      <w:r w:rsidRPr="00EF64DB">
        <w:fldChar w:fldCharType="end"/>
      </w:r>
    </w:p>
    <w:p w14:paraId="65D2B369" w14:textId="21256202" w:rsidR="001E41C9" w:rsidRDefault="001E41C9" w:rsidP="00DA2B0F">
      <w:r>
        <w:t>Obrázky a grafy</w:t>
      </w:r>
      <w:r w:rsidR="00E87E0B">
        <w:t xml:space="preserve"> nejsou v této části zahrnuty.</w:t>
      </w:r>
    </w:p>
    <w:p w14:paraId="742F1E65" w14:textId="60ED7F36" w:rsidR="00B62C6C" w:rsidRPr="00B62C6C" w:rsidRDefault="001E41C9" w:rsidP="00910AE3">
      <w:pPr>
        <w:pStyle w:val="Nadpis3"/>
        <w:rPr>
          <w:noProof/>
        </w:rPr>
      </w:pPr>
      <w:bookmarkStart w:id="31" w:name="_Toc73608120"/>
      <w:r>
        <w:t>Obsah</w:t>
      </w:r>
      <w:bookmarkEnd w:id="31"/>
      <w:r>
        <w:fldChar w:fldCharType="begin"/>
      </w:r>
      <w:r>
        <w:instrText xml:space="preserve"> TOC \o "1-6" \h \z \u </w:instrText>
      </w:r>
      <w:r>
        <w:fldChar w:fldCharType="separate"/>
      </w:r>
    </w:p>
    <w:p w14:paraId="4EADEF58" w14:textId="143347D9" w:rsidR="00B62C6C" w:rsidRDefault="002635CB">
      <w:pPr>
        <w:pStyle w:val="Obsah3"/>
        <w:tabs>
          <w:tab w:val="left" w:pos="1200"/>
          <w:tab w:val="right" w:leader="dot" w:pos="9062"/>
        </w:tabs>
        <w:rPr>
          <w:rFonts w:asciiTheme="minorHAnsi" w:eastAsiaTheme="minorEastAsia" w:hAnsiTheme="minorHAnsi"/>
          <w:noProof/>
          <w:sz w:val="22"/>
          <w:lang w:eastAsia="cs-CZ"/>
        </w:rPr>
      </w:pPr>
      <w:hyperlink w:anchor="_Toc73608097" w:history="1">
        <w:r w:rsidR="00B62C6C" w:rsidRPr="00994407">
          <w:rPr>
            <w:rStyle w:val="Hypertextovodkaz"/>
            <w:noProof/>
            <w14:scene3d>
              <w14:camera w14:prst="orthographicFront"/>
              <w14:lightRig w14:rig="threePt" w14:dir="t">
                <w14:rot w14:lat="0" w14:lon="0" w14:rev="0"/>
              </w14:lightRig>
            </w14:scene3d>
          </w:rPr>
          <w:t>1.1</w:t>
        </w:r>
        <w:r w:rsidR="00B62C6C">
          <w:rPr>
            <w:rFonts w:asciiTheme="minorHAnsi" w:eastAsiaTheme="minorEastAsia" w:hAnsiTheme="minorHAnsi"/>
            <w:noProof/>
            <w:sz w:val="22"/>
            <w:lang w:eastAsia="cs-CZ"/>
          </w:rPr>
          <w:tab/>
        </w:r>
        <w:r w:rsidR="00B62C6C" w:rsidRPr="00994407">
          <w:rPr>
            <w:rStyle w:val="Hypertextovodkaz"/>
            <w:noProof/>
          </w:rPr>
          <w:t>Konkrétní popis regulace obsažené v zákoně o loteriích</w:t>
        </w:r>
        <w:r w:rsidR="00B62C6C">
          <w:rPr>
            <w:noProof/>
            <w:webHidden/>
          </w:rPr>
          <w:tab/>
        </w:r>
        <w:r w:rsidR="00B62C6C">
          <w:rPr>
            <w:noProof/>
            <w:webHidden/>
          </w:rPr>
          <w:fldChar w:fldCharType="begin"/>
        </w:r>
        <w:r w:rsidR="00B62C6C">
          <w:rPr>
            <w:noProof/>
            <w:webHidden/>
          </w:rPr>
          <w:instrText xml:space="preserve"> PAGEREF _Toc73608097 \h </w:instrText>
        </w:r>
        <w:r w:rsidR="00B62C6C">
          <w:rPr>
            <w:noProof/>
            <w:webHidden/>
          </w:rPr>
        </w:r>
        <w:r w:rsidR="00B62C6C">
          <w:rPr>
            <w:noProof/>
            <w:webHidden/>
          </w:rPr>
          <w:fldChar w:fldCharType="separate"/>
        </w:r>
        <w:r w:rsidR="00910AE3">
          <w:rPr>
            <w:noProof/>
            <w:webHidden/>
          </w:rPr>
          <w:t>1</w:t>
        </w:r>
        <w:r w:rsidR="00B62C6C">
          <w:rPr>
            <w:noProof/>
            <w:webHidden/>
          </w:rPr>
          <w:fldChar w:fldCharType="end"/>
        </w:r>
      </w:hyperlink>
    </w:p>
    <w:p w14:paraId="01C3D71E" w14:textId="0E96CB8B" w:rsidR="00B62C6C" w:rsidRDefault="002635CB">
      <w:pPr>
        <w:pStyle w:val="Obsah3"/>
        <w:tabs>
          <w:tab w:val="left" w:pos="1200"/>
          <w:tab w:val="right" w:leader="dot" w:pos="9062"/>
        </w:tabs>
        <w:rPr>
          <w:rFonts w:asciiTheme="minorHAnsi" w:eastAsiaTheme="minorEastAsia" w:hAnsiTheme="minorHAnsi"/>
          <w:noProof/>
          <w:sz w:val="22"/>
          <w:lang w:eastAsia="cs-CZ"/>
        </w:rPr>
      </w:pPr>
      <w:hyperlink w:anchor="_Toc73608098" w:history="1">
        <w:r w:rsidR="00B62C6C" w:rsidRPr="00994407">
          <w:rPr>
            <w:rStyle w:val="Hypertextovodkaz"/>
            <w:noProof/>
            <w14:scene3d>
              <w14:camera w14:prst="orthographicFront"/>
              <w14:lightRig w14:rig="threePt" w14:dir="t">
                <w14:rot w14:lat="0" w14:lon="0" w14:rev="0"/>
              </w14:lightRig>
            </w14:scene3d>
          </w:rPr>
          <w:t>1.2</w:t>
        </w:r>
        <w:r w:rsidR="00B62C6C">
          <w:rPr>
            <w:rFonts w:asciiTheme="minorHAnsi" w:eastAsiaTheme="minorEastAsia" w:hAnsiTheme="minorHAnsi"/>
            <w:noProof/>
            <w:sz w:val="22"/>
            <w:lang w:eastAsia="cs-CZ"/>
          </w:rPr>
          <w:tab/>
        </w:r>
        <w:r w:rsidR="00B62C6C" w:rsidRPr="00994407">
          <w:rPr>
            <w:rStyle w:val="Hypertextovodkaz"/>
            <w:noProof/>
          </w:rPr>
          <w:t>Konkrétní popis regulace obsažené v zákoně o hazardních hrách</w:t>
        </w:r>
        <w:r w:rsidR="00B62C6C">
          <w:rPr>
            <w:noProof/>
            <w:webHidden/>
          </w:rPr>
          <w:tab/>
        </w:r>
        <w:r w:rsidR="00B62C6C">
          <w:rPr>
            <w:noProof/>
            <w:webHidden/>
          </w:rPr>
          <w:fldChar w:fldCharType="begin"/>
        </w:r>
        <w:r w:rsidR="00B62C6C">
          <w:rPr>
            <w:noProof/>
            <w:webHidden/>
          </w:rPr>
          <w:instrText xml:space="preserve"> PAGEREF _Toc73608098 \h </w:instrText>
        </w:r>
        <w:r w:rsidR="00B62C6C">
          <w:rPr>
            <w:noProof/>
            <w:webHidden/>
          </w:rPr>
        </w:r>
        <w:r w:rsidR="00B62C6C">
          <w:rPr>
            <w:noProof/>
            <w:webHidden/>
          </w:rPr>
          <w:fldChar w:fldCharType="separate"/>
        </w:r>
        <w:r w:rsidR="00910AE3">
          <w:rPr>
            <w:noProof/>
            <w:webHidden/>
          </w:rPr>
          <w:t>2</w:t>
        </w:r>
        <w:r w:rsidR="00B62C6C">
          <w:rPr>
            <w:noProof/>
            <w:webHidden/>
          </w:rPr>
          <w:fldChar w:fldCharType="end"/>
        </w:r>
      </w:hyperlink>
    </w:p>
    <w:p w14:paraId="51204CB3" w14:textId="3E686388" w:rsidR="00B62C6C" w:rsidRDefault="002635CB">
      <w:pPr>
        <w:pStyle w:val="Obsah5"/>
        <w:tabs>
          <w:tab w:val="left" w:pos="1540"/>
          <w:tab w:val="right" w:leader="dot" w:pos="9062"/>
        </w:tabs>
        <w:rPr>
          <w:rFonts w:asciiTheme="minorHAnsi" w:eastAsiaTheme="minorEastAsia" w:hAnsiTheme="minorHAnsi"/>
          <w:noProof/>
          <w:sz w:val="22"/>
          <w:lang w:eastAsia="cs-CZ"/>
        </w:rPr>
      </w:pPr>
      <w:hyperlink w:anchor="_Toc73608099" w:history="1">
        <w:r w:rsidR="00B62C6C" w:rsidRPr="00994407">
          <w:rPr>
            <w:rStyle w:val="Hypertextovodkaz"/>
            <w:noProof/>
            <w14:scene3d>
              <w14:camera w14:prst="orthographicFront"/>
              <w14:lightRig w14:rig="threePt" w14:dir="t">
                <w14:rot w14:lat="0" w14:lon="0" w14:rev="0"/>
              </w14:lightRig>
            </w14:scene3d>
          </w:rPr>
          <w:t>A.</w:t>
        </w:r>
        <w:r w:rsidR="00B62C6C">
          <w:rPr>
            <w:rFonts w:asciiTheme="minorHAnsi" w:eastAsiaTheme="minorEastAsia" w:hAnsiTheme="minorHAnsi"/>
            <w:noProof/>
            <w:sz w:val="22"/>
            <w:lang w:eastAsia="cs-CZ"/>
          </w:rPr>
          <w:tab/>
        </w:r>
        <w:r w:rsidR="00B62C6C" w:rsidRPr="00994407">
          <w:rPr>
            <w:rStyle w:val="Hypertextovodkaz"/>
            <w:noProof/>
          </w:rPr>
          <w:t>Technické parametry</w:t>
        </w:r>
        <w:r w:rsidR="00B62C6C">
          <w:rPr>
            <w:noProof/>
            <w:webHidden/>
          </w:rPr>
          <w:tab/>
        </w:r>
        <w:r w:rsidR="00B62C6C">
          <w:rPr>
            <w:noProof/>
            <w:webHidden/>
          </w:rPr>
          <w:fldChar w:fldCharType="begin"/>
        </w:r>
        <w:r w:rsidR="00B62C6C">
          <w:rPr>
            <w:noProof/>
            <w:webHidden/>
          </w:rPr>
          <w:instrText xml:space="preserve"> PAGEREF _Toc73608099 \h </w:instrText>
        </w:r>
        <w:r w:rsidR="00B62C6C">
          <w:rPr>
            <w:noProof/>
            <w:webHidden/>
          </w:rPr>
        </w:r>
        <w:r w:rsidR="00B62C6C">
          <w:rPr>
            <w:noProof/>
            <w:webHidden/>
          </w:rPr>
          <w:fldChar w:fldCharType="separate"/>
        </w:r>
        <w:r w:rsidR="00910AE3">
          <w:rPr>
            <w:noProof/>
            <w:webHidden/>
          </w:rPr>
          <w:t>2</w:t>
        </w:r>
        <w:r w:rsidR="00B62C6C">
          <w:rPr>
            <w:noProof/>
            <w:webHidden/>
          </w:rPr>
          <w:fldChar w:fldCharType="end"/>
        </w:r>
      </w:hyperlink>
    </w:p>
    <w:p w14:paraId="5F2B4EB6" w14:textId="68FB9714" w:rsidR="00B62C6C" w:rsidRDefault="002635CB">
      <w:pPr>
        <w:pStyle w:val="Obsah5"/>
        <w:tabs>
          <w:tab w:val="left" w:pos="1540"/>
          <w:tab w:val="right" w:leader="dot" w:pos="9062"/>
        </w:tabs>
        <w:rPr>
          <w:rFonts w:asciiTheme="minorHAnsi" w:eastAsiaTheme="minorEastAsia" w:hAnsiTheme="minorHAnsi"/>
          <w:noProof/>
          <w:sz w:val="22"/>
          <w:lang w:eastAsia="cs-CZ"/>
        </w:rPr>
      </w:pPr>
      <w:hyperlink w:anchor="_Toc73608100" w:history="1">
        <w:r w:rsidR="00B62C6C" w:rsidRPr="00994407">
          <w:rPr>
            <w:rStyle w:val="Hypertextovodkaz"/>
            <w:noProof/>
            <w14:scene3d>
              <w14:camera w14:prst="orthographicFront"/>
              <w14:lightRig w14:rig="threePt" w14:dir="t">
                <w14:rot w14:lat="0" w14:lon="0" w14:rev="0"/>
              </w14:lightRig>
            </w14:scene3d>
          </w:rPr>
          <w:t>B.</w:t>
        </w:r>
        <w:r w:rsidR="00B62C6C">
          <w:rPr>
            <w:rFonts w:asciiTheme="minorHAnsi" w:eastAsiaTheme="minorEastAsia" w:hAnsiTheme="minorHAnsi"/>
            <w:noProof/>
            <w:sz w:val="22"/>
            <w:lang w:eastAsia="cs-CZ"/>
          </w:rPr>
          <w:tab/>
        </w:r>
        <w:r w:rsidR="00B62C6C" w:rsidRPr="00994407">
          <w:rPr>
            <w:rStyle w:val="Hypertextovodkaz"/>
            <w:noProof/>
          </w:rPr>
          <w:t>Pověření k odbornému posuzování a osvědčování</w:t>
        </w:r>
        <w:r w:rsidR="00B62C6C">
          <w:rPr>
            <w:noProof/>
            <w:webHidden/>
          </w:rPr>
          <w:tab/>
        </w:r>
        <w:r w:rsidR="00B62C6C">
          <w:rPr>
            <w:noProof/>
            <w:webHidden/>
          </w:rPr>
          <w:fldChar w:fldCharType="begin"/>
        </w:r>
        <w:r w:rsidR="00B62C6C">
          <w:rPr>
            <w:noProof/>
            <w:webHidden/>
          </w:rPr>
          <w:instrText xml:space="preserve"> PAGEREF _Toc73608100 \h </w:instrText>
        </w:r>
        <w:r w:rsidR="00B62C6C">
          <w:rPr>
            <w:noProof/>
            <w:webHidden/>
          </w:rPr>
        </w:r>
        <w:r w:rsidR="00B62C6C">
          <w:rPr>
            <w:noProof/>
            <w:webHidden/>
          </w:rPr>
          <w:fldChar w:fldCharType="separate"/>
        </w:r>
        <w:r w:rsidR="00910AE3">
          <w:rPr>
            <w:noProof/>
            <w:webHidden/>
          </w:rPr>
          <w:t>3</w:t>
        </w:r>
        <w:r w:rsidR="00B62C6C">
          <w:rPr>
            <w:noProof/>
            <w:webHidden/>
          </w:rPr>
          <w:fldChar w:fldCharType="end"/>
        </w:r>
      </w:hyperlink>
    </w:p>
    <w:p w14:paraId="1B778B3D" w14:textId="38CB62B5" w:rsidR="00B62C6C" w:rsidRDefault="002635CB">
      <w:pPr>
        <w:pStyle w:val="Obsah5"/>
        <w:tabs>
          <w:tab w:val="left" w:pos="1540"/>
          <w:tab w:val="right" w:leader="dot" w:pos="9062"/>
        </w:tabs>
        <w:rPr>
          <w:rFonts w:asciiTheme="minorHAnsi" w:eastAsiaTheme="minorEastAsia" w:hAnsiTheme="minorHAnsi"/>
          <w:noProof/>
          <w:sz w:val="22"/>
          <w:lang w:eastAsia="cs-CZ"/>
        </w:rPr>
      </w:pPr>
      <w:hyperlink w:anchor="_Toc73608101" w:history="1">
        <w:r w:rsidR="00B62C6C" w:rsidRPr="00994407">
          <w:rPr>
            <w:rStyle w:val="Hypertextovodkaz"/>
            <w:noProof/>
            <w14:scene3d>
              <w14:camera w14:prst="orthographicFront"/>
              <w14:lightRig w14:rig="threePt" w14:dir="t">
                <w14:rot w14:lat="0" w14:lon="0" w14:rev="0"/>
              </w14:lightRig>
            </w14:scene3d>
          </w:rPr>
          <w:t>C.</w:t>
        </w:r>
        <w:r w:rsidR="00B62C6C">
          <w:rPr>
            <w:rFonts w:asciiTheme="minorHAnsi" w:eastAsiaTheme="minorEastAsia" w:hAnsiTheme="minorHAnsi"/>
            <w:noProof/>
            <w:sz w:val="22"/>
            <w:lang w:eastAsia="cs-CZ"/>
          </w:rPr>
          <w:tab/>
        </w:r>
        <w:r w:rsidR="00B62C6C" w:rsidRPr="00994407">
          <w:rPr>
            <w:rStyle w:val="Hypertextovodkaz"/>
            <w:noProof/>
          </w:rPr>
          <w:t>Výstupní dokumenty</w:t>
        </w:r>
        <w:r w:rsidR="00B62C6C">
          <w:rPr>
            <w:noProof/>
            <w:webHidden/>
          </w:rPr>
          <w:tab/>
        </w:r>
        <w:r w:rsidR="00B62C6C">
          <w:rPr>
            <w:noProof/>
            <w:webHidden/>
          </w:rPr>
          <w:fldChar w:fldCharType="begin"/>
        </w:r>
        <w:r w:rsidR="00B62C6C">
          <w:rPr>
            <w:noProof/>
            <w:webHidden/>
          </w:rPr>
          <w:instrText xml:space="preserve"> PAGEREF _Toc73608101 \h </w:instrText>
        </w:r>
        <w:r w:rsidR="00B62C6C">
          <w:rPr>
            <w:noProof/>
            <w:webHidden/>
          </w:rPr>
        </w:r>
        <w:r w:rsidR="00B62C6C">
          <w:rPr>
            <w:noProof/>
            <w:webHidden/>
          </w:rPr>
          <w:fldChar w:fldCharType="separate"/>
        </w:r>
        <w:r w:rsidR="00910AE3">
          <w:rPr>
            <w:noProof/>
            <w:webHidden/>
          </w:rPr>
          <w:t>6</w:t>
        </w:r>
        <w:r w:rsidR="00B62C6C">
          <w:rPr>
            <w:noProof/>
            <w:webHidden/>
          </w:rPr>
          <w:fldChar w:fldCharType="end"/>
        </w:r>
      </w:hyperlink>
    </w:p>
    <w:p w14:paraId="542564F2" w14:textId="1B2F6E5C" w:rsidR="00B62C6C" w:rsidRDefault="002635CB">
      <w:pPr>
        <w:pStyle w:val="Obsah3"/>
        <w:tabs>
          <w:tab w:val="left" w:pos="1200"/>
          <w:tab w:val="right" w:leader="dot" w:pos="9062"/>
        </w:tabs>
        <w:rPr>
          <w:rFonts w:asciiTheme="minorHAnsi" w:eastAsiaTheme="minorEastAsia" w:hAnsiTheme="minorHAnsi"/>
          <w:noProof/>
          <w:sz w:val="22"/>
          <w:lang w:eastAsia="cs-CZ"/>
        </w:rPr>
      </w:pPr>
      <w:hyperlink w:anchor="_Toc73608102" w:history="1">
        <w:r w:rsidR="00B62C6C" w:rsidRPr="00994407">
          <w:rPr>
            <w:rStyle w:val="Hypertextovodkaz"/>
            <w:noProof/>
            <w14:scene3d>
              <w14:camera w14:prst="orthographicFront"/>
              <w14:lightRig w14:rig="threePt" w14:dir="t">
                <w14:rot w14:lat="0" w14:lon="0" w14:rev="0"/>
              </w14:lightRig>
            </w14:scene3d>
          </w:rPr>
          <w:t>1.3</w:t>
        </w:r>
        <w:r w:rsidR="00B62C6C">
          <w:rPr>
            <w:rFonts w:asciiTheme="minorHAnsi" w:eastAsiaTheme="minorEastAsia" w:hAnsiTheme="minorHAnsi"/>
            <w:noProof/>
            <w:sz w:val="22"/>
            <w:lang w:eastAsia="cs-CZ"/>
          </w:rPr>
          <w:tab/>
        </w:r>
        <w:r w:rsidR="00B62C6C" w:rsidRPr="00994407">
          <w:rPr>
            <w:rStyle w:val="Hypertextovodkaz"/>
            <w:noProof/>
          </w:rPr>
          <w:t>Konkrétní popis nástrojů, včetně oblastí, na které by bylo vhodné se v budoucnu zaměřit, a návrh doporučení či možných variant řešení</w:t>
        </w:r>
        <w:r w:rsidR="00B62C6C">
          <w:rPr>
            <w:noProof/>
            <w:webHidden/>
          </w:rPr>
          <w:tab/>
        </w:r>
        <w:r w:rsidR="00B62C6C">
          <w:rPr>
            <w:noProof/>
            <w:webHidden/>
          </w:rPr>
          <w:fldChar w:fldCharType="begin"/>
        </w:r>
        <w:r w:rsidR="00B62C6C">
          <w:rPr>
            <w:noProof/>
            <w:webHidden/>
          </w:rPr>
          <w:instrText xml:space="preserve"> PAGEREF _Toc73608102 \h </w:instrText>
        </w:r>
        <w:r w:rsidR="00B62C6C">
          <w:rPr>
            <w:noProof/>
            <w:webHidden/>
          </w:rPr>
        </w:r>
        <w:r w:rsidR="00B62C6C">
          <w:rPr>
            <w:noProof/>
            <w:webHidden/>
          </w:rPr>
          <w:fldChar w:fldCharType="separate"/>
        </w:r>
        <w:r w:rsidR="00910AE3">
          <w:rPr>
            <w:noProof/>
            <w:webHidden/>
          </w:rPr>
          <w:t>8</w:t>
        </w:r>
        <w:r w:rsidR="00B62C6C">
          <w:rPr>
            <w:noProof/>
            <w:webHidden/>
          </w:rPr>
          <w:fldChar w:fldCharType="end"/>
        </w:r>
      </w:hyperlink>
    </w:p>
    <w:p w14:paraId="399E8430" w14:textId="7357EFA4" w:rsidR="00B62C6C" w:rsidRDefault="002635CB">
      <w:pPr>
        <w:pStyle w:val="Obsah5"/>
        <w:tabs>
          <w:tab w:val="left" w:pos="1540"/>
          <w:tab w:val="right" w:leader="dot" w:pos="9062"/>
        </w:tabs>
        <w:rPr>
          <w:rFonts w:asciiTheme="minorHAnsi" w:eastAsiaTheme="minorEastAsia" w:hAnsiTheme="minorHAnsi"/>
          <w:noProof/>
          <w:sz w:val="22"/>
          <w:lang w:eastAsia="cs-CZ"/>
        </w:rPr>
      </w:pPr>
      <w:hyperlink w:anchor="_Toc73608103" w:history="1">
        <w:r w:rsidR="00B62C6C" w:rsidRPr="00994407">
          <w:rPr>
            <w:rStyle w:val="Hypertextovodkaz"/>
            <w:noProof/>
            <w14:scene3d>
              <w14:camera w14:prst="orthographicFront"/>
              <w14:lightRig w14:rig="threePt" w14:dir="t">
                <w14:rot w14:lat="0" w14:lon="0" w14:rev="0"/>
              </w14:lightRig>
            </w14:scene3d>
          </w:rPr>
          <w:t>A.</w:t>
        </w:r>
        <w:r w:rsidR="00B62C6C">
          <w:rPr>
            <w:rFonts w:asciiTheme="minorHAnsi" w:eastAsiaTheme="minorEastAsia" w:hAnsiTheme="minorHAnsi"/>
            <w:noProof/>
            <w:sz w:val="22"/>
            <w:lang w:eastAsia="cs-CZ"/>
          </w:rPr>
          <w:tab/>
        </w:r>
        <w:r w:rsidR="00B62C6C" w:rsidRPr="00994407">
          <w:rPr>
            <w:rStyle w:val="Hypertextovodkaz"/>
            <w:noProof/>
          </w:rPr>
          <w:t>Pověření k odbornému posuzování a osvědčování</w:t>
        </w:r>
        <w:r w:rsidR="00B62C6C">
          <w:rPr>
            <w:noProof/>
            <w:webHidden/>
          </w:rPr>
          <w:tab/>
        </w:r>
        <w:r w:rsidR="00B62C6C">
          <w:rPr>
            <w:noProof/>
            <w:webHidden/>
          </w:rPr>
          <w:fldChar w:fldCharType="begin"/>
        </w:r>
        <w:r w:rsidR="00B62C6C">
          <w:rPr>
            <w:noProof/>
            <w:webHidden/>
          </w:rPr>
          <w:instrText xml:space="preserve"> PAGEREF _Toc73608103 \h </w:instrText>
        </w:r>
        <w:r w:rsidR="00B62C6C">
          <w:rPr>
            <w:noProof/>
            <w:webHidden/>
          </w:rPr>
        </w:r>
        <w:r w:rsidR="00B62C6C">
          <w:rPr>
            <w:noProof/>
            <w:webHidden/>
          </w:rPr>
          <w:fldChar w:fldCharType="separate"/>
        </w:r>
        <w:r w:rsidR="00910AE3">
          <w:rPr>
            <w:noProof/>
            <w:webHidden/>
          </w:rPr>
          <w:t>9</w:t>
        </w:r>
        <w:r w:rsidR="00B62C6C">
          <w:rPr>
            <w:noProof/>
            <w:webHidden/>
          </w:rPr>
          <w:fldChar w:fldCharType="end"/>
        </w:r>
      </w:hyperlink>
    </w:p>
    <w:p w14:paraId="1141EAF9" w14:textId="56312994"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04" w:history="1">
        <w:r w:rsidR="00B62C6C" w:rsidRPr="00994407">
          <w:rPr>
            <w:rStyle w:val="Hypertextovodkaz"/>
            <w:noProof/>
          </w:rPr>
          <w:t>i.</w:t>
        </w:r>
        <w:r w:rsidR="00B62C6C">
          <w:rPr>
            <w:rFonts w:asciiTheme="minorHAnsi" w:eastAsiaTheme="minorEastAsia" w:hAnsiTheme="minorHAnsi"/>
            <w:noProof/>
            <w:sz w:val="22"/>
            <w:lang w:eastAsia="cs-CZ"/>
          </w:rPr>
          <w:tab/>
        </w:r>
        <w:r w:rsidR="00B62C6C" w:rsidRPr="00994407">
          <w:rPr>
            <w:rStyle w:val="Hypertextovodkaz"/>
            <w:noProof/>
          </w:rPr>
          <w:t>Prověření podmínek uvedených v pověření k odbornému posuzování a osvědčování</w:t>
        </w:r>
        <w:r w:rsidR="00B62C6C">
          <w:rPr>
            <w:noProof/>
            <w:webHidden/>
          </w:rPr>
          <w:tab/>
        </w:r>
        <w:r w:rsidR="00B62C6C">
          <w:rPr>
            <w:noProof/>
            <w:webHidden/>
          </w:rPr>
          <w:fldChar w:fldCharType="begin"/>
        </w:r>
        <w:r w:rsidR="00B62C6C">
          <w:rPr>
            <w:noProof/>
            <w:webHidden/>
          </w:rPr>
          <w:instrText xml:space="preserve"> PAGEREF _Toc73608104 \h </w:instrText>
        </w:r>
        <w:r w:rsidR="00B62C6C">
          <w:rPr>
            <w:noProof/>
            <w:webHidden/>
          </w:rPr>
        </w:r>
        <w:r w:rsidR="00B62C6C">
          <w:rPr>
            <w:noProof/>
            <w:webHidden/>
          </w:rPr>
          <w:fldChar w:fldCharType="separate"/>
        </w:r>
        <w:r w:rsidR="00910AE3">
          <w:rPr>
            <w:noProof/>
            <w:webHidden/>
          </w:rPr>
          <w:t>9</w:t>
        </w:r>
        <w:r w:rsidR="00B62C6C">
          <w:rPr>
            <w:noProof/>
            <w:webHidden/>
          </w:rPr>
          <w:fldChar w:fldCharType="end"/>
        </w:r>
      </w:hyperlink>
    </w:p>
    <w:p w14:paraId="28E01B84" w14:textId="7ABE259B"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05" w:history="1">
        <w:r w:rsidR="00B62C6C" w:rsidRPr="00994407">
          <w:rPr>
            <w:rStyle w:val="Hypertextovodkaz"/>
            <w:noProof/>
          </w:rPr>
          <w:t>ii.</w:t>
        </w:r>
        <w:r w:rsidR="00B62C6C">
          <w:rPr>
            <w:rFonts w:asciiTheme="minorHAnsi" w:eastAsiaTheme="minorEastAsia" w:hAnsiTheme="minorHAnsi"/>
            <w:noProof/>
            <w:sz w:val="22"/>
            <w:lang w:eastAsia="cs-CZ"/>
          </w:rPr>
          <w:tab/>
        </w:r>
        <w:r w:rsidR="00B62C6C" w:rsidRPr="00994407">
          <w:rPr>
            <w:rStyle w:val="Hypertextovodkaz"/>
            <w:noProof/>
          </w:rPr>
          <w:t>Akreditace pověřené osoby</w:t>
        </w:r>
        <w:r w:rsidR="00B62C6C">
          <w:rPr>
            <w:noProof/>
            <w:webHidden/>
          </w:rPr>
          <w:tab/>
        </w:r>
        <w:r w:rsidR="00B62C6C">
          <w:rPr>
            <w:noProof/>
            <w:webHidden/>
          </w:rPr>
          <w:fldChar w:fldCharType="begin"/>
        </w:r>
        <w:r w:rsidR="00B62C6C">
          <w:rPr>
            <w:noProof/>
            <w:webHidden/>
          </w:rPr>
          <w:instrText xml:space="preserve"> PAGEREF _Toc73608105 \h </w:instrText>
        </w:r>
        <w:r w:rsidR="00B62C6C">
          <w:rPr>
            <w:noProof/>
            <w:webHidden/>
          </w:rPr>
        </w:r>
        <w:r w:rsidR="00B62C6C">
          <w:rPr>
            <w:noProof/>
            <w:webHidden/>
          </w:rPr>
          <w:fldChar w:fldCharType="separate"/>
        </w:r>
        <w:r w:rsidR="00910AE3">
          <w:rPr>
            <w:noProof/>
            <w:webHidden/>
          </w:rPr>
          <w:t>10</w:t>
        </w:r>
        <w:r w:rsidR="00B62C6C">
          <w:rPr>
            <w:noProof/>
            <w:webHidden/>
          </w:rPr>
          <w:fldChar w:fldCharType="end"/>
        </w:r>
      </w:hyperlink>
    </w:p>
    <w:p w14:paraId="388C4E40" w14:textId="302EBCA9" w:rsidR="00B62C6C" w:rsidRDefault="002635CB">
      <w:pPr>
        <w:pStyle w:val="Obsah5"/>
        <w:tabs>
          <w:tab w:val="left" w:pos="1540"/>
          <w:tab w:val="right" w:leader="dot" w:pos="9062"/>
        </w:tabs>
        <w:rPr>
          <w:rFonts w:asciiTheme="minorHAnsi" w:eastAsiaTheme="minorEastAsia" w:hAnsiTheme="minorHAnsi"/>
          <w:noProof/>
          <w:sz w:val="22"/>
          <w:lang w:eastAsia="cs-CZ"/>
        </w:rPr>
      </w:pPr>
      <w:hyperlink w:anchor="_Toc73608106" w:history="1">
        <w:r w:rsidR="00B62C6C" w:rsidRPr="00994407">
          <w:rPr>
            <w:rStyle w:val="Hypertextovodkaz"/>
            <w:noProof/>
            <w14:scene3d>
              <w14:camera w14:prst="orthographicFront"/>
              <w14:lightRig w14:rig="threePt" w14:dir="t">
                <w14:rot w14:lat="0" w14:lon="0" w14:rev="0"/>
              </w14:lightRig>
            </w14:scene3d>
          </w:rPr>
          <w:t>B.</w:t>
        </w:r>
        <w:r w:rsidR="00B62C6C">
          <w:rPr>
            <w:rFonts w:asciiTheme="minorHAnsi" w:eastAsiaTheme="minorEastAsia" w:hAnsiTheme="minorHAnsi"/>
            <w:noProof/>
            <w:sz w:val="22"/>
            <w:lang w:eastAsia="cs-CZ"/>
          </w:rPr>
          <w:tab/>
        </w:r>
        <w:r w:rsidR="00B62C6C" w:rsidRPr="00994407">
          <w:rPr>
            <w:rStyle w:val="Hypertextovodkaz"/>
            <w:noProof/>
          </w:rPr>
          <w:t>Výstupní dokumenty</w:t>
        </w:r>
        <w:r w:rsidR="00B62C6C">
          <w:rPr>
            <w:noProof/>
            <w:webHidden/>
          </w:rPr>
          <w:tab/>
        </w:r>
        <w:r w:rsidR="00B62C6C">
          <w:rPr>
            <w:noProof/>
            <w:webHidden/>
          </w:rPr>
          <w:fldChar w:fldCharType="begin"/>
        </w:r>
        <w:r w:rsidR="00B62C6C">
          <w:rPr>
            <w:noProof/>
            <w:webHidden/>
          </w:rPr>
          <w:instrText xml:space="preserve"> PAGEREF _Toc73608106 \h </w:instrText>
        </w:r>
        <w:r w:rsidR="00B62C6C">
          <w:rPr>
            <w:noProof/>
            <w:webHidden/>
          </w:rPr>
        </w:r>
        <w:r w:rsidR="00B62C6C">
          <w:rPr>
            <w:noProof/>
            <w:webHidden/>
          </w:rPr>
          <w:fldChar w:fldCharType="separate"/>
        </w:r>
        <w:r w:rsidR="00910AE3">
          <w:rPr>
            <w:noProof/>
            <w:webHidden/>
          </w:rPr>
          <w:t>12</w:t>
        </w:r>
        <w:r w:rsidR="00B62C6C">
          <w:rPr>
            <w:noProof/>
            <w:webHidden/>
          </w:rPr>
          <w:fldChar w:fldCharType="end"/>
        </w:r>
      </w:hyperlink>
    </w:p>
    <w:p w14:paraId="79A2C909" w14:textId="36426754"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07" w:history="1">
        <w:r w:rsidR="00B62C6C" w:rsidRPr="00994407">
          <w:rPr>
            <w:rStyle w:val="Hypertextovodkaz"/>
            <w:noProof/>
          </w:rPr>
          <w:t>i.</w:t>
        </w:r>
        <w:r w:rsidR="00B62C6C">
          <w:rPr>
            <w:rFonts w:asciiTheme="minorHAnsi" w:eastAsiaTheme="minorEastAsia" w:hAnsiTheme="minorHAnsi"/>
            <w:noProof/>
            <w:sz w:val="22"/>
            <w:lang w:eastAsia="cs-CZ"/>
          </w:rPr>
          <w:tab/>
        </w:r>
        <w:r w:rsidR="00B62C6C" w:rsidRPr="00994407">
          <w:rPr>
            <w:rStyle w:val="Hypertextovodkaz"/>
            <w:noProof/>
          </w:rPr>
          <w:t>Jedinečný identifikátor dokumentu odborného posouzení a osvědčení o provozuschopnosti</w:t>
        </w:r>
        <w:r w:rsidR="00B62C6C">
          <w:rPr>
            <w:noProof/>
            <w:webHidden/>
          </w:rPr>
          <w:tab/>
        </w:r>
        <w:r w:rsidR="00B62C6C">
          <w:rPr>
            <w:noProof/>
            <w:webHidden/>
          </w:rPr>
          <w:fldChar w:fldCharType="begin"/>
        </w:r>
        <w:r w:rsidR="00B62C6C">
          <w:rPr>
            <w:noProof/>
            <w:webHidden/>
          </w:rPr>
          <w:instrText xml:space="preserve"> PAGEREF _Toc73608107 \h </w:instrText>
        </w:r>
        <w:r w:rsidR="00B62C6C">
          <w:rPr>
            <w:noProof/>
            <w:webHidden/>
          </w:rPr>
        </w:r>
        <w:r w:rsidR="00B62C6C">
          <w:rPr>
            <w:noProof/>
            <w:webHidden/>
          </w:rPr>
          <w:fldChar w:fldCharType="separate"/>
        </w:r>
        <w:r w:rsidR="00910AE3">
          <w:rPr>
            <w:noProof/>
            <w:webHidden/>
          </w:rPr>
          <w:t>12</w:t>
        </w:r>
        <w:r w:rsidR="00B62C6C">
          <w:rPr>
            <w:noProof/>
            <w:webHidden/>
          </w:rPr>
          <w:fldChar w:fldCharType="end"/>
        </w:r>
      </w:hyperlink>
    </w:p>
    <w:p w14:paraId="75074BA9" w14:textId="019DD114"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08" w:history="1">
        <w:r w:rsidR="00B62C6C" w:rsidRPr="00994407">
          <w:rPr>
            <w:rStyle w:val="Hypertextovodkaz"/>
            <w:noProof/>
          </w:rPr>
          <w:t>ii.</w:t>
        </w:r>
        <w:r w:rsidR="00B62C6C">
          <w:rPr>
            <w:rFonts w:asciiTheme="minorHAnsi" w:eastAsiaTheme="minorEastAsia" w:hAnsiTheme="minorHAnsi"/>
            <w:noProof/>
            <w:sz w:val="22"/>
            <w:lang w:eastAsia="cs-CZ"/>
          </w:rPr>
          <w:tab/>
        </w:r>
        <w:r w:rsidR="00B62C6C" w:rsidRPr="00994407">
          <w:rPr>
            <w:rStyle w:val="Hypertextovodkaz"/>
            <w:noProof/>
          </w:rPr>
          <w:t>Doplnění odborného posouzení a osvědčení o provozuschopnosti v případech, kde dojde k zásahu do technických parametrů hazardní hry nebo zařízení, prostřednictvím kterého je hazardní hra provozována</w:t>
        </w:r>
        <w:r w:rsidR="00B62C6C">
          <w:rPr>
            <w:noProof/>
            <w:webHidden/>
          </w:rPr>
          <w:tab/>
        </w:r>
        <w:r w:rsidR="00B62C6C">
          <w:rPr>
            <w:noProof/>
            <w:webHidden/>
          </w:rPr>
          <w:fldChar w:fldCharType="begin"/>
        </w:r>
        <w:r w:rsidR="00B62C6C">
          <w:rPr>
            <w:noProof/>
            <w:webHidden/>
          </w:rPr>
          <w:instrText xml:space="preserve"> PAGEREF _Toc73608108 \h </w:instrText>
        </w:r>
        <w:r w:rsidR="00B62C6C">
          <w:rPr>
            <w:noProof/>
            <w:webHidden/>
          </w:rPr>
        </w:r>
        <w:r w:rsidR="00B62C6C">
          <w:rPr>
            <w:noProof/>
            <w:webHidden/>
          </w:rPr>
          <w:fldChar w:fldCharType="separate"/>
        </w:r>
        <w:r w:rsidR="00910AE3">
          <w:rPr>
            <w:noProof/>
            <w:webHidden/>
          </w:rPr>
          <w:t>13</w:t>
        </w:r>
        <w:r w:rsidR="00B62C6C">
          <w:rPr>
            <w:noProof/>
            <w:webHidden/>
          </w:rPr>
          <w:fldChar w:fldCharType="end"/>
        </w:r>
      </w:hyperlink>
    </w:p>
    <w:p w14:paraId="33EE9A17" w14:textId="719E7342"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09" w:history="1">
        <w:r w:rsidR="00B62C6C" w:rsidRPr="00994407">
          <w:rPr>
            <w:rStyle w:val="Hypertextovodkaz"/>
            <w:noProof/>
          </w:rPr>
          <w:t>iii.</w:t>
        </w:r>
        <w:r w:rsidR="00B62C6C">
          <w:rPr>
            <w:rFonts w:asciiTheme="minorHAnsi" w:eastAsiaTheme="minorEastAsia" w:hAnsiTheme="minorHAnsi"/>
            <w:noProof/>
            <w:sz w:val="22"/>
            <w:lang w:eastAsia="cs-CZ"/>
          </w:rPr>
          <w:tab/>
        </w:r>
        <w:r w:rsidR="00B62C6C" w:rsidRPr="00994407">
          <w:rPr>
            <w:rStyle w:val="Hypertextovodkaz"/>
            <w:noProof/>
          </w:rPr>
          <w:t>Platnost základního odborného posouzení</w:t>
        </w:r>
        <w:r w:rsidR="00B62C6C">
          <w:rPr>
            <w:noProof/>
            <w:webHidden/>
          </w:rPr>
          <w:tab/>
        </w:r>
        <w:r w:rsidR="00B62C6C">
          <w:rPr>
            <w:noProof/>
            <w:webHidden/>
          </w:rPr>
          <w:fldChar w:fldCharType="begin"/>
        </w:r>
        <w:r w:rsidR="00B62C6C">
          <w:rPr>
            <w:noProof/>
            <w:webHidden/>
          </w:rPr>
          <w:instrText xml:space="preserve"> PAGEREF _Toc73608109 \h </w:instrText>
        </w:r>
        <w:r w:rsidR="00B62C6C">
          <w:rPr>
            <w:noProof/>
            <w:webHidden/>
          </w:rPr>
        </w:r>
        <w:r w:rsidR="00B62C6C">
          <w:rPr>
            <w:noProof/>
            <w:webHidden/>
          </w:rPr>
          <w:fldChar w:fldCharType="separate"/>
        </w:r>
        <w:r w:rsidR="00910AE3">
          <w:rPr>
            <w:noProof/>
            <w:webHidden/>
          </w:rPr>
          <w:t>15</w:t>
        </w:r>
        <w:r w:rsidR="00B62C6C">
          <w:rPr>
            <w:noProof/>
            <w:webHidden/>
          </w:rPr>
          <w:fldChar w:fldCharType="end"/>
        </w:r>
      </w:hyperlink>
    </w:p>
    <w:p w14:paraId="639A3C65" w14:textId="1FE1C2E5"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10" w:history="1">
        <w:r w:rsidR="00B62C6C" w:rsidRPr="00994407">
          <w:rPr>
            <w:rStyle w:val="Hypertextovodkaz"/>
            <w:noProof/>
          </w:rPr>
          <w:t>iv.</w:t>
        </w:r>
        <w:r w:rsidR="00B62C6C">
          <w:rPr>
            <w:rFonts w:asciiTheme="minorHAnsi" w:eastAsiaTheme="minorEastAsia" w:hAnsiTheme="minorHAnsi"/>
            <w:noProof/>
            <w:sz w:val="22"/>
            <w:lang w:eastAsia="cs-CZ"/>
          </w:rPr>
          <w:tab/>
        </w:r>
        <w:r w:rsidR="00B62C6C" w:rsidRPr="00994407">
          <w:rPr>
            <w:rStyle w:val="Hypertextovodkaz"/>
            <w:noProof/>
          </w:rPr>
          <w:t>Zpráva o provedení změn</w:t>
        </w:r>
        <w:r w:rsidR="00B62C6C">
          <w:rPr>
            <w:noProof/>
            <w:webHidden/>
          </w:rPr>
          <w:tab/>
        </w:r>
        <w:r w:rsidR="00B62C6C">
          <w:rPr>
            <w:noProof/>
            <w:webHidden/>
          </w:rPr>
          <w:fldChar w:fldCharType="begin"/>
        </w:r>
        <w:r w:rsidR="00B62C6C">
          <w:rPr>
            <w:noProof/>
            <w:webHidden/>
          </w:rPr>
          <w:instrText xml:space="preserve"> PAGEREF _Toc73608110 \h </w:instrText>
        </w:r>
        <w:r w:rsidR="00B62C6C">
          <w:rPr>
            <w:noProof/>
            <w:webHidden/>
          </w:rPr>
        </w:r>
        <w:r w:rsidR="00B62C6C">
          <w:rPr>
            <w:noProof/>
            <w:webHidden/>
          </w:rPr>
          <w:fldChar w:fldCharType="separate"/>
        </w:r>
        <w:r w:rsidR="00910AE3">
          <w:rPr>
            <w:noProof/>
            <w:webHidden/>
          </w:rPr>
          <w:t>16</w:t>
        </w:r>
        <w:r w:rsidR="00B62C6C">
          <w:rPr>
            <w:noProof/>
            <w:webHidden/>
          </w:rPr>
          <w:fldChar w:fldCharType="end"/>
        </w:r>
      </w:hyperlink>
    </w:p>
    <w:p w14:paraId="2F0BD8F1" w14:textId="1F8D0844"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11" w:history="1">
        <w:r w:rsidR="00B62C6C" w:rsidRPr="00994407">
          <w:rPr>
            <w:rStyle w:val="Hypertextovodkaz"/>
            <w:noProof/>
          </w:rPr>
          <w:t>v.</w:t>
        </w:r>
        <w:r w:rsidR="00B62C6C">
          <w:rPr>
            <w:rFonts w:asciiTheme="minorHAnsi" w:eastAsiaTheme="minorEastAsia" w:hAnsiTheme="minorHAnsi"/>
            <w:noProof/>
            <w:sz w:val="22"/>
            <w:lang w:eastAsia="cs-CZ"/>
          </w:rPr>
          <w:tab/>
        </w:r>
        <w:r w:rsidR="00B62C6C" w:rsidRPr="00994407">
          <w:rPr>
            <w:rStyle w:val="Hypertextovodkaz"/>
            <w:noProof/>
          </w:rPr>
          <w:t>Možnost odkazovat v rámci tzv. zastřešujícího odborného posouzení na dílčí odborná posouzení</w:t>
        </w:r>
        <w:r w:rsidR="00B62C6C">
          <w:rPr>
            <w:noProof/>
            <w:webHidden/>
          </w:rPr>
          <w:tab/>
        </w:r>
        <w:r w:rsidR="00B62C6C">
          <w:rPr>
            <w:noProof/>
            <w:webHidden/>
          </w:rPr>
          <w:fldChar w:fldCharType="begin"/>
        </w:r>
        <w:r w:rsidR="00B62C6C">
          <w:rPr>
            <w:noProof/>
            <w:webHidden/>
          </w:rPr>
          <w:instrText xml:space="preserve"> PAGEREF _Toc73608111 \h </w:instrText>
        </w:r>
        <w:r w:rsidR="00B62C6C">
          <w:rPr>
            <w:noProof/>
            <w:webHidden/>
          </w:rPr>
        </w:r>
        <w:r w:rsidR="00B62C6C">
          <w:rPr>
            <w:noProof/>
            <w:webHidden/>
          </w:rPr>
          <w:fldChar w:fldCharType="separate"/>
        </w:r>
        <w:r w:rsidR="00910AE3">
          <w:rPr>
            <w:noProof/>
            <w:webHidden/>
          </w:rPr>
          <w:t>18</w:t>
        </w:r>
        <w:r w:rsidR="00B62C6C">
          <w:rPr>
            <w:noProof/>
            <w:webHidden/>
          </w:rPr>
          <w:fldChar w:fldCharType="end"/>
        </w:r>
      </w:hyperlink>
    </w:p>
    <w:p w14:paraId="748E5EC1" w14:textId="57F99E94"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12" w:history="1">
        <w:r w:rsidR="00B62C6C" w:rsidRPr="00994407">
          <w:rPr>
            <w:rStyle w:val="Hypertextovodkaz"/>
            <w:noProof/>
          </w:rPr>
          <w:t>vi.</w:t>
        </w:r>
        <w:r w:rsidR="00B62C6C">
          <w:rPr>
            <w:rFonts w:asciiTheme="minorHAnsi" w:eastAsiaTheme="minorEastAsia" w:hAnsiTheme="minorHAnsi"/>
            <w:noProof/>
            <w:sz w:val="22"/>
            <w:lang w:eastAsia="cs-CZ"/>
          </w:rPr>
          <w:tab/>
        </w:r>
        <w:r w:rsidR="00B62C6C" w:rsidRPr="00994407">
          <w:rPr>
            <w:rStyle w:val="Hypertextovodkaz"/>
            <w:noProof/>
          </w:rPr>
          <w:t>Odborné posouzení v případě živé hry</w:t>
        </w:r>
        <w:r w:rsidR="00B62C6C">
          <w:rPr>
            <w:noProof/>
            <w:webHidden/>
          </w:rPr>
          <w:tab/>
        </w:r>
        <w:r w:rsidR="00B62C6C">
          <w:rPr>
            <w:noProof/>
            <w:webHidden/>
          </w:rPr>
          <w:fldChar w:fldCharType="begin"/>
        </w:r>
        <w:r w:rsidR="00B62C6C">
          <w:rPr>
            <w:noProof/>
            <w:webHidden/>
          </w:rPr>
          <w:instrText xml:space="preserve"> PAGEREF _Toc73608112 \h </w:instrText>
        </w:r>
        <w:r w:rsidR="00B62C6C">
          <w:rPr>
            <w:noProof/>
            <w:webHidden/>
          </w:rPr>
        </w:r>
        <w:r w:rsidR="00B62C6C">
          <w:rPr>
            <w:noProof/>
            <w:webHidden/>
          </w:rPr>
          <w:fldChar w:fldCharType="separate"/>
        </w:r>
        <w:r w:rsidR="00910AE3">
          <w:rPr>
            <w:noProof/>
            <w:webHidden/>
          </w:rPr>
          <w:t>20</w:t>
        </w:r>
        <w:r w:rsidR="00B62C6C">
          <w:rPr>
            <w:noProof/>
            <w:webHidden/>
          </w:rPr>
          <w:fldChar w:fldCharType="end"/>
        </w:r>
      </w:hyperlink>
    </w:p>
    <w:p w14:paraId="14D5FDB7" w14:textId="3BA1A0AF"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13" w:history="1">
        <w:r w:rsidR="00B62C6C" w:rsidRPr="00994407">
          <w:rPr>
            <w:rStyle w:val="Hypertextovodkaz"/>
            <w:noProof/>
          </w:rPr>
          <w:t>vii.</w:t>
        </w:r>
        <w:r w:rsidR="00B62C6C">
          <w:rPr>
            <w:rFonts w:asciiTheme="minorHAnsi" w:eastAsiaTheme="minorEastAsia" w:hAnsiTheme="minorHAnsi"/>
            <w:noProof/>
            <w:sz w:val="22"/>
            <w:lang w:eastAsia="cs-CZ"/>
          </w:rPr>
          <w:tab/>
        </w:r>
        <w:r w:rsidR="00B62C6C" w:rsidRPr="00994407">
          <w:rPr>
            <w:rStyle w:val="Hypertextovodkaz"/>
            <w:noProof/>
          </w:rPr>
          <w:t>Registrační známka</w:t>
        </w:r>
        <w:r w:rsidR="00B62C6C">
          <w:rPr>
            <w:noProof/>
            <w:webHidden/>
          </w:rPr>
          <w:tab/>
        </w:r>
        <w:r w:rsidR="00B62C6C">
          <w:rPr>
            <w:noProof/>
            <w:webHidden/>
          </w:rPr>
          <w:fldChar w:fldCharType="begin"/>
        </w:r>
        <w:r w:rsidR="00B62C6C">
          <w:rPr>
            <w:noProof/>
            <w:webHidden/>
          </w:rPr>
          <w:instrText xml:space="preserve"> PAGEREF _Toc73608113 \h </w:instrText>
        </w:r>
        <w:r w:rsidR="00B62C6C">
          <w:rPr>
            <w:noProof/>
            <w:webHidden/>
          </w:rPr>
        </w:r>
        <w:r w:rsidR="00B62C6C">
          <w:rPr>
            <w:noProof/>
            <w:webHidden/>
          </w:rPr>
          <w:fldChar w:fldCharType="separate"/>
        </w:r>
        <w:r w:rsidR="00910AE3">
          <w:rPr>
            <w:noProof/>
            <w:webHidden/>
          </w:rPr>
          <w:t>21</w:t>
        </w:r>
        <w:r w:rsidR="00B62C6C">
          <w:rPr>
            <w:noProof/>
            <w:webHidden/>
          </w:rPr>
          <w:fldChar w:fldCharType="end"/>
        </w:r>
      </w:hyperlink>
    </w:p>
    <w:p w14:paraId="707302A9" w14:textId="7213FE97" w:rsidR="00B62C6C" w:rsidRDefault="002635CB">
      <w:pPr>
        <w:pStyle w:val="Obsah6"/>
        <w:tabs>
          <w:tab w:val="left" w:pos="1767"/>
          <w:tab w:val="right" w:leader="dot" w:pos="9062"/>
        </w:tabs>
        <w:rPr>
          <w:rFonts w:asciiTheme="minorHAnsi" w:eastAsiaTheme="minorEastAsia" w:hAnsiTheme="minorHAnsi"/>
          <w:noProof/>
          <w:sz w:val="22"/>
          <w:lang w:eastAsia="cs-CZ"/>
        </w:rPr>
      </w:pPr>
      <w:hyperlink w:anchor="_Toc73608114" w:history="1">
        <w:r w:rsidR="00B62C6C" w:rsidRPr="00994407">
          <w:rPr>
            <w:rStyle w:val="Hypertextovodkaz"/>
            <w:noProof/>
          </w:rPr>
          <w:t>viii.</w:t>
        </w:r>
        <w:r w:rsidR="00B62C6C">
          <w:rPr>
            <w:rFonts w:asciiTheme="minorHAnsi" w:eastAsiaTheme="minorEastAsia" w:hAnsiTheme="minorHAnsi"/>
            <w:noProof/>
            <w:sz w:val="22"/>
            <w:lang w:eastAsia="cs-CZ"/>
          </w:rPr>
          <w:tab/>
        </w:r>
        <w:r w:rsidR="00B62C6C" w:rsidRPr="00994407">
          <w:rPr>
            <w:rStyle w:val="Hypertextovodkaz"/>
            <w:noProof/>
          </w:rPr>
          <w:t>Úložiště</w:t>
        </w:r>
        <w:r w:rsidR="00B62C6C">
          <w:rPr>
            <w:noProof/>
            <w:webHidden/>
          </w:rPr>
          <w:tab/>
        </w:r>
        <w:r w:rsidR="00B62C6C">
          <w:rPr>
            <w:noProof/>
            <w:webHidden/>
          </w:rPr>
          <w:fldChar w:fldCharType="begin"/>
        </w:r>
        <w:r w:rsidR="00B62C6C">
          <w:rPr>
            <w:noProof/>
            <w:webHidden/>
          </w:rPr>
          <w:instrText xml:space="preserve"> PAGEREF _Toc73608114 \h </w:instrText>
        </w:r>
        <w:r w:rsidR="00B62C6C">
          <w:rPr>
            <w:noProof/>
            <w:webHidden/>
          </w:rPr>
        </w:r>
        <w:r w:rsidR="00B62C6C">
          <w:rPr>
            <w:noProof/>
            <w:webHidden/>
          </w:rPr>
          <w:fldChar w:fldCharType="separate"/>
        </w:r>
        <w:r w:rsidR="00910AE3">
          <w:rPr>
            <w:noProof/>
            <w:webHidden/>
          </w:rPr>
          <w:t>23</w:t>
        </w:r>
        <w:r w:rsidR="00B62C6C">
          <w:rPr>
            <w:noProof/>
            <w:webHidden/>
          </w:rPr>
          <w:fldChar w:fldCharType="end"/>
        </w:r>
      </w:hyperlink>
    </w:p>
    <w:p w14:paraId="0739FB8B" w14:textId="53B5951B"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15" w:history="1">
        <w:r w:rsidR="00B62C6C" w:rsidRPr="00994407">
          <w:rPr>
            <w:rStyle w:val="Hypertextovodkaz"/>
            <w:noProof/>
          </w:rPr>
          <w:t>a)</w:t>
        </w:r>
        <w:r w:rsidR="00B62C6C">
          <w:rPr>
            <w:rFonts w:asciiTheme="minorHAnsi" w:eastAsiaTheme="minorEastAsia" w:hAnsiTheme="minorHAnsi"/>
            <w:noProof/>
            <w:sz w:val="22"/>
            <w:lang w:eastAsia="cs-CZ"/>
          </w:rPr>
          <w:tab/>
        </w:r>
        <w:r w:rsidR="00B62C6C" w:rsidRPr="00994407">
          <w:rPr>
            <w:rStyle w:val="Hypertextovodkaz"/>
            <w:noProof/>
          </w:rPr>
          <w:t>Přístup do úložiště</w:t>
        </w:r>
        <w:r w:rsidR="00B62C6C">
          <w:rPr>
            <w:noProof/>
            <w:webHidden/>
          </w:rPr>
          <w:tab/>
        </w:r>
        <w:r w:rsidR="00B62C6C">
          <w:rPr>
            <w:noProof/>
            <w:webHidden/>
          </w:rPr>
          <w:fldChar w:fldCharType="begin"/>
        </w:r>
        <w:r w:rsidR="00B62C6C">
          <w:rPr>
            <w:noProof/>
            <w:webHidden/>
          </w:rPr>
          <w:instrText xml:space="preserve"> PAGEREF _Toc73608115 \h </w:instrText>
        </w:r>
        <w:r w:rsidR="00B62C6C">
          <w:rPr>
            <w:noProof/>
            <w:webHidden/>
          </w:rPr>
        </w:r>
        <w:r w:rsidR="00B62C6C">
          <w:rPr>
            <w:noProof/>
            <w:webHidden/>
          </w:rPr>
          <w:fldChar w:fldCharType="separate"/>
        </w:r>
        <w:r w:rsidR="00910AE3">
          <w:rPr>
            <w:noProof/>
            <w:webHidden/>
          </w:rPr>
          <w:t>23</w:t>
        </w:r>
        <w:r w:rsidR="00B62C6C">
          <w:rPr>
            <w:noProof/>
            <w:webHidden/>
          </w:rPr>
          <w:fldChar w:fldCharType="end"/>
        </w:r>
      </w:hyperlink>
    </w:p>
    <w:p w14:paraId="5673B792" w14:textId="4AB4EA6F"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16" w:history="1">
        <w:r w:rsidR="00B62C6C" w:rsidRPr="00994407">
          <w:rPr>
            <w:rStyle w:val="Hypertextovodkaz"/>
            <w:noProof/>
          </w:rPr>
          <w:t>b)</w:t>
        </w:r>
        <w:r w:rsidR="00B62C6C">
          <w:rPr>
            <w:rFonts w:asciiTheme="minorHAnsi" w:eastAsiaTheme="minorEastAsia" w:hAnsiTheme="minorHAnsi"/>
            <w:noProof/>
            <w:sz w:val="22"/>
            <w:lang w:eastAsia="cs-CZ"/>
          </w:rPr>
          <w:tab/>
        </w:r>
        <w:r w:rsidR="00B62C6C" w:rsidRPr="00994407">
          <w:rPr>
            <w:rStyle w:val="Hypertextovodkaz"/>
            <w:noProof/>
          </w:rPr>
          <w:t>Forma dokumentů v úložišti</w:t>
        </w:r>
        <w:r w:rsidR="00B62C6C">
          <w:rPr>
            <w:noProof/>
            <w:webHidden/>
          </w:rPr>
          <w:tab/>
        </w:r>
        <w:r w:rsidR="00B62C6C">
          <w:rPr>
            <w:noProof/>
            <w:webHidden/>
          </w:rPr>
          <w:fldChar w:fldCharType="begin"/>
        </w:r>
        <w:r w:rsidR="00B62C6C">
          <w:rPr>
            <w:noProof/>
            <w:webHidden/>
          </w:rPr>
          <w:instrText xml:space="preserve"> PAGEREF _Toc73608116 \h </w:instrText>
        </w:r>
        <w:r w:rsidR="00B62C6C">
          <w:rPr>
            <w:noProof/>
            <w:webHidden/>
          </w:rPr>
        </w:r>
        <w:r w:rsidR="00B62C6C">
          <w:rPr>
            <w:noProof/>
            <w:webHidden/>
          </w:rPr>
          <w:fldChar w:fldCharType="separate"/>
        </w:r>
        <w:r w:rsidR="00910AE3">
          <w:rPr>
            <w:noProof/>
            <w:webHidden/>
          </w:rPr>
          <w:t>25</w:t>
        </w:r>
        <w:r w:rsidR="00B62C6C">
          <w:rPr>
            <w:noProof/>
            <w:webHidden/>
          </w:rPr>
          <w:fldChar w:fldCharType="end"/>
        </w:r>
      </w:hyperlink>
    </w:p>
    <w:p w14:paraId="30563F18" w14:textId="6C2BACE8" w:rsidR="00B62C6C" w:rsidRDefault="002635CB">
      <w:pPr>
        <w:pStyle w:val="Obsah6"/>
        <w:tabs>
          <w:tab w:val="left" w:pos="1760"/>
          <w:tab w:val="right" w:leader="dot" w:pos="9062"/>
        </w:tabs>
        <w:rPr>
          <w:rFonts w:asciiTheme="minorHAnsi" w:eastAsiaTheme="minorEastAsia" w:hAnsiTheme="minorHAnsi"/>
          <w:noProof/>
          <w:sz w:val="22"/>
          <w:lang w:eastAsia="cs-CZ"/>
        </w:rPr>
      </w:pPr>
      <w:hyperlink w:anchor="_Toc73608117" w:history="1">
        <w:r w:rsidR="00B62C6C" w:rsidRPr="00994407">
          <w:rPr>
            <w:rStyle w:val="Hypertextovodkaz"/>
            <w:noProof/>
          </w:rPr>
          <w:t>ix.</w:t>
        </w:r>
        <w:r w:rsidR="00B62C6C">
          <w:rPr>
            <w:rFonts w:asciiTheme="minorHAnsi" w:eastAsiaTheme="minorEastAsia" w:hAnsiTheme="minorHAnsi"/>
            <w:noProof/>
            <w:sz w:val="22"/>
            <w:lang w:eastAsia="cs-CZ"/>
          </w:rPr>
          <w:tab/>
        </w:r>
        <w:r w:rsidR="00B62C6C" w:rsidRPr="00994407">
          <w:rPr>
            <w:rStyle w:val="Hypertextovodkaz"/>
            <w:noProof/>
          </w:rPr>
          <w:t>Technická vyhláška</w:t>
        </w:r>
        <w:r w:rsidR="00B62C6C">
          <w:rPr>
            <w:noProof/>
            <w:webHidden/>
          </w:rPr>
          <w:tab/>
        </w:r>
        <w:r w:rsidR="00B62C6C">
          <w:rPr>
            <w:noProof/>
            <w:webHidden/>
          </w:rPr>
          <w:fldChar w:fldCharType="begin"/>
        </w:r>
        <w:r w:rsidR="00B62C6C">
          <w:rPr>
            <w:noProof/>
            <w:webHidden/>
          </w:rPr>
          <w:instrText xml:space="preserve"> PAGEREF _Toc73608117 \h </w:instrText>
        </w:r>
        <w:r w:rsidR="00B62C6C">
          <w:rPr>
            <w:noProof/>
            <w:webHidden/>
          </w:rPr>
        </w:r>
        <w:r w:rsidR="00B62C6C">
          <w:rPr>
            <w:noProof/>
            <w:webHidden/>
          </w:rPr>
          <w:fldChar w:fldCharType="separate"/>
        </w:r>
        <w:r w:rsidR="00910AE3">
          <w:rPr>
            <w:noProof/>
            <w:webHidden/>
          </w:rPr>
          <w:t>25</w:t>
        </w:r>
        <w:r w:rsidR="00B62C6C">
          <w:rPr>
            <w:noProof/>
            <w:webHidden/>
          </w:rPr>
          <w:fldChar w:fldCharType="end"/>
        </w:r>
      </w:hyperlink>
    </w:p>
    <w:p w14:paraId="77BF5A80" w14:textId="123C7049" w:rsidR="00B62C6C" w:rsidRDefault="002635CB">
      <w:pPr>
        <w:pStyle w:val="Obsah3"/>
        <w:tabs>
          <w:tab w:val="left" w:pos="1200"/>
          <w:tab w:val="right" w:leader="dot" w:pos="9062"/>
        </w:tabs>
        <w:rPr>
          <w:rFonts w:asciiTheme="minorHAnsi" w:eastAsiaTheme="minorEastAsia" w:hAnsiTheme="minorHAnsi"/>
          <w:noProof/>
          <w:sz w:val="22"/>
          <w:lang w:eastAsia="cs-CZ"/>
        </w:rPr>
      </w:pPr>
      <w:hyperlink w:anchor="_Toc73608118" w:history="1">
        <w:r w:rsidR="00B62C6C" w:rsidRPr="00994407">
          <w:rPr>
            <w:rStyle w:val="Hypertextovodkaz"/>
            <w:noProof/>
            <w14:scene3d>
              <w14:camera w14:prst="orthographicFront"/>
              <w14:lightRig w14:rig="threePt" w14:dir="t">
                <w14:rot w14:lat="0" w14:lon="0" w14:rev="0"/>
              </w14:lightRig>
            </w14:scene3d>
          </w:rPr>
          <w:t>1.4</w:t>
        </w:r>
        <w:r w:rsidR="00B62C6C">
          <w:rPr>
            <w:rFonts w:asciiTheme="minorHAnsi" w:eastAsiaTheme="minorEastAsia" w:hAnsiTheme="minorHAnsi"/>
            <w:noProof/>
            <w:sz w:val="22"/>
            <w:lang w:eastAsia="cs-CZ"/>
          </w:rPr>
          <w:tab/>
        </w:r>
        <w:r w:rsidR="00B62C6C" w:rsidRPr="00994407">
          <w:rPr>
            <w:rStyle w:val="Hypertextovodkaz"/>
            <w:noProof/>
          </w:rPr>
          <w:t>Seznam tabulek, obrázků a grafů</w:t>
        </w:r>
        <w:r w:rsidR="00B62C6C">
          <w:rPr>
            <w:noProof/>
            <w:webHidden/>
          </w:rPr>
          <w:tab/>
        </w:r>
        <w:r w:rsidR="00B62C6C">
          <w:rPr>
            <w:noProof/>
            <w:webHidden/>
          </w:rPr>
          <w:fldChar w:fldCharType="begin"/>
        </w:r>
        <w:r w:rsidR="00B62C6C">
          <w:rPr>
            <w:noProof/>
            <w:webHidden/>
          </w:rPr>
          <w:instrText xml:space="preserve"> PAGEREF _Toc73608118 \h </w:instrText>
        </w:r>
        <w:r w:rsidR="00B62C6C">
          <w:rPr>
            <w:noProof/>
            <w:webHidden/>
          </w:rPr>
        </w:r>
        <w:r w:rsidR="00B62C6C">
          <w:rPr>
            <w:noProof/>
            <w:webHidden/>
          </w:rPr>
          <w:fldChar w:fldCharType="separate"/>
        </w:r>
        <w:r w:rsidR="00910AE3">
          <w:rPr>
            <w:noProof/>
            <w:webHidden/>
          </w:rPr>
          <w:t>26</w:t>
        </w:r>
        <w:r w:rsidR="00B62C6C">
          <w:rPr>
            <w:noProof/>
            <w:webHidden/>
          </w:rPr>
          <w:fldChar w:fldCharType="end"/>
        </w:r>
      </w:hyperlink>
    </w:p>
    <w:p w14:paraId="02FFD817" w14:textId="058C6CFF" w:rsidR="00B62C6C" w:rsidRDefault="002635CB">
      <w:pPr>
        <w:pStyle w:val="Obsah4"/>
        <w:tabs>
          <w:tab w:val="left" w:pos="1540"/>
          <w:tab w:val="right" w:leader="dot" w:pos="9062"/>
        </w:tabs>
        <w:rPr>
          <w:rFonts w:asciiTheme="minorHAnsi" w:eastAsiaTheme="minorEastAsia" w:hAnsiTheme="minorHAnsi"/>
          <w:noProof/>
          <w:sz w:val="22"/>
          <w:lang w:eastAsia="cs-CZ"/>
        </w:rPr>
      </w:pPr>
      <w:hyperlink w:anchor="_Toc73608119" w:history="1">
        <w:r w:rsidR="00B62C6C" w:rsidRPr="00994407">
          <w:rPr>
            <w:rStyle w:val="Hypertextovodkaz"/>
            <w:noProof/>
          </w:rPr>
          <w:t>1.4.1</w:t>
        </w:r>
        <w:r w:rsidR="00B62C6C">
          <w:rPr>
            <w:rFonts w:asciiTheme="minorHAnsi" w:eastAsiaTheme="minorEastAsia" w:hAnsiTheme="minorHAnsi"/>
            <w:noProof/>
            <w:sz w:val="22"/>
            <w:lang w:eastAsia="cs-CZ"/>
          </w:rPr>
          <w:tab/>
        </w:r>
        <w:r w:rsidR="00B62C6C" w:rsidRPr="00994407">
          <w:rPr>
            <w:rStyle w:val="Hypertextovodkaz"/>
            <w:noProof/>
          </w:rPr>
          <w:t>Tabulky</w:t>
        </w:r>
        <w:r w:rsidR="00B62C6C">
          <w:rPr>
            <w:noProof/>
            <w:webHidden/>
          </w:rPr>
          <w:tab/>
        </w:r>
        <w:r w:rsidR="00B62C6C">
          <w:rPr>
            <w:noProof/>
            <w:webHidden/>
          </w:rPr>
          <w:fldChar w:fldCharType="begin"/>
        </w:r>
        <w:r w:rsidR="00B62C6C">
          <w:rPr>
            <w:noProof/>
            <w:webHidden/>
          </w:rPr>
          <w:instrText xml:space="preserve"> PAGEREF _Toc73608119 \h </w:instrText>
        </w:r>
        <w:r w:rsidR="00B62C6C">
          <w:rPr>
            <w:noProof/>
            <w:webHidden/>
          </w:rPr>
        </w:r>
        <w:r w:rsidR="00B62C6C">
          <w:rPr>
            <w:noProof/>
            <w:webHidden/>
          </w:rPr>
          <w:fldChar w:fldCharType="separate"/>
        </w:r>
        <w:r w:rsidR="00910AE3">
          <w:rPr>
            <w:noProof/>
            <w:webHidden/>
          </w:rPr>
          <w:t>26</w:t>
        </w:r>
        <w:r w:rsidR="00B62C6C">
          <w:rPr>
            <w:noProof/>
            <w:webHidden/>
          </w:rPr>
          <w:fldChar w:fldCharType="end"/>
        </w:r>
      </w:hyperlink>
    </w:p>
    <w:p w14:paraId="2C1199F0" w14:textId="409B492C" w:rsidR="00B62C6C" w:rsidRDefault="002635CB">
      <w:pPr>
        <w:pStyle w:val="Obsah3"/>
        <w:tabs>
          <w:tab w:val="left" w:pos="1200"/>
          <w:tab w:val="right" w:leader="dot" w:pos="9062"/>
        </w:tabs>
        <w:rPr>
          <w:rFonts w:asciiTheme="minorHAnsi" w:eastAsiaTheme="minorEastAsia" w:hAnsiTheme="minorHAnsi"/>
          <w:noProof/>
          <w:sz w:val="22"/>
          <w:lang w:eastAsia="cs-CZ"/>
        </w:rPr>
      </w:pPr>
      <w:hyperlink w:anchor="_Toc73608120" w:history="1">
        <w:r w:rsidR="00B62C6C" w:rsidRPr="00994407">
          <w:rPr>
            <w:rStyle w:val="Hypertextovodkaz"/>
            <w:noProof/>
            <w14:scene3d>
              <w14:camera w14:prst="orthographicFront"/>
              <w14:lightRig w14:rig="threePt" w14:dir="t">
                <w14:rot w14:lat="0" w14:lon="0" w14:rev="0"/>
              </w14:lightRig>
            </w14:scene3d>
          </w:rPr>
          <w:t>1.5</w:t>
        </w:r>
        <w:r w:rsidR="00B62C6C">
          <w:rPr>
            <w:rFonts w:asciiTheme="minorHAnsi" w:eastAsiaTheme="minorEastAsia" w:hAnsiTheme="minorHAnsi"/>
            <w:noProof/>
            <w:sz w:val="22"/>
            <w:lang w:eastAsia="cs-CZ"/>
          </w:rPr>
          <w:tab/>
        </w:r>
        <w:r w:rsidR="00B62C6C" w:rsidRPr="00994407">
          <w:rPr>
            <w:rStyle w:val="Hypertextovodkaz"/>
            <w:noProof/>
          </w:rPr>
          <w:t>Obsah</w:t>
        </w:r>
        <w:r w:rsidR="00B62C6C">
          <w:rPr>
            <w:noProof/>
            <w:webHidden/>
          </w:rPr>
          <w:tab/>
        </w:r>
        <w:r w:rsidR="00B62C6C">
          <w:rPr>
            <w:noProof/>
            <w:webHidden/>
          </w:rPr>
          <w:fldChar w:fldCharType="begin"/>
        </w:r>
        <w:r w:rsidR="00B62C6C">
          <w:rPr>
            <w:noProof/>
            <w:webHidden/>
          </w:rPr>
          <w:instrText xml:space="preserve"> PAGEREF _Toc73608120 \h </w:instrText>
        </w:r>
        <w:r w:rsidR="00B62C6C">
          <w:rPr>
            <w:noProof/>
            <w:webHidden/>
          </w:rPr>
        </w:r>
        <w:r w:rsidR="00B62C6C">
          <w:rPr>
            <w:noProof/>
            <w:webHidden/>
          </w:rPr>
          <w:fldChar w:fldCharType="separate"/>
        </w:r>
        <w:r w:rsidR="00910AE3">
          <w:rPr>
            <w:noProof/>
            <w:webHidden/>
          </w:rPr>
          <w:t>26</w:t>
        </w:r>
        <w:r w:rsidR="00B62C6C">
          <w:rPr>
            <w:noProof/>
            <w:webHidden/>
          </w:rPr>
          <w:fldChar w:fldCharType="end"/>
        </w:r>
      </w:hyperlink>
    </w:p>
    <w:p w14:paraId="19F83B98" w14:textId="1262D151" w:rsidR="001E41C9" w:rsidRPr="001E41C9" w:rsidRDefault="001E41C9" w:rsidP="001E41C9">
      <w:r>
        <w:fldChar w:fldCharType="end"/>
      </w:r>
    </w:p>
    <w:sectPr w:rsidR="001E41C9" w:rsidRPr="001E41C9">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82DC5" w14:textId="77777777" w:rsidR="002F6D2B" w:rsidRDefault="002F6D2B" w:rsidP="006229D8">
      <w:pPr>
        <w:spacing w:after="0"/>
      </w:pPr>
      <w:r>
        <w:separator/>
      </w:r>
    </w:p>
  </w:endnote>
  <w:endnote w:type="continuationSeparator" w:id="0">
    <w:p w14:paraId="7D1CE843" w14:textId="77777777" w:rsidR="002F6D2B" w:rsidRDefault="002F6D2B" w:rsidP="006229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9638848"/>
      <w:docPartObj>
        <w:docPartGallery w:val="Page Numbers (Bottom of Page)"/>
        <w:docPartUnique/>
      </w:docPartObj>
    </w:sdtPr>
    <w:sdtEndPr/>
    <w:sdtContent>
      <w:p w14:paraId="4244EC69" w14:textId="2F192BA3" w:rsidR="001E41C9" w:rsidRDefault="001E41C9">
        <w:pPr>
          <w:pStyle w:val="Zpat"/>
          <w:jc w:val="right"/>
        </w:pPr>
        <w:r>
          <w:fldChar w:fldCharType="begin"/>
        </w:r>
        <w:r>
          <w:instrText>PAGE   \* MERGEFORMAT</w:instrText>
        </w:r>
        <w:r>
          <w:fldChar w:fldCharType="separate"/>
        </w:r>
        <w:r w:rsidR="002635CB">
          <w:rPr>
            <w:noProof/>
          </w:rPr>
          <w:t>26</w:t>
        </w:r>
        <w:r>
          <w:fldChar w:fldCharType="end"/>
        </w:r>
      </w:p>
    </w:sdtContent>
  </w:sdt>
  <w:p w14:paraId="4D80AAC2" w14:textId="77777777" w:rsidR="002F6D2B" w:rsidRDefault="002F6D2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F0091" w14:textId="77777777" w:rsidR="002F6D2B" w:rsidRDefault="002F6D2B" w:rsidP="006229D8">
      <w:pPr>
        <w:spacing w:after="0"/>
      </w:pPr>
      <w:r>
        <w:separator/>
      </w:r>
    </w:p>
  </w:footnote>
  <w:footnote w:type="continuationSeparator" w:id="0">
    <w:p w14:paraId="4C82B3CC" w14:textId="77777777" w:rsidR="002F6D2B" w:rsidRDefault="002F6D2B" w:rsidP="006229D8">
      <w:pPr>
        <w:spacing w:after="0"/>
      </w:pPr>
      <w:r>
        <w:continuationSeparator/>
      </w:r>
    </w:p>
  </w:footnote>
  <w:footnote w:id="1">
    <w:p w14:paraId="0B23F5EC" w14:textId="22DD4CBB" w:rsidR="002F6D2B" w:rsidRPr="00851D11" w:rsidRDefault="002F6D2B" w:rsidP="003D572B">
      <w:pPr>
        <w:pStyle w:val="Textpoznpodarou"/>
        <w:jc w:val="both"/>
        <w:rPr>
          <w:rFonts w:ascii="Arial" w:hAnsi="Arial" w:cs="Arial"/>
        </w:rPr>
      </w:pPr>
      <w:r w:rsidRPr="00851D11">
        <w:rPr>
          <w:rStyle w:val="Znakapoznpodarou"/>
          <w:rFonts w:ascii="Arial" w:hAnsi="Arial" w:cs="Arial"/>
        </w:rPr>
        <w:footnoteRef/>
      </w:r>
      <w:r w:rsidRPr="00851D11">
        <w:rPr>
          <w:rFonts w:ascii="Arial" w:hAnsi="Arial" w:cs="Arial"/>
        </w:rPr>
        <w:t xml:space="preserve"> Bezodkladný zásah je možné provést pouze v situaci, kdy vznikl následkem nepředvídatelné události, která bezprostředně ovlivňuje provozování hazardní hry tak, že dochází k provozování hazar</w:t>
      </w:r>
      <w:r>
        <w:rPr>
          <w:rFonts w:ascii="Arial" w:hAnsi="Arial" w:cs="Arial"/>
        </w:rPr>
        <w:t>dní hry v </w:t>
      </w:r>
      <w:r w:rsidRPr="00851D11">
        <w:rPr>
          <w:rFonts w:ascii="Arial" w:hAnsi="Arial" w:cs="Arial"/>
        </w:rPr>
        <w:t>rozporu se zákonem o hazardních hrách, základním povolením nebo schváleným herním plánem. Předpokladem rovněž je, že událost nebylo možné od</w:t>
      </w:r>
      <w:r>
        <w:rPr>
          <w:rFonts w:ascii="Arial" w:hAnsi="Arial" w:cs="Arial"/>
        </w:rPr>
        <w:t>halit při odborném posuzování a </w:t>
      </w:r>
      <w:r w:rsidRPr="00851D11">
        <w:rPr>
          <w:rFonts w:ascii="Arial" w:hAnsi="Arial" w:cs="Arial"/>
        </w:rPr>
        <w:t>osvědčování, při nichž byl vydán dokument o o</w:t>
      </w:r>
      <w:r>
        <w:rPr>
          <w:rFonts w:ascii="Arial" w:hAnsi="Arial" w:cs="Arial"/>
        </w:rPr>
        <w:t>dborném posouzení a osvědčení o </w:t>
      </w:r>
      <w:r w:rsidRPr="00851D11">
        <w:rPr>
          <w:rFonts w:ascii="Arial" w:hAnsi="Arial" w:cs="Arial"/>
        </w:rPr>
        <w:t>provozuschopnosti, na základě kterého je hazardní hra provozována, a zároveň ji nezpůsobil vlastním zaviněním sám provozovatel.</w:t>
      </w:r>
    </w:p>
  </w:footnote>
  <w:footnote w:id="2">
    <w:p w14:paraId="5FC60778" w14:textId="538DDEF9" w:rsidR="002F6D2B" w:rsidRPr="00B66245" w:rsidRDefault="002F6D2B" w:rsidP="00B66245">
      <w:pPr>
        <w:pStyle w:val="Textpoznpodarou"/>
        <w:jc w:val="both"/>
        <w:rPr>
          <w:rFonts w:ascii="Arial" w:hAnsi="Arial" w:cs="Arial"/>
        </w:rPr>
      </w:pPr>
      <w:r w:rsidRPr="00B66245">
        <w:rPr>
          <w:rStyle w:val="Znakapoznpodarou"/>
          <w:rFonts w:ascii="Arial" w:hAnsi="Arial" w:cs="Arial"/>
        </w:rPr>
        <w:footnoteRef/>
      </w:r>
      <w:r w:rsidRPr="00B66245">
        <w:rPr>
          <w:rFonts w:ascii="Arial" w:hAnsi="Arial" w:cs="Arial"/>
        </w:rPr>
        <w:t xml:space="preserve"> Ministerstvo financí vydalo dne 21. září 2016 Metodický pokyn PAO, kterým upravilo postup všech subjektů při podávání žádosti o vydání pověření k odbornému posuzování. Tento metodický pokyn stanoví způsob doložení splnění požadavků nutných pro vydání pověření ve smyslu § 110 odst. 3 zákona o hazardních hrách.   </w:t>
      </w:r>
    </w:p>
  </w:footnote>
  <w:footnote w:id="3">
    <w:p w14:paraId="5CB93B11" w14:textId="5B4880BC" w:rsidR="002F6D2B" w:rsidRPr="00B66245" w:rsidRDefault="002F6D2B" w:rsidP="00B66245">
      <w:pPr>
        <w:pStyle w:val="Textpoznpodarou"/>
        <w:jc w:val="both"/>
        <w:rPr>
          <w:rFonts w:ascii="Arial" w:hAnsi="Arial" w:cs="Arial"/>
        </w:rPr>
      </w:pPr>
      <w:r w:rsidRPr="00B66245">
        <w:rPr>
          <w:rStyle w:val="Znakapoznpodarou"/>
          <w:rFonts w:ascii="Arial" w:hAnsi="Arial" w:cs="Arial"/>
        </w:rPr>
        <w:footnoteRef/>
      </w:r>
      <w:r w:rsidRPr="00B66245">
        <w:rPr>
          <w:rFonts w:ascii="Arial" w:hAnsi="Arial" w:cs="Arial"/>
        </w:rPr>
        <w:t xml:space="preserve"> Vyhláška o náležitostech výstupních dokumentů stanoví minimální náležitosti výstupních dokumentů. Pověřené osoby tak mohou případně do dokumentů zahrnout i další, doplňující informace, nicméně tato možnost není v praxi příliš využívána.</w:t>
      </w:r>
    </w:p>
  </w:footnote>
  <w:footnote w:id="4">
    <w:p w14:paraId="1D4A4DD3" w14:textId="5B6E6D96" w:rsidR="002F6D2B" w:rsidRPr="00B66245" w:rsidRDefault="002F6D2B" w:rsidP="00B66245">
      <w:pPr>
        <w:pStyle w:val="Textpoznpodarou"/>
        <w:jc w:val="both"/>
        <w:rPr>
          <w:rFonts w:ascii="Arial" w:hAnsi="Arial" w:cs="Arial"/>
        </w:rPr>
      </w:pPr>
      <w:r w:rsidRPr="00B66245">
        <w:rPr>
          <w:rStyle w:val="Znakapoznpodarou"/>
          <w:rFonts w:ascii="Arial" w:hAnsi="Arial" w:cs="Arial"/>
        </w:rPr>
        <w:footnoteRef/>
      </w:r>
      <w:r w:rsidRPr="00B66245">
        <w:rPr>
          <w:rFonts w:ascii="Arial" w:hAnsi="Arial" w:cs="Arial"/>
        </w:rPr>
        <w:t xml:space="preserve"> Rozhodnutí o pověření stanoví pouze minimální obsahové náležitosti registrační známky. Není však výjimkou, aby na registrační známce bylo i více údajů, např. identifikační číslo samotného odborného posouzení nebo osvědčení o provozuschopnosti.</w:t>
      </w:r>
    </w:p>
  </w:footnote>
  <w:footnote w:id="5">
    <w:p w14:paraId="3F3EE879" w14:textId="04AFCCB4" w:rsidR="002F6D2B" w:rsidRPr="00B66245" w:rsidRDefault="002F6D2B" w:rsidP="00B66245">
      <w:pPr>
        <w:pStyle w:val="Textpoznpodarou"/>
        <w:jc w:val="both"/>
        <w:rPr>
          <w:rFonts w:ascii="Arial" w:hAnsi="Arial" w:cs="Arial"/>
        </w:rPr>
      </w:pPr>
      <w:r w:rsidRPr="00B66245">
        <w:rPr>
          <w:rStyle w:val="Znakapoznpodarou"/>
          <w:rFonts w:ascii="Arial" w:hAnsi="Arial" w:cs="Arial"/>
        </w:rPr>
        <w:footnoteRef/>
      </w:r>
      <w:r w:rsidRPr="00B66245">
        <w:rPr>
          <w:rFonts w:ascii="Arial" w:hAnsi="Arial" w:cs="Arial"/>
        </w:rPr>
        <w:t xml:space="preserve"> Podmínka stanovená v pověření k odbornému posuzování a osvědčování zní: „Pověřená osoba nejpozději do 30 dnů od nabytí účinnosti prováděcích předpisů podle § 13</w:t>
      </w:r>
      <w:r>
        <w:rPr>
          <w:rFonts w:ascii="Arial" w:hAnsi="Arial" w:cs="Arial"/>
        </w:rPr>
        <w:t>3 odst. 1) písm. </w:t>
      </w:r>
      <w:r w:rsidRPr="00B66245">
        <w:rPr>
          <w:rFonts w:ascii="Arial" w:hAnsi="Arial" w:cs="Arial"/>
        </w:rPr>
        <w:t xml:space="preserve">a), b) a c) </w:t>
      </w:r>
      <w:r w:rsidRPr="00533492">
        <w:rPr>
          <w:rFonts w:ascii="Arial" w:hAnsi="Arial" w:cs="Arial"/>
        </w:rPr>
        <w:t>zákona o hazardních hrách požádá</w:t>
      </w:r>
      <w:r w:rsidRPr="00B66245">
        <w:rPr>
          <w:rFonts w:ascii="Arial" w:hAnsi="Arial" w:cs="Arial"/>
        </w:rPr>
        <w:t xml:space="preserve"> o poskytnutí akreditace pro odborné posuzo</w:t>
      </w:r>
      <w:r>
        <w:rPr>
          <w:rFonts w:ascii="Arial" w:hAnsi="Arial" w:cs="Arial"/>
        </w:rPr>
        <w:t xml:space="preserve">vání a osvědčování dle </w:t>
      </w:r>
      <w:r w:rsidRPr="00533492">
        <w:rPr>
          <w:rFonts w:ascii="Arial" w:hAnsi="Arial" w:cs="Arial"/>
        </w:rPr>
        <w:t>zákona</w:t>
      </w:r>
      <w:r>
        <w:rPr>
          <w:rFonts w:ascii="Arial" w:hAnsi="Arial" w:cs="Arial"/>
        </w:rPr>
        <w:t xml:space="preserve"> o hazardních hrách a </w:t>
      </w:r>
      <w:r w:rsidRPr="00B66245">
        <w:rPr>
          <w:rFonts w:ascii="Arial" w:hAnsi="Arial" w:cs="Arial"/>
        </w:rPr>
        <w:t>poskytne příslušnému akreditačnímu orgánu veškerou</w:t>
      </w:r>
      <w:r>
        <w:rPr>
          <w:rFonts w:ascii="Arial" w:hAnsi="Arial" w:cs="Arial"/>
        </w:rPr>
        <w:t xml:space="preserve"> </w:t>
      </w:r>
      <w:r w:rsidRPr="00B66245">
        <w:rPr>
          <w:rFonts w:ascii="Arial" w:hAnsi="Arial" w:cs="Arial"/>
        </w:rPr>
        <w:t>součinnost k</w:t>
      </w:r>
      <w:r>
        <w:rPr>
          <w:rFonts w:ascii="Arial" w:hAnsi="Arial" w:cs="Arial"/>
        </w:rPr>
        <w:t> </w:t>
      </w:r>
      <w:r w:rsidRPr="00B66245">
        <w:rPr>
          <w:rFonts w:ascii="Arial" w:hAnsi="Arial" w:cs="Arial"/>
        </w:rPr>
        <w:t>jejímu bezodkladnému udělení.</w:t>
      </w:r>
    </w:p>
  </w:footnote>
  <w:footnote w:id="6">
    <w:p w14:paraId="5FDF6037" w14:textId="674CCB7D" w:rsidR="002F6D2B" w:rsidRPr="00914B60" w:rsidRDefault="002F6D2B" w:rsidP="002E5D3F">
      <w:pPr>
        <w:pStyle w:val="Textpoznpodarou"/>
        <w:jc w:val="both"/>
        <w:rPr>
          <w:rFonts w:ascii="Arial" w:hAnsi="Arial" w:cs="Arial"/>
        </w:rPr>
      </w:pPr>
      <w:r w:rsidRPr="00914B60">
        <w:rPr>
          <w:rStyle w:val="Znakapoznpodarou"/>
          <w:rFonts w:ascii="Arial" w:hAnsi="Arial" w:cs="Arial"/>
        </w:rPr>
        <w:footnoteRef/>
      </w:r>
      <w:r w:rsidRPr="00914B60">
        <w:rPr>
          <w:rFonts w:ascii="Arial" w:hAnsi="Arial" w:cs="Arial"/>
        </w:rPr>
        <w:t xml:space="preserve"> Např. § 5 odst. 4 písm. a) technické vyhlášky stanoví, že pokud je využíván </w:t>
      </w:r>
      <w:r>
        <w:rPr>
          <w:rFonts w:ascii="Arial" w:hAnsi="Arial" w:cs="Arial"/>
        </w:rPr>
        <w:t xml:space="preserve">RNG </w:t>
      </w:r>
      <w:r w:rsidRPr="00914B60">
        <w:rPr>
          <w:rFonts w:ascii="Arial" w:hAnsi="Arial" w:cs="Arial"/>
        </w:rPr>
        <w:t xml:space="preserve">který využívá ke stanovení herního výsledku fyzikální jevy, musí v případě, že využívá makroskopické jevy, zejména kostky, ruletové kolo </w:t>
      </w:r>
      <w:r>
        <w:rPr>
          <w:rFonts w:ascii="Arial" w:hAnsi="Arial" w:cs="Arial"/>
        </w:rPr>
        <w:t>nebo losovací osudí, využívat k </w:t>
      </w:r>
      <w:r w:rsidRPr="00914B60">
        <w:rPr>
          <w:rFonts w:ascii="Arial" w:hAnsi="Arial" w:cs="Arial"/>
        </w:rPr>
        <w:t>náhodnému procesu tvorby výsledku hry předměty vyrobené z nezměnitelného materiálu, u kterého nedochází běžným užíváním k jeho opotřebení.</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F66A8" w14:textId="616EFD57" w:rsidR="002F6D2B" w:rsidRPr="002635CB" w:rsidRDefault="002F6D2B" w:rsidP="002635CB">
    <w:pPr>
      <w:pStyle w:val="Zhlav"/>
      <w:rPr>
        <w:sz w:val="20"/>
      </w:rPr>
    </w:pPr>
    <w:r w:rsidRPr="002635CB">
      <w:rPr>
        <w:sz w:val="20"/>
      </w:rPr>
      <w:t xml:space="preserve">Příloha č. 11 </w:t>
    </w:r>
    <w:r w:rsidR="002635CB" w:rsidRPr="002635CB">
      <w:rPr>
        <w:sz w:val="20"/>
      </w:rPr>
      <w:t>Hodnocení dopadů regulace zákona o hazardních hrách a souvisejících právních předpisů</w:t>
    </w:r>
  </w:p>
  <w:p w14:paraId="6E5237DC" w14:textId="77777777" w:rsidR="002F6D2B" w:rsidRDefault="002F6D2B" w:rsidP="003B5F37">
    <w:pPr>
      <w:pStyle w:val="Zhlav"/>
    </w:pPr>
  </w:p>
  <w:p w14:paraId="4A0BE440" w14:textId="77777777" w:rsidR="002F6D2B" w:rsidRDefault="002F6D2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73337"/>
    <w:multiLevelType w:val="multilevel"/>
    <w:tmpl w:val="879C007C"/>
    <w:lvl w:ilvl="0">
      <w:start w:val="1"/>
      <w:numFmt w:val="decimal"/>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isLg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73B5FB1"/>
    <w:multiLevelType w:val="hybridMultilevel"/>
    <w:tmpl w:val="A39E6B94"/>
    <w:lvl w:ilvl="0" w:tplc="774878F6">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8E92C47"/>
    <w:multiLevelType w:val="hybridMultilevel"/>
    <w:tmpl w:val="A5F087E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A1D5678"/>
    <w:multiLevelType w:val="hybridMultilevel"/>
    <w:tmpl w:val="A728582A"/>
    <w:lvl w:ilvl="0" w:tplc="A3DA651A">
      <w:start w:val="1"/>
      <w:numFmt w:val="lowerRoman"/>
      <w:lvlText w:val="%1."/>
      <w:lvlJc w:val="righ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2C4345D6"/>
    <w:multiLevelType w:val="hybridMultilevel"/>
    <w:tmpl w:val="BAE2299C"/>
    <w:lvl w:ilvl="0" w:tplc="920A0C20">
      <w:start w:val="1"/>
      <w:numFmt w:val="lowerRoman"/>
      <w:pStyle w:val="Nadpis6"/>
      <w:lvlText w:val="%1."/>
      <w:lvlJc w:val="righ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347B1A4C"/>
    <w:multiLevelType w:val="hybridMultilevel"/>
    <w:tmpl w:val="8E7CA6E2"/>
    <w:lvl w:ilvl="0" w:tplc="D352772E">
      <w:start w:val="1"/>
      <w:numFmt w:val="upperLetter"/>
      <w:pStyle w:val="Nadpis5"/>
      <w:lvlText w:val="%1."/>
      <w:lvlJc w:val="left"/>
      <w:pPr>
        <w:ind w:left="720" w:hanging="360"/>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87E72AA"/>
    <w:multiLevelType w:val="hybridMultilevel"/>
    <w:tmpl w:val="4C884E74"/>
    <w:lvl w:ilvl="0" w:tplc="33A236F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5ED4B72"/>
    <w:multiLevelType w:val="hybridMultilevel"/>
    <w:tmpl w:val="F1B2D8E4"/>
    <w:lvl w:ilvl="0" w:tplc="4A46CAE6">
      <w:start w:val="1"/>
      <w:numFmt w:val="lowerLetter"/>
      <w:lvlText w:val="%1)"/>
      <w:lvlJc w:val="left"/>
      <w:pPr>
        <w:ind w:left="720" w:hanging="360"/>
      </w:pPr>
      <w:rPr>
        <w:rFonts w:ascii="Calibri" w:eastAsia="Calibri" w:hAnsi="Calibri" w:cs="Times New Roman"/>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AC34D72"/>
    <w:multiLevelType w:val="hybridMultilevel"/>
    <w:tmpl w:val="3CAE4F10"/>
    <w:lvl w:ilvl="0" w:tplc="9440E6B4">
      <w:start w:val="49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93A520C"/>
    <w:multiLevelType w:val="hybridMultilevel"/>
    <w:tmpl w:val="C6FA1CE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F3A0050"/>
    <w:multiLevelType w:val="multilevel"/>
    <w:tmpl w:val="9118E3F0"/>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1"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66157FE9"/>
    <w:multiLevelType w:val="hybridMultilevel"/>
    <w:tmpl w:val="1FAEAAEC"/>
    <w:lvl w:ilvl="0" w:tplc="91CE2DB8">
      <w:start w:val="1"/>
      <w:numFmt w:val="upperLetter"/>
      <w:lvlText w:val="%1."/>
      <w:lvlJc w:val="left"/>
      <w:pPr>
        <w:ind w:left="720" w:hanging="360"/>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BF26585"/>
    <w:multiLevelType w:val="hybridMultilevel"/>
    <w:tmpl w:val="B43034CC"/>
    <w:lvl w:ilvl="0" w:tplc="1E7488CE">
      <w:start w:val="1"/>
      <w:numFmt w:val="upperLetter"/>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E243B27"/>
    <w:multiLevelType w:val="hybridMultilevel"/>
    <w:tmpl w:val="5D3C62D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3A24E16"/>
    <w:multiLevelType w:val="hybridMultilevel"/>
    <w:tmpl w:val="C5CCD898"/>
    <w:lvl w:ilvl="0" w:tplc="45A88F82">
      <w:start w:val="1"/>
      <w:numFmt w:val="lowerRoman"/>
      <w:lvlText w:val="%1."/>
      <w:lvlJc w:val="righ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2C3637"/>
    <w:multiLevelType w:val="hybridMultilevel"/>
    <w:tmpl w:val="8D6AB1B6"/>
    <w:lvl w:ilvl="0" w:tplc="351E513A">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A43314B"/>
    <w:multiLevelType w:val="hybridMultilevel"/>
    <w:tmpl w:val="34A4D480"/>
    <w:lvl w:ilvl="0" w:tplc="B9C08566">
      <w:numFmt w:val="bullet"/>
      <w:lvlText w:val="-"/>
      <w:lvlJc w:val="left"/>
      <w:pPr>
        <w:ind w:left="360" w:hanging="360"/>
      </w:pPr>
      <w:rPr>
        <w:rFonts w:ascii="Arial" w:eastAsia="Calibri" w:hAnsi="Arial" w:cs="Arial" w:hint="default"/>
        <w:sz w:val="24"/>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3"/>
  </w:num>
  <w:num w:numId="6">
    <w:abstractNumId w:val="1"/>
  </w:num>
  <w:num w:numId="7">
    <w:abstractNumId w:val="10"/>
  </w:num>
  <w:num w:numId="8">
    <w:abstractNumId w:val="10"/>
  </w:num>
  <w:num w:numId="9">
    <w:abstractNumId w:val="10"/>
  </w:num>
  <w:num w:numId="10">
    <w:abstractNumId w:val="1"/>
    <w:lvlOverride w:ilvl="0">
      <w:startOverride w:val="1"/>
    </w:lvlOverride>
  </w:num>
  <w:num w:numId="11">
    <w:abstractNumId w:val="17"/>
  </w:num>
  <w:num w:numId="12">
    <w:abstractNumId w:val="8"/>
  </w:num>
  <w:num w:numId="13">
    <w:abstractNumId w:val="0"/>
  </w:num>
  <w:num w:numId="14">
    <w:abstractNumId w:val="0"/>
    <w:lvlOverride w:ilvl="0">
      <w:lvl w:ilvl="0">
        <w:start w:val="1"/>
        <w:numFmt w:val="decimal"/>
        <w:lvlText w:val="%1."/>
        <w:lvlJc w:val="left"/>
        <w:pPr>
          <w:ind w:left="720"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decimal"/>
        <w:isLgl/>
        <w:lvlText w:val="%5.9.1.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5">
    <w:abstractNumId w:val="6"/>
  </w:num>
  <w:num w:numId="16">
    <w:abstractNumId w:val="11"/>
  </w:num>
  <w:num w:numId="17">
    <w:abstractNumId w:val="7"/>
  </w:num>
  <w:num w:numId="18">
    <w:abstractNumId w:val="1"/>
  </w:num>
  <w:num w:numId="19">
    <w:abstractNumId w:val="15"/>
  </w:num>
  <w:num w:numId="20">
    <w:abstractNumId w:val="1"/>
    <w:lvlOverride w:ilvl="0">
      <w:startOverride w:val="1"/>
    </w:lvlOverride>
  </w:num>
  <w:num w:numId="21">
    <w:abstractNumId w:val="2"/>
  </w:num>
  <w:num w:numId="22">
    <w:abstractNumId w:val="16"/>
  </w:num>
  <w:num w:numId="23">
    <w:abstractNumId w:val="1"/>
  </w:num>
  <w:num w:numId="24">
    <w:abstractNumId w:val="1"/>
  </w:num>
  <w:num w:numId="25">
    <w:abstractNumId w:val="14"/>
  </w:num>
  <w:num w:numId="26">
    <w:abstractNumId w:val="9"/>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13"/>
  </w:num>
  <w:num w:numId="30">
    <w:abstractNumId w:val="12"/>
  </w:num>
  <w:num w:numId="31">
    <w:abstractNumId w:val="5"/>
  </w:num>
  <w:num w:numId="32">
    <w:abstractNumId w:val="5"/>
  </w:num>
  <w:num w:numId="33">
    <w:abstractNumId w:val="3"/>
  </w:num>
  <w:num w:numId="34">
    <w:abstractNumId w:val="3"/>
  </w:num>
  <w:num w:numId="35">
    <w:abstractNumId w:val="3"/>
    <w:lvlOverride w:ilvl="0">
      <w:startOverride w:val="1"/>
    </w:lvlOverride>
  </w:num>
  <w:num w:numId="36">
    <w:abstractNumId w:val="4"/>
  </w:num>
  <w:num w:numId="37">
    <w:abstractNumId w:val="4"/>
    <w:lvlOverride w:ilvl="0">
      <w:startOverride w:val="2"/>
    </w:lvlOverride>
  </w:num>
  <w:num w:numId="38">
    <w:abstractNumId w:val="5"/>
    <w:lvlOverride w:ilvl="0">
      <w:startOverride w:val="1"/>
    </w:lvlOverride>
  </w:num>
  <w:num w:numId="39">
    <w:abstractNumId w:val="10"/>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9E3"/>
    <w:rsid w:val="00004674"/>
    <w:rsid w:val="000106EE"/>
    <w:rsid w:val="00023D95"/>
    <w:rsid w:val="00032146"/>
    <w:rsid w:val="0003311F"/>
    <w:rsid w:val="00033189"/>
    <w:rsid w:val="00034240"/>
    <w:rsid w:val="00040363"/>
    <w:rsid w:val="000568AA"/>
    <w:rsid w:val="000603D9"/>
    <w:rsid w:val="00060506"/>
    <w:rsid w:val="00067656"/>
    <w:rsid w:val="000716B0"/>
    <w:rsid w:val="00090372"/>
    <w:rsid w:val="00091452"/>
    <w:rsid w:val="00093185"/>
    <w:rsid w:val="000939D6"/>
    <w:rsid w:val="000A3190"/>
    <w:rsid w:val="000C52DB"/>
    <w:rsid w:val="000D18BA"/>
    <w:rsid w:val="000D24F7"/>
    <w:rsid w:val="000D3F5D"/>
    <w:rsid w:val="000D4EB9"/>
    <w:rsid w:val="000E0313"/>
    <w:rsid w:val="000F0855"/>
    <w:rsid w:val="00111E24"/>
    <w:rsid w:val="001343B0"/>
    <w:rsid w:val="001443B6"/>
    <w:rsid w:val="00146A86"/>
    <w:rsid w:val="00150035"/>
    <w:rsid w:val="001559D0"/>
    <w:rsid w:val="001559EC"/>
    <w:rsid w:val="001567AB"/>
    <w:rsid w:val="00181B9C"/>
    <w:rsid w:val="00190D1D"/>
    <w:rsid w:val="001A19A3"/>
    <w:rsid w:val="001A7BC4"/>
    <w:rsid w:val="001B3DFE"/>
    <w:rsid w:val="001D045F"/>
    <w:rsid w:val="001D60BF"/>
    <w:rsid w:val="001E41C9"/>
    <w:rsid w:val="001E7421"/>
    <w:rsid w:val="001F285B"/>
    <w:rsid w:val="001F32D8"/>
    <w:rsid w:val="001F651B"/>
    <w:rsid w:val="001F6F69"/>
    <w:rsid w:val="00205255"/>
    <w:rsid w:val="00216E4B"/>
    <w:rsid w:val="0022475D"/>
    <w:rsid w:val="00227917"/>
    <w:rsid w:val="00232142"/>
    <w:rsid w:val="00236018"/>
    <w:rsid w:val="00237051"/>
    <w:rsid w:val="0024474A"/>
    <w:rsid w:val="002479C0"/>
    <w:rsid w:val="002521DE"/>
    <w:rsid w:val="00255882"/>
    <w:rsid w:val="002617C1"/>
    <w:rsid w:val="002635CB"/>
    <w:rsid w:val="00263854"/>
    <w:rsid w:val="002650F8"/>
    <w:rsid w:val="00267F93"/>
    <w:rsid w:val="002716B0"/>
    <w:rsid w:val="00272096"/>
    <w:rsid w:val="00272E8C"/>
    <w:rsid w:val="002C5F61"/>
    <w:rsid w:val="002D0A1F"/>
    <w:rsid w:val="002D0D13"/>
    <w:rsid w:val="002D2BAF"/>
    <w:rsid w:val="002D6964"/>
    <w:rsid w:val="002E5D3F"/>
    <w:rsid w:val="002F38A4"/>
    <w:rsid w:val="002F553F"/>
    <w:rsid w:val="002F5F3A"/>
    <w:rsid w:val="002F6D2B"/>
    <w:rsid w:val="002F7008"/>
    <w:rsid w:val="002F71F2"/>
    <w:rsid w:val="003003F4"/>
    <w:rsid w:val="003132AC"/>
    <w:rsid w:val="00334438"/>
    <w:rsid w:val="00347B5B"/>
    <w:rsid w:val="00353C57"/>
    <w:rsid w:val="0035401D"/>
    <w:rsid w:val="0035435C"/>
    <w:rsid w:val="0035761D"/>
    <w:rsid w:val="0036061A"/>
    <w:rsid w:val="00370FD6"/>
    <w:rsid w:val="0037427C"/>
    <w:rsid w:val="003776D9"/>
    <w:rsid w:val="00377DEF"/>
    <w:rsid w:val="00380C25"/>
    <w:rsid w:val="003863BC"/>
    <w:rsid w:val="00390241"/>
    <w:rsid w:val="003937CC"/>
    <w:rsid w:val="00394200"/>
    <w:rsid w:val="003A1229"/>
    <w:rsid w:val="003B5295"/>
    <w:rsid w:val="003B5F37"/>
    <w:rsid w:val="003C31A7"/>
    <w:rsid w:val="003D572B"/>
    <w:rsid w:val="003E032D"/>
    <w:rsid w:val="003E4D5F"/>
    <w:rsid w:val="003F6DEA"/>
    <w:rsid w:val="00423028"/>
    <w:rsid w:val="00424CC2"/>
    <w:rsid w:val="0042575D"/>
    <w:rsid w:val="0043215C"/>
    <w:rsid w:val="00435EB6"/>
    <w:rsid w:val="00437660"/>
    <w:rsid w:val="00440458"/>
    <w:rsid w:val="00445320"/>
    <w:rsid w:val="00453F10"/>
    <w:rsid w:val="0045549D"/>
    <w:rsid w:val="004578C5"/>
    <w:rsid w:val="00477CA6"/>
    <w:rsid w:val="0048038A"/>
    <w:rsid w:val="004836A2"/>
    <w:rsid w:val="00483889"/>
    <w:rsid w:val="00491ADA"/>
    <w:rsid w:val="00493770"/>
    <w:rsid w:val="004A7CF6"/>
    <w:rsid w:val="004B2ABC"/>
    <w:rsid w:val="004B6B52"/>
    <w:rsid w:val="004C0AC8"/>
    <w:rsid w:val="004C1813"/>
    <w:rsid w:val="004C391F"/>
    <w:rsid w:val="004D177A"/>
    <w:rsid w:val="004D7B48"/>
    <w:rsid w:val="004D7FBC"/>
    <w:rsid w:val="00507FF7"/>
    <w:rsid w:val="00514B8F"/>
    <w:rsid w:val="00533492"/>
    <w:rsid w:val="00540D8A"/>
    <w:rsid w:val="005416B4"/>
    <w:rsid w:val="00543B19"/>
    <w:rsid w:val="00546FAC"/>
    <w:rsid w:val="005573E3"/>
    <w:rsid w:val="00561301"/>
    <w:rsid w:val="00566573"/>
    <w:rsid w:val="00567932"/>
    <w:rsid w:val="00567B0D"/>
    <w:rsid w:val="0057761B"/>
    <w:rsid w:val="00582846"/>
    <w:rsid w:val="00591532"/>
    <w:rsid w:val="005A56B1"/>
    <w:rsid w:val="005C32A1"/>
    <w:rsid w:val="005D0379"/>
    <w:rsid w:val="005D46CB"/>
    <w:rsid w:val="005D72BA"/>
    <w:rsid w:val="005D73BA"/>
    <w:rsid w:val="005E5432"/>
    <w:rsid w:val="005E543C"/>
    <w:rsid w:val="005E77AC"/>
    <w:rsid w:val="005F5ECA"/>
    <w:rsid w:val="00601012"/>
    <w:rsid w:val="006229D8"/>
    <w:rsid w:val="006324AB"/>
    <w:rsid w:val="0065701F"/>
    <w:rsid w:val="00672212"/>
    <w:rsid w:val="00676697"/>
    <w:rsid w:val="006917BA"/>
    <w:rsid w:val="006972DC"/>
    <w:rsid w:val="006A2947"/>
    <w:rsid w:val="006A366E"/>
    <w:rsid w:val="006B026D"/>
    <w:rsid w:val="006B24DD"/>
    <w:rsid w:val="006B76C4"/>
    <w:rsid w:val="006D6591"/>
    <w:rsid w:val="006E1739"/>
    <w:rsid w:val="006E418B"/>
    <w:rsid w:val="006E49D4"/>
    <w:rsid w:val="00704573"/>
    <w:rsid w:val="00704D03"/>
    <w:rsid w:val="00706AA8"/>
    <w:rsid w:val="00707176"/>
    <w:rsid w:val="00710E71"/>
    <w:rsid w:val="00712CD2"/>
    <w:rsid w:val="007232BB"/>
    <w:rsid w:val="007426C0"/>
    <w:rsid w:val="00747317"/>
    <w:rsid w:val="00751183"/>
    <w:rsid w:val="00755255"/>
    <w:rsid w:val="00755744"/>
    <w:rsid w:val="00760DAA"/>
    <w:rsid w:val="007779E8"/>
    <w:rsid w:val="007865A8"/>
    <w:rsid w:val="0079038C"/>
    <w:rsid w:val="00791FEB"/>
    <w:rsid w:val="007A0008"/>
    <w:rsid w:val="007B4477"/>
    <w:rsid w:val="007B6F77"/>
    <w:rsid w:val="007C0EBD"/>
    <w:rsid w:val="007C5579"/>
    <w:rsid w:val="007C6DD7"/>
    <w:rsid w:val="007C772A"/>
    <w:rsid w:val="007D005F"/>
    <w:rsid w:val="007F5B39"/>
    <w:rsid w:val="00817E84"/>
    <w:rsid w:val="008212B3"/>
    <w:rsid w:val="008219DC"/>
    <w:rsid w:val="00827ECE"/>
    <w:rsid w:val="00841A12"/>
    <w:rsid w:val="00843892"/>
    <w:rsid w:val="00844C74"/>
    <w:rsid w:val="00851D11"/>
    <w:rsid w:val="00856AF3"/>
    <w:rsid w:val="00863F2D"/>
    <w:rsid w:val="0086550B"/>
    <w:rsid w:val="008853C4"/>
    <w:rsid w:val="00892A35"/>
    <w:rsid w:val="008A269D"/>
    <w:rsid w:val="008B0C65"/>
    <w:rsid w:val="008B4529"/>
    <w:rsid w:val="008B64EB"/>
    <w:rsid w:val="008C411A"/>
    <w:rsid w:val="008C446A"/>
    <w:rsid w:val="008C54F5"/>
    <w:rsid w:val="008E4159"/>
    <w:rsid w:val="008E4936"/>
    <w:rsid w:val="008F42BD"/>
    <w:rsid w:val="009101ED"/>
    <w:rsid w:val="00910851"/>
    <w:rsid w:val="00910AE3"/>
    <w:rsid w:val="00914B60"/>
    <w:rsid w:val="00915385"/>
    <w:rsid w:val="00926B6D"/>
    <w:rsid w:val="00934E49"/>
    <w:rsid w:val="00935FBC"/>
    <w:rsid w:val="00935FDD"/>
    <w:rsid w:val="00942009"/>
    <w:rsid w:val="00944885"/>
    <w:rsid w:val="00966C3C"/>
    <w:rsid w:val="00974B13"/>
    <w:rsid w:val="00976C0F"/>
    <w:rsid w:val="0098261A"/>
    <w:rsid w:val="0098781B"/>
    <w:rsid w:val="009901EB"/>
    <w:rsid w:val="00990DA6"/>
    <w:rsid w:val="00991C8F"/>
    <w:rsid w:val="009A0251"/>
    <w:rsid w:val="009B6660"/>
    <w:rsid w:val="009D3FC2"/>
    <w:rsid w:val="009E1597"/>
    <w:rsid w:val="009E5996"/>
    <w:rsid w:val="00A01047"/>
    <w:rsid w:val="00A02F5A"/>
    <w:rsid w:val="00A037ED"/>
    <w:rsid w:val="00A06013"/>
    <w:rsid w:val="00A123C7"/>
    <w:rsid w:val="00A22B43"/>
    <w:rsid w:val="00A25E35"/>
    <w:rsid w:val="00A42592"/>
    <w:rsid w:val="00A43605"/>
    <w:rsid w:val="00A4568E"/>
    <w:rsid w:val="00A47D72"/>
    <w:rsid w:val="00A52F6F"/>
    <w:rsid w:val="00A610D6"/>
    <w:rsid w:val="00A6621C"/>
    <w:rsid w:val="00A73FF9"/>
    <w:rsid w:val="00A83079"/>
    <w:rsid w:val="00A83396"/>
    <w:rsid w:val="00A92266"/>
    <w:rsid w:val="00A93C91"/>
    <w:rsid w:val="00AB31FC"/>
    <w:rsid w:val="00AB6215"/>
    <w:rsid w:val="00AD012A"/>
    <w:rsid w:val="00AD267B"/>
    <w:rsid w:val="00AD436A"/>
    <w:rsid w:val="00AD52D5"/>
    <w:rsid w:val="00AF2B78"/>
    <w:rsid w:val="00AF4E32"/>
    <w:rsid w:val="00AF6317"/>
    <w:rsid w:val="00B05804"/>
    <w:rsid w:val="00B1380C"/>
    <w:rsid w:val="00B246FE"/>
    <w:rsid w:val="00B30FCF"/>
    <w:rsid w:val="00B524E8"/>
    <w:rsid w:val="00B6106E"/>
    <w:rsid w:val="00B62C6C"/>
    <w:rsid w:val="00B63A6E"/>
    <w:rsid w:val="00B646AF"/>
    <w:rsid w:val="00B66245"/>
    <w:rsid w:val="00B71614"/>
    <w:rsid w:val="00B72D96"/>
    <w:rsid w:val="00B7451F"/>
    <w:rsid w:val="00B835ED"/>
    <w:rsid w:val="00B83A8D"/>
    <w:rsid w:val="00B94D62"/>
    <w:rsid w:val="00B96FDD"/>
    <w:rsid w:val="00BA2FED"/>
    <w:rsid w:val="00BA5118"/>
    <w:rsid w:val="00BA6C9A"/>
    <w:rsid w:val="00BA7378"/>
    <w:rsid w:val="00BB4FB1"/>
    <w:rsid w:val="00BB50FC"/>
    <w:rsid w:val="00BC1BD7"/>
    <w:rsid w:val="00BC20F6"/>
    <w:rsid w:val="00BC2834"/>
    <w:rsid w:val="00BC41F8"/>
    <w:rsid w:val="00BD1CF2"/>
    <w:rsid w:val="00BD35E4"/>
    <w:rsid w:val="00BD5D6B"/>
    <w:rsid w:val="00BE09A2"/>
    <w:rsid w:val="00BE4EB9"/>
    <w:rsid w:val="00BF1A81"/>
    <w:rsid w:val="00BF7ACE"/>
    <w:rsid w:val="00C045A8"/>
    <w:rsid w:val="00C0789A"/>
    <w:rsid w:val="00C21D32"/>
    <w:rsid w:val="00C22B63"/>
    <w:rsid w:val="00C23EB2"/>
    <w:rsid w:val="00C26DB0"/>
    <w:rsid w:val="00C36445"/>
    <w:rsid w:val="00C4071D"/>
    <w:rsid w:val="00C40963"/>
    <w:rsid w:val="00C440A5"/>
    <w:rsid w:val="00C45CB5"/>
    <w:rsid w:val="00C5240F"/>
    <w:rsid w:val="00C52791"/>
    <w:rsid w:val="00C6142F"/>
    <w:rsid w:val="00C62FD1"/>
    <w:rsid w:val="00C63FA6"/>
    <w:rsid w:val="00C779E3"/>
    <w:rsid w:val="00C81363"/>
    <w:rsid w:val="00C860CD"/>
    <w:rsid w:val="00C8613C"/>
    <w:rsid w:val="00C86BDC"/>
    <w:rsid w:val="00C90878"/>
    <w:rsid w:val="00CA69BD"/>
    <w:rsid w:val="00CA6B44"/>
    <w:rsid w:val="00CB2B78"/>
    <w:rsid w:val="00CB3F66"/>
    <w:rsid w:val="00CC0521"/>
    <w:rsid w:val="00CC095C"/>
    <w:rsid w:val="00CC4A8E"/>
    <w:rsid w:val="00CC5ABB"/>
    <w:rsid w:val="00CC764E"/>
    <w:rsid w:val="00CC795C"/>
    <w:rsid w:val="00CD3147"/>
    <w:rsid w:val="00CD60D0"/>
    <w:rsid w:val="00CE7734"/>
    <w:rsid w:val="00D12148"/>
    <w:rsid w:val="00D131CD"/>
    <w:rsid w:val="00D16C40"/>
    <w:rsid w:val="00D2219A"/>
    <w:rsid w:val="00D22B6A"/>
    <w:rsid w:val="00D31561"/>
    <w:rsid w:val="00D45574"/>
    <w:rsid w:val="00D5103C"/>
    <w:rsid w:val="00D53EAD"/>
    <w:rsid w:val="00D6324B"/>
    <w:rsid w:val="00D73C80"/>
    <w:rsid w:val="00D75092"/>
    <w:rsid w:val="00D84DCE"/>
    <w:rsid w:val="00D90921"/>
    <w:rsid w:val="00D943ED"/>
    <w:rsid w:val="00D94E62"/>
    <w:rsid w:val="00D95B59"/>
    <w:rsid w:val="00D96203"/>
    <w:rsid w:val="00DA2B0F"/>
    <w:rsid w:val="00DA2CAD"/>
    <w:rsid w:val="00DA55FF"/>
    <w:rsid w:val="00DB09D1"/>
    <w:rsid w:val="00DB2316"/>
    <w:rsid w:val="00DC1224"/>
    <w:rsid w:val="00DD42E8"/>
    <w:rsid w:val="00DD460E"/>
    <w:rsid w:val="00DE0411"/>
    <w:rsid w:val="00DF6E13"/>
    <w:rsid w:val="00E00985"/>
    <w:rsid w:val="00E021B2"/>
    <w:rsid w:val="00E045C3"/>
    <w:rsid w:val="00E05720"/>
    <w:rsid w:val="00E10294"/>
    <w:rsid w:val="00E15606"/>
    <w:rsid w:val="00E2662E"/>
    <w:rsid w:val="00E415F6"/>
    <w:rsid w:val="00E4277E"/>
    <w:rsid w:val="00E47E78"/>
    <w:rsid w:val="00E616DD"/>
    <w:rsid w:val="00E66C87"/>
    <w:rsid w:val="00E703ED"/>
    <w:rsid w:val="00E81B29"/>
    <w:rsid w:val="00E82AEF"/>
    <w:rsid w:val="00E8537B"/>
    <w:rsid w:val="00E87E0B"/>
    <w:rsid w:val="00E91B13"/>
    <w:rsid w:val="00E91C14"/>
    <w:rsid w:val="00E93FF2"/>
    <w:rsid w:val="00EA4301"/>
    <w:rsid w:val="00EB26A2"/>
    <w:rsid w:val="00EB66D0"/>
    <w:rsid w:val="00EB7FA0"/>
    <w:rsid w:val="00EC255E"/>
    <w:rsid w:val="00ED3986"/>
    <w:rsid w:val="00ED63E1"/>
    <w:rsid w:val="00ED7184"/>
    <w:rsid w:val="00EE6AF3"/>
    <w:rsid w:val="00EE6BF3"/>
    <w:rsid w:val="00EE7145"/>
    <w:rsid w:val="00EE7E80"/>
    <w:rsid w:val="00EF64DB"/>
    <w:rsid w:val="00F017E9"/>
    <w:rsid w:val="00F02ACB"/>
    <w:rsid w:val="00F1126D"/>
    <w:rsid w:val="00F131C1"/>
    <w:rsid w:val="00F22322"/>
    <w:rsid w:val="00F24080"/>
    <w:rsid w:val="00F26B14"/>
    <w:rsid w:val="00F375F2"/>
    <w:rsid w:val="00F4069E"/>
    <w:rsid w:val="00F43D5B"/>
    <w:rsid w:val="00F71110"/>
    <w:rsid w:val="00F80239"/>
    <w:rsid w:val="00F80879"/>
    <w:rsid w:val="00F8413A"/>
    <w:rsid w:val="00F91E4D"/>
    <w:rsid w:val="00F93F0F"/>
    <w:rsid w:val="00FB17DF"/>
    <w:rsid w:val="00FC6C77"/>
    <w:rsid w:val="00FE2AD2"/>
    <w:rsid w:val="00FE48E5"/>
    <w:rsid w:val="00FE6779"/>
    <w:rsid w:val="00FF79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0262A"/>
  <w15:docId w15:val="{40689521-7597-48D1-AFB5-39DE3EA0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C411A"/>
    <w:pPr>
      <w:spacing w:line="240" w:lineRule="auto"/>
      <w:jc w:val="both"/>
    </w:pPr>
    <w:rPr>
      <w:rFonts w:ascii="Arial" w:hAnsi="Arial"/>
      <w:sz w:val="24"/>
    </w:rPr>
  </w:style>
  <w:style w:type="paragraph" w:styleId="Nadpis1">
    <w:name w:val="heading 1"/>
    <w:basedOn w:val="Normln"/>
    <w:next w:val="Normln"/>
    <w:link w:val="Nadpis1Char"/>
    <w:uiPriority w:val="9"/>
    <w:qFormat/>
    <w:rsid w:val="008C411A"/>
    <w:pPr>
      <w:keepNext/>
      <w:keepLines/>
      <w:numPr>
        <w:numId w:val="9"/>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8C411A"/>
    <w:pPr>
      <w:keepNext/>
      <w:keepLines/>
      <w:numPr>
        <w:ilvl w:val="1"/>
        <w:numId w:val="9"/>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E87E0B"/>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D94E62"/>
    <w:pPr>
      <w:keepNext/>
      <w:keepLines/>
      <w:numPr>
        <w:ilvl w:val="3"/>
        <w:numId w:val="1"/>
      </w:numPr>
      <w:spacing w:before="240" w:after="120"/>
      <w:ind w:left="862" w:hanging="862"/>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060506"/>
    <w:pPr>
      <w:keepNext/>
      <w:keepLines/>
      <w:numPr>
        <w:numId w:val="31"/>
      </w:numPr>
      <w:spacing w:before="240" w:after="120" w:line="259" w:lineRule="auto"/>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B96FDD"/>
    <w:pPr>
      <w:keepNext/>
      <w:keepLines/>
      <w:numPr>
        <w:numId w:val="36"/>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B96FDD"/>
    <w:pPr>
      <w:keepNext/>
      <w:keepLines/>
      <w:spacing w:before="240" w:after="120" w:line="259" w:lineRule="auto"/>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8C411A"/>
    <w:pPr>
      <w:keepNext/>
      <w:keepLines/>
      <w:numPr>
        <w:ilvl w:val="7"/>
        <w:numId w:val="1"/>
      </w:numPr>
      <w:spacing w:before="240" w:after="120" w:line="259" w:lineRule="auto"/>
      <w:ind w:left="0" w:firstLine="0"/>
      <w:outlineLvl w:val="7"/>
    </w:pPr>
    <w:rPr>
      <w:rFonts w:eastAsiaTheme="majorEastAsia" w:cstheme="majorBidi"/>
      <w:b/>
      <w:color w:val="0D0D0D" w:themeColor="text1" w:themeTint="F2"/>
      <w:szCs w:val="21"/>
    </w:rPr>
  </w:style>
  <w:style w:type="paragraph" w:styleId="Nadpis9">
    <w:name w:val="heading 9"/>
    <w:basedOn w:val="Normln"/>
    <w:next w:val="Normln"/>
    <w:link w:val="Nadpis9Char"/>
    <w:uiPriority w:val="9"/>
    <w:semiHidden/>
    <w:unhideWhenUsed/>
    <w:qFormat/>
    <w:rsid w:val="0043215C"/>
    <w:pPr>
      <w:keepNext/>
      <w:keepLines/>
      <w:numPr>
        <w:ilvl w:val="8"/>
        <w:numId w:val="9"/>
      </w:numPr>
      <w:spacing w:before="240" w:after="12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43215C"/>
    <w:rPr>
      <w:rFonts w:cs="Times New Roman"/>
      <w:color w:val="0000FF"/>
      <w:u w:val="single"/>
    </w:rPr>
  </w:style>
  <w:style w:type="table" w:styleId="Mkatabulky">
    <w:name w:val="Table Grid"/>
    <w:basedOn w:val="Normlntabulka"/>
    <w:uiPriority w:val="39"/>
    <w:rsid w:val="00432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8C411A"/>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8C411A"/>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E87E0B"/>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D94E62"/>
    <w:rPr>
      <w:rFonts w:ascii="Arial" w:eastAsiaTheme="majorEastAsia" w:hAnsi="Arial" w:cstheme="majorBidi"/>
      <w:b/>
      <w:iCs/>
      <w:sz w:val="28"/>
    </w:rPr>
  </w:style>
  <w:style w:type="character" w:customStyle="1" w:styleId="Nadpis5Char">
    <w:name w:val="Nadpis 5 Char"/>
    <w:basedOn w:val="Standardnpsmoodstavce"/>
    <w:link w:val="Nadpis5"/>
    <w:uiPriority w:val="9"/>
    <w:rsid w:val="002617C1"/>
    <w:rPr>
      <w:rFonts w:ascii="Arial" w:eastAsiaTheme="majorEastAsia" w:hAnsi="Arial" w:cstheme="majorBidi"/>
      <w:b/>
      <w:sz w:val="24"/>
    </w:rPr>
  </w:style>
  <w:style w:type="character" w:customStyle="1" w:styleId="Nadpis6Char">
    <w:name w:val="Nadpis 6 Char"/>
    <w:basedOn w:val="Standardnpsmoodstavce"/>
    <w:link w:val="Nadpis6"/>
    <w:uiPriority w:val="9"/>
    <w:rsid w:val="00B96FDD"/>
    <w:rPr>
      <w:rFonts w:ascii="Arial" w:eastAsiaTheme="majorEastAsia" w:hAnsi="Arial" w:cstheme="majorBidi"/>
      <w:b/>
      <w:sz w:val="24"/>
    </w:rPr>
  </w:style>
  <w:style w:type="character" w:customStyle="1" w:styleId="Nadpis7Char">
    <w:name w:val="Nadpis 7 Char"/>
    <w:basedOn w:val="Standardnpsmoodstavce"/>
    <w:link w:val="Nadpis7"/>
    <w:uiPriority w:val="9"/>
    <w:rsid w:val="00B96FDD"/>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8C411A"/>
    <w:rPr>
      <w:rFonts w:ascii="Arial" w:eastAsiaTheme="majorEastAsia" w:hAnsi="Arial" w:cstheme="majorBidi"/>
      <w:b/>
      <w:color w:val="0D0D0D" w:themeColor="text1" w:themeTint="F2"/>
      <w:sz w:val="24"/>
      <w:szCs w:val="21"/>
    </w:rPr>
  </w:style>
  <w:style w:type="character" w:customStyle="1" w:styleId="Nadpis9Char">
    <w:name w:val="Nadpis 9 Char"/>
    <w:basedOn w:val="Standardnpsmoodstavce"/>
    <w:link w:val="Nadpis9"/>
    <w:uiPriority w:val="9"/>
    <w:semiHidden/>
    <w:rsid w:val="0043215C"/>
    <w:rPr>
      <w:rFonts w:ascii="Arial" w:eastAsiaTheme="majorEastAsia" w:hAnsi="Arial" w:cstheme="majorBidi"/>
      <w:iCs/>
      <w:color w:val="272727" w:themeColor="text1" w:themeTint="D8"/>
      <w:sz w:val="24"/>
      <w:szCs w:val="21"/>
    </w:rPr>
  </w:style>
  <w:style w:type="character" w:styleId="Odkaznakoment">
    <w:name w:val="annotation reference"/>
    <w:basedOn w:val="Standardnpsmoodstavce"/>
    <w:uiPriority w:val="99"/>
    <w:semiHidden/>
    <w:unhideWhenUsed/>
    <w:qFormat/>
    <w:rsid w:val="0043215C"/>
    <w:rPr>
      <w:sz w:val="16"/>
      <w:szCs w:val="16"/>
    </w:rPr>
  </w:style>
  <w:style w:type="paragraph" w:styleId="Odstavecseseznamem">
    <w:name w:val="List Paragraph"/>
    <w:basedOn w:val="Normln"/>
    <w:link w:val="OdstavecseseznamemChar"/>
    <w:uiPriority w:val="99"/>
    <w:qFormat/>
    <w:rsid w:val="0043215C"/>
    <w:pPr>
      <w:ind w:left="720"/>
      <w:contextualSpacing/>
      <w:jc w:val="left"/>
    </w:pPr>
    <w:rPr>
      <w:rFonts w:ascii="Calibri" w:eastAsia="Calibri" w:hAnsi="Calibri" w:cs="Times New Roman"/>
      <w:sz w:val="22"/>
    </w:rPr>
  </w:style>
  <w:style w:type="paragraph" w:styleId="Textkomente">
    <w:name w:val="annotation text"/>
    <w:basedOn w:val="Normln"/>
    <w:link w:val="TextkomenteChar"/>
    <w:uiPriority w:val="99"/>
    <w:unhideWhenUsed/>
    <w:qFormat/>
    <w:rsid w:val="0043215C"/>
    <w:rPr>
      <w:sz w:val="20"/>
      <w:szCs w:val="20"/>
    </w:rPr>
  </w:style>
  <w:style w:type="character" w:customStyle="1" w:styleId="TextkomenteChar">
    <w:name w:val="Text komentáře Char"/>
    <w:basedOn w:val="Standardnpsmoodstavce"/>
    <w:link w:val="Textkomente"/>
    <w:uiPriority w:val="99"/>
    <w:rsid w:val="0043215C"/>
    <w:rPr>
      <w:rFonts w:ascii="Arial" w:hAnsi="Arial"/>
      <w:sz w:val="20"/>
      <w:szCs w:val="20"/>
    </w:rPr>
  </w:style>
  <w:style w:type="paragraph" w:styleId="Pedmtkomente">
    <w:name w:val="annotation subject"/>
    <w:basedOn w:val="Textkomente"/>
    <w:next w:val="Textkomente"/>
    <w:link w:val="PedmtkomenteChar"/>
    <w:uiPriority w:val="99"/>
    <w:semiHidden/>
    <w:unhideWhenUsed/>
    <w:rsid w:val="0043215C"/>
    <w:rPr>
      <w:b/>
      <w:bCs/>
    </w:rPr>
  </w:style>
  <w:style w:type="character" w:customStyle="1" w:styleId="PedmtkomenteChar">
    <w:name w:val="Předmět komentáře Char"/>
    <w:basedOn w:val="TextkomenteChar"/>
    <w:link w:val="Pedmtkomente"/>
    <w:uiPriority w:val="99"/>
    <w:semiHidden/>
    <w:rsid w:val="0043215C"/>
    <w:rPr>
      <w:rFonts w:ascii="Arial" w:hAnsi="Arial"/>
      <w:b/>
      <w:bCs/>
      <w:sz w:val="20"/>
      <w:szCs w:val="20"/>
    </w:rPr>
  </w:style>
  <w:style w:type="paragraph" w:styleId="Textbubliny">
    <w:name w:val="Balloon Text"/>
    <w:basedOn w:val="Normln"/>
    <w:link w:val="TextbublinyChar"/>
    <w:uiPriority w:val="99"/>
    <w:semiHidden/>
    <w:unhideWhenUsed/>
    <w:rsid w:val="0043215C"/>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3215C"/>
    <w:rPr>
      <w:rFonts w:ascii="Segoe UI" w:hAnsi="Segoe UI" w:cs="Segoe UI"/>
      <w:sz w:val="18"/>
      <w:szCs w:val="18"/>
    </w:rPr>
  </w:style>
  <w:style w:type="paragraph" w:styleId="Titulek">
    <w:name w:val="caption"/>
    <w:basedOn w:val="Normln"/>
    <w:next w:val="Normln"/>
    <w:uiPriority w:val="35"/>
    <w:unhideWhenUsed/>
    <w:qFormat/>
    <w:rsid w:val="0043215C"/>
    <w:pPr>
      <w:spacing w:after="200"/>
    </w:pPr>
    <w:rPr>
      <w:i/>
      <w:iCs/>
      <w:szCs w:val="18"/>
    </w:rPr>
  </w:style>
  <w:style w:type="character" w:customStyle="1" w:styleId="OdstavecseseznamemChar">
    <w:name w:val="Odstavec se seznamem Char"/>
    <w:link w:val="Odstavecseseznamem"/>
    <w:uiPriority w:val="99"/>
    <w:locked/>
    <w:rsid w:val="00A93C91"/>
    <w:rPr>
      <w:rFonts w:ascii="Calibri" w:eastAsia="Calibri" w:hAnsi="Calibri" w:cs="Times New Roman"/>
    </w:rPr>
  </w:style>
  <w:style w:type="paragraph" w:customStyle="1" w:styleId="gmail-msolistparagraph">
    <w:name w:val="gmail-msolistparagraph"/>
    <w:basedOn w:val="Normln"/>
    <w:uiPriority w:val="99"/>
    <w:rsid w:val="00A93C91"/>
    <w:pPr>
      <w:spacing w:before="100" w:beforeAutospacing="1" w:after="100" w:afterAutospacing="1"/>
      <w:jc w:val="left"/>
    </w:pPr>
    <w:rPr>
      <w:rFonts w:ascii="Times New Roman" w:hAnsi="Times New Roman" w:cs="Times New Roman"/>
      <w:szCs w:val="24"/>
      <w:lang w:eastAsia="cs-CZ"/>
    </w:rPr>
  </w:style>
  <w:style w:type="paragraph" w:styleId="Textpoznpodarou">
    <w:name w:val="footnote text"/>
    <w:basedOn w:val="Normln"/>
    <w:link w:val="TextpoznpodarouChar"/>
    <w:uiPriority w:val="99"/>
    <w:unhideWhenUsed/>
    <w:rsid w:val="006229D8"/>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rsid w:val="006229D8"/>
    <w:rPr>
      <w:sz w:val="20"/>
      <w:szCs w:val="20"/>
    </w:rPr>
  </w:style>
  <w:style w:type="character" w:styleId="Znakapoznpodarou">
    <w:name w:val="footnote reference"/>
    <w:basedOn w:val="Standardnpsmoodstavce"/>
    <w:uiPriority w:val="99"/>
    <w:semiHidden/>
    <w:unhideWhenUsed/>
    <w:rsid w:val="006229D8"/>
    <w:rPr>
      <w:vertAlign w:val="superscript"/>
    </w:rPr>
  </w:style>
  <w:style w:type="paragraph" w:styleId="Zhlav">
    <w:name w:val="header"/>
    <w:basedOn w:val="Normln"/>
    <w:link w:val="ZhlavChar"/>
    <w:uiPriority w:val="99"/>
    <w:unhideWhenUsed/>
    <w:rsid w:val="007C0EBD"/>
    <w:pPr>
      <w:tabs>
        <w:tab w:val="center" w:pos="4536"/>
        <w:tab w:val="right" w:pos="9072"/>
      </w:tabs>
      <w:spacing w:after="0"/>
    </w:pPr>
  </w:style>
  <w:style w:type="character" w:customStyle="1" w:styleId="ZhlavChar">
    <w:name w:val="Záhlaví Char"/>
    <w:basedOn w:val="Standardnpsmoodstavce"/>
    <w:link w:val="Zhlav"/>
    <w:uiPriority w:val="99"/>
    <w:rsid w:val="007C0EBD"/>
    <w:rPr>
      <w:rFonts w:ascii="Arial" w:hAnsi="Arial"/>
      <w:sz w:val="24"/>
    </w:rPr>
  </w:style>
  <w:style w:type="paragraph" w:styleId="Zpat">
    <w:name w:val="footer"/>
    <w:basedOn w:val="Normln"/>
    <w:link w:val="ZpatChar"/>
    <w:uiPriority w:val="99"/>
    <w:unhideWhenUsed/>
    <w:rsid w:val="007C0EBD"/>
    <w:pPr>
      <w:tabs>
        <w:tab w:val="center" w:pos="4536"/>
        <w:tab w:val="right" w:pos="9072"/>
      </w:tabs>
      <w:spacing w:after="0"/>
    </w:pPr>
  </w:style>
  <w:style w:type="character" w:customStyle="1" w:styleId="ZpatChar">
    <w:name w:val="Zápatí Char"/>
    <w:basedOn w:val="Standardnpsmoodstavce"/>
    <w:link w:val="Zpat"/>
    <w:uiPriority w:val="99"/>
    <w:rsid w:val="007C0EBD"/>
    <w:rPr>
      <w:rFonts w:ascii="Arial" w:hAnsi="Arial"/>
      <w:sz w:val="24"/>
    </w:rPr>
  </w:style>
  <w:style w:type="paragraph" w:styleId="Seznamobrzk">
    <w:name w:val="table of figures"/>
    <w:basedOn w:val="Normln"/>
    <w:next w:val="Normln"/>
    <w:uiPriority w:val="99"/>
    <w:unhideWhenUsed/>
    <w:rsid w:val="00E87E0B"/>
    <w:pPr>
      <w:spacing w:after="0"/>
    </w:pPr>
  </w:style>
  <w:style w:type="paragraph" w:styleId="Revize">
    <w:name w:val="Revision"/>
    <w:hidden/>
    <w:uiPriority w:val="99"/>
    <w:semiHidden/>
    <w:rsid w:val="00EE6AF3"/>
    <w:pPr>
      <w:spacing w:after="0" w:line="240" w:lineRule="auto"/>
    </w:pPr>
    <w:rPr>
      <w:rFonts w:ascii="Arial" w:hAnsi="Arial"/>
      <w:sz w:val="24"/>
    </w:rPr>
  </w:style>
  <w:style w:type="paragraph" w:styleId="Obsah2">
    <w:name w:val="toc 2"/>
    <w:basedOn w:val="Normln"/>
    <w:next w:val="Normln"/>
    <w:autoRedefine/>
    <w:uiPriority w:val="39"/>
    <w:unhideWhenUsed/>
    <w:rsid w:val="001E41C9"/>
    <w:pPr>
      <w:spacing w:after="100"/>
      <w:ind w:left="240"/>
    </w:pPr>
  </w:style>
  <w:style w:type="paragraph" w:styleId="Obsah3">
    <w:name w:val="toc 3"/>
    <w:basedOn w:val="Normln"/>
    <w:next w:val="Normln"/>
    <w:autoRedefine/>
    <w:uiPriority w:val="39"/>
    <w:unhideWhenUsed/>
    <w:rsid w:val="001E41C9"/>
    <w:pPr>
      <w:spacing w:after="100"/>
      <w:ind w:left="480"/>
    </w:pPr>
  </w:style>
  <w:style w:type="paragraph" w:styleId="Obsah5">
    <w:name w:val="toc 5"/>
    <w:basedOn w:val="Normln"/>
    <w:next w:val="Normln"/>
    <w:autoRedefine/>
    <w:uiPriority w:val="39"/>
    <w:unhideWhenUsed/>
    <w:rsid w:val="001E41C9"/>
    <w:pPr>
      <w:spacing w:after="100"/>
      <w:ind w:left="960"/>
    </w:pPr>
  </w:style>
  <w:style w:type="paragraph" w:styleId="Obsah6">
    <w:name w:val="toc 6"/>
    <w:basedOn w:val="Normln"/>
    <w:next w:val="Normln"/>
    <w:autoRedefine/>
    <w:uiPriority w:val="39"/>
    <w:unhideWhenUsed/>
    <w:rsid w:val="001E41C9"/>
    <w:pPr>
      <w:spacing w:after="100"/>
      <w:ind w:left="1200"/>
    </w:pPr>
  </w:style>
  <w:style w:type="paragraph" w:styleId="Obsah4">
    <w:name w:val="toc 4"/>
    <w:basedOn w:val="Normln"/>
    <w:next w:val="Normln"/>
    <w:autoRedefine/>
    <w:uiPriority w:val="39"/>
    <w:unhideWhenUsed/>
    <w:rsid w:val="001E41C9"/>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41D93-3939-4444-BB02-FD9D672E8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11419</Words>
  <Characters>67378</Characters>
  <Application>Microsoft Office Word</Application>
  <DocSecurity>0</DocSecurity>
  <Lines>561</Lines>
  <Paragraphs>157</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78640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Kopecký Josef</dc:creator>
  <cp:keywords/>
  <dc:description/>
  <cp:lastModifiedBy>Nespěšná Petra Mgr. Bc.</cp:lastModifiedBy>
  <cp:revision>3</cp:revision>
  <dcterms:created xsi:type="dcterms:W3CDTF">2021-06-03T09:32:00Z</dcterms:created>
  <dcterms:modified xsi:type="dcterms:W3CDTF">2021-06-03T09:44:00Z</dcterms:modified>
</cp:coreProperties>
</file>