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6D18E" w14:textId="2C3CD430" w:rsidR="007029FF" w:rsidRDefault="007029FF" w:rsidP="00F22466">
      <w:pPr>
        <w:pStyle w:val="Nadpis2"/>
        <w:numPr>
          <w:ilvl w:val="0"/>
          <w:numId w:val="0"/>
        </w:numPr>
        <w:ind w:left="578"/>
      </w:pPr>
      <w:bookmarkStart w:id="0" w:name="_Toc71631356"/>
      <w:bookmarkStart w:id="1" w:name="_Toc73532025"/>
      <w:bookmarkStart w:id="2" w:name="_Toc73532063"/>
      <w:bookmarkStart w:id="3" w:name="_Toc73608160"/>
      <w:r>
        <w:t>Dozor</w:t>
      </w:r>
      <w:bookmarkEnd w:id="0"/>
      <w:bookmarkEnd w:id="1"/>
      <w:bookmarkEnd w:id="2"/>
      <w:bookmarkEnd w:id="3"/>
    </w:p>
    <w:p w14:paraId="775F9CA6" w14:textId="77777777" w:rsidR="00A14435" w:rsidRPr="0010145E" w:rsidRDefault="00A14435" w:rsidP="00F22466">
      <w:pPr>
        <w:pStyle w:val="Nadpis3"/>
      </w:pPr>
      <w:bookmarkStart w:id="4" w:name="_Toc73532026"/>
      <w:bookmarkStart w:id="5" w:name="_Toc73608161"/>
      <w:r w:rsidRPr="0010145E">
        <w:t>Konkrétní popis regulac</w:t>
      </w:r>
      <w:r>
        <w:t>e obsažené v zákoně o </w:t>
      </w:r>
      <w:r w:rsidRPr="0010145E">
        <w:t>loteriích</w:t>
      </w:r>
      <w:bookmarkEnd w:id="4"/>
      <w:bookmarkEnd w:id="5"/>
    </w:p>
    <w:p w14:paraId="2A098564" w14:textId="0DE43D50" w:rsidR="00A14435" w:rsidRPr="00BA709D" w:rsidRDefault="00A14435" w:rsidP="00A14435">
      <w:r>
        <w:t>Z</w:t>
      </w:r>
      <w:r w:rsidRPr="007F23A7">
        <w:t>ákon o loteriích</w:t>
      </w:r>
      <w:r w:rsidRPr="00DB060C">
        <w:t xml:space="preserve"> </w:t>
      </w:r>
      <w:r w:rsidRPr="007F23A7">
        <w:t xml:space="preserve">koncepci správního dozoru nad </w:t>
      </w:r>
      <w:r>
        <w:t xml:space="preserve">rámec </w:t>
      </w:r>
      <w:r w:rsidR="007931D7">
        <w:t xml:space="preserve">kontrolního řádu </w:t>
      </w:r>
      <w:r w:rsidRPr="007F23A7">
        <w:t>neupravoval, s výjimkou ustanovení</w:t>
      </w:r>
      <w:r w:rsidRPr="00DB060C">
        <w:t xml:space="preserve"> </w:t>
      </w:r>
      <w:r w:rsidRPr="00123A2F">
        <w:t xml:space="preserve">obsahujícího oprávnění </w:t>
      </w:r>
      <w:r>
        <w:t xml:space="preserve">dozorujícího orgánu </w:t>
      </w:r>
      <w:r w:rsidRPr="00123A2F">
        <w:t xml:space="preserve">k přístupu k záznamům pořízeným monitorovacím </w:t>
      </w:r>
      <w:r>
        <w:t>zařízením v kasinu, oprávnění k </w:t>
      </w:r>
      <w:r w:rsidRPr="00123A2F">
        <w:t>dočasnému pozastavení provozování hry nebo povinnosti účasti dozor</w:t>
      </w:r>
      <w:r>
        <w:t>ujícího</w:t>
      </w:r>
      <w:r w:rsidRPr="00123A2F">
        <w:t xml:space="preserve"> orgánu na slosováních stanoveného okruhu loterií a </w:t>
      </w:r>
      <w:r>
        <w:t xml:space="preserve">rovněž i </w:t>
      </w:r>
      <w:r w:rsidRPr="00123A2F">
        <w:t>tombol. Zároveň</w:t>
      </w:r>
      <w:r w:rsidRPr="00DB060C">
        <w:t xml:space="preserve"> podmínky pro výkon dozoru byly značně </w:t>
      </w:r>
      <w:r>
        <w:t>nepřehledné</w:t>
      </w:r>
      <w:r w:rsidRPr="00DB060C">
        <w:t xml:space="preserve">, neboť </w:t>
      </w:r>
      <w:r>
        <w:t xml:space="preserve">příslušnost k výkonu </w:t>
      </w:r>
      <w:r w:rsidRPr="00A23AFD">
        <w:t>dozoru</w:t>
      </w:r>
      <w:r w:rsidRPr="00BA709D">
        <w:t xml:space="preserve"> byla </w:t>
      </w:r>
      <w:r>
        <w:t xml:space="preserve">delegována na obecní, krajské, </w:t>
      </w:r>
      <w:r w:rsidRPr="00BA709D">
        <w:t>finanční úřady</w:t>
      </w:r>
      <w:r>
        <w:t xml:space="preserve"> a Ministerstvo financí</w:t>
      </w:r>
      <w:r w:rsidRPr="00BA709D">
        <w:t>.</w:t>
      </w:r>
    </w:p>
    <w:p w14:paraId="4A4F152F" w14:textId="61B97482" w:rsidR="00A14435" w:rsidRPr="0027235D" w:rsidRDefault="00A14435" w:rsidP="00A14435">
      <w:r w:rsidRPr="00A23AFD">
        <w:t>Správní dozor byl vykonáván vůči prov</w:t>
      </w:r>
      <w:bookmarkStart w:id="6" w:name="_GoBack"/>
      <w:bookmarkEnd w:id="6"/>
      <w:r w:rsidRPr="00A23AFD">
        <w:t>ozovatelům</w:t>
      </w:r>
      <w:r w:rsidRPr="0027235D">
        <w:t xml:space="preserve"> loterií a jiných podobných her, jimiž byly nejen právnické osoby se sídlem na území České republiky, kterým oprávněný orgán vydal povolení k provozování loter</w:t>
      </w:r>
      <w:r>
        <w:t>ie nebo jiné podobné hry, ale i </w:t>
      </w:r>
      <w:r w:rsidRPr="0027235D">
        <w:t xml:space="preserve">osoby provozující tzv. spotřebitelské soutěže na základě </w:t>
      </w:r>
      <w:r>
        <w:t>oznamovací povinnosti, stejně tak jako i</w:t>
      </w:r>
      <w:r w:rsidRPr="0027235D">
        <w:t xml:space="preserve"> osoby provozující loterie nebo jiné podobné </w:t>
      </w:r>
      <w:r w:rsidR="008D59F9">
        <w:t xml:space="preserve">hry nelegálně, tedy bez </w:t>
      </w:r>
      <w:r w:rsidRPr="0027235D">
        <w:t xml:space="preserve">potřebného povolení nebo bez učinění ohlášení. </w:t>
      </w:r>
      <w:r w:rsidRPr="00A23AFD">
        <w:t>Správní dozor byl rovněž vykonáván i vůči osobám účastnícím se sázek v zahraničí, při nichž byly sázky placeny do zahraničí.</w:t>
      </w:r>
    </w:p>
    <w:p w14:paraId="56EC8D54" w14:textId="770D8BEB" w:rsidR="00A14435" w:rsidRDefault="00A14435" w:rsidP="00A14435">
      <w:r w:rsidRPr="003778D2">
        <w:t xml:space="preserve">Podle úpravy obsažené v zákoně o loteriích správní dozor, v návaznosti na tímto zákonem určené druhy her, </w:t>
      </w:r>
      <w:r w:rsidRPr="008417B5">
        <w:t>vykonávaly</w:t>
      </w:r>
      <w:r w:rsidR="00B641BA">
        <w:t xml:space="preserve"> </w:t>
      </w:r>
      <w:r w:rsidRPr="008417B5">
        <w:t>i) obce v pří</w:t>
      </w:r>
      <w:r>
        <w:t>padech, kdy vydávaly povolení k </w:t>
      </w:r>
      <w:r w:rsidRPr="008417B5">
        <w:t>provozování loterií a jiných podobných her</w:t>
      </w:r>
      <w:r w:rsidRPr="008417B5">
        <w:rPr>
          <w:rStyle w:val="Znakapoznpodarou"/>
          <w:rFonts w:cs="Arial"/>
          <w:szCs w:val="24"/>
        </w:rPr>
        <w:footnoteReference w:id="1"/>
      </w:r>
      <w:r w:rsidRPr="00B77089">
        <w:t>;</w:t>
      </w:r>
      <w:r w:rsidRPr="008417B5">
        <w:t xml:space="preserve"> ii)</w:t>
      </w:r>
      <w:r w:rsidR="00F07B57">
        <w:t xml:space="preserve"> krajské úřady v případech, kdy</w:t>
      </w:r>
      <w:r w:rsidR="008D59F9">
        <w:t xml:space="preserve"> </w:t>
      </w:r>
      <w:r w:rsidRPr="008417B5">
        <w:t>vydávaly povolení k provozování loterií a jiných podobných her</w:t>
      </w:r>
      <w:r w:rsidRPr="00B77089">
        <w:t>; iii</w:t>
      </w:r>
      <w:r w:rsidRPr="008417B5">
        <w:t>)</w:t>
      </w:r>
      <w:r>
        <w:t xml:space="preserve"> </w:t>
      </w:r>
      <w:r w:rsidRPr="005C6D0D">
        <w:t>příslušné finanční</w:t>
      </w:r>
      <w:r>
        <w:t xml:space="preserve"> úřady, v </w:t>
      </w:r>
      <w:r w:rsidRPr="005C6D0D">
        <w:t>jejichž územním obvodu se nacháze</w:t>
      </w:r>
      <w:r>
        <w:t>ly</w:t>
      </w:r>
      <w:r w:rsidRPr="005C6D0D">
        <w:t xml:space="preserve"> jednotlivé provozovny </w:t>
      </w:r>
      <w:r>
        <w:t>(</w:t>
      </w:r>
      <w:r w:rsidR="00F07B57">
        <w:t>v </w:t>
      </w:r>
      <w:r w:rsidRPr="005C6D0D">
        <w:t>případech, kdy povolení k provozování loterií a jiných podobných her vydávalo Ministerstvo financí</w:t>
      </w:r>
      <w:r w:rsidRPr="008B2954">
        <w:t>)</w:t>
      </w:r>
      <w:r w:rsidRPr="00B77089">
        <w:t>;</w:t>
      </w:r>
      <w:r w:rsidRPr="008B2954">
        <w:t xml:space="preserve"> iv)</w:t>
      </w:r>
      <w:r w:rsidRPr="00AE7131">
        <w:rPr>
          <w:b/>
        </w:rPr>
        <w:t xml:space="preserve"> </w:t>
      </w:r>
      <w:r w:rsidRPr="00AE7131">
        <w:t>Minist</w:t>
      </w:r>
      <w:r w:rsidRPr="00D1563A">
        <w:t xml:space="preserve">erstvo financí, </w:t>
      </w:r>
      <w:r>
        <w:t xml:space="preserve">které </w:t>
      </w:r>
      <w:r w:rsidRPr="005C6D0D">
        <w:t xml:space="preserve">bylo oprávněno vykonávat dozor vůči všem provozovatelům loterií a jiných podobných her. </w:t>
      </w:r>
    </w:p>
    <w:p w14:paraId="4BF6C6E0" w14:textId="652E9EA2" w:rsidR="00A14435" w:rsidRDefault="00A14435" w:rsidP="00214A28">
      <w:pPr>
        <w:pStyle w:val="Nadpis3"/>
      </w:pPr>
      <w:bookmarkStart w:id="7" w:name="_Toc73532027"/>
      <w:bookmarkStart w:id="8" w:name="_Toc73608162"/>
      <w:r>
        <w:t>Konkrétní pop</w:t>
      </w:r>
      <w:r w:rsidR="00F14165">
        <w:t>is regulace obsažené v zákoně o </w:t>
      </w:r>
      <w:r>
        <w:t>hazardních hrách</w:t>
      </w:r>
      <w:bookmarkEnd w:id="7"/>
      <w:bookmarkEnd w:id="8"/>
    </w:p>
    <w:p w14:paraId="553866C6" w14:textId="2AA832EF" w:rsidR="00A14435" w:rsidRPr="00FF2848" w:rsidRDefault="00A14435" w:rsidP="00A14435">
      <w:pPr>
        <w:rPr>
          <w:rFonts w:eastAsia="Times New Roman"/>
          <w:lang w:eastAsia="cs-CZ"/>
        </w:rPr>
      </w:pPr>
      <w:r w:rsidRPr="00FF2848">
        <w:t xml:space="preserve">Zákon o hazardních hrách obsahuje </w:t>
      </w:r>
      <w:r>
        <w:t>právní úpravu v oblasti výkonu</w:t>
      </w:r>
      <w:r w:rsidRPr="00FF2848">
        <w:t xml:space="preserve"> dozoru</w:t>
      </w:r>
      <w:r w:rsidR="003430EF">
        <w:t xml:space="preserve"> nad </w:t>
      </w:r>
      <w:r>
        <w:t xml:space="preserve">provozováním hazardních her </w:t>
      </w:r>
      <w:r w:rsidR="00E34408">
        <w:t xml:space="preserve">v části desáté. </w:t>
      </w:r>
      <w:r w:rsidRPr="0017121F">
        <w:rPr>
          <w:b/>
        </w:rPr>
        <w:t>Okruh dozorujících orgánů</w:t>
      </w:r>
      <w:r>
        <w:t xml:space="preserve"> se, v </w:t>
      </w:r>
      <w:r w:rsidRPr="00FF2848">
        <w:t>porovnání se zákonem o loteriích, zcela zásadně zúžil.</w:t>
      </w:r>
      <w:r>
        <w:t xml:space="preserve"> </w:t>
      </w:r>
      <w:r w:rsidRPr="00FF2848">
        <w:t>Z dozorujících orgánů stanovených zákonem o loteriích</w:t>
      </w:r>
      <w:r>
        <w:t xml:space="preserve"> ponechal zákon o hazardních hrách</w:t>
      </w:r>
      <w:r w:rsidRPr="00FF2848">
        <w:t xml:space="preserve"> pouze </w:t>
      </w:r>
      <w:r w:rsidRPr="0017121F">
        <w:rPr>
          <w:b/>
        </w:rPr>
        <w:t>Ministerstvo financí</w:t>
      </w:r>
      <w:r w:rsidRPr="00FF2848">
        <w:t xml:space="preserve"> a namísto dřívějších dozorujícíc</w:t>
      </w:r>
      <w:r>
        <w:t>h orgánů (obecních, krajských a </w:t>
      </w:r>
      <w:r w:rsidRPr="00FF2848">
        <w:t xml:space="preserve">finančních úřadů) byl dozor </w:t>
      </w:r>
      <w:r w:rsidRPr="0017121F">
        <w:rPr>
          <w:b/>
        </w:rPr>
        <w:t xml:space="preserve">nově svěřen </w:t>
      </w:r>
      <w:r w:rsidR="00B641BA" w:rsidRPr="0017121F">
        <w:rPr>
          <w:b/>
        </w:rPr>
        <w:t>orgánům celní správy</w:t>
      </w:r>
      <w:r w:rsidRPr="0017121F">
        <w:rPr>
          <w:b/>
        </w:rPr>
        <w:t xml:space="preserve"> </w:t>
      </w:r>
      <w:r>
        <w:t>(Generálnímu ředitelství cel</w:t>
      </w:r>
      <w:r>
        <w:rPr>
          <w:rStyle w:val="Znakapoznpodarou"/>
        </w:rPr>
        <w:footnoteReference w:id="2"/>
      </w:r>
      <w:r>
        <w:t xml:space="preserve"> a </w:t>
      </w:r>
      <w:r w:rsidRPr="00FF2848">
        <w:t>celním úřadům</w:t>
      </w:r>
      <w:r>
        <w:t>)</w:t>
      </w:r>
      <w:r w:rsidRPr="00FF2848">
        <w:t>. K</w:t>
      </w:r>
      <w:r>
        <w:t> této změně</w:t>
      </w:r>
      <w:r w:rsidRPr="00FF2848">
        <w:t xml:space="preserve"> </w:t>
      </w:r>
      <w:r>
        <w:t xml:space="preserve">bylo mimo jiné </w:t>
      </w:r>
      <w:r w:rsidR="008D59F9">
        <w:t xml:space="preserve">přistoupeno proto, aby </w:t>
      </w:r>
      <w:r w:rsidRPr="00FF2848">
        <w:t>dozor nad provozováním společensky rizikov</w:t>
      </w:r>
      <w:r>
        <w:t>ých</w:t>
      </w:r>
      <w:r w:rsidRPr="00FF2848">
        <w:t xml:space="preserve"> hazardních her byl více koncentrován</w:t>
      </w:r>
      <w:r>
        <w:t xml:space="preserve"> a</w:t>
      </w:r>
      <w:r w:rsidRPr="00FF2848">
        <w:t xml:space="preserve"> tedy méně roztříštěný, než tomu bylo za účinnosti zákona o loteriích</w:t>
      </w:r>
      <w:r>
        <w:t>. Dalším důvodem pak bylo</w:t>
      </w:r>
      <w:r w:rsidRPr="00FF2848">
        <w:t xml:space="preserve"> vytvořen</w:t>
      </w:r>
      <w:r>
        <w:t>í</w:t>
      </w:r>
      <w:r w:rsidRPr="00FF2848">
        <w:t xml:space="preserve"> předpoklad</w:t>
      </w:r>
      <w:r>
        <w:t>ů</w:t>
      </w:r>
      <w:r w:rsidRPr="00FF2848">
        <w:t xml:space="preserve"> </w:t>
      </w:r>
      <w:r>
        <w:t xml:space="preserve">a podmínek </w:t>
      </w:r>
      <w:r w:rsidRPr="00FF2848">
        <w:t>pro zajištění</w:t>
      </w:r>
      <w:r>
        <w:t xml:space="preserve"> konzistentního, objektivního a </w:t>
      </w:r>
      <w:r w:rsidRPr="00FF2848">
        <w:t xml:space="preserve">uceleného výkonu dozoru. </w:t>
      </w:r>
    </w:p>
    <w:p w14:paraId="6FCBAD3E" w14:textId="0479B10B" w:rsidR="00A14435" w:rsidRPr="00FF2848" w:rsidRDefault="00A14435" w:rsidP="00A14435">
      <w:r w:rsidRPr="00436CD0">
        <w:lastRenderedPageBreak/>
        <w:t>Ministerstvo financí, celní úřady a Generální ředitelství cel jsou oprávněny vykonávat dozor</w:t>
      </w:r>
      <w:r w:rsidRPr="00FF2848">
        <w:t xml:space="preserve"> v celém rozsahu </w:t>
      </w:r>
      <w:r>
        <w:t xml:space="preserve">uvedeném v zákoně o hazardních hrách, a to </w:t>
      </w:r>
      <w:r w:rsidRPr="00FF2848">
        <w:t>vůči všem dozorovaným osobám, kterými jsou nejen provozovate</w:t>
      </w:r>
      <w:r>
        <w:t>lé hazardních her, ale rovněž i </w:t>
      </w:r>
      <w:r w:rsidRPr="00FF2848">
        <w:t>poskytovatelé připojení k internetu a poskytovatelé platebních služeb.  Výjimku tvoří pouze dozor u pově</w:t>
      </w:r>
      <w:r w:rsidR="001E3756">
        <w:t>řených</w:t>
      </w:r>
      <w:r w:rsidR="00492485">
        <w:t xml:space="preserve"> osob</w:t>
      </w:r>
      <w:r w:rsidR="001E3756">
        <w:t xml:space="preserve"> k odbornému posuzování a </w:t>
      </w:r>
      <w:r w:rsidRPr="00FF2848">
        <w:t>ověřování</w:t>
      </w:r>
      <w:r>
        <w:t>, neboť k</w:t>
      </w:r>
      <w:r w:rsidRPr="00FF2848">
        <w:t xml:space="preserve"> dozoru u těchto osob je podle </w:t>
      </w:r>
      <w:hyperlink r:id="rId8" w:history="1">
        <w:r w:rsidRPr="00FF2848">
          <w:t>§ 114 písm. g)</w:t>
        </w:r>
      </w:hyperlink>
      <w:r w:rsidR="001E3756">
        <w:t xml:space="preserve"> zákona o </w:t>
      </w:r>
      <w:r w:rsidRPr="00FF2848">
        <w:t>hazardních hrách příslušné pouze Ministerstvo financí.</w:t>
      </w:r>
    </w:p>
    <w:p w14:paraId="73C21244" w14:textId="77777777" w:rsidR="00A14435" w:rsidRPr="003177B0" w:rsidRDefault="00A14435" w:rsidP="00A14435">
      <w:pPr>
        <w:rPr>
          <w:rFonts w:eastAsia="Times New Roman"/>
          <w:lang w:eastAsia="cs-CZ"/>
        </w:rPr>
      </w:pPr>
      <w:r w:rsidRPr="00FF2848">
        <w:rPr>
          <w:color w:val="000000" w:themeColor="text1"/>
        </w:rPr>
        <w:t xml:space="preserve">Ministerstvo financí, celní úřady a Generální ředitelství cel tedy vykonávají dozor nad dodržováním </w:t>
      </w:r>
      <w:r>
        <w:rPr>
          <w:color w:val="000000" w:themeColor="text1"/>
        </w:rPr>
        <w:t xml:space="preserve">i) </w:t>
      </w:r>
      <w:r w:rsidRPr="00FF2848">
        <w:rPr>
          <w:color w:val="000000" w:themeColor="text1"/>
        </w:rPr>
        <w:t>zákona o hazardních hrách</w:t>
      </w:r>
      <w:r>
        <w:rPr>
          <w:color w:val="000000" w:themeColor="text1"/>
        </w:rPr>
        <w:t>,</w:t>
      </w:r>
      <w:r w:rsidRPr="00FF2848">
        <w:t xml:space="preserve"> ii) podmínek stanovených v základním povolení a v povolení k umístění herního prostoru</w:t>
      </w:r>
      <w:r>
        <w:t xml:space="preserve"> </w:t>
      </w:r>
      <w:r w:rsidRPr="00FF2848">
        <w:t>a i</w:t>
      </w:r>
      <w:r>
        <w:t>ii</w:t>
      </w:r>
      <w:r w:rsidRPr="00FF2848">
        <w:t xml:space="preserve">) </w:t>
      </w:r>
      <w:r>
        <w:t>náležitostí</w:t>
      </w:r>
      <w:r w:rsidRPr="00FF2848">
        <w:t xml:space="preserve"> </w:t>
      </w:r>
      <w:r>
        <w:t>uvedených v </w:t>
      </w:r>
      <w:r w:rsidRPr="00FF2848">
        <w:t xml:space="preserve">ohlášení hazardní </w:t>
      </w:r>
      <w:r w:rsidRPr="003177B0">
        <w:t xml:space="preserve">hry. Celní úřady </w:t>
      </w:r>
      <w:r w:rsidRPr="003177B0">
        <w:rPr>
          <w:rFonts w:eastAsia="Times New Roman"/>
          <w:lang w:eastAsia="cs-CZ"/>
        </w:rPr>
        <w:t>projednávají přestupky v oblasti provozování hazardních her</w:t>
      </w:r>
      <w:r w:rsidRPr="003177B0">
        <w:rPr>
          <w:rStyle w:val="Znakapoznpodarou"/>
          <w:rFonts w:eastAsia="Times New Roman" w:cs="Arial"/>
          <w:szCs w:val="24"/>
          <w:lang w:eastAsia="cs-CZ"/>
        </w:rPr>
        <w:footnoteReference w:id="3"/>
      </w:r>
      <w:r w:rsidRPr="003177B0">
        <w:rPr>
          <w:rFonts w:eastAsia="Times New Roman"/>
          <w:lang w:eastAsia="cs-CZ"/>
        </w:rPr>
        <w:t>. K projednávání přestupků v oblasti hazardních her provozovaných na internetu je tato kompetence svěřena Celnímu úřadu pro Plzeňský kraj.</w:t>
      </w:r>
    </w:p>
    <w:p w14:paraId="7743A686" w14:textId="4F1DE069" w:rsidR="00A14435" w:rsidRPr="00FF2848" w:rsidRDefault="00A14435" w:rsidP="00A14435">
      <w:r w:rsidRPr="00FF2848">
        <w:t xml:space="preserve">Základní </w:t>
      </w:r>
      <w:r w:rsidRPr="0017121F">
        <w:rPr>
          <w:b/>
        </w:rPr>
        <w:t>skupinou subjektů, vůči kterým je vykonáván dozor</w:t>
      </w:r>
      <w:r w:rsidRPr="00FF2848">
        <w:t xml:space="preserve">, jsou </w:t>
      </w:r>
      <w:r w:rsidRPr="0017121F">
        <w:rPr>
          <w:b/>
        </w:rPr>
        <w:t>provozovatelé hazardních her</w:t>
      </w:r>
      <w:r w:rsidRPr="003177B0">
        <w:t>.</w:t>
      </w:r>
      <w:r w:rsidRPr="00FF2848">
        <w:t xml:space="preserve"> Za provozovatele jsou považovány i) osoby, kterým </w:t>
      </w:r>
      <w:r>
        <w:t xml:space="preserve">Ministerstvo financí </w:t>
      </w:r>
      <w:r w:rsidRPr="00FF2848">
        <w:t>vydal</w:t>
      </w:r>
      <w:r>
        <w:t>o</w:t>
      </w:r>
      <w:r w:rsidRPr="00FF2848">
        <w:t xml:space="preserve"> základní povolení</w:t>
      </w:r>
      <w:r>
        <w:t xml:space="preserve">, </w:t>
      </w:r>
      <w:r w:rsidRPr="00FF2848">
        <w:t xml:space="preserve">popř. </w:t>
      </w:r>
      <w:r>
        <w:t>kterým obecní úřad</w:t>
      </w:r>
      <w:r w:rsidRPr="00FF2848">
        <w:t xml:space="preserve"> vydal povolení k umístění herního prostoru, pokud je k provozování daného druhu </w:t>
      </w:r>
      <w:r>
        <w:t xml:space="preserve">hazardní </w:t>
      </w:r>
      <w:r w:rsidRPr="00FF2848">
        <w:t>hry nezbytné; ii) osoby</w:t>
      </w:r>
      <w:r>
        <w:t xml:space="preserve">, které </w:t>
      </w:r>
      <w:r w:rsidRPr="00FF2848">
        <w:t xml:space="preserve">učinily ohlášení hazardní hry (turnaje malého rozsahu, </w:t>
      </w:r>
      <w:r>
        <w:t>tomboly, u níž výše herní jistiny činí více než 100 000 Kč</w:t>
      </w:r>
      <w:r w:rsidRPr="00FF2848">
        <w:t>); iii) osoby provozující hazardní hry nelegálně (bez základního povolení, povolení k umístění herního prostoru ne</w:t>
      </w:r>
      <w:r>
        <w:t xml:space="preserve">bo bez ohlášení hazardní hry). </w:t>
      </w:r>
      <w:r w:rsidRPr="00FF2848">
        <w:t xml:space="preserve">Dále, vzhledem k tomu, že </w:t>
      </w:r>
      <w:r w:rsidRPr="00436CD0">
        <w:t>obsah pojmu provozování</w:t>
      </w:r>
      <w:r w:rsidRPr="00FF2848">
        <w:t xml:space="preserve"> (uvedený v § 5 zákona o hazardních hrách) je široce vymezen, </w:t>
      </w:r>
      <w:r w:rsidR="00A51CD0">
        <w:t>mohou být dozorovanými osobami n</w:t>
      </w:r>
      <w:r w:rsidRPr="00FF2848">
        <w:t xml:space="preserve">apříklad i </w:t>
      </w:r>
      <w:r w:rsidRPr="0017121F">
        <w:rPr>
          <w:b/>
        </w:rPr>
        <w:t>osoby, které pro nelegální provozovatele her vykonávají dílčí činnosti přímo související s provozováním nelegální hazardní hry</w:t>
      </w:r>
      <w:r>
        <w:t xml:space="preserve"> (např. majitelé i </w:t>
      </w:r>
      <w:r w:rsidRPr="00FF2848">
        <w:t>zaměstnanci pohostinských zařízení, v nich</w:t>
      </w:r>
      <w:r w:rsidR="00BD5E3B">
        <w:t>ž</w:t>
      </w:r>
      <w:r w:rsidRPr="00FF2848">
        <w:t xml:space="preserve"> jsou hazardní hry nelegálně provozovány), nebo například </w:t>
      </w:r>
      <w:r>
        <w:t xml:space="preserve">i </w:t>
      </w:r>
      <w:r w:rsidRPr="0017121F">
        <w:rPr>
          <w:b/>
        </w:rPr>
        <w:t>osoby, které na základě smluvního vztahu nebo z pověření provozovatele vykonávají úkoly přímo související s provozováním hazardní hry</w:t>
      </w:r>
      <w:r w:rsidRPr="00FF2848">
        <w:t xml:space="preserve"> (</w:t>
      </w:r>
      <w:r>
        <w:t xml:space="preserve">např. </w:t>
      </w:r>
      <w:r w:rsidRPr="00FF2848">
        <w:t xml:space="preserve">osoby zajišťující technický </w:t>
      </w:r>
      <w:r>
        <w:t>servis).   Ze zákona o </w:t>
      </w:r>
      <w:r w:rsidRPr="00EC306E">
        <w:t xml:space="preserve">hazardních hrách rovněž vyplývá, že mimo provozovatele hazardních her mohou dozorovanými osobami být například i </w:t>
      </w:r>
      <w:r w:rsidRPr="0017121F">
        <w:rPr>
          <w:b/>
        </w:rPr>
        <w:t>osoby, které se účastní kursové sázky, na jejímž výsledku se přímo podílí</w:t>
      </w:r>
      <w:r w:rsidRPr="00EC306E">
        <w:t xml:space="preserve"> (např. sportovci), případně </w:t>
      </w:r>
      <w:r w:rsidRPr="0017121F">
        <w:rPr>
          <w:b/>
        </w:rPr>
        <w:t>další osoby, na které se vztahuje zákaz sázek</w:t>
      </w:r>
      <w:r w:rsidRPr="00EC306E">
        <w:t xml:space="preserve"> (např. o</w:t>
      </w:r>
      <w:r w:rsidRPr="00EC306E">
        <w:rPr>
          <w:rFonts w:eastAsia="Times New Roman"/>
          <w:lang w:eastAsia="cs-CZ"/>
        </w:rPr>
        <w:t>sob</w:t>
      </w:r>
      <w:r>
        <w:rPr>
          <w:rFonts w:eastAsia="Times New Roman"/>
          <w:lang w:eastAsia="cs-CZ"/>
        </w:rPr>
        <w:t>y</w:t>
      </w:r>
      <w:r w:rsidRPr="00EC306E">
        <w:rPr>
          <w:rFonts w:eastAsia="Times New Roman"/>
          <w:lang w:eastAsia="cs-CZ"/>
        </w:rPr>
        <w:t xml:space="preserve"> stanovující </w:t>
      </w:r>
      <w:r>
        <w:rPr>
          <w:rFonts w:eastAsia="Times New Roman"/>
          <w:lang w:eastAsia="cs-CZ"/>
        </w:rPr>
        <w:t>kursy se nesmí účastnit sázek u </w:t>
      </w:r>
      <w:r w:rsidRPr="00EC306E">
        <w:rPr>
          <w:rFonts w:eastAsia="Times New Roman"/>
          <w:lang w:eastAsia="cs-CZ"/>
        </w:rPr>
        <w:t>provozo</w:t>
      </w:r>
      <w:r>
        <w:rPr>
          <w:rFonts w:eastAsia="Times New Roman"/>
          <w:lang w:eastAsia="cs-CZ"/>
        </w:rPr>
        <w:t>vatele, pro nějž kursy stanovují</w:t>
      </w:r>
      <w:r w:rsidRPr="00EC306E">
        <w:rPr>
          <w:rFonts w:eastAsia="Times New Roman"/>
          <w:lang w:eastAsia="cs-CZ"/>
        </w:rPr>
        <w:t>).</w:t>
      </w:r>
      <w:r w:rsidRPr="00FF2848">
        <w:t xml:space="preserve"> </w:t>
      </w:r>
    </w:p>
    <w:p w14:paraId="79584B34" w14:textId="6591EDD8" w:rsidR="00A14435" w:rsidRPr="00FF2848" w:rsidRDefault="00A14435" w:rsidP="00A14435">
      <w:r w:rsidRPr="00FF2848">
        <w:t>Oproti předchozí právní úpravě</w:t>
      </w:r>
      <w:r w:rsidRPr="00FF2848">
        <w:rPr>
          <w:rStyle w:val="Znakapoznpodarou"/>
          <w:rFonts w:cs="Arial"/>
          <w:szCs w:val="24"/>
        </w:rPr>
        <w:footnoteReference w:id="4"/>
      </w:r>
      <w:r w:rsidRPr="00FF2848">
        <w:t xml:space="preserve"> již není podle zákon</w:t>
      </w:r>
      <w:r w:rsidRPr="002311CE">
        <w:t xml:space="preserve">a o hazardních </w:t>
      </w:r>
      <w:r w:rsidRPr="00FF2848">
        <w:t>hrách vyžadována povinná účast pověřených osob při dozoru</w:t>
      </w:r>
      <w:r w:rsidRPr="00FF2848">
        <w:rPr>
          <w:rStyle w:val="Znakapoznpodarou"/>
          <w:rFonts w:cs="Arial"/>
          <w:szCs w:val="24"/>
        </w:rPr>
        <w:footnoteReference w:id="5"/>
      </w:r>
      <w:r w:rsidRPr="00FF2848">
        <w:t xml:space="preserve"> v případech, kdy je součástí dozoru provádění technické kontroly technických zařízení, a to formou testování</w:t>
      </w:r>
      <w:r w:rsidR="00F87746">
        <w:rPr>
          <w:rStyle w:val="Znakapoznpodarou"/>
        </w:rPr>
        <w:footnoteReference w:id="6"/>
      </w:r>
      <w:r w:rsidRPr="00FF2848">
        <w:t xml:space="preserve">. </w:t>
      </w:r>
    </w:p>
    <w:p w14:paraId="4B49F2B7" w14:textId="3DDACCF4" w:rsidR="00A14435" w:rsidRPr="00FF2848" w:rsidRDefault="00A14435" w:rsidP="00A14435">
      <w:r>
        <w:t xml:space="preserve">Do určité míry </w:t>
      </w:r>
      <w:r w:rsidRPr="0017121F">
        <w:rPr>
          <w:b/>
        </w:rPr>
        <w:t>specifickou skupinu dozorovaných osob tvoří poskytovatelé připojení k internetu</w:t>
      </w:r>
      <w:r>
        <w:t xml:space="preserve">. </w:t>
      </w:r>
      <w:r w:rsidRPr="00FF2848">
        <w:t>Od 1. 1. 2017 jsou poskytovatelé připojení k internetu na území České republiky povinni zamezit v přístupu k interneto</w:t>
      </w:r>
      <w:r w:rsidR="00735867">
        <w:t>vým stránkám uvedeným na</w:t>
      </w:r>
      <w:r w:rsidR="00D95A43">
        <w:t xml:space="preserve"> tzv.</w:t>
      </w:r>
      <w:r w:rsidR="00735867">
        <w:t xml:space="preserve"> </w:t>
      </w:r>
      <w:r w:rsidR="00735867">
        <w:lastRenderedPageBreak/>
        <w:t>black-</w:t>
      </w:r>
      <w:r>
        <w:t>listu</w:t>
      </w:r>
      <w:r w:rsidRPr="00FF2848">
        <w:t>, který vede Ministerstvo financí. Tuto povinnost</w:t>
      </w:r>
      <w:r>
        <w:t xml:space="preserve"> jsou poskytovatelé připojení k </w:t>
      </w:r>
      <w:r w:rsidRPr="00FF2848">
        <w:t xml:space="preserve">internetu povinni splnit ve lhůtě 15 dní ode dne zveřejnění internetové stránky </w:t>
      </w:r>
      <w:r>
        <w:t>na</w:t>
      </w:r>
      <w:r w:rsidR="00D95A43">
        <w:t xml:space="preserve"> tzv.</w:t>
      </w:r>
      <w:r>
        <w:t xml:space="preserve"> black</w:t>
      </w:r>
      <w:r w:rsidR="00735867">
        <w:t>-</w:t>
      </w:r>
      <w:r>
        <w:t>listu</w:t>
      </w:r>
      <w:r w:rsidRPr="00FF2848">
        <w:t xml:space="preserve">. </w:t>
      </w:r>
      <w:r>
        <w:t>Obdobnou</w:t>
      </w:r>
      <w:r w:rsidRPr="00433640">
        <w:t xml:space="preserve"> </w:t>
      </w:r>
      <w:r>
        <w:t xml:space="preserve">specifickou </w:t>
      </w:r>
      <w:r w:rsidRPr="00433640">
        <w:t>skupin</w:t>
      </w:r>
      <w:r>
        <w:t>u</w:t>
      </w:r>
      <w:r w:rsidRPr="00433640">
        <w:t xml:space="preserve"> </w:t>
      </w:r>
      <w:r w:rsidRPr="00FF2848">
        <w:t xml:space="preserve">dozorovaných osob </w:t>
      </w:r>
      <w:r>
        <w:t xml:space="preserve">tvoří </w:t>
      </w:r>
      <w:r w:rsidRPr="0017121F">
        <w:rPr>
          <w:b/>
        </w:rPr>
        <w:t>poskytovatelé platebních služeb</w:t>
      </w:r>
      <w:r w:rsidRPr="00FF2848">
        <w:t>, kteří jsou povinni zamezit provádění platebních transakcí ve prospěch a k tí</w:t>
      </w:r>
      <w:r>
        <w:t>ži pla</w:t>
      </w:r>
      <w:r w:rsidR="00A51CD0">
        <w:t>tebních účtů uvedených na tzv. black</w:t>
      </w:r>
      <w:r w:rsidR="00A51CD0">
        <w:noBreakHyphen/>
      </w:r>
      <w:r>
        <w:t>listu</w:t>
      </w:r>
      <w:r w:rsidRPr="00676927">
        <w:t xml:space="preserve">. </w:t>
      </w:r>
      <w:r w:rsidRPr="00FF2848">
        <w:t xml:space="preserve">Povinnost zamezit provádění platebních transakcí jsou poskytovatelé platebních služeb </w:t>
      </w:r>
      <w:r>
        <w:t xml:space="preserve">povinni zajistit taktéž </w:t>
      </w:r>
      <w:r w:rsidRPr="00FF2848">
        <w:t xml:space="preserve">ve lhůtě 15 dní ode dne zveřejnění jedinečného identifikátoru platebního účtu </w:t>
      </w:r>
      <w:r w:rsidR="00735867">
        <w:t>na black-</w:t>
      </w:r>
      <w:r>
        <w:t>listu</w:t>
      </w:r>
      <w:r w:rsidRPr="00FF2848">
        <w:t xml:space="preserve">. </w:t>
      </w:r>
      <w:r>
        <w:t>Výše uvedené povinnosti poskytovatelů připojení k internetu a poskytovatelů platebních služeb jsou</w:t>
      </w:r>
      <w:r w:rsidRPr="00FF2848">
        <w:t xml:space="preserve"> operativním nástrojem </w:t>
      </w:r>
      <w:r>
        <w:t>zajišťujícím ochranu účastníků hazardních her před nabídkou nelegálních hazardních her, u kterých nelze zaručit dodržování podmínek stanovených v zákoně o</w:t>
      </w:r>
      <w:r w:rsidR="00A51CD0">
        <w:t> </w:t>
      </w:r>
      <w:r>
        <w:t>hazardních hrách, zejména pak v oblasti opatření zodpovědného hraní.</w:t>
      </w:r>
      <w:r w:rsidRPr="00676927">
        <w:t xml:space="preserve"> </w:t>
      </w:r>
    </w:p>
    <w:p w14:paraId="6EF134D0" w14:textId="21629545" w:rsidR="00A14435" w:rsidRPr="00FF2848" w:rsidRDefault="00A14435" w:rsidP="00A14435">
      <w:r w:rsidRPr="0017121F">
        <w:rPr>
          <w:b/>
        </w:rPr>
        <w:t>Pověřenými osobami</w:t>
      </w:r>
      <w:r w:rsidRPr="00FF2848">
        <w:t>, k jejichž kontrole je příslušné výlučně Ministerstv</w:t>
      </w:r>
      <w:r>
        <w:t>o</w:t>
      </w:r>
      <w:r w:rsidRPr="00FF2848">
        <w:t xml:space="preserve"> financí, jsou právnické osoby, které Ministerstvo financí pověřilo k</w:t>
      </w:r>
      <w:r>
        <w:t xml:space="preserve"> odbornému</w:t>
      </w:r>
      <w:r w:rsidRPr="00FF2848">
        <w:t xml:space="preserve"> posuzování</w:t>
      </w:r>
      <w:r>
        <w:t xml:space="preserve"> a osvědčování</w:t>
      </w:r>
      <w:r w:rsidRPr="00FF2848">
        <w:t>, zda hazardní hry a</w:t>
      </w:r>
      <w:r>
        <w:t> zařízení, prostřednictvím kterých jsou hazardní hry provozovány,</w:t>
      </w:r>
      <w:r w:rsidRPr="002311CE">
        <w:t xml:space="preserve"> splňují zákonem </w:t>
      </w:r>
      <w:r w:rsidR="00D63AC1">
        <w:t xml:space="preserve">o hazardních hrách </w:t>
      </w:r>
      <w:r w:rsidRPr="002311CE">
        <w:t>stanovené technické p</w:t>
      </w:r>
      <w:r>
        <w:t xml:space="preserve">arametry. Na základě odborného posouzení </w:t>
      </w:r>
      <w:r w:rsidRPr="00FF2848">
        <w:t xml:space="preserve">pověřené </w:t>
      </w:r>
      <w:r>
        <w:t xml:space="preserve">osoby </w:t>
      </w:r>
      <w:r w:rsidRPr="00FF2848">
        <w:t>vydáv</w:t>
      </w:r>
      <w:r>
        <w:t>ají</w:t>
      </w:r>
      <w:r w:rsidRPr="00FF2848">
        <w:t xml:space="preserve"> výstupní dokument</w:t>
      </w:r>
      <w:r>
        <w:t>y</w:t>
      </w:r>
      <w:r w:rsidRPr="00FF2848">
        <w:t xml:space="preserve"> odborného posouzení a</w:t>
      </w:r>
      <w:r>
        <w:t> </w:t>
      </w:r>
      <w:r w:rsidRPr="002311CE">
        <w:t>osvědčení</w:t>
      </w:r>
      <w:r>
        <w:t>. Prostřednictvím těchto dokumentů pověřené osoby potvrzují, že došlo k </w:t>
      </w:r>
      <w:r w:rsidRPr="002311CE">
        <w:t xml:space="preserve">ověření splnění povinnosti provozovatele hazardní hry </w:t>
      </w:r>
      <w:r>
        <w:t>spočívající v zajištění skutečnosti</w:t>
      </w:r>
      <w:r w:rsidRPr="002311CE">
        <w:t xml:space="preserve">, </w:t>
      </w:r>
      <w:r>
        <w:t>že</w:t>
      </w:r>
      <w:r w:rsidRPr="00FF2848">
        <w:t xml:space="preserve"> druhy hazardních her uvedené v</w:t>
      </w:r>
      <w:r w:rsidR="00C90806">
        <w:t> </w:t>
      </w:r>
      <w:r w:rsidRPr="00FF2848">
        <w:t>§</w:t>
      </w:r>
      <w:r w:rsidR="00C90806">
        <w:rPr>
          <w:b/>
        </w:rPr>
        <w:t> </w:t>
      </w:r>
      <w:r w:rsidRPr="00FF2848">
        <w:t>3 odst. 2 písm. a) až e) zákona o</w:t>
      </w:r>
      <w:r>
        <w:t> </w:t>
      </w:r>
      <w:r w:rsidRPr="002311CE">
        <w:t>hazardních hrách, internetová hra a zařízení, jejichž prostřednictvím jsou tyto hazardní hry provozovány, splň</w:t>
      </w:r>
      <w:r>
        <w:t>ují</w:t>
      </w:r>
      <w:r w:rsidRPr="002311CE">
        <w:t xml:space="preserve"> požadavky zákona o hazardních hrách</w:t>
      </w:r>
      <w:r w:rsidRPr="00FF2848">
        <w:t xml:space="preserve">. </w:t>
      </w:r>
    </w:p>
    <w:p w14:paraId="368403B4" w14:textId="18847CBA" w:rsidR="00A14435" w:rsidRPr="00FF2848" w:rsidRDefault="00A14435" w:rsidP="00A14435">
      <w:r>
        <w:t xml:space="preserve">Při výkonu dozoru v oblasti provozování hazardních her postupují dozorující orgány </w:t>
      </w:r>
      <w:r w:rsidRPr="0017121F">
        <w:rPr>
          <w:b/>
        </w:rPr>
        <w:t>podle kontrolního řádu</w:t>
      </w:r>
      <w:r>
        <w:t xml:space="preserve">. </w:t>
      </w:r>
      <w:r w:rsidRPr="00FF2848">
        <w:t>Vzhledem ke specifikům provozování hazardních her v land-based</w:t>
      </w:r>
      <w:r>
        <w:t xml:space="preserve"> prostředí</w:t>
      </w:r>
      <w:r w:rsidRPr="00FF2848">
        <w:t xml:space="preserve">, zejména pak s ohledem na oblast nelegálně provozovaných hazardních her v tomto prostředí, obsahuje zákon o hazardních hrách </w:t>
      </w:r>
      <w:r w:rsidRPr="0017121F">
        <w:rPr>
          <w:b/>
        </w:rPr>
        <w:t>další zcela nové instrumenty</w:t>
      </w:r>
      <w:r w:rsidRPr="00D31726">
        <w:t xml:space="preserve">, které výrazným způsobem posilují postavení dozorujících orgánů a umožňují vyšší dosažení vymahatelnosti práva. Jedná se o oprávnění, na základě kterých mohou dozorující orgány </w:t>
      </w:r>
      <w:r w:rsidRPr="0017121F">
        <w:rPr>
          <w:b/>
        </w:rPr>
        <w:t>i) vstoupit do prostor, do kterých jsou v</w:t>
      </w:r>
      <w:r w:rsidR="00C90806">
        <w:rPr>
          <w:b/>
        </w:rPr>
        <w:t> </w:t>
      </w:r>
      <w:r w:rsidRPr="0017121F">
        <w:rPr>
          <w:b/>
        </w:rPr>
        <w:t>souvislosti s výkonem dozoru oprávněny vstupovat podle kontrolního řádu, tyto prostory otevřít nebo jiným způsobem si do nich zjednat přístup, a</w:t>
      </w:r>
      <w:r w:rsidR="00C90806">
        <w:rPr>
          <w:b/>
        </w:rPr>
        <w:t> </w:t>
      </w:r>
      <w:r w:rsidRPr="0017121F">
        <w:rPr>
          <w:b/>
        </w:rPr>
        <w:t>to</w:t>
      </w:r>
      <w:r w:rsidR="00C90806">
        <w:rPr>
          <w:b/>
        </w:rPr>
        <w:t> </w:t>
      </w:r>
      <w:r w:rsidRPr="0017121F">
        <w:rPr>
          <w:b/>
        </w:rPr>
        <w:t>v</w:t>
      </w:r>
      <w:r w:rsidR="00C90806">
        <w:rPr>
          <w:b/>
        </w:rPr>
        <w:t> </w:t>
      </w:r>
      <w:r w:rsidRPr="0017121F">
        <w:rPr>
          <w:b/>
        </w:rPr>
        <w:t>případě nutnosti i za použití síly, ii) provádět zkoušky technických zařízení a iii) zadržet věc</w:t>
      </w:r>
      <w:r w:rsidRPr="00D31726">
        <w:t xml:space="preserve">. Výše </w:t>
      </w:r>
      <w:r>
        <w:t>uvedená oprávnění se nicméně nevztahují pouze k provozování v land-base</w:t>
      </w:r>
      <w:r w:rsidR="00C90806">
        <w:t>d</w:t>
      </w:r>
      <w:r>
        <w:t xml:space="preserve"> prostředí, ale je možné je (v přiměřeném rozsahu, s ohledem na povahu internetu) využít rovněž i v případě provozování hazardních her formou on-line. </w:t>
      </w:r>
    </w:p>
    <w:p w14:paraId="018ED8DA" w14:textId="26FFD89C" w:rsidR="00A14435" w:rsidRPr="00FF2848" w:rsidRDefault="00A14435" w:rsidP="00A14435">
      <w:r>
        <w:t>V souvislosti s výkonem dozoru v oblasti provozování</w:t>
      </w:r>
      <w:r w:rsidR="002D3389">
        <w:t xml:space="preserve"> hazardních her</w:t>
      </w:r>
      <w:r>
        <w:t xml:space="preserve"> v land-based prostředí je dále zásadní povinnost provozovatelů </w:t>
      </w:r>
      <w:r w:rsidRPr="00FF2848">
        <w:t>umožn</w:t>
      </w:r>
      <w:r>
        <w:t xml:space="preserve">it </w:t>
      </w:r>
      <w:r w:rsidRPr="00D31726">
        <w:t>příslušnému celnímu úřadu přístup do prostor, kde je umístěno monitorovací zařízení. Provozovatel má rovněž povinnost zpřístupnit celnímu úřadu záznamy pořízené monitorovacím zařízením</w:t>
      </w:r>
      <w:r w:rsidRPr="00FF2848">
        <w:t xml:space="preserve">, a to i mimo prostor herny nebo kasina. </w:t>
      </w:r>
      <w:r>
        <w:t>Výše uvedená oprávnění tak lze považovat za oprávnění nad rámec běžných oprávnění kontrolních orgánů obsažených v kontrolním řádu.</w:t>
      </w:r>
    </w:p>
    <w:p w14:paraId="610A83A5" w14:textId="77777777" w:rsidR="00E0659B" w:rsidRDefault="00E0659B" w:rsidP="00A14435">
      <w:pPr>
        <w:autoSpaceDE w:val="0"/>
        <w:autoSpaceDN w:val="0"/>
        <w:adjustRightInd w:val="0"/>
        <w:spacing w:after="0"/>
        <w:rPr>
          <w:rFonts w:cs="Arial"/>
          <w:b/>
          <w:color w:val="000000"/>
          <w:szCs w:val="24"/>
        </w:rPr>
      </w:pPr>
    </w:p>
    <w:p w14:paraId="655F3C77" w14:textId="77777777" w:rsidR="00E0659B" w:rsidRDefault="00E0659B" w:rsidP="00A14435">
      <w:pPr>
        <w:autoSpaceDE w:val="0"/>
        <w:autoSpaceDN w:val="0"/>
        <w:adjustRightInd w:val="0"/>
        <w:spacing w:after="0"/>
        <w:rPr>
          <w:rFonts w:cs="Arial"/>
          <w:b/>
          <w:color w:val="000000"/>
          <w:szCs w:val="24"/>
        </w:rPr>
      </w:pPr>
    </w:p>
    <w:p w14:paraId="4DA36DEA" w14:textId="77777777" w:rsidR="00E0659B" w:rsidRDefault="00E0659B" w:rsidP="00A14435">
      <w:pPr>
        <w:autoSpaceDE w:val="0"/>
        <w:autoSpaceDN w:val="0"/>
        <w:adjustRightInd w:val="0"/>
        <w:spacing w:after="0"/>
        <w:rPr>
          <w:rFonts w:cs="Arial"/>
          <w:b/>
          <w:color w:val="000000"/>
          <w:szCs w:val="24"/>
        </w:rPr>
      </w:pPr>
    </w:p>
    <w:p w14:paraId="6021C91B" w14:textId="3F4ED08C" w:rsidR="00A14435" w:rsidRPr="00A03C6D" w:rsidRDefault="00A14435" w:rsidP="00A14435">
      <w:pPr>
        <w:autoSpaceDE w:val="0"/>
        <w:autoSpaceDN w:val="0"/>
        <w:adjustRightInd w:val="0"/>
        <w:spacing w:after="0"/>
        <w:rPr>
          <w:rFonts w:cs="Arial"/>
          <w:b/>
          <w:szCs w:val="24"/>
        </w:rPr>
      </w:pPr>
      <w:r w:rsidRPr="00A03C6D">
        <w:rPr>
          <w:rFonts w:cs="Arial"/>
          <w:b/>
          <w:color w:val="000000"/>
          <w:szCs w:val="24"/>
        </w:rPr>
        <w:t xml:space="preserve">Oprávnění vstupu </w:t>
      </w:r>
      <w:r>
        <w:rPr>
          <w:rFonts w:cs="Arial"/>
          <w:b/>
          <w:color w:val="000000"/>
          <w:szCs w:val="24"/>
        </w:rPr>
        <w:t xml:space="preserve">dozorujícího orgánu </w:t>
      </w:r>
      <w:r w:rsidRPr="00A03C6D">
        <w:rPr>
          <w:rFonts w:cs="Arial"/>
          <w:b/>
          <w:color w:val="000000"/>
          <w:szCs w:val="24"/>
        </w:rPr>
        <w:t>(</w:t>
      </w:r>
      <w:r w:rsidRPr="00A03C6D">
        <w:rPr>
          <w:rFonts w:cs="Arial"/>
          <w:b/>
          <w:szCs w:val="24"/>
        </w:rPr>
        <w:t>§</w:t>
      </w:r>
      <w:r w:rsidR="00735867">
        <w:rPr>
          <w:rFonts w:cs="Arial"/>
          <w:b/>
          <w:szCs w:val="24"/>
        </w:rPr>
        <w:t xml:space="preserve"> 119 zákona o hazardních hrách)</w:t>
      </w:r>
    </w:p>
    <w:p w14:paraId="0B2D0D92" w14:textId="77777777" w:rsidR="00A14435" w:rsidRPr="002311CE" w:rsidRDefault="00A14435" w:rsidP="00A14435">
      <w:pPr>
        <w:autoSpaceDE w:val="0"/>
        <w:autoSpaceDN w:val="0"/>
        <w:adjustRightInd w:val="0"/>
        <w:spacing w:after="0"/>
        <w:rPr>
          <w:rFonts w:cs="Arial"/>
          <w:color w:val="000000"/>
          <w:szCs w:val="24"/>
        </w:rPr>
      </w:pPr>
    </w:p>
    <w:p w14:paraId="5A6E432C" w14:textId="2F8C291B" w:rsidR="00A14435" w:rsidRDefault="00A14435" w:rsidP="00A14435">
      <w:r>
        <w:t>Podle § 7 kontrolního řádu je k</w:t>
      </w:r>
      <w:r w:rsidRPr="009A55CB">
        <w:t>ontrolující</w:t>
      </w:r>
      <w:r>
        <w:t xml:space="preserve"> osoba </w:t>
      </w:r>
      <w:r w:rsidRPr="009A55CB">
        <w:t>v souvislosti s výkonem kontroly oprávněn</w:t>
      </w:r>
      <w:r>
        <w:t>a</w:t>
      </w:r>
      <w:r w:rsidRPr="009A55CB">
        <w:t xml:space="preserve"> vstupovat do staveb, dopravních prostředků, na pozemky a</w:t>
      </w:r>
      <w:r w:rsidR="007F5ABE">
        <w:t> </w:t>
      </w:r>
      <w:r w:rsidRPr="009A55CB">
        <w:t>do</w:t>
      </w:r>
      <w:r w:rsidR="007F5ABE">
        <w:t> </w:t>
      </w:r>
      <w:r w:rsidRPr="009A55CB">
        <w:t xml:space="preserve">dalších prostor s výjimkou obydlí, jež vlastní nebo užívá kontrolovaná osoba anebo jinak přímo souvisí s výkonem a předmětem kontroly, je-li to nezbytné k výkonu kontroly. </w:t>
      </w:r>
      <w:r>
        <w:t xml:space="preserve">Do obydlí je </w:t>
      </w:r>
      <w:r w:rsidRPr="009A55CB">
        <w:t>oprávněn</w:t>
      </w:r>
      <w:r>
        <w:t>a</w:t>
      </w:r>
      <w:r w:rsidRPr="009A55CB">
        <w:t xml:space="preserve"> vstoupit jen tehdy, je-li obydlí užívané k podnikání nebo provozování jiné hospodářské činnosti nebo v případě, kdy se mají prostřednictvím kontroly odstranit pochybnosti o tom, zda je obydlí užívané k těmto účelům a nelze-li dosáhnout splnění účelu kontroly jinak. </w:t>
      </w:r>
    </w:p>
    <w:p w14:paraId="5313E479" w14:textId="7B15448E" w:rsidR="00A14435" w:rsidRPr="00FF2848" w:rsidRDefault="00A14435" w:rsidP="00DE13E9">
      <w:r>
        <w:t>Ačkoli výše uvedené ustanovení kontrolního řádu ukládá vlastníkům nebo uživatelům</w:t>
      </w:r>
      <w:r w:rsidRPr="009A55CB">
        <w:t xml:space="preserve"> těchto prostor </w:t>
      </w:r>
      <w:r>
        <w:t>povinnost umožnit</w:t>
      </w:r>
      <w:r w:rsidRPr="009A55CB">
        <w:t xml:space="preserve"> </w:t>
      </w:r>
      <w:r>
        <w:t>vstup do výše uvedených prostor, zákon o </w:t>
      </w:r>
      <w:r w:rsidRPr="00FF2848">
        <w:t xml:space="preserve">hazardních hrách </w:t>
      </w:r>
      <w:r w:rsidR="00E56C5D">
        <w:t xml:space="preserve">obsahuje </w:t>
      </w:r>
      <w:r>
        <w:t xml:space="preserve">dodatečné oprávnění </w:t>
      </w:r>
      <w:r w:rsidRPr="00FF2848">
        <w:t>tyto prostory otevřít nebo jiným způsobem si do nich zjedna</w:t>
      </w:r>
      <w:r>
        <w:t>t přístup, v </w:t>
      </w:r>
      <w:r w:rsidRPr="00FF2848">
        <w:t>případě nutnosti i </w:t>
      </w:r>
      <w:r w:rsidR="00960149">
        <w:t>za použití síly, a to zejména</w:t>
      </w:r>
      <w:r>
        <w:t xml:space="preserve"> vzhledem k povaze nelegálního provozování hazardních her v land-based prostředí a</w:t>
      </w:r>
      <w:r w:rsidR="00DE13E9">
        <w:t> </w:t>
      </w:r>
      <w:r>
        <w:t>se zřetelem</w:t>
      </w:r>
      <w:r w:rsidRPr="00FF2848">
        <w:t xml:space="preserve"> na </w:t>
      </w:r>
      <w:r>
        <w:t xml:space="preserve">jejich </w:t>
      </w:r>
      <w:r w:rsidRPr="00FF2848">
        <w:t>vysokou společenskou nebezpečnost a v neposlední řadě i</w:t>
      </w:r>
      <w:r w:rsidR="00DE13E9">
        <w:t> </w:t>
      </w:r>
      <w:r>
        <w:t>na trestnou činnost</w:t>
      </w:r>
      <w:r w:rsidRPr="00FF2848">
        <w:t xml:space="preserve"> navázanou na jejich provozování</w:t>
      </w:r>
      <w:r>
        <w:t xml:space="preserve">. </w:t>
      </w:r>
    </w:p>
    <w:p w14:paraId="3D30C89A" w14:textId="7F8046D9" w:rsidR="00A14435" w:rsidRPr="00FF2848" w:rsidRDefault="00A14435" w:rsidP="00A14435">
      <w:pPr>
        <w:spacing w:after="0"/>
      </w:pPr>
      <w:r w:rsidRPr="00FF2848">
        <w:t xml:space="preserve">Využití </w:t>
      </w:r>
      <w:r>
        <w:t>tohoto oprávnění</w:t>
      </w:r>
      <w:r w:rsidRPr="00FF2848">
        <w:t xml:space="preserve"> prostory otevřít nebo jiným způsobem si do nich zjednat přístup může být uplatněno pouze tehdy, pokud v</w:t>
      </w:r>
      <w:r w:rsidRPr="002311CE">
        <w:t xml:space="preserve">stupu do </w:t>
      </w:r>
      <w:r>
        <w:t>prostoru</w:t>
      </w:r>
      <w:r w:rsidRPr="002311CE">
        <w:t xml:space="preserve"> nelze prokazatelně dosáhnout </w:t>
      </w:r>
      <w:r>
        <w:t>jiným</w:t>
      </w:r>
      <w:r w:rsidRPr="002311CE">
        <w:t xml:space="preserve"> způsobem, a</w:t>
      </w:r>
      <w:r w:rsidRPr="00FF2848">
        <w:t xml:space="preserve"> to i s ohledem na případnou odpovědnost dozorujícího orgánu za škodu způsobenou kontrolovaným osobám za daných konkrétních okolností nepřiměřeným či jinak nesprávným úředním postupem, podle zákona č. </w:t>
      </w:r>
      <w:hyperlink r:id="rId9" w:history="1">
        <w:r w:rsidRPr="00FF2848">
          <w:t>82/1998 Sb.</w:t>
        </w:r>
      </w:hyperlink>
      <w:r w:rsidRPr="00FF2848">
        <w:t>, o odpovědnosti</w:t>
      </w:r>
      <w:r w:rsidR="0021073C">
        <w:t xml:space="preserve"> </w:t>
      </w:r>
      <w:r w:rsidRPr="00FF2848">
        <w:t>za škodu způsobenou při výkonu veřejné moci rozhodnutím nebo nesprávným úředním postupem</w:t>
      </w:r>
      <w:r w:rsidR="00E56C5D">
        <w:t xml:space="preserve"> </w:t>
      </w:r>
      <w:r w:rsidR="00E56C5D" w:rsidRPr="00E56C5D">
        <w:t>a o změně zákona České národní rady č. 358/1992 Sb., o notářích a jejich činnosti (notářský řád)</w:t>
      </w:r>
      <w:r w:rsidR="007F5ABE">
        <w:t>, ve </w:t>
      </w:r>
      <w:r w:rsidR="0021073C">
        <w:t>znění pozdějších předpisů</w:t>
      </w:r>
      <w:r w:rsidRPr="00FF2848">
        <w:t>.</w:t>
      </w:r>
    </w:p>
    <w:p w14:paraId="138CA333" w14:textId="77777777" w:rsidR="00A14435" w:rsidRDefault="00A14435" w:rsidP="00A14435">
      <w:pPr>
        <w:autoSpaceDE w:val="0"/>
        <w:autoSpaceDN w:val="0"/>
        <w:adjustRightInd w:val="0"/>
        <w:spacing w:after="0"/>
        <w:ind w:left="4"/>
        <w:rPr>
          <w:rFonts w:cs="Arial"/>
          <w:b/>
          <w:color w:val="000000"/>
          <w:szCs w:val="24"/>
        </w:rPr>
      </w:pPr>
    </w:p>
    <w:p w14:paraId="155D9A8C" w14:textId="77777777" w:rsidR="00A14435" w:rsidRPr="00A03C6D" w:rsidRDefault="00A14435" w:rsidP="00A14435">
      <w:pPr>
        <w:autoSpaceDE w:val="0"/>
        <w:autoSpaceDN w:val="0"/>
        <w:adjustRightInd w:val="0"/>
        <w:spacing w:after="0"/>
        <w:ind w:left="4"/>
        <w:rPr>
          <w:rFonts w:cs="Arial"/>
          <w:b/>
          <w:szCs w:val="24"/>
        </w:rPr>
      </w:pPr>
      <w:r w:rsidRPr="00A03C6D">
        <w:rPr>
          <w:rFonts w:cs="Arial"/>
          <w:b/>
          <w:color w:val="000000"/>
          <w:szCs w:val="24"/>
        </w:rPr>
        <w:t>Právo testovat hrací zařízení (§ 120</w:t>
      </w:r>
      <w:r w:rsidRPr="00A03C6D">
        <w:rPr>
          <w:rFonts w:cs="Arial"/>
          <w:b/>
          <w:szCs w:val="24"/>
        </w:rPr>
        <w:t xml:space="preserve"> zákona o hazardních hrách)</w:t>
      </w:r>
    </w:p>
    <w:p w14:paraId="42FE971E" w14:textId="77777777" w:rsidR="00A14435" w:rsidRPr="002311CE" w:rsidRDefault="00A14435" w:rsidP="00A14435">
      <w:pPr>
        <w:autoSpaceDE w:val="0"/>
        <w:autoSpaceDN w:val="0"/>
        <w:adjustRightInd w:val="0"/>
        <w:spacing w:after="0"/>
        <w:ind w:left="4"/>
        <w:rPr>
          <w:rFonts w:cs="Arial"/>
          <w:color w:val="000000"/>
          <w:szCs w:val="24"/>
        </w:rPr>
      </w:pPr>
    </w:p>
    <w:p w14:paraId="3BF844D2" w14:textId="65C05A99" w:rsidR="00A14435" w:rsidRPr="00FF2848" w:rsidRDefault="00A14435" w:rsidP="00A14435">
      <w:r w:rsidRPr="00FF2848">
        <w:t xml:space="preserve">Dozorující orgán je oprávněn provádět v herním prostoru zkoušky technických zařízení. Zákon o loteriích tuto pravomoc </w:t>
      </w:r>
      <w:r>
        <w:t xml:space="preserve">uděloval </w:t>
      </w:r>
      <w:r w:rsidRPr="00FF2848">
        <w:t xml:space="preserve">pouze pověřené </w:t>
      </w:r>
      <w:r w:rsidR="00155ABB">
        <w:t xml:space="preserve">autorizované </w:t>
      </w:r>
      <w:r w:rsidRPr="00FF2848">
        <w:t xml:space="preserve">osobě, což neumožňovalo efektivní provedení kontroly, neboť přítomnost pověřené </w:t>
      </w:r>
      <w:r>
        <w:t xml:space="preserve">autorizované </w:t>
      </w:r>
      <w:r w:rsidRPr="00FF2848">
        <w:t xml:space="preserve">osoby musela být </w:t>
      </w:r>
      <w:r>
        <w:t>zajištěna</w:t>
      </w:r>
      <w:r w:rsidRPr="00FF2848">
        <w:t xml:space="preserve"> v dostatečném </w:t>
      </w:r>
      <w:r>
        <w:t xml:space="preserve">časovém </w:t>
      </w:r>
      <w:r w:rsidR="007F5ABE">
        <w:t>předstihu, což </w:t>
      </w:r>
      <w:r>
        <w:t>bránilo nezbytné flexibilitě v rámci prováděných kontrol</w:t>
      </w:r>
      <w:r w:rsidRPr="00FF2848">
        <w:t>.</w:t>
      </w:r>
    </w:p>
    <w:p w14:paraId="2BA10457" w14:textId="47413BF7" w:rsidR="00A14435" w:rsidRDefault="00A14435" w:rsidP="00E34408">
      <w:pPr>
        <w:keepNext/>
        <w:autoSpaceDE w:val="0"/>
        <w:autoSpaceDN w:val="0"/>
        <w:adjustRightInd w:val="0"/>
        <w:spacing w:after="0"/>
        <w:ind w:left="6"/>
        <w:rPr>
          <w:rFonts w:cs="Arial"/>
          <w:b/>
          <w:szCs w:val="24"/>
        </w:rPr>
      </w:pPr>
      <w:r>
        <w:rPr>
          <w:rFonts w:cs="Arial"/>
          <w:b/>
          <w:szCs w:val="24"/>
        </w:rPr>
        <w:t>Z</w:t>
      </w:r>
      <w:r w:rsidRPr="00A03C6D">
        <w:rPr>
          <w:rFonts w:cs="Arial"/>
          <w:b/>
          <w:szCs w:val="24"/>
        </w:rPr>
        <w:t>adržení věci (§ 121 zákona o hazardních hrách)</w:t>
      </w:r>
    </w:p>
    <w:p w14:paraId="2CA657F6" w14:textId="77777777" w:rsidR="00E34408" w:rsidRPr="00E34408" w:rsidRDefault="00E34408" w:rsidP="00E34408">
      <w:pPr>
        <w:keepNext/>
        <w:autoSpaceDE w:val="0"/>
        <w:autoSpaceDN w:val="0"/>
        <w:adjustRightInd w:val="0"/>
        <w:spacing w:after="0"/>
        <w:ind w:left="6"/>
        <w:rPr>
          <w:rFonts w:cs="Arial"/>
          <w:b/>
          <w:szCs w:val="24"/>
        </w:rPr>
      </w:pPr>
    </w:p>
    <w:p w14:paraId="5B305485" w14:textId="77777777" w:rsidR="00A14435" w:rsidRPr="00FF2848" w:rsidRDefault="00A14435" w:rsidP="00A14435">
      <w:r w:rsidRPr="00FF2848">
        <w:t xml:space="preserve">Institut zadržení věci </w:t>
      </w:r>
      <w:r>
        <w:t xml:space="preserve">dále </w:t>
      </w:r>
      <w:r w:rsidRPr="00FF2848">
        <w:t xml:space="preserve">rozšiřuje </w:t>
      </w:r>
      <w:r>
        <w:t>oprávnění</w:t>
      </w:r>
      <w:r w:rsidRPr="00FF2848">
        <w:t xml:space="preserve"> dozorujícího orgánu</w:t>
      </w:r>
      <w:r>
        <w:rPr>
          <w:rStyle w:val="Znakapoznpodarou"/>
        </w:rPr>
        <w:footnoteReference w:id="7"/>
      </w:r>
      <w:r>
        <w:t xml:space="preserve"> tak, aby bylo možné zajistit efektivní výkon dozoru. D</w:t>
      </w:r>
      <w:r w:rsidRPr="00FF2848">
        <w:t>ozorující orgán je oprávněn tento institut využít v případech důvodného podezření</w:t>
      </w:r>
      <w:r>
        <w:t>, že v souvislosti s užíváním věci dochází k porušování zákona o hazardních hrách. Uvedený institut je využíván zejména v případech nelegálního provozování hazardních her, a to z důvodu zabránění opětovného porušování zákona o hazardních hrách.</w:t>
      </w:r>
      <w:r w:rsidRPr="00FF2848">
        <w:t xml:space="preserve"> </w:t>
      </w:r>
    </w:p>
    <w:p w14:paraId="68276721" w14:textId="4E704D71" w:rsidR="00A14435" w:rsidRPr="00FF2848" w:rsidRDefault="00A14435" w:rsidP="00A14435">
      <w:pPr>
        <w:rPr>
          <w:rFonts w:eastAsia="Times New Roman"/>
          <w:lang w:eastAsia="cs-CZ"/>
        </w:rPr>
      </w:pPr>
      <w:r w:rsidRPr="00FF2848">
        <w:t xml:space="preserve">Dozorující orgán při zadržení věci postupuje tak, že ústně oznámí </w:t>
      </w:r>
      <w:r>
        <w:t>opatření o</w:t>
      </w:r>
      <w:r w:rsidR="00711276">
        <w:t> </w:t>
      </w:r>
      <w:r>
        <w:t xml:space="preserve">zadržení věci </w:t>
      </w:r>
      <w:r w:rsidRPr="00FF2848">
        <w:t>osobě, která má věc v době je</w:t>
      </w:r>
      <w:r>
        <w:t>jí</w:t>
      </w:r>
      <w:r w:rsidRPr="00FF2848">
        <w:t>ho zadržení u sebe</w:t>
      </w:r>
      <w:r>
        <w:t xml:space="preserve"> a n</w:t>
      </w:r>
      <w:r w:rsidRPr="00FF2848">
        <w:t>eprodleně poté, co do</w:t>
      </w:r>
      <w:r>
        <w:t>jde</w:t>
      </w:r>
      <w:r w:rsidRPr="00FF2848">
        <w:t xml:space="preserve"> k ústnímu oznámení, </w:t>
      </w:r>
      <w:r w:rsidRPr="00FF2848">
        <w:rPr>
          <w:rFonts w:eastAsia="Times New Roman"/>
          <w:lang w:eastAsia="cs-CZ"/>
        </w:rPr>
        <w:t xml:space="preserve">vyhotoví </w:t>
      </w:r>
      <w:r w:rsidRPr="00FF2848">
        <w:t xml:space="preserve">dozorující orgán </w:t>
      </w:r>
      <w:r w:rsidR="007F5ABE">
        <w:rPr>
          <w:rFonts w:eastAsia="Times New Roman"/>
          <w:lang w:eastAsia="cs-CZ"/>
        </w:rPr>
        <w:t>úřední záznam, ve </w:t>
      </w:r>
      <w:r w:rsidRPr="00FF2848">
        <w:rPr>
          <w:rFonts w:eastAsia="Times New Roman"/>
          <w:lang w:eastAsia="cs-CZ"/>
        </w:rPr>
        <w:t>kterém uvede nejen důvod zadržení věci, ale i popis zadržených věcí a jejich množství.</w:t>
      </w:r>
      <w:r w:rsidRPr="00FF2848">
        <w:t xml:space="preserve"> </w:t>
      </w:r>
      <w:r w:rsidRPr="00FF2848">
        <w:rPr>
          <w:rFonts w:eastAsia="Times New Roman"/>
          <w:lang w:eastAsia="cs-CZ"/>
        </w:rPr>
        <w:t xml:space="preserve">Kopii úředního záznamu dozorující orgán předá osobě, která </w:t>
      </w:r>
      <w:r>
        <w:rPr>
          <w:rFonts w:eastAsia="Times New Roman"/>
          <w:lang w:eastAsia="cs-CZ"/>
        </w:rPr>
        <w:t>má věc v</w:t>
      </w:r>
      <w:r w:rsidR="00711276">
        <w:rPr>
          <w:rFonts w:eastAsia="Times New Roman"/>
          <w:lang w:eastAsia="cs-CZ"/>
        </w:rPr>
        <w:t> </w:t>
      </w:r>
      <w:r>
        <w:rPr>
          <w:rFonts w:eastAsia="Times New Roman"/>
          <w:lang w:eastAsia="cs-CZ"/>
        </w:rPr>
        <w:t xml:space="preserve">době zadržení u sebe </w:t>
      </w:r>
      <w:r>
        <w:rPr>
          <w:rFonts w:eastAsia="Times New Roman"/>
          <w:lang w:eastAsia="cs-CZ"/>
        </w:rPr>
        <w:lastRenderedPageBreak/>
        <w:t>a </w:t>
      </w:r>
      <w:r w:rsidRPr="00FF2848">
        <w:rPr>
          <w:rFonts w:eastAsia="Times New Roman"/>
          <w:lang w:eastAsia="cs-CZ"/>
        </w:rPr>
        <w:t xml:space="preserve">stejnopis pak doručí dozorované osobě. Dozorovaná osoba je oprávněna </w:t>
      </w:r>
      <w:r w:rsidRPr="00FF2848">
        <w:t xml:space="preserve">podat </w:t>
      </w:r>
      <w:r>
        <w:t xml:space="preserve">písemné </w:t>
      </w:r>
      <w:r w:rsidRPr="00FF2848">
        <w:t>námitky proti uloženému opatření</w:t>
      </w:r>
      <w:r>
        <w:t>, a</w:t>
      </w:r>
      <w:r w:rsidR="007F5ABE">
        <w:t> </w:t>
      </w:r>
      <w:r>
        <w:t>to</w:t>
      </w:r>
      <w:r w:rsidR="007F5ABE">
        <w:t> </w:t>
      </w:r>
      <w:r>
        <w:t>d</w:t>
      </w:r>
      <w:r w:rsidRPr="00FF2848">
        <w:t>o</w:t>
      </w:r>
      <w:r w:rsidR="007F5ABE">
        <w:t> </w:t>
      </w:r>
      <w:r w:rsidRPr="00FF2848">
        <w:t>3</w:t>
      </w:r>
      <w:r w:rsidR="00711276">
        <w:t> </w:t>
      </w:r>
      <w:r w:rsidRPr="00FF2848">
        <w:t xml:space="preserve">pracovních dnů </w:t>
      </w:r>
      <w:r>
        <w:rPr>
          <w:rFonts w:eastAsia="Times New Roman"/>
          <w:lang w:eastAsia="cs-CZ"/>
        </w:rPr>
        <w:t>ode dne seznámení s </w:t>
      </w:r>
      <w:r w:rsidR="00E34408">
        <w:rPr>
          <w:rFonts w:eastAsia="Times New Roman"/>
          <w:lang w:eastAsia="cs-CZ"/>
        </w:rPr>
        <w:t xml:space="preserve">uloženým opatřením. </w:t>
      </w:r>
      <w:r w:rsidRPr="00FF2848">
        <w:rPr>
          <w:rFonts w:eastAsia="Times New Roman"/>
          <w:lang w:eastAsia="cs-CZ"/>
        </w:rPr>
        <w:t xml:space="preserve">Dozorující orgán rozhodne o </w:t>
      </w:r>
      <w:r>
        <w:rPr>
          <w:rFonts w:eastAsia="Times New Roman"/>
          <w:lang w:eastAsia="cs-CZ"/>
        </w:rPr>
        <w:t>případných</w:t>
      </w:r>
      <w:r w:rsidRPr="00FF2848">
        <w:rPr>
          <w:rFonts w:eastAsia="Times New Roman"/>
          <w:lang w:eastAsia="cs-CZ"/>
        </w:rPr>
        <w:t xml:space="preserve"> námitkách, přičemž toto rozhodnutí je konečné a je doručováno dozorované osobě.</w:t>
      </w:r>
      <w:r w:rsidRPr="00FF2848">
        <w:t xml:space="preserve"> Pokud je </w:t>
      </w:r>
      <w:r w:rsidRPr="00FF2848">
        <w:rPr>
          <w:rFonts w:eastAsia="Times New Roman"/>
          <w:lang w:eastAsia="cs-CZ"/>
        </w:rPr>
        <w:t>opatření o zadržení věci</w:t>
      </w:r>
      <w:r w:rsidRPr="00FF2848">
        <w:t xml:space="preserve"> dozorujícím orgánem zrušeno</w:t>
      </w:r>
      <w:r w:rsidRPr="00FF2848">
        <w:rPr>
          <w:rFonts w:eastAsia="Times New Roman"/>
          <w:lang w:eastAsia="cs-CZ"/>
        </w:rPr>
        <w:t xml:space="preserve">, pak </w:t>
      </w:r>
      <w:r>
        <w:rPr>
          <w:rFonts w:eastAsia="Times New Roman"/>
          <w:lang w:eastAsia="cs-CZ"/>
        </w:rPr>
        <w:t xml:space="preserve">je </w:t>
      </w:r>
      <w:r w:rsidRPr="00FF2848">
        <w:rPr>
          <w:rFonts w:eastAsia="Times New Roman"/>
          <w:lang w:eastAsia="cs-CZ"/>
        </w:rPr>
        <w:t xml:space="preserve">dozorující orgán </w:t>
      </w:r>
      <w:r>
        <w:rPr>
          <w:rFonts w:eastAsia="Times New Roman"/>
          <w:lang w:eastAsia="cs-CZ"/>
        </w:rPr>
        <w:t xml:space="preserve">povinen </w:t>
      </w:r>
      <w:r w:rsidRPr="00FF2848">
        <w:rPr>
          <w:rFonts w:eastAsia="Times New Roman"/>
          <w:lang w:eastAsia="cs-CZ"/>
        </w:rPr>
        <w:t>zadrženou věc bez zbytečných průtahů vrát</w:t>
      </w:r>
      <w:r>
        <w:rPr>
          <w:rFonts w:eastAsia="Times New Roman"/>
          <w:lang w:eastAsia="cs-CZ"/>
        </w:rPr>
        <w:t>it</w:t>
      </w:r>
      <w:r w:rsidRPr="00FF2848">
        <w:rPr>
          <w:rFonts w:eastAsia="Times New Roman"/>
          <w:lang w:eastAsia="cs-CZ"/>
        </w:rPr>
        <w:t xml:space="preserve">. V opačném </w:t>
      </w:r>
      <w:r>
        <w:rPr>
          <w:rFonts w:eastAsia="Times New Roman"/>
          <w:lang w:eastAsia="cs-CZ"/>
        </w:rPr>
        <w:t xml:space="preserve">případě </w:t>
      </w:r>
      <w:r w:rsidRPr="00FF2848">
        <w:rPr>
          <w:rFonts w:eastAsia="Times New Roman"/>
          <w:lang w:eastAsia="cs-CZ"/>
        </w:rPr>
        <w:t>zadržení věci trvá do doby, než bude pravomocně rozhodnuto o jejím propadnutí nebo zabrání, případně do doby, kdy bude prokázáno, že se nejedná o věc, v souvislosti s jejímž užíváním dochází k porušování zákona o</w:t>
      </w:r>
      <w:r w:rsidR="00711276">
        <w:rPr>
          <w:rFonts w:eastAsia="Times New Roman"/>
          <w:lang w:eastAsia="cs-CZ"/>
        </w:rPr>
        <w:t> </w:t>
      </w:r>
      <w:r w:rsidRPr="00FF2848">
        <w:rPr>
          <w:rFonts w:eastAsia="Times New Roman"/>
          <w:lang w:eastAsia="cs-CZ"/>
        </w:rPr>
        <w:t xml:space="preserve">hazardních hrách. </w:t>
      </w:r>
      <w:r w:rsidRPr="00FF2848">
        <w:t>V rámci dozorové činnosti lze podpůrně celním úřadem využít i</w:t>
      </w:r>
      <w:r w:rsidR="00711276">
        <w:t> </w:t>
      </w:r>
      <w:r w:rsidRPr="00FF2848">
        <w:t>speciá</w:t>
      </w:r>
      <w:r>
        <w:t>lní procesní pravidla uvedená v </w:t>
      </w:r>
      <w:r w:rsidRPr="00FF2848">
        <w:t>zákoně o Celní správě.</w:t>
      </w:r>
    </w:p>
    <w:p w14:paraId="4AAC3DA5" w14:textId="4557D73F" w:rsidR="00A14435" w:rsidRDefault="00A14435" w:rsidP="00A14435">
      <w:pPr>
        <w:rPr>
          <w:rFonts w:eastAsia="Times New Roman"/>
          <w:highlight w:val="lightGray"/>
          <w:lang w:eastAsia="cs-CZ"/>
        </w:rPr>
      </w:pPr>
      <w:r w:rsidRPr="00FF2848">
        <w:t xml:space="preserve">V případech, kdy by </w:t>
      </w:r>
      <w:r>
        <w:t xml:space="preserve">například </w:t>
      </w:r>
      <w:r w:rsidRPr="00FF2848">
        <w:t>mohla na zadržené věci vzniknout škoda, nebo by její fyzické odnětí a případně i následné uskladnění bylo neúměrně nákladné, je dozorující orgán oprávněn zadrženou věc ponechat osobě, které byla zadržena</w:t>
      </w:r>
      <w:r w:rsidRPr="00FF2848">
        <w:rPr>
          <w:b/>
        </w:rPr>
        <w:t>.</w:t>
      </w:r>
      <w:r w:rsidRPr="00FF2848">
        <w:t xml:space="preserve"> Tato osoba současně pod hrozbou sankce nesmí věc zničit ani s ní jinak nakládat s</w:t>
      </w:r>
      <w:r w:rsidR="00711276">
        <w:t> </w:t>
      </w:r>
      <w:r w:rsidRPr="00FF2848">
        <w:t>výjimkou jejího držení nebo skladování.</w:t>
      </w:r>
      <w:r w:rsidRPr="00FF2848">
        <w:rPr>
          <w:rFonts w:eastAsia="Times New Roman"/>
          <w:highlight w:val="lightGray"/>
          <w:lang w:eastAsia="cs-CZ"/>
        </w:rPr>
        <w:t xml:space="preserve"> </w:t>
      </w:r>
    </w:p>
    <w:p w14:paraId="4CC5C8EB" w14:textId="77777777" w:rsidR="00A14435" w:rsidRDefault="00A14435" w:rsidP="00A14435">
      <w:pPr>
        <w:autoSpaceDE w:val="0"/>
        <w:autoSpaceDN w:val="0"/>
        <w:adjustRightInd w:val="0"/>
        <w:spacing w:after="0"/>
        <w:ind w:left="4"/>
        <w:rPr>
          <w:rFonts w:cs="Arial"/>
          <w:b/>
          <w:szCs w:val="24"/>
        </w:rPr>
      </w:pPr>
      <w:r w:rsidRPr="005C7F71">
        <w:rPr>
          <w:rFonts w:cs="Arial"/>
          <w:b/>
          <w:szCs w:val="24"/>
        </w:rPr>
        <w:t xml:space="preserve">Další oprávnění orgánů Celní správy </w:t>
      </w:r>
    </w:p>
    <w:p w14:paraId="5AB9C160" w14:textId="77777777" w:rsidR="00A14435" w:rsidRPr="005C7F71" w:rsidRDefault="00A14435" w:rsidP="00A14435">
      <w:pPr>
        <w:autoSpaceDE w:val="0"/>
        <w:autoSpaceDN w:val="0"/>
        <w:adjustRightInd w:val="0"/>
        <w:spacing w:after="0"/>
        <w:ind w:left="4"/>
        <w:rPr>
          <w:rFonts w:cs="Arial"/>
          <w:b/>
          <w:szCs w:val="24"/>
        </w:rPr>
      </w:pPr>
    </w:p>
    <w:p w14:paraId="233C7032" w14:textId="7E4C62C9" w:rsidR="00A14435" w:rsidRPr="00FF2848" w:rsidRDefault="00A14435" w:rsidP="00A14435">
      <w:r>
        <w:t>Celník</w:t>
      </w:r>
      <w:r w:rsidRPr="00FF2848">
        <w:t xml:space="preserve"> je podle § 38 zákona </w:t>
      </w:r>
      <w:r w:rsidR="002C531A">
        <w:t>č. 17/2012 Sb.</w:t>
      </w:r>
      <w:r w:rsidR="00155ABB">
        <w:t>,</w:t>
      </w:r>
      <w:r w:rsidR="002C531A">
        <w:t xml:space="preserve"> </w:t>
      </w:r>
      <w:r w:rsidRPr="00FF2848">
        <w:t xml:space="preserve">o </w:t>
      </w:r>
      <w:r w:rsidR="002C531A">
        <w:t>C</w:t>
      </w:r>
      <w:r w:rsidR="002C531A" w:rsidRPr="00FF2848">
        <w:t xml:space="preserve">elní </w:t>
      </w:r>
      <w:r w:rsidRPr="00FF2848">
        <w:t>správě</w:t>
      </w:r>
      <w:r>
        <w:t xml:space="preserve"> </w:t>
      </w:r>
      <w:r w:rsidR="00FD7539">
        <w:t>České republiky, ve </w:t>
      </w:r>
      <w:r w:rsidR="002C531A">
        <w:t xml:space="preserve">znění pozdějších předpisů, (dále jen „zákon o celní správě“) </w:t>
      </w:r>
      <w:r w:rsidRPr="00A5447B">
        <w:t>při předcházení trestným činům, při získávání poznatků o trestné činn</w:t>
      </w:r>
      <w:r w:rsidR="00FD7539">
        <w:t>osti, v souvislosti s řízením o </w:t>
      </w:r>
      <w:r w:rsidRPr="00A5447B">
        <w:t>trestných činech a při výkonu působnosti or</w:t>
      </w:r>
      <w:r w:rsidR="00FD7539">
        <w:t>gánů celní správy vyplývající z </w:t>
      </w:r>
      <w:r w:rsidRPr="00A5447B">
        <w:t xml:space="preserve">mezinárodních smluv </w:t>
      </w:r>
      <w:r w:rsidRPr="00FF2848">
        <w:t>oprávněn používat podpůrné operativně pátrací prostředky, kterými jsou krycí prostředky, zabezpečovací technika,</w:t>
      </w:r>
      <w:r w:rsidR="00FD7539">
        <w:t xml:space="preserve"> zvláštní finanční prostředky a </w:t>
      </w:r>
      <w:r w:rsidRPr="00FF2848">
        <w:t xml:space="preserve">využití informátora. </w:t>
      </w:r>
      <w:r>
        <w:t>Podle odst. 2 zmíněného ustanovení je celník oprávněn používat k</w:t>
      </w:r>
      <w:r w:rsidRPr="00A5447B">
        <w:t>rycí doklady</w:t>
      </w:r>
      <w:r>
        <w:t xml:space="preserve"> </w:t>
      </w:r>
      <w:r w:rsidRPr="00A5447B">
        <w:t xml:space="preserve">také při výkonu působnosti orgánů celní správy podle zákona </w:t>
      </w:r>
      <w:r>
        <w:t>o hazardních hrách</w:t>
      </w:r>
      <w:r w:rsidRPr="00A5447B">
        <w:t>, pokud by bez jejich použití došlo ke zmařen</w:t>
      </w:r>
      <w:r w:rsidR="00FD7539">
        <w:t>í tohoto výkonu nebo </w:t>
      </w:r>
      <w:r w:rsidRPr="00A5447B">
        <w:t>k ohrožení života, zdraví nebo majetku celníka nebo jiné osoby.</w:t>
      </w:r>
    </w:p>
    <w:p w14:paraId="60A8EC5A" w14:textId="77777777" w:rsidR="00A14435" w:rsidRDefault="00A14435" w:rsidP="00A14435">
      <w:pPr>
        <w:rPr>
          <w:iCs/>
        </w:rPr>
      </w:pPr>
      <w:r w:rsidRPr="00FF2848">
        <w:rPr>
          <w:rFonts w:eastAsia="Times New Roman"/>
          <w:lang w:eastAsia="cs-CZ"/>
        </w:rPr>
        <w:t xml:space="preserve">Zákon o hazardních hrách rovněž ukládá provozovatelům hazardních her </w:t>
      </w:r>
      <w:r>
        <w:rPr>
          <w:rFonts w:eastAsia="Times New Roman"/>
          <w:lang w:eastAsia="cs-CZ"/>
        </w:rPr>
        <w:t xml:space="preserve">vůči celním úřadům </w:t>
      </w:r>
      <w:r w:rsidRPr="00FF2848">
        <w:rPr>
          <w:rFonts w:eastAsia="Times New Roman"/>
          <w:lang w:eastAsia="cs-CZ"/>
        </w:rPr>
        <w:t xml:space="preserve">celou řadu </w:t>
      </w:r>
      <w:r w:rsidRPr="0017121F">
        <w:rPr>
          <w:rFonts w:eastAsia="Times New Roman"/>
          <w:b/>
          <w:lang w:eastAsia="cs-CZ"/>
        </w:rPr>
        <w:t>informačních povinností</w:t>
      </w:r>
      <w:r w:rsidRPr="00FF2848">
        <w:rPr>
          <w:rFonts w:eastAsia="Times New Roman"/>
          <w:lang w:eastAsia="cs-CZ"/>
        </w:rPr>
        <w:t xml:space="preserve">, a to za účelem </w:t>
      </w:r>
      <w:r w:rsidRPr="0017121F">
        <w:rPr>
          <w:rFonts w:eastAsia="Times New Roman"/>
          <w:b/>
          <w:lang w:eastAsia="cs-CZ"/>
        </w:rPr>
        <w:t>zajištění informovanosti dozorujícího orgánu</w:t>
      </w:r>
      <w:r w:rsidRPr="00FF2848">
        <w:rPr>
          <w:rFonts w:eastAsia="Times New Roman"/>
          <w:lang w:eastAsia="cs-CZ"/>
        </w:rPr>
        <w:t>. P</w:t>
      </w:r>
      <w:r w:rsidRPr="00FF2848">
        <w:t xml:space="preserve">rovozování hazardních her na základě vydaného povolení či ohlášení je oprávněním a nikoliv povinností. </w:t>
      </w:r>
      <w:r w:rsidRPr="0042179A">
        <w:t>Okamžik zahájení provozování je tak závislý výlučně na rozhodnutí provozovatele (</w:t>
      </w:r>
      <w:r w:rsidRPr="00FF2848">
        <w:rPr>
          <w:rFonts w:eastAsiaTheme="minorEastAsia"/>
          <w:lang w:eastAsia="cs-CZ"/>
        </w:rPr>
        <w:t>správním orgánům vykonávajícím působnost v oblasti provozování hazardních her je tento okamžik</w:t>
      </w:r>
      <w:r>
        <w:rPr>
          <w:rFonts w:eastAsiaTheme="minorEastAsia"/>
          <w:lang w:eastAsia="cs-CZ"/>
        </w:rPr>
        <w:t xml:space="preserve"> </w:t>
      </w:r>
      <w:r w:rsidRPr="00FF2848">
        <w:rPr>
          <w:rFonts w:eastAsiaTheme="minorEastAsia"/>
          <w:lang w:eastAsia="cs-CZ"/>
        </w:rPr>
        <w:t>dopředu neznámou skutečností)</w:t>
      </w:r>
      <w:r w:rsidRPr="00FF2848">
        <w:t xml:space="preserve">. Z tohoto důvodu jsou tak informace vyplývající z oznamovací povinnosti nezbytným předpokladem pro dozorovou činnost a kontrola dodržování podmínek souvisejících s plněním oznamovací povinnosti je nedílnou součástí dozorové činnosti celních úřadů. Zejména se jedná </w:t>
      </w:r>
      <w:r>
        <w:t xml:space="preserve">o </w:t>
      </w:r>
      <w:r w:rsidRPr="00FF2848">
        <w:t xml:space="preserve">oznámení zahájení provozu jednotlivých druhů hazardních her a oznámení o zahájení provozu herního prostoru. Rovněž i z podmínek </w:t>
      </w:r>
      <w:r>
        <w:t xml:space="preserve">řádného provozování </w:t>
      </w:r>
      <w:r w:rsidRPr="00FF2848">
        <w:t xml:space="preserve">uvedených v základním povolení vyplývají pro provozovatele dílčí oznamovací povinnosti (např. </w:t>
      </w:r>
      <w:r w:rsidRPr="00FF2848">
        <w:rPr>
          <w:iCs/>
        </w:rPr>
        <w:t xml:space="preserve">oznámení o zahájení nebo ukončení živé hry nebo provozování každého koncového zařízení technické hry ve vztahu k hernímu prostoru). </w:t>
      </w:r>
      <w:r>
        <w:rPr>
          <w:iCs/>
        </w:rPr>
        <w:t>Dále jsou o</w:t>
      </w:r>
      <w:r w:rsidRPr="00FF2848">
        <w:rPr>
          <w:iCs/>
        </w:rPr>
        <w:t xml:space="preserve">d 1. 6. 2019 provozovatelé povinni plnit povinnosti spočívající v poskytování herních a finančních dat způsobem stanoveným </w:t>
      </w:r>
      <w:r>
        <w:rPr>
          <w:iCs/>
        </w:rPr>
        <w:t>v reportingové vyhlášce.</w:t>
      </w:r>
    </w:p>
    <w:p w14:paraId="4B802FC2" w14:textId="77777777" w:rsidR="00A14435" w:rsidRPr="005C7F71" w:rsidRDefault="00A14435" w:rsidP="00A14435">
      <w:pPr>
        <w:rPr>
          <w:rFonts w:cs="Arial"/>
          <w:b/>
          <w:szCs w:val="24"/>
        </w:rPr>
      </w:pPr>
      <w:r w:rsidRPr="005C7F71">
        <w:rPr>
          <w:rFonts w:cs="Arial"/>
          <w:b/>
          <w:szCs w:val="24"/>
        </w:rPr>
        <w:t>Další oblasti dozorované celními úřady související s provozováním hazardních her</w:t>
      </w:r>
    </w:p>
    <w:p w14:paraId="0FB4F102" w14:textId="6F0A6FBE" w:rsidR="00A14435" w:rsidRDefault="00A14435" w:rsidP="00A14435">
      <w:r w:rsidRPr="00FF2848">
        <w:lastRenderedPageBreak/>
        <w:t xml:space="preserve">Podle § 7 písm. h) zákona </w:t>
      </w:r>
      <w:r w:rsidRPr="002617EC">
        <w:t>o regulaci reklamy</w:t>
      </w:r>
      <w:r w:rsidRPr="00FF2848">
        <w:t xml:space="preserve"> jsou c</w:t>
      </w:r>
      <w:r>
        <w:t>elní úřady orgány příslušnými k </w:t>
      </w:r>
      <w:r w:rsidRPr="00FF2848">
        <w:t xml:space="preserve">výkonu dozoru nad dodržováním zákona o regulaci reklamy ve věcech reklamy, propagace nebo podpory hazardních her, které jsou zákonem o hazardních hrách zakázány, a pro sponzorování v této oblasti, s výjimkou </w:t>
      </w:r>
      <w:r>
        <w:t>oblastí</w:t>
      </w:r>
      <w:r w:rsidRPr="00FF2848">
        <w:t xml:space="preserve"> spadajících do působnosti Rady pro rozhlasové a televizní vysílání. </w:t>
      </w:r>
    </w:p>
    <w:p w14:paraId="2B8E90CD" w14:textId="77777777" w:rsidR="00A14435" w:rsidRDefault="00A14435" w:rsidP="00A14435">
      <w:r>
        <w:t>Dále celní úřady</w:t>
      </w:r>
      <w:r w:rsidRPr="00834CDE">
        <w:t xml:space="preserve"> podle § 23 odst. 19 zákona </w:t>
      </w:r>
      <w:r w:rsidRPr="002617EC">
        <w:t>o ochraně spotřebitele</w:t>
      </w:r>
      <w:r w:rsidRPr="00FF2848">
        <w:t xml:space="preserve"> provádí dozor nad dodržováním </w:t>
      </w:r>
      <w:r>
        <w:t xml:space="preserve">povinností </w:t>
      </w:r>
      <w:r w:rsidRPr="00FF2848">
        <w:t>při provozování hazardních her</w:t>
      </w:r>
      <w:r>
        <w:t>, přičemž tyto povinnosti jsou stanoveny v dílčích ustanoveních tohoto zákona (např. se jedná o nekalou obchodní praktiku, diskriminaci spotřebitele apod.).</w:t>
      </w:r>
      <w:r w:rsidRPr="00FF2848">
        <w:t xml:space="preserve"> </w:t>
      </w:r>
    </w:p>
    <w:p w14:paraId="1755CF5C" w14:textId="77777777" w:rsidR="00A14435" w:rsidRPr="00FF2848" w:rsidRDefault="00A14435" w:rsidP="00A14435">
      <w:r w:rsidRPr="00FF2848">
        <w:t xml:space="preserve">Dále podle § 35 odst. 1 písm. b) AML zákona provádí celní úřady správní dozor nad dodržováním tohoto zákona u </w:t>
      </w:r>
      <w:r w:rsidRPr="00FF2848">
        <w:rPr>
          <w:bCs/>
        </w:rPr>
        <w:t>povinných osob</w:t>
      </w:r>
      <w:r w:rsidRPr="00FF2848">
        <w:rPr>
          <w:b/>
          <w:bCs/>
        </w:rPr>
        <w:t xml:space="preserve"> </w:t>
      </w:r>
      <w:r w:rsidRPr="00FF2848">
        <w:t>uvedených v § 2 odst. 1 písm. c) tohoto zákona.</w:t>
      </w:r>
    </w:p>
    <w:p w14:paraId="5200A974" w14:textId="37AE3CEB" w:rsidR="00A14435" w:rsidRPr="00FF2848" w:rsidRDefault="00A14435" w:rsidP="00A14435">
      <w:r w:rsidRPr="00FF2848">
        <w:t xml:space="preserve">Celní úřady tedy mohou v souvislosti s provozováním hazardních her vykonávat dozor s vícečetným předmětem kontroly, a to podle zákona o hazardních hrách, </w:t>
      </w:r>
      <w:hyperlink r:id="rId10" w:history="1">
        <w:r w:rsidRPr="00FF2848">
          <w:t>zákona o regulaci reklamy</w:t>
        </w:r>
      </w:hyperlink>
      <w:r w:rsidRPr="00FF2848">
        <w:t xml:space="preserve">, </w:t>
      </w:r>
      <w:hyperlink r:id="rId11" w:history="1">
        <w:r w:rsidRPr="00FF2848">
          <w:t>zákona o ochraně spotřebitele</w:t>
        </w:r>
      </w:hyperlink>
      <w:r w:rsidRPr="00FF2848">
        <w:t xml:space="preserve"> nebo </w:t>
      </w:r>
      <w:r w:rsidR="0053701D">
        <w:t xml:space="preserve">AML </w:t>
      </w:r>
      <w:r w:rsidRPr="00FF2848">
        <w:t>zákona</w:t>
      </w:r>
      <w:r w:rsidR="0053701D">
        <w:t>.</w:t>
      </w:r>
    </w:p>
    <w:p w14:paraId="7E71A758" w14:textId="77777777" w:rsidR="00A14435" w:rsidRPr="00FF2848" w:rsidRDefault="00A14435" w:rsidP="00A14435">
      <w:r w:rsidRPr="002311CE">
        <w:t xml:space="preserve">Na rozdíl od zákona o loteriích již podle zákona o hazardních hrách není předmětem dozoru dodržování povinností v souvislosti </w:t>
      </w:r>
      <w:r w:rsidRPr="00FF2848">
        <w:t>s provozováním tzv. spotřebitelských soutěží. Dozor nad provozováním této skupiny soutěží</w:t>
      </w:r>
      <w:r w:rsidRPr="00FF2848">
        <w:rPr>
          <w:rStyle w:val="Znakapoznpodarou"/>
          <w:rFonts w:cs="Arial"/>
          <w:szCs w:val="24"/>
        </w:rPr>
        <w:footnoteReference w:id="8"/>
      </w:r>
      <w:r w:rsidRPr="00FF2848">
        <w:t xml:space="preserve"> je s účinností od 1. 1. 2017 vykonáván v režimu zákona o ochraně spotřebitele a dozorem se zabývá Česká obchodní inspekce. </w:t>
      </w:r>
    </w:p>
    <w:p w14:paraId="692DE3DC" w14:textId="73C429CA" w:rsidR="00A14435" w:rsidRPr="007E57E2" w:rsidRDefault="00A14435" w:rsidP="00214A28">
      <w:pPr>
        <w:pStyle w:val="Nadpis3"/>
      </w:pPr>
      <w:bookmarkStart w:id="9" w:name="_Toc73532028"/>
      <w:bookmarkStart w:id="10" w:name="_Toc73608163"/>
      <w:r>
        <w:t>I</w:t>
      </w:r>
      <w:r w:rsidR="00724759">
        <w:t xml:space="preserve">mplementace dozorové činnosti v </w:t>
      </w:r>
      <w:r>
        <w:t>hodnoceném období</w:t>
      </w:r>
      <w:bookmarkEnd w:id="9"/>
      <w:bookmarkEnd w:id="10"/>
    </w:p>
    <w:p w14:paraId="208B69BB" w14:textId="77777777" w:rsidR="00A14435" w:rsidRPr="00AE3060" w:rsidRDefault="00A14435" w:rsidP="00A14435">
      <w:pPr>
        <w:spacing w:after="0"/>
        <w:rPr>
          <w:rFonts w:cs="Arial"/>
          <w:szCs w:val="24"/>
          <w:u w:val="single"/>
        </w:rPr>
      </w:pPr>
      <w:r w:rsidRPr="00AE3060">
        <w:rPr>
          <w:rFonts w:cs="Arial"/>
          <w:szCs w:val="24"/>
          <w:u w:val="single"/>
        </w:rPr>
        <w:t>Provozování hazardních her v land-based prostředí</w:t>
      </w:r>
    </w:p>
    <w:p w14:paraId="1F63F99C" w14:textId="77777777" w:rsidR="00A14435" w:rsidRPr="005C6D0D" w:rsidRDefault="00A14435" w:rsidP="00A14435">
      <w:pPr>
        <w:spacing w:after="0"/>
        <w:rPr>
          <w:rFonts w:cs="Arial"/>
          <w:szCs w:val="24"/>
        </w:rPr>
      </w:pPr>
    </w:p>
    <w:p w14:paraId="596BA4DF" w14:textId="55E954A4" w:rsidR="00A14435" w:rsidRPr="00FE7FE5" w:rsidRDefault="00A14435" w:rsidP="00711276">
      <w:pPr>
        <w:rPr>
          <w:rFonts w:eastAsia="Times New Roman"/>
          <w:lang w:eastAsia="cs-CZ"/>
        </w:rPr>
      </w:pPr>
      <w:r>
        <w:t>Jak je uvedeno výše, dozorující orgány postupují podle kontrolního řádu, s možností využití dalších speciálních oprávnění stanovených v zákoně o hazardních hrách. Jsou tedy mimo jiné oprávněny k pro</w:t>
      </w:r>
      <w:r w:rsidRPr="00FE7FE5">
        <w:t>vádění úkonů předcházející</w:t>
      </w:r>
      <w:r>
        <w:t>ch</w:t>
      </w:r>
      <w:r w:rsidRPr="00FE7FE5">
        <w:t xml:space="preserve"> kontrole (</w:t>
      </w:r>
      <w:r>
        <w:t xml:space="preserve">např. </w:t>
      </w:r>
      <w:r w:rsidRPr="00FE7FE5">
        <w:t xml:space="preserve">formou kontrolních nákupů realizovaných formou vložení sázky do hry s následnou účastí na hazardní hře), </w:t>
      </w:r>
      <w:r w:rsidRPr="00FE7FE5">
        <w:rPr>
          <w:rFonts w:eastAsia="Times New Roman"/>
          <w:lang w:eastAsia="cs-CZ"/>
        </w:rPr>
        <w:t>pořizování obrazových nebo zvukových záznamů, prokázání totožnosti fyzické osoby přítomné na místě kontroly (například zaměstnance provozovatele hazardní hry nebo účastníka této hry), poskytnutí údajů, dokumentů a</w:t>
      </w:r>
      <w:r w:rsidR="00711276">
        <w:rPr>
          <w:rFonts w:eastAsia="Times New Roman"/>
          <w:lang w:eastAsia="cs-CZ"/>
        </w:rPr>
        <w:t> </w:t>
      </w:r>
      <w:r w:rsidRPr="00FE7FE5">
        <w:rPr>
          <w:rFonts w:eastAsia="Times New Roman"/>
          <w:lang w:eastAsia="cs-CZ"/>
        </w:rPr>
        <w:t>věcí vztahujících se k předmětu kontroly</w:t>
      </w:r>
      <w:r>
        <w:rPr>
          <w:rFonts w:eastAsia="Times New Roman"/>
          <w:lang w:eastAsia="cs-CZ"/>
        </w:rPr>
        <w:t>.</w:t>
      </w:r>
    </w:p>
    <w:p w14:paraId="11A0D8A1" w14:textId="77777777" w:rsidR="00A14435" w:rsidRPr="00FE7FE5" w:rsidRDefault="00A14435" w:rsidP="00A14435">
      <w:pPr>
        <w:rPr>
          <w:rFonts w:eastAsia="Times New Roman"/>
          <w:lang w:eastAsia="cs-CZ"/>
        </w:rPr>
      </w:pPr>
      <w:r w:rsidRPr="00FE7FE5">
        <w:rPr>
          <w:rFonts w:eastAsia="Times New Roman"/>
          <w:lang w:eastAsia="cs-CZ"/>
        </w:rPr>
        <w:t xml:space="preserve">Dále jsou </w:t>
      </w:r>
      <w:r w:rsidRPr="00FE7FE5">
        <w:t xml:space="preserve">dozorující orgány podle kontrolního řádu oprávněny </w:t>
      </w:r>
      <w:r w:rsidRPr="00FE7FE5">
        <w:rPr>
          <w:rFonts w:eastAsia="Times New Roman"/>
          <w:lang w:eastAsia="cs-CZ"/>
        </w:rPr>
        <w:t xml:space="preserve">vyžadovat od kontrolované osoby a povinné osoby (např. zaměstnance kontrolované osoby) součinnost nezbytnou k výkonu kontroly, </w:t>
      </w:r>
      <w:r w:rsidRPr="00FE7FE5">
        <w:t xml:space="preserve">vstupovat na pozemky, do staveb a jiných prostor vlastněných či užívaných kontrolovanou osobou a dále do prostor, které z jiného důvodu souvisí s výkonem a předmětem kontroly (pokud je to nezbytné pro řádné provedení kontrolního zjišťování).   </w:t>
      </w:r>
    </w:p>
    <w:p w14:paraId="62A35541" w14:textId="3715AA17" w:rsidR="00A14435" w:rsidRDefault="00A14435" w:rsidP="00A14435">
      <w:r w:rsidRPr="00FE7FE5">
        <w:lastRenderedPageBreak/>
        <w:t>Skutečnosti zjištěné v rámci výkonu kontroly dozoru</w:t>
      </w:r>
      <w:r>
        <w:t xml:space="preserve">jící orgán uvádí do </w:t>
      </w:r>
      <w:r w:rsidRPr="0017121F">
        <w:rPr>
          <w:b/>
        </w:rPr>
        <w:t>protokolu o kontrole</w:t>
      </w:r>
      <w:r w:rsidRPr="00FE7FE5">
        <w:t>. Proti kontrolnímu zjištění může kontrolovaná osoba podat námitky, a to ve lhůtě 15 dn</w:t>
      </w:r>
      <w:r>
        <w:t>ů</w:t>
      </w:r>
      <w:r w:rsidRPr="00FE7FE5">
        <w:t xml:space="preserve"> ode dne doručení protokolu o kontrole. Pokud</w:t>
      </w:r>
      <w:r w:rsidRPr="005C6D0D">
        <w:t xml:space="preserve"> se tak stane, je dozorující orgán povinen námitky vyřídit, a to nejpozději ve lhůtě 30 dnů ode dne jejich doručení, přičemž lhůtu lze v odůvodněných př</w:t>
      </w:r>
      <w:r w:rsidR="00724759">
        <w:t>ípadech prodloužit o dalších 30 </w:t>
      </w:r>
      <w:r w:rsidRPr="005C6D0D">
        <w:t>dnů.</w:t>
      </w:r>
    </w:p>
    <w:p w14:paraId="4184D740" w14:textId="178CEF50" w:rsidR="00A14435" w:rsidRPr="00AE3060" w:rsidRDefault="00A14435" w:rsidP="00A14435">
      <w:pPr>
        <w:spacing w:after="0"/>
        <w:rPr>
          <w:rFonts w:cs="Arial"/>
          <w:color w:val="000000" w:themeColor="text1"/>
          <w:szCs w:val="24"/>
          <w:u w:val="single"/>
        </w:rPr>
      </w:pPr>
      <w:r w:rsidRPr="00AE3060">
        <w:rPr>
          <w:rFonts w:cs="Arial"/>
          <w:color w:val="000000" w:themeColor="text1"/>
          <w:szCs w:val="24"/>
          <w:u w:val="single"/>
        </w:rPr>
        <w:t>Dozor nad legálně provozovanými hazardními hrami v land-based</w:t>
      </w:r>
      <w:r w:rsidR="00C22F6F">
        <w:rPr>
          <w:rFonts w:cs="Arial"/>
          <w:color w:val="000000" w:themeColor="text1"/>
          <w:szCs w:val="24"/>
          <w:u w:val="single"/>
        </w:rPr>
        <w:t xml:space="preserve"> prostředí</w:t>
      </w:r>
    </w:p>
    <w:p w14:paraId="20428892" w14:textId="77777777" w:rsidR="00A14435" w:rsidRPr="005C6D0D" w:rsidRDefault="00A14435" w:rsidP="00A14435">
      <w:pPr>
        <w:spacing w:after="0"/>
        <w:rPr>
          <w:rFonts w:cs="Arial"/>
          <w:szCs w:val="24"/>
        </w:rPr>
      </w:pPr>
    </w:p>
    <w:p w14:paraId="337E061B" w14:textId="583479B2" w:rsidR="00A14435" w:rsidRDefault="00A14435" w:rsidP="00D44943">
      <w:pPr>
        <w:spacing w:after="0"/>
        <w:rPr>
          <w:rFonts w:cs="Arial"/>
          <w:szCs w:val="24"/>
        </w:rPr>
      </w:pPr>
      <w:r w:rsidRPr="00D44943">
        <w:rPr>
          <w:rFonts w:cs="Arial"/>
          <w:szCs w:val="24"/>
        </w:rPr>
        <w:t xml:space="preserve">V obecné rovině postupuje dozorující orgán v rámci výkonu dozoru v souladu s kontrolním řádem, a to tak, že: </w:t>
      </w:r>
    </w:p>
    <w:p w14:paraId="702D92E1" w14:textId="77777777" w:rsidR="00D44943" w:rsidRPr="00D44943" w:rsidRDefault="00D44943" w:rsidP="00D44943">
      <w:pPr>
        <w:spacing w:after="0"/>
        <w:rPr>
          <w:rFonts w:cs="Arial"/>
          <w:szCs w:val="24"/>
        </w:rPr>
      </w:pPr>
    </w:p>
    <w:p w14:paraId="04BD1513" w14:textId="77777777" w:rsidR="00A14435" w:rsidRPr="00D44943" w:rsidRDefault="00A14435" w:rsidP="00D44943">
      <w:pPr>
        <w:pStyle w:val="Odstavecseseznamem"/>
        <w:numPr>
          <w:ilvl w:val="0"/>
          <w:numId w:val="20"/>
        </w:numPr>
        <w:spacing w:after="0"/>
        <w:jc w:val="both"/>
        <w:rPr>
          <w:rFonts w:ascii="Arial" w:hAnsi="Arial" w:cs="Arial"/>
          <w:sz w:val="24"/>
          <w:szCs w:val="24"/>
        </w:rPr>
      </w:pPr>
      <w:r w:rsidRPr="00D44943">
        <w:rPr>
          <w:rFonts w:ascii="Arial" w:hAnsi="Arial" w:cs="Arial"/>
          <w:sz w:val="24"/>
          <w:szCs w:val="24"/>
        </w:rPr>
        <w:t>člen kontrolní skupiny vstoupí v civilním oděvu do herního prostoru, a to za účelem provedení prvního kontrolního úkonu bezprostředně předcházejícího předložení pověření ke kontrole kontrolované nebo povinné osobě spočívajícího například v ověření plnění povinností souvisejících s identifikací návštěvníka na vstupu do herního prostoru, poskytnutí zakázaných výhod apod. s tím, že bezprostředně po zjištění protiprávního stavu na místě kontroly je zahájena kontrola postupem dle kontrolního řádu, nebo</w:t>
      </w:r>
    </w:p>
    <w:p w14:paraId="64DE3684" w14:textId="77777777" w:rsidR="00A14435" w:rsidRPr="00D44943" w:rsidRDefault="00A14435" w:rsidP="00D44943">
      <w:pPr>
        <w:pStyle w:val="Odstavecseseznamem"/>
        <w:spacing w:after="0"/>
        <w:jc w:val="both"/>
        <w:rPr>
          <w:rFonts w:ascii="Arial" w:hAnsi="Arial" w:cs="Arial"/>
          <w:sz w:val="24"/>
          <w:szCs w:val="24"/>
        </w:rPr>
      </w:pPr>
    </w:p>
    <w:p w14:paraId="3BDE6422" w14:textId="77777777" w:rsidR="00A14435" w:rsidRPr="00D44943" w:rsidRDefault="00A14435" w:rsidP="00D44943">
      <w:pPr>
        <w:pStyle w:val="Odstavecseseznamem"/>
        <w:numPr>
          <w:ilvl w:val="0"/>
          <w:numId w:val="20"/>
        </w:numPr>
        <w:spacing w:after="0"/>
        <w:jc w:val="both"/>
        <w:rPr>
          <w:rFonts w:ascii="Arial" w:hAnsi="Arial" w:cs="Arial"/>
          <w:sz w:val="24"/>
          <w:szCs w:val="24"/>
        </w:rPr>
      </w:pPr>
      <w:r w:rsidRPr="00D44943">
        <w:rPr>
          <w:rFonts w:ascii="Arial" w:hAnsi="Arial" w:cs="Arial"/>
          <w:sz w:val="24"/>
          <w:szCs w:val="24"/>
        </w:rPr>
        <w:t xml:space="preserve">členové kontrolní skupiny se dostaví do herního prostoru nebo provozovny kursové sázky a zahájí kontrolu předložením pověření ke kontrole kontrolované nebo povinné osobě, seznámí kontrolovanou nebo povinnou osobou s právy a povinnostmi a následně přistoupí ke kontrole plnění dílčích povinností vyplývajících ze zákona o hazardních hrách, podmínek uvedených v základním povolení nebo v povolení k umístění herního prostoru.  </w:t>
      </w:r>
    </w:p>
    <w:p w14:paraId="5DB441B2" w14:textId="77777777" w:rsidR="00A14435" w:rsidRDefault="00A14435" w:rsidP="00A14435">
      <w:pPr>
        <w:spacing w:after="0"/>
        <w:rPr>
          <w:rFonts w:cs="Arial"/>
          <w:szCs w:val="24"/>
        </w:rPr>
      </w:pPr>
    </w:p>
    <w:p w14:paraId="67491F3B" w14:textId="77777777" w:rsidR="00A14435" w:rsidRPr="00891D6D" w:rsidRDefault="00A14435" w:rsidP="00A14435">
      <w:pPr>
        <w:rPr>
          <w:rFonts w:eastAsia="Times New Roman"/>
          <w:lang w:eastAsia="cs-CZ"/>
        </w:rPr>
      </w:pPr>
      <w:r w:rsidRPr="00381124">
        <w:t xml:space="preserve">V rámci výkonu dozoru byly </w:t>
      </w:r>
      <w:r w:rsidRPr="00891D6D">
        <w:t>řešeny i případy, kdy byla například v legálně provozovaném herním prostoru shledán</w:t>
      </w:r>
      <w:r>
        <w:t>a</w:t>
      </w:r>
      <w:r w:rsidRPr="00891D6D">
        <w:t xml:space="preserve"> technick</w:t>
      </w:r>
      <w:r>
        <w:t>á</w:t>
      </w:r>
      <w:r w:rsidRPr="00891D6D">
        <w:t xml:space="preserve"> zařízení bez platného osvědčení o provozuschopnosti a dozorující orgán byl</w:t>
      </w:r>
      <w:r w:rsidRPr="00381124">
        <w:t xml:space="preserve"> </w:t>
      </w:r>
      <w:r>
        <w:t xml:space="preserve">(na základě zákona o hazardních hrách účinného do 31. 12. 2020) </w:t>
      </w:r>
      <w:r w:rsidRPr="00381124">
        <w:t>povinen</w:t>
      </w:r>
      <w:r>
        <w:t xml:space="preserve"> </w:t>
      </w:r>
      <w:r w:rsidRPr="00381124">
        <w:t>zadržet věc</w:t>
      </w:r>
      <w:r>
        <w:t>,</w:t>
      </w:r>
      <w:r w:rsidRPr="00381124">
        <w:t xml:space="preserve"> a to bez možnosti dalšího alternativního řešení nebo postupu</w:t>
      </w:r>
      <w:r>
        <w:t>, neboť zde</w:t>
      </w:r>
      <w:r w:rsidRPr="00381124">
        <w:t xml:space="preserve"> exi</w:t>
      </w:r>
      <w:r>
        <w:t>stovalo důvodné podezření, že v </w:t>
      </w:r>
      <w:r w:rsidRPr="00381124">
        <w:t>souvislosti s jejím užíváním dochází k porušování zákona o hazardních hrách</w:t>
      </w:r>
      <w:r>
        <w:t>.</w:t>
      </w:r>
      <w:r w:rsidRPr="00381124">
        <w:t xml:space="preserve"> Tento postup byl v </w:t>
      </w:r>
      <w:r w:rsidRPr="003970BA">
        <w:t xml:space="preserve">dílčích případech neadekvátně technicky, administrativně, finančně </w:t>
      </w:r>
      <w:r>
        <w:t>a </w:t>
      </w:r>
      <w:r w:rsidRPr="003970BA">
        <w:t xml:space="preserve">personálně náročný. Řešení přinesla až novela zákona o hazardních hrách účinná od 1. 1. 2021, která v § </w:t>
      </w:r>
      <w:r w:rsidRPr="00891D6D">
        <w:t xml:space="preserve">121 odst. </w:t>
      </w:r>
      <w:r>
        <w:t>4</w:t>
      </w:r>
      <w:r w:rsidRPr="00891D6D">
        <w:t xml:space="preserve"> zavedla </w:t>
      </w:r>
      <w:r>
        <w:t>oprávnění</w:t>
      </w:r>
      <w:r w:rsidRPr="00891D6D">
        <w:t>, podle něhož dozorující orgán může zadrženou věc ponechat osobě, které byla zadržena. Osoba, které byla věc zadržena, nesmí, pod hrozbou sankce, věc zničit ani s ní jinak nakládat s výjimkou jejího držení nebo skladování.</w:t>
      </w:r>
      <w:r w:rsidRPr="00891D6D">
        <w:rPr>
          <w:rFonts w:eastAsia="Times New Roman"/>
          <w:lang w:eastAsia="cs-CZ"/>
        </w:rPr>
        <w:t xml:space="preserve"> Podmínkou je, že technické zařízení, jehož prostřednictvím je hazardní hra provozována</w:t>
      </w:r>
      <w:r>
        <w:rPr>
          <w:rFonts w:eastAsia="Times New Roman"/>
          <w:lang w:eastAsia="cs-CZ"/>
        </w:rPr>
        <w:t>,</w:t>
      </w:r>
      <w:r w:rsidRPr="00891D6D">
        <w:rPr>
          <w:rFonts w:eastAsia="Times New Roman"/>
          <w:lang w:eastAsia="cs-CZ"/>
        </w:rPr>
        <w:t xml:space="preserve"> bude umístěno mimo herní prostor, neboť v herním prostoru se mohou nacházet pouze řádně povolená technická zařízení.</w:t>
      </w:r>
    </w:p>
    <w:p w14:paraId="7B4004E7" w14:textId="66E96EF9" w:rsidR="00A14435" w:rsidRDefault="00A14435" w:rsidP="00A14435">
      <w:r>
        <w:t xml:space="preserve">V období let </w:t>
      </w:r>
      <w:r w:rsidRPr="0017121F">
        <w:rPr>
          <w:b/>
        </w:rPr>
        <w:t>2017 až 2020 provedla Celní spr</w:t>
      </w:r>
      <w:r w:rsidR="00A51CD0">
        <w:rPr>
          <w:b/>
        </w:rPr>
        <w:t>áva celkem 5623 kontrol v land</w:t>
      </w:r>
      <w:r w:rsidR="00A51CD0">
        <w:rPr>
          <w:b/>
        </w:rPr>
        <w:noBreakHyphen/>
      </w:r>
      <w:r w:rsidRPr="0017121F">
        <w:rPr>
          <w:b/>
        </w:rPr>
        <w:t>based</w:t>
      </w:r>
      <w:r w:rsidR="00C22F6F" w:rsidRPr="0017121F">
        <w:rPr>
          <w:b/>
        </w:rPr>
        <w:t xml:space="preserve"> prostředí</w:t>
      </w:r>
      <w:r>
        <w:t>. V 4679 případech</w:t>
      </w:r>
      <w:r w:rsidR="00A51CD0">
        <w:t xml:space="preserve"> byly tyto kontroly zaměřeny na </w:t>
      </w:r>
      <w:r>
        <w:t>dodržování zákonných podmínek u legálních provozovatelů provozujících hazardní hry na základě povolení.</w:t>
      </w:r>
    </w:p>
    <w:p w14:paraId="62091664" w14:textId="78EA3094" w:rsidR="00A14435" w:rsidRDefault="00A14435" w:rsidP="00A14435">
      <w:r>
        <w:t xml:space="preserve">V roce </w:t>
      </w:r>
      <w:r w:rsidRPr="0017121F">
        <w:rPr>
          <w:b/>
        </w:rPr>
        <w:t>2017 provedla Celní správa 1913 kontrol u legálních provoz</w:t>
      </w:r>
      <w:r w:rsidR="003B2977" w:rsidRPr="0017121F">
        <w:rPr>
          <w:b/>
        </w:rPr>
        <w:t>ovatelů v</w:t>
      </w:r>
      <w:r w:rsidR="003B6097">
        <w:rPr>
          <w:b/>
        </w:rPr>
        <w:t> </w:t>
      </w:r>
      <w:r w:rsidR="003B2977" w:rsidRPr="0017121F">
        <w:rPr>
          <w:b/>
        </w:rPr>
        <w:t>land-based</w:t>
      </w:r>
      <w:r w:rsidR="00C22F6F" w:rsidRPr="0017121F">
        <w:rPr>
          <w:b/>
        </w:rPr>
        <w:t xml:space="preserve"> prostředí</w:t>
      </w:r>
      <w:r w:rsidR="003B2977">
        <w:t xml:space="preserve">. </w:t>
      </w:r>
      <w:r>
        <w:t xml:space="preserve">V tomto počtu je zahrnuto </w:t>
      </w:r>
      <w:r w:rsidR="00A51CD0">
        <w:t>i 310 kontrol spočívajících (na </w:t>
      </w:r>
      <w:r>
        <w:t>základě předchozí právní úpravy zákona o loteriích a podmínek uvedených v příslušných povoleních) ve fyzické účasti dozorujícího orgánu v místě slosování číselné lo</w:t>
      </w:r>
      <w:r w:rsidR="00A51CD0">
        <w:t xml:space="preserve">terie. </w:t>
      </w:r>
      <w:r w:rsidR="00A51CD0">
        <w:lastRenderedPageBreak/>
        <w:t>V dalších letech (2018 </w:t>
      </w:r>
      <w:r w:rsidR="00A51CD0">
        <w:noBreakHyphen/>
        <w:t> </w:t>
      </w:r>
      <w:r>
        <w:t>2019) se počet kontrol u legálních provozovatelů, v porovnání s rokem 2017, snížil přibližně o 45</w:t>
      </w:r>
      <w:r w:rsidR="00A51CD0">
        <w:t> </w:t>
      </w:r>
      <w:r w:rsidR="00A51CD0">
        <w:noBreakHyphen/>
        <w:t> </w:t>
      </w:r>
      <w:r>
        <w:t>50</w:t>
      </w:r>
      <w:r w:rsidR="00144A6A">
        <w:t xml:space="preserve"> </w:t>
      </w:r>
      <w:r w:rsidR="00A51CD0">
        <w:t>%, a to </w:t>
      </w:r>
      <w:r>
        <w:t>i</w:t>
      </w:r>
      <w:r w:rsidR="003B6097">
        <w:t> </w:t>
      </w:r>
      <w:r>
        <w:t>z</w:t>
      </w:r>
      <w:r w:rsidR="003B6097">
        <w:t> </w:t>
      </w:r>
      <w:r>
        <w:t>důvodu ukončení dozoru při každém slosování číselné loterie od roku 2018</w:t>
      </w:r>
      <w:r w:rsidRPr="005F6E2C">
        <w:t xml:space="preserve"> </w:t>
      </w:r>
      <w:r>
        <w:t>na základě zákona o hazardních hrách. Rozsah</w:t>
      </w:r>
      <w:r w:rsidRPr="003C14F8">
        <w:t xml:space="preserve"> </w:t>
      </w:r>
      <w:r>
        <w:t xml:space="preserve">kontrol v herních prostorech </w:t>
      </w:r>
      <w:r w:rsidRPr="003C14F8">
        <w:t xml:space="preserve">v roce 2020 byl </w:t>
      </w:r>
      <w:r>
        <w:t xml:space="preserve">významně </w:t>
      </w:r>
      <w:r w:rsidRPr="003C14F8">
        <w:t xml:space="preserve">ovlivněn omezením provozu </w:t>
      </w:r>
      <w:r w:rsidRPr="00AE1D72">
        <w:t>v souvislosti s pandemickou situací související</w:t>
      </w:r>
      <w:r>
        <w:t xml:space="preserve"> </w:t>
      </w:r>
      <w:r w:rsidRPr="00AE1D72">
        <w:t>s </w:t>
      </w:r>
      <w:r w:rsidR="003B6097">
        <w:t>c</w:t>
      </w:r>
      <w:r w:rsidRPr="00AE1D72">
        <w:t>ovidem-19</w:t>
      </w:r>
      <w:r>
        <w:t>.</w:t>
      </w:r>
    </w:p>
    <w:p w14:paraId="59FA775E" w14:textId="49653EA9" w:rsidR="00F14165" w:rsidRDefault="00F14165" w:rsidP="00F14165">
      <w:pPr>
        <w:pStyle w:val="Titulek"/>
        <w:keepNext/>
      </w:pPr>
      <w:bookmarkStart w:id="11" w:name="_Toc73531922"/>
      <w:r>
        <w:t xml:space="preserve">Graf č. </w:t>
      </w:r>
      <w:fldSimple w:instr=" SEQ Graf_č. \* ARABIC ">
        <w:r w:rsidR="005F741F">
          <w:rPr>
            <w:noProof/>
          </w:rPr>
          <w:t>1</w:t>
        </w:r>
      </w:fldSimple>
      <w:r>
        <w:t xml:space="preserve">: </w:t>
      </w:r>
      <w:r w:rsidRPr="00E3527A">
        <w:t>Porovnání celkového počtu Celní správou provedených kontrol v</w:t>
      </w:r>
      <w:r w:rsidR="00A51CD0">
        <w:t> land</w:t>
      </w:r>
      <w:r w:rsidR="00A51CD0">
        <w:noBreakHyphen/>
      </w:r>
      <w:r w:rsidRPr="00E3527A">
        <w:t>based</w:t>
      </w:r>
      <w:r w:rsidR="00C22F6F">
        <w:t xml:space="preserve"> prostředí</w:t>
      </w:r>
      <w:r w:rsidRPr="00E3527A">
        <w:t xml:space="preserve"> s kontrolami u legálně prov</w:t>
      </w:r>
      <w:r w:rsidR="00A51CD0">
        <w:t>ozujících provozovatelů, v období 2017 </w:t>
      </w:r>
      <w:r w:rsidR="00A51CD0">
        <w:noBreakHyphen/>
        <w:t> </w:t>
      </w:r>
      <w:r w:rsidRPr="00E3527A">
        <w:t>2020</w:t>
      </w:r>
      <w:bookmarkEnd w:id="11"/>
    </w:p>
    <w:p w14:paraId="2F233DFC" w14:textId="77777777" w:rsidR="00A14435" w:rsidRDefault="00A14435" w:rsidP="00A14435">
      <w:pPr>
        <w:spacing w:after="0"/>
        <w:rPr>
          <w:rFonts w:cs="Arial"/>
          <w:szCs w:val="24"/>
        </w:rPr>
      </w:pPr>
      <w:r>
        <w:rPr>
          <w:noProof/>
          <w:lang w:eastAsia="cs-CZ"/>
        </w:rPr>
        <w:drawing>
          <wp:inline distT="0" distB="0" distL="0" distR="0" wp14:anchorId="0966FDBA" wp14:editId="4F20809E">
            <wp:extent cx="5701553" cy="2280621"/>
            <wp:effectExtent l="0" t="0" r="13970" b="5715"/>
            <wp:docPr id="61" name="Graf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60DA9C3" w14:textId="707AE997" w:rsidR="00A14435" w:rsidRPr="00381A3F" w:rsidRDefault="00A14435" w:rsidP="00A14435">
      <w:pPr>
        <w:spacing w:after="0"/>
        <w:rPr>
          <w:rFonts w:cs="Arial"/>
          <w:i/>
          <w:sz w:val="20"/>
          <w:szCs w:val="20"/>
        </w:rPr>
      </w:pPr>
      <w:r w:rsidRPr="00381A3F">
        <w:rPr>
          <w:rFonts w:cs="Arial"/>
          <w:i/>
          <w:sz w:val="20"/>
          <w:szCs w:val="20"/>
        </w:rPr>
        <w:t>Zdroj: Celní správa</w:t>
      </w:r>
      <w:r w:rsidR="00F14165">
        <w:rPr>
          <w:rFonts w:cs="Arial"/>
          <w:i/>
          <w:sz w:val="20"/>
          <w:szCs w:val="20"/>
        </w:rPr>
        <w:t>.</w:t>
      </w:r>
    </w:p>
    <w:p w14:paraId="0536870B" w14:textId="77777777" w:rsidR="00A14435" w:rsidRDefault="00A14435" w:rsidP="00A14435">
      <w:pPr>
        <w:spacing w:after="0"/>
        <w:rPr>
          <w:rFonts w:cs="Arial"/>
          <w:szCs w:val="24"/>
        </w:rPr>
      </w:pPr>
    </w:p>
    <w:p w14:paraId="17E76560" w14:textId="5CB77143" w:rsidR="00A14435" w:rsidRDefault="00A14435" w:rsidP="00A14435">
      <w:pPr>
        <w:spacing w:after="0"/>
        <w:rPr>
          <w:rFonts w:cs="Arial"/>
          <w:szCs w:val="24"/>
        </w:rPr>
      </w:pPr>
      <w:r>
        <w:t xml:space="preserve">V rámci kontrol, při kterých se Celní správa zaměřila na kontrolu plnění povinností vyplývajících ze zákona o hazardních hrách, podmínek základního povolení a podmínek uvedených ve </w:t>
      </w:r>
      <w:r w:rsidRPr="00C23E3E">
        <w:t xml:space="preserve">schválených herních plánech legálních provozovatelů </w:t>
      </w:r>
      <w:r>
        <w:t>provozujících hazardní hry v  land-based</w:t>
      </w:r>
      <w:r w:rsidR="00C22F6F">
        <w:t xml:space="preserve"> </w:t>
      </w:r>
      <w:r w:rsidR="00C22F6F" w:rsidRPr="00C22F6F">
        <w:t>prostředí</w:t>
      </w:r>
      <w:r>
        <w:t xml:space="preserve">, </w:t>
      </w:r>
      <w:r w:rsidRPr="00C23E3E">
        <w:t xml:space="preserve">byla </w:t>
      </w:r>
      <w:r>
        <w:t xml:space="preserve">Celní správou </w:t>
      </w:r>
      <w:r w:rsidRPr="00C23E3E">
        <w:t>shle</w:t>
      </w:r>
      <w:r>
        <w:t xml:space="preserve">dána celá řada podezření na porušení dílčích povinností. V roce 2017 </w:t>
      </w:r>
      <w:r>
        <w:rPr>
          <w:rFonts w:cs="Arial"/>
          <w:szCs w:val="24"/>
        </w:rPr>
        <w:t xml:space="preserve">byl počet zjištěných </w:t>
      </w:r>
      <w:r w:rsidRPr="00C117AE">
        <w:rPr>
          <w:rFonts w:cs="Arial"/>
          <w:szCs w:val="24"/>
        </w:rPr>
        <w:t>podezření</w:t>
      </w:r>
      <w:r>
        <w:rPr>
          <w:rFonts w:cs="Arial"/>
          <w:szCs w:val="24"/>
        </w:rPr>
        <w:t xml:space="preserve"> na porušení dílčích povinností nižší. </w:t>
      </w:r>
      <w:r w:rsidRPr="0017121F">
        <w:rPr>
          <w:rFonts w:cs="Arial"/>
          <w:b/>
          <w:szCs w:val="24"/>
        </w:rPr>
        <w:t>Porušení dílčí povinnosti bylo shledáno u legálních provozovatelů přibližně v 18 %</w:t>
      </w:r>
      <w:r w:rsidR="008D59F9">
        <w:rPr>
          <w:rFonts w:cs="Arial"/>
          <w:szCs w:val="24"/>
        </w:rPr>
        <w:t xml:space="preserve">. Lze se však domnívat, že </w:t>
      </w:r>
      <w:r>
        <w:rPr>
          <w:rFonts w:cs="Arial"/>
          <w:szCs w:val="24"/>
        </w:rPr>
        <w:t>tato skutečnost byla ovlivněna tím, že v roce 2017 celá řada provozovatelů provozovala hazardní hry na základě přechodných ustanovení zákona o hazardních hrách, tedy podle zákona o loteriích. V důsledku této skutečnosti tak provozovatelé nemuseli plnit všechny podmínky provozování stanovené v zákoně o hazardních hrách, např. nebyla vyžadována povinnost registrace k účasti na hazardní hře nebo povinnost týkající se umožnění nastavení sebeomezujících opatření. V následujících letech (</w:t>
      </w:r>
      <w:r w:rsidRPr="0017121F">
        <w:rPr>
          <w:rFonts w:cs="Arial"/>
          <w:b/>
          <w:szCs w:val="24"/>
        </w:rPr>
        <w:t>2018</w:t>
      </w:r>
      <w:r w:rsidR="00A51CD0">
        <w:rPr>
          <w:rFonts w:cs="Arial"/>
          <w:b/>
          <w:szCs w:val="24"/>
        </w:rPr>
        <w:t> </w:t>
      </w:r>
      <w:r w:rsidR="00A51CD0">
        <w:rPr>
          <w:rFonts w:cs="Arial"/>
          <w:b/>
          <w:szCs w:val="24"/>
        </w:rPr>
        <w:noBreakHyphen/>
        <w:t> </w:t>
      </w:r>
      <w:r w:rsidRPr="0017121F">
        <w:rPr>
          <w:rFonts w:cs="Arial"/>
          <w:b/>
          <w:szCs w:val="24"/>
        </w:rPr>
        <w:t>2020</w:t>
      </w:r>
      <w:r>
        <w:rPr>
          <w:rFonts w:cs="Arial"/>
          <w:szCs w:val="24"/>
        </w:rPr>
        <w:t xml:space="preserve">) se již </w:t>
      </w:r>
      <w:r w:rsidRPr="0017121F">
        <w:rPr>
          <w:rFonts w:cs="Arial"/>
          <w:b/>
          <w:szCs w:val="24"/>
        </w:rPr>
        <w:t>počet zjištěných podezření na porušení dílčích povinností</w:t>
      </w:r>
      <w:r>
        <w:rPr>
          <w:rFonts w:cs="Arial"/>
          <w:szCs w:val="24"/>
        </w:rPr>
        <w:t xml:space="preserve">, v porovnání s počtem Celní správou provedených kontrol, </w:t>
      </w:r>
      <w:r w:rsidRPr="0017121F">
        <w:rPr>
          <w:rFonts w:cs="Arial"/>
          <w:b/>
          <w:szCs w:val="24"/>
        </w:rPr>
        <w:t>zvýšil a</w:t>
      </w:r>
      <w:r w:rsidR="00FF2E77">
        <w:rPr>
          <w:rFonts w:cs="Arial"/>
          <w:b/>
          <w:szCs w:val="24"/>
        </w:rPr>
        <w:t> </w:t>
      </w:r>
      <w:r w:rsidRPr="0017121F">
        <w:rPr>
          <w:rFonts w:cs="Arial"/>
          <w:b/>
          <w:szCs w:val="24"/>
        </w:rPr>
        <w:t>pohyboval se v rozmezí mezi 43 % - 58 %</w:t>
      </w:r>
      <w:r>
        <w:rPr>
          <w:rFonts w:cs="Arial"/>
          <w:szCs w:val="24"/>
        </w:rPr>
        <w:t xml:space="preserve">. </w:t>
      </w:r>
    </w:p>
    <w:p w14:paraId="2328C614" w14:textId="77777777" w:rsidR="00A14435" w:rsidRDefault="00A14435" w:rsidP="00A14435">
      <w:pPr>
        <w:spacing w:after="80"/>
        <w:rPr>
          <w:rFonts w:cs="Arial"/>
          <w:i/>
          <w:szCs w:val="24"/>
        </w:rPr>
      </w:pPr>
    </w:p>
    <w:p w14:paraId="329670E9" w14:textId="0D84197F" w:rsidR="00F14165" w:rsidRDefault="00F14165" w:rsidP="00F14165">
      <w:pPr>
        <w:pStyle w:val="Titulek"/>
        <w:keepNext/>
      </w:pPr>
      <w:bookmarkStart w:id="12" w:name="_Toc73531923"/>
      <w:r>
        <w:lastRenderedPageBreak/>
        <w:t xml:space="preserve">Graf č. </w:t>
      </w:r>
      <w:fldSimple w:instr=" SEQ Graf_č. \* ARABIC ">
        <w:r w:rsidR="005F741F">
          <w:rPr>
            <w:noProof/>
          </w:rPr>
          <w:t>2</w:t>
        </w:r>
      </w:fldSimple>
      <w:r>
        <w:t xml:space="preserve">: </w:t>
      </w:r>
      <w:r w:rsidRPr="00153A47">
        <w:t>Porovnání počtu kontrol provedených Celní správou v</w:t>
      </w:r>
      <w:r w:rsidR="00C22F6F">
        <w:t> </w:t>
      </w:r>
      <w:r w:rsidRPr="00153A47">
        <w:t>land-based</w:t>
      </w:r>
      <w:r w:rsidR="00C22F6F">
        <w:t xml:space="preserve"> </w:t>
      </w:r>
      <w:r w:rsidR="00C22F6F" w:rsidRPr="00C22F6F">
        <w:t>prostředí</w:t>
      </w:r>
      <w:r w:rsidRPr="00153A47">
        <w:t xml:space="preserve"> u legálních provozovatelů s počtem zjištěných podezření na porušení dílčích povinností, a to v období 2017 - 2020</w:t>
      </w:r>
      <w:bookmarkEnd w:id="12"/>
    </w:p>
    <w:p w14:paraId="377F7C66" w14:textId="77777777" w:rsidR="00A14435" w:rsidRDefault="00A14435" w:rsidP="00A14435">
      <w:pPr>
        <w:spacing w:after="0"/>
        <w:rPr>
          <w:rFonts w:cs="Arial"/>
          <w:i/>
          <w:sz w:val="20"/>
          <w:szCs w:val="20"/>
        </w:rPr>
      </w:pPr>
      <w:r>
        <w:rPr>
          <w:noProof/>
          <w:lang w:eastAsia="cs-CZ"/>
        </w:rPr>
        <w:drawing>
          <wp:inline distT="0" distB="0" distL="0" distR="0" wp14:anchorId="2CF30225" wp14:editId="01A609A1">
            <wp:extent cx="5747657" cy="2305050"/>
            <wp:effectExtent l="0" t="0" r="5715" b="0"/>
            <wp:docPr id="62" name="Graf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0D41CEA" w14:textId="38B78148" w:rsidR="00A14435" w:rsidRPr="00381A3F" w:rsidRDefault="00A14435" w:rsidP="00A14435">
      <w:pPr>
        <w:spacing w:after="0"/>
        <w:rPr>
          <w:rFonts w:cs="Arial"/>
          <w:i/>
          <w:sz w:val="20"/>
          <w:szCs w:val="20"/>
        </w:rPr>
      </w:pPr>
      <w:r w:rsidRPr="00381A3F">
        <w:rPr>
          <w:rFonts w:cs="Arial"/>
          <w:i/>
          <w:sz w:val="20"/>
          <w:szCs w:val="20"/>
        </w:rPr>
        <w:t>Zdroj: Celní správa</w:t>
      </w:r>
      <w:r w:rsidR="00F14165">
        <w:rPr>
          <w:rFonts w:cs="Arial"/>
          <w:i/>
          <w:sz w:val="20"/>
          <w:szCs w:val="20"/>
        </w:rPr>
        <w:t>.</w:t>
      </w:r>
    </w:p>
    <w:p w14:paraId="5465F7E7" w14:textId="77777777" w:rsidR="00A14435" w:rsidRDefault="00A14435" w:rsidP="00A14435">
      <w:pPr>
        <w:spacing w:after="0"/>
        <w:rPr>
          <w:rFonts w:cs="Arial"/>
          <w:szCs w:val="24"/>
        </w:rPr>
      </w:pPr>
    </w:p>
    <w:p w14:paraId="66E429EA" w14:textId="0EF85621" w:rsidR="00A14435" w:rsidRDefault="00A14435" w:rsidP="00A14435">
      <w:pPr>
        <w:rPr>
          <w:rFonts w:cs="Arial"/>
          <w:color w:val="000000" w:themeColor="text1"/>
          <w:szCs w:val="24"/>
        </w:rPr>
      </w:pPr>
      <w:r>
        <w:t xml:space="preserve">Jak již vyplývá z výše uvedeného grafu, </w:t>
      </w:r>
      <w:r w:rsidRPr="00604F76">
        <w:rPr>
          <w:b/>
        </w:rPr>
        <w:t>v roce 2020 Celní správa</w:t>
      </w:r>
      <w:r w:rsidRPr="00A211A1">
        <w:t xml:space="preserve"> </w:t>
      </w:r>
      <w:r w:rsidRPr="003F3C7D">
        <w:t>dospěl</w:t>
      </w:r>
      <w:r>
        <w:t>a</w:t>
      </w:r>
      <w:r w:rsidRPr="003F3C7D">
        <w:t xml:space="preserve"> </w:t>
      </w:r>
      <w:r>
        <w:t xml:space="preserve">v rámci výkonu dozoru nad dodržováním podmínek stanovených zákonem o hazardních </w:t>
      </w:r>
      <w:r w:rsidRPr="003F3C7D">
        <w:t xml:space="preserve">hrách </w:t>
      </w:r>
      <w:r>
        <w:t xml:space="preserve">legálními provozovateli </w:t>
      </w:r>
      <w:r w:rsidRPr="003F3C7D">
        <w:t xml:space="preserve">v hernách a kasinech </w:t>
      </w:r>
      <w:r w:rsidRPr="00A211A1">
        <w:t xml:space="preserve">k podezřením na </w:t>
      </w:r>
      <w:r w:rsidRPr="00604F76">
        <w:rPr>
          <w:b/>
        </w:rPr>
        <w:t>porušování povinností v 355 případech</w:t>
      </w:r>
      <w:r>
        <w:t>, přičemž nižší r</w:t>
      </w:r>
      <w:r w:rsidRPr="00D34621">
        <w:t>ozsah</w:t>
      </w:r>
      <w:r w:rsidRPr="003C14F8">
        <w:t xml:space="preserve"> </w:t>
      </w:r>
      <w:r>
        <w:t xml:space="preserve">kontrol, kterých bylo v herních prostorech </w:t>
      </w:r>
      <w:r w:rsidRPr="00604F76">
        <w:rPr>
          <w:b/>
        </w:rPr>
        <w:t>v roce 2020 provedeno 612</w:t>
      </w:r>
      <w:r>
        <w:t xml:space="preserve">, byl </w:t>
      </w:r>
      <w:r w:rsidRPr="003C14F8">
        <w:t xml:space="preserve">ovlivněn omezením provozu </w:t>
      </w:r>
      <w:r w:rsidRPr="00AE1D72">
        <w:t>v souvislosti s pandemickou situací související</w:t>
      </w:r>
      <w:r>
        <w:t xml:space="preserve"> </w:t>
      </w:r>
      <w:r w:rsidRPr="00AE1D72">
        <w:t>s </w:t>
      </w:r>
      <w:r w:rsidR="00C22F6F" w:rsidRPr="00604F76">
        <w:rPr>
          <w:b/>
        </w:rPr>
        <w:t>covidem</w:t>
      </w:r>
      <w:r w:rsidRPr="00604F76">
        <w:rPr>
          <w:b/>
        </w:rPr>
        <w:t>-19</w:t>
      </w:r>
      <w:r w:rsidRPr="00E70451">
        <w:t>.</w:t>
      </w:r>
      <w:r w:rsidRPr="003C14F8">
        <w:t xml:space="preserve">   </w:t>
      </w:r>
    </w:p>
    <w:p w14:paraId="2809A255" w14:textId="77777777" w:rsidR="006E2CEC" w:rsidRDefault="00A14435" w:rsidP="00A14435">
      <w:r>
        <w:t>V</w:t>
      </w:r>
      <w:r w:rsidRPr="00346467">
        <w:t xml:space="preserve"> roce </w:t>
      </w:r>
      <w:r w:rsidRPr="00634CD7">
        <w:t>2020 byl</w:t>
      </w:r>
      <w:r>
        <w:t>a</w:t>
      </w:r>
      <w:r w:rsidRPr="00634CD7">
        <w:t xml:space="preserve"> </w:t>
      </w:r>
      <w:r>
        <w:rPr>
          <w:rFonts w:cs="Arial"/>
          <w:szCs w:val="24"/>
        </w:rPr>
        <w:t xml:space="preserve">Celní správou zjištěna celá řada podezření na </w:t>
      </w:r>
      <w:r>
        <w:t>porušení</w:t>
      </w:r>
      <w:r>
        <w:rPr>
          <w:b/>
        </w:rPr>
        <w:t xml:space="preserve"> </w:t>
      </w:r>
      <w:r>
        <w:rPr>
          <w:rFonts w:cs="Arial"/>
          <w:szCs w:val="24"/>
        </w:rPr>
        <w:t>dílčích povinností vyplývajících ze zákona o hazardních hrách, základního povolení a</w:t>
      </w:r>
      <w:r w:rsidR="00FF2E77">
        <w:rPr>
          <w:rFonts w:cs="Arial"/>
          <w:szCs w:val="24"/>
        </w:rPr>
        <w:t> </w:t>
      </w:r>
      <w:r>
        <w:rPr>
          <w:rFonts w:cs="Arial"/>
          <w:szCs w:val="24"/>
        </w:rPr>
        <w:t xml:space="preserve">herního plánu. Mezi </w:t>
      </w:r>
      <w:r w:rsidRPr="00604F76">
        <w:rPr>
          <w:b/>
        </w:rPr>
        <w:t xml:space="preserve">nejčetněji zjištěná podezření lze zařadit </w:t>
      </w:r>
      <w:r w:rsidR="00A51CD0">
        <w:rPr>
          <w:rFonts w:cs="Arial"/>
          <w:b/>
          <w:szCs w:val="24"/>
        </w:rPr>
        <w:t>podezření na </w:t>
      </w:r>
      <w:r w:rsidRPr="00604F76">
        <w:rPr>
          <w:rFonts w:cs="Arial"/>
          <w:b/>
          <w:szCs w:val="24"/>
        </w:rPr>
        <w:t>porušení zákazu umístění reklamy</w:t>
      </w:r>
      <w:r>
        <w:rPr>
          <w:rFonts w:cs="Arial"/>
          <w:szCs w:val="24"/>
        </w:rPr>
        <w:t xml:space="preserve"> na budově nebo veřejně přístupné vnitřní části budovy, ve které se herní prostor nachází a </w:t>
      </w:r>
      <w:r w:rsidRPr="00604F76">
        <w:rPr>
          <w:rFonts w:cs="Arial"/>
          <w:b/>
          <w:szCs w:val="24"/>
        </w:rPr>
        <w:t>podezření na porušení povinnosti umožnit hru nejméně u třech hracích stolů živé hry</w:t>
      </w:r>
      <w:r>
        <w:rPr>
          <w:rFonts w:cs="Arial"/>
          <w:szCs w:val="24"/>
        </w:rPr>
        <w:t>, a to po celou provozní dobu kasina.</w:t>
      </w:r>
      <w:r w:rsidRPr="00E70451">
        <w:t xml:space="preserve"> </w:t>
      </w:r>
      <w:r>
        <w:t>Další významnou skupinu tvořila podezření na porušení dílčích podmínek uvedených v základním povolení (např. nepřítomnost odpovědné osoby v herním prostoru, neplnění informačních povinností souvisejících se zahájením nebo ukončením provozu apod.).</w:t>
      </w:r>
    </w:p>
    <w:p w14:paraId="529AEDD3" w14:textId="07C301FB" w:rsidR="008B1748" w:rsidRDefault="006E2CEC" w:rsidP="008B1748">
      <w:pPr>
        <w:rPr>
          <w:rFonts w:ascii="Calibri" w:hAnsi="Calibri"/>
          <w:sz w:val="22"/>
        </w:rPr>
      </w:pPr>
      <w:r>
        <w:t>Lze shrnout, že počet kontrol provedených Celní správou v land-based prostředí v průběhu posledních let vykazuje klesající tendenci. A</w:t>
      </w:r>
      <w:r w:rsidRPr="006E2CEC">
        <w:t>však je na místě uvést, že do počtu kontrol v roce 2017 je započítán státní dozor nad loterií na základě předchozí právní úpravy a souvisejících povolení, který činil celkem 310 kontrol (nutnost fyzické účasti dozorujícího orgánu v místě slosování)</w:t>
      </w:r>
      <w:r>
        <w:t>.</w:t>
      </w:r>
      <w:r w:rsidRPr="006E2CEC">
        <w:t xml:space="preserve"> V dalších letech (2018 – 2019) se počet kontrol u legálních provozovatelů, v porovnání s</w:t>
      </w:r>
      <w:r>
        <w:t xml:space="preserve"> rokem 2017, snížil přibližně o </w:t>
      </w:r>
      <w:r w:rsidRPr="006E2CEC">
        <w:t>45 – 50</w:t>
      </w:r>
      <w:r w:rsidR="008D59F9">
        <w:t> </w:t>
      </w:r>
      <w:r w:rsidRPr="006E2CEC">
        <w:t>%, a to také z důvodu, že Celní správa od roku 2018 nevykonávala odborný dozor při každém slosování loterií, čímž došlo ke snížení evidovaných kontrol</w:t>
      </w:r>
      <w:r>
        <w:t>.</w:t>
      </w:r>
      <w:r w:rsidRPr="006E2CEC">
        <w:t xml:space="preserve"> Rozsah kontrol v herních prostorech v roce 2020 byl významně ovlivněn omezením provozu v souvislosti s pandemickou situací související s </w:t>
      </w:r>
      <w:r w:rsidR="00352BA5">
        <w:t>c</w:t>
      </w:r>
      <w:r w:rsidRPr="006E2CEC">
        <w:t>ovidem-19.</w:t>
      </w:r>
      <w:r>
        <w:t xml:space="preserve"> Druhým důvodem </w:t>
      </w:r>
      <w:r w:rsidR="008B1748">
        <w:t xml:space="preserve">klesajícího počtu kontrol co do počtu </w:t>
      </w:r>
      <w:r>
        <w:t xml:space="preserve">je </w:t>
      </w:r>
      <w:r w:rsidRPr="008B1748">
        <w:rPr>
          <w:b/>
        </w:rPr>
        <w:t>bezesporu vyšší zaměření na nelegální provozování</w:t>
      </w:r>
      <w:r>
        <w:t xml:space="preserve"> tzv. kvízomatů v roce 2018</w:t>
      </w:r>
      <w:r w:rsidR="008B1748">
        <w:t>, kde je </w:t>
      </w:r>
      <w:r>
        <w:t xml:space="preserve">vždy shledáno porušení. Nelegální provozovatel následně využívá všech opravných prostředků, čímž je </w:t>
      </w:r>
      <w:r w:rsidRPr="008B1748">
        <w:rPr>
          <w:b/>
        </w:rPr>
        <w:t>kontrolní činnost administrativně náročnější</w:t>
      </w:r>
      <w:r>
        <w:t>.</w:t>
      </w:r>
      <w:r w:rsidR="008B1748">
        <w:t xml:space="preserve"> Třetím důvodem je dále </w:t>
      </w:r>
      <w:r w:rsidR="008B1748" w:rsidRPr="008B1748">
        <w:rPr>
          <w:b/>
        </w:rPr>
        <w:t xml:space="preserve">širší rozsah kontrolní </w:t>
      </w:r>
      <w:r w:rsidR="008B1748" w:rsidRPr="008B1748">
        <w:rPr>
          <w:b/>
        </w:rPr>
        <w:lastRenderedPageBreak/>
        <w:t>činnosti u legálních provozovatelů</w:t>
      </w:r>
      <w:r w:rsidR="008B1748">
        <w:t xml:space="preserve">, tedy </w:t>
      </w:r>
      <w:r w:rsidR="008B1748" w:rsidRPr="008B1748">
        <w:rPr>
          <w:b/>
        </w:rPr>
        <w:t>kvalitativní zlepšení kontrolní činnosti</w:t>
      </w:r>
      <w:r w:rsidR="008B1748">
        <w:t>. Výsledkem je pak vyšší efektivita, neboť v roce 2018 je počet shledaných porušení vyšší při menším počtu kontrol oproti roku 2017.  </w:t>
      </w:r>
    </w:p>
    <w:p w14:paraId="6D350094" w14:textId="42F86869" w:rsidR="00F14165" w:rsidRDefault="00F14165" w:rsidP="00F14165">
      <w:pPr>
        <w:pStyle w:val="Titulek"/>
        <w:keepNext/>
      </w:pPr>
      <w:bookmarkStart w:id="13" w:name="_Toc73531924"/>
      <w:r>
        <w:t xml:space="preserve">Graf č. </w:t>
      </w:r>
      <w:fldSimple w:instr=" SEQ Graf_č. \* ARABIC ">
        <w:r w:rsidR="005F741F">
          <w:rPr>
            <w:noProof/>
          </w:rPr>
          <w:t>3</w:t>
        </w:r>
      </w:fldSimple>
      <w:r>
        <w:t xml:space="preserve">: </w:t>
      </w:r>
      <w:r w:rsidRPr="001212BD">
        <w:t xml:space="preserve">Přehled nejčetněji Celní správou zjištěných podezření na porušení dílčích povinností legálně provozujícími provozovateli v land-based </w:t>
      </w:r>
      <w:r w:rsidR="00C22F6F" w:rsidRPr="00C22F6F">
        <w:t xml:space="preserve">prostředí </w:t>
      </w:r>
      <w:r w:rsidRPr="001212BD">
        <w:t>v roce 2020</w:t>
      </w:r>
      <w:bookmarkEnd w:id="13"/>
    </w:p>
    <w:p w14:paraId="0902D177" w14:textId="77777777" w:rsidR="00A14435" w:rsidRPr="0042179A" w:rsidRDefault="00A14435" w:rsidP="00A14435">
      <w:pPr>
        <w:spacing w:after="0"/>
        <w:rPr>
          <w:rFonts w:cs="Arial"/>
          <w:color w:val="000000" w:themeColor="text1"/>
          <w:szCs w:val="24"/>
        </w:rPr>
      </w:pPr>
      <w:r>
        <w:rPr>
          <w:noProof/>
          <w:lang w:eastAsia="cs-CZ"/>
        </w:rPr>
        <w:drawing>
          <wp:inline distT="0" distB="0" distL="0" distR="0" wp14:anchorId="59CC2434" wp14:editId="0795BA02">
            <wp:extent cx="5745708" cy="3220720"/>
            <wp:effectExtent l="0" t="0" r="7620" b="17780"/>
            <wp:docPr id="63" name="Graf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C2A87B0" w14:textId="51B9FE4C" w:rsidR="00A14435" w:rsidRPr="00381A3F" w:rsidRDefault="00A14435" w:rsidP="00A14435">
      <w:pPr>
        <w:spacing w:after="0"/>
        <w:rPr>
          <w:rFonts w:cs="Arial"/>
          <w:i/>
          <w:sz w:val="20"/>
          <w:szCs w:val="20"/>
        </w:rPr>
      </w:pPr>
      <w:r w:rsidRPr="00381A3F">
        <w:rPr>
          <w:rFonts w:cs="Arial"/>
          <w:i/>
          <w:sz w:val="20"/>
          <w:szCs w:val="20"/>
        </w:rPr>
        <w:t>Zdroj: Celní správa</w:t>
      </w:r>
      <w:r>
        <w:rPr>
          <w:rFonts w:cs="Arial"/>
          <w:i/>
          <w:sz w:val="20"/>
          <w:szCs w:val="20"/>
        </w:rPr>
        <w:t xml:space="preserve"> a Ministerstvo financí (IS SDSL)</w:t>
      </w:r>
      <w:r w:rsidR="00F14165">
        <w:rPr>
          <w:rFonts w:cs="Arial"/>
          <w:i/>
          <w:sz w:val="20"/>
          <w:szCs w:val="20"/>
        </w:rPr>
        <w:t>.</w:t>
      </w:r>
    </w:p>
    <w:p w14:paraId="16A45364" w14:textId="77777777" w:rsidR="00A14435" w:rsidRDefault="00A14435" w:rsidP="00A14435">
      <w:pPr>
        <w:spacing w:after="0"/>
        <w:rPr>
          <w:rFonts w:cs="Arial"/>
          <w:color w:val="000000" w:themeColor="text1"/>
          <w:szCs w:val="24"/>
        </w:rPr>
      </w:pPr>
    </w:p>
    <w:p w14:paraId="391FDEBF" w14:textId="77777777" w:rsidR="00A14435" w:rsidRPr="00AE3060" w:rsidRDefault="00A14435" w:rsidP="00A14435">
      <w:pPr>
        <w:rPr>
          <w:u w:val="single"/>
        </w:rPr>
      </w:pPr>
      <w:r w:rsidRPr="00AE3060">
        <w:rPr>
          <w:u w:val="single"/>
        </w:rPr>
        <w:t>Oznamovací povinnosti legálních provozovatelů hazardních her</w:t>
      </w:r>
    </w:p>
    <w:p w14:paraId="16B120CD" w14:textId="40A611D5" w:rsidR="00A14435" w:rsidRPr="00C8665C" w:rsidRDefault="00A14435" w:rsidP="00A14435">
      <w:pPr>
        <w:rPr>
          <w:rStyle w:val="Hypertextovodkaz"/>
          <w:rFonts w:cs="Arial"/>
          <w:szCs w:val="24"/>
        </w:rPr>
      </w:pPr>
      <w:r w:rsidRPr="00155ABB">
        <w:rPr>
          <w:rStyle w:val="Hypertextovodkaz"/>
          <w:rFonts w:cs="Arial"/>
          <w:color w:val="000000" w:themeColor="text1"/>
          <w:szCs w:val="24"/>
          <w:u w:val="none"/>
        </w:rPr>
        <w:t xml:space="preserve">Na legální provozovatele hazardních her v land-based </w:t>
      </w:r>
      <w:r w:rsidR="00C22F6F" w:rsidRPr="00155ABB">
        <w:rPr>
          <w:rStyle w:val="Hypertextovodkaz"/>
          <w:rFonts w:cs="Arial"/>
          <w:color w:val="000000" w:themeColor="text1"/>
          <w:szCs w:val="24"/>
          <w:u w:val="none"/>
        </w:rPr>
        <w:t xml:space="preserve">prostředí </w:t>
      </w:r>
      <w:r w:rsidRPr="00155ABB">
        <w:rPr>
          <w:rStyle w:val="Hypertextovodkaz"/>
          <w:rFonts w:cs="Arial"/>
          <w:color w:val="000000" w:themeColor="text1"/>
          <w:szCs w:val="24"/>
          <w:u w:val="none"/>
        </w:rPr>
        <w:t>se vztahuje celá řada informačních povinností, které jsou povinni zasílat Celní správě (např. oznámení o zahájení provozu).</w:t>
      </w:r>
      <w:r>
        <w:t xml:space="preserve"> </w:t>
      </w:r>
      <w:r w:rsidRPr="007D7048">
        <w:rPr>
          <w:b/>
        </w:rPr>
        <w:t>K zajištění povinnosti oznamovat a zasílat věcně a</w:t>
      </w:r>
      <w:r w:rsidR="00C22F6F" w:rsidRPr="007D7048">
        <w:rPr>
          <w:b/>
        </w:rPr>
        <w:t> </w:t>
      </w:r>
      <w:r w:rsidRPr="007D7048">
        <w:rPr>
          <w:b/>
        </w:rPr>
        <w:t>místně příslušnému celnímu úřadu různé druhy informací a dokumentů vytvořila Celní správa interaktivní formulář</w:t>
      </w:r>
      <w:r w:rsidRPr="00C8665C">
        <w:t xml:space="preserve"> </w:t>
      </w:r>
      <w:r w:rsidRPr="00D45ACF">
        <w:rPr>
          <w:color w:val="000000" w:themeColor="text1"/>
        </w:rPr>
        <w:t xml:space="preserve">– viz </w:t>
      </w:r>
      <w:hyperlink r:id="rId15" w:history="1">
        <w:r w:rsidRPr="00D45ACF">
          <w:rPr>
            <w:rStyle w:val="Hypertextovodkaz"/>
            <w:rFonts w:cs="Arial"/>
            <w:color w:val="000000" w:themeColor="text1"/>
            <w:szCs w:val="24"/>
          </w:rPr>
          <w:t>https://www.celnisprava.cz/cz/dalsi-kompetence/hazard/Stranky/Formuláře.aspx</w:t>
        </w:r>
      </w:hyperlink>
      <w:r w:rsidRPr="00D45ACF">
        <w:rPr>
          <w:rStyle w:val="Hypertextovodkaz"/>
          <w:rFonts w:cs="Arial"/>
          <w:color w:val="000000" w:themeColor="text1"/>
          <w:szCs w:val="24"/>
        </w:rPr>
        <w:t>.</w:t>
      </w:r>
    </w:p>
    <w:p w14:paraId="24442307" w14:textId="645B3525" w:rsidR="00A14435" w:rsidRPr="00AE3060" w:rsidRDefault="00A14435" w:rsidP="00A14435">
      <w:pPr>
        <w:spacing w:after="0"/>
        <w:rPr>
          <w:rFonts w:cs="Arial"/>
          <w:color w:val="000000" w:themeColor="text1"/>
          <w:szCs w:val="24"/>
          <w:u w:val="single"/>
        </w:rPr>
      </w:pPr>
      <w:r w:rsidRPr="00AE3060">
        <w:rPr>
          <w:rFonts w:cs="Arial"/>
          <w:color w:val="000000" w:themeColor="text1"/>
          <w:szCs w:val="24"/>
          <w:u w:val="single"/>
        </w:rPr>
        <w:t>Dozor nad nelegálně provozovanými hazardními hrami v  land-based</w:t>
      </w:r>
      <w:r w:rsidR="00C22F6F">
        <w:rPr>
          <w:rFonts w:cs="Arial"/>
          <w:color w:val="000000" w:themeColor="text1"/>
          <w:szCs w:val="24"/>
          <w:u w:val="single"/>
        </w:rPr>
        <w:t xml:space="preserve"> </w:t>
      </w:r>
      <w:r w:rsidR="00C22F6F" w:rsidRPr="00C22F6F">
        <w:rPr>
          <w:rFonts w:cs="Arial"/>
          <w:color w:val="000000" w:themeColor="text1"/>
          <w:szCs w:val="24"/>
          <w:u w:val="single"/>
        </w:rPr>
        <w:t>prostředí</w:t>
      </w:r>
    </w:p>
    <w:p w14:paraId="6500931D" w14:textId="77777777" w:rsidR="00A14435" w:rsidRPr="005C6D0D" w:rsidRDefault="00A14435" w:rsidP="00A14435">
      <w:pPr>
        <w:spacing w:after="0"/>
        <w:rPr>
          <w:rFonts w:cs="Arial"/>
          <w:szCs w:val="24"/>
        </w:rPr>
      </w:pPr>
    </w:p>
    <w:p w14:paraId="6218BBFD" w14:textId="77777777" w:rsidR="00A14435" w:rsidRPr="00FA132B" w:rsidRDefault="00A14435" w:rsidP="00A14435">
      <w:r w:rsidRPr="003C3A7C">
        <w:t>V </w:t>
      </w:r>
      <w:r w:rsidRPr="00FA132B">
        <w:t>případě dozoru nad nelegálním provozováním postupuje dozorující orgán obdobně jako v případě legálně provozovaných hazardních her, tedy v souladu s příslušnými ustanoveními kontrolního řádu.</w:t>
      </w:r>
    </w:p>
    <w:p w14:paraId="69F0CDCC" w14:textId="77777777" w:rsidR="00A14435" w:rsidRPr="00FA132B" w:rsidRDefault="00A14435" w:rsidP="00A14435">
      <w:r w:rsidRPr="00FA132B">
        <w:t>Jedním z </w:t>
      </w:r>
      <w:r w:rsidRPr="005D43AF">
        <w:rPr>
          <w:b/>
        </w:rPr>
        <w:t>hlavních cílů</w:t>
      </w:r>
      <w:r w:rsidRPr="00FA132B">
        <w:t xml:space="preserve"> dozor</w:t>
      </w:r>
      <w:r>
        <w:t xml:space="preserve">ujícího </w:t>
      </w:r>
      <w:r w:rsidRPr="00FA132B">
        <w:t xml:space="preserve">orgánu je </w:t>
      </w:r>
      <w:r w:rsidRPr="005D43AF">
        <w:rPr>
          <w:b/>
        </w:rPr>
        <w:t>eliminace hazardních her provozovaných bez příslušného povolení nebo ohlášení</w:t>
      </w:r>
      <w:r w:rsidRPr="00FA132B">
        <w:t>.</w:t>
      </w:r>
      <w:r w:rsidRPr="00FA132B">
        <w:rPr>
          <w:rFonts w:eastAsia="Times New Roman"/>
          <w:lang w:eastAsia="cs-CZ"/>
        </w:rPr>
        <w:t xml:space="preserve"> Tito provozovatelé nedodržují povinnosti stanovené zákonem o hazardních hrách</w:t>
      </w:r>
      <w:r>
        <w:rPr>
          <w:rFonts w:eastAsia="Times New Roman"/>
          <w:lang w:eastAsia="cs-CZ"/>
        </w:rPr>
        <w:t xml:space="preserve"> směřující</w:t>
      </w:r>
      <w:r w:rsidRPr="00FA132B">
        <w:rPr>
          <w:rFonts w:eastAsia="Times New Roman"/>
          <w:lang w:eastAsia="cs-CZ"/>
        </w:rPr>
        <w:t xml:space="preserve"> k omezení patologického hráčství (umožňují </w:t>
      </w:r>
      <w:r>
        <w:rPr>
          <w:rFonts w:eastAsia="Times New Roman"/>
          <w:lang w:eastAsia="cs-CZ"/>
        </w:rPr>
        <w:t xml:space="preserve">účast na hazardní hře </w:t>
      </w:r>
      <w:r w:rsidRPr="00FA132B">
        <w:rPr>
          <w:rFonts w:eastAsia="Times New Roman"/>
          <w:lang w:eastAsia="cs-CZ"/>
        </w:rPr>
        <w:t>komukoli)</w:t>
      </w:r>
      <w:r>
        <w:rPr>
          <w:rFonts w:eastAsia="Times New Roman"/>
          <w:lang w:eastAsia="cs-CZ"/>
        </w:rPr>
        <w:t xml:space="preserve"> a</w:t>
      </w:r>
      <w:r w:rsidRPr="00FA132B">
        <w:rPr>
          <w:rFonts w:eastAsia="Times New Roman"/>
          <w:lang w:eastAsia="cs-CZ"/>
        </w:rPr>
        <w:t xml:space="preserve"> současně zpravidla též </w:t>
      </w:r>
      <w:r w:rsidRPr="005D43AF">
        <w:rPr>
          <w:rFonts w:eastAsia="Times New Roman"/>
          <w:b/>
          <w:lang w:eastAsia="cs-CZ"/>
        </w:rPr>
        <w:t>neodvádí z nelegálního provozování hazardních her daně</w:t>
      </w:r>
      <w:r>
        <w:rPr>
          <w:rFonts w:eastAsia="Times New Roman"/>
          <w:lang w:eastAsia="cs-CZ"/>
        </w:rPr>
        <w:t xml:space="preserve">. Z důvodů uvedených výše je tak nelegální provozování hazardních her nejzávažnějším přestupkem. </w:t>
      </w:r>
    </w:p>
    <w:p w14:paraId="5613F2BC" w14:textId="77777777" w:rsidR="00A14435" w:rsidRPr="00FA132B" w:rsidRDefault="00A14435" w:rsidP="00A14435">
      <w:r w:rsidRPr="00FA132B">
        <w:t xml:space="preserve">V roce 2014 se v České republice začala masivně šířit technická zařízení </w:t>
      </w:r>
      <w:r>
        <w:t xml:space="preserve">založená na </w:t>
      </w:r>
      <w:r w:rsidRPr="00FA132B">
        <w:t>klasick</w:t>
      </w:r>
      <w:r>
        <w:t>é</w:t>
      </w:r>
      <w:r w:rsidRPr="00FA132B">
        <w:t xml:space="preserve"> válcov</w:t>
      </w:r>
      <w:r>
        <w:t>é hře</w:t>
      </w:r>
      <w:r w:rsidRPr="00FA132B">
        <w:t xml:space="preserve"> </w:t>
      </w:r>
      <w:r>
        <w:t>rozšířené o</w:t>
      </w:r>
      <w:r w:rsidRPr="00FA132B">
        <w:t xml:space="preserve"> </w:t>
      </w:r>
      <w:r>
        <w:t xml:space="preserve">prvky </w:t>
      </w:r>
      <w:r w:rsidRPr="00FA132B">
        <w:t>doprovodn</w:t>
      </w:r>
      <w:r>
        <w:t>ých</w:t>
      </w:r>
      <w:r w:rsidRPr="00FA132B">
        <w:t xml:space="preserve"> kvízov</w:t>
      </w:r>
      <w:r>
        <w:t>ých</w:t>
      </w:r>
      <w:r w:rsidRPr="00FA132B">
        <w:t xml:space="preserve"> otáz</w:t>
      </w:r>
      <w:r>
        <w:t>e</w:t>
      </w:r>
      <w:r w:rsidRPr="00FA132B">
        <w:t xml:space="preserve">k. Provozovatelé </w:t>
      </w:r>
      <w:r w:rsidRPr="00FA132B">
        <w:lastRenderedPageBreak/>
        <w:t xml:space="preserve">těchto zařízení </w:t>
      </w:r>
      <w:r>
        <w:t xml:space="preserve">se neztotožňovali s povinností provozovat hru pouze na základě povolení a zároveň </w:t>
      </w:r>
      <w:r w:rsidRPr="00FA132B">
        <w:t>odmítali platit tehdy ještě loterijní daň,</w:t>
      </w:r>
      <w:r>
        <w:t xml:space="preserve"> a to s tvrzením, že se jedná o </w:t>
      </w:r>
      <w:r w:rsidRPr="00FA132B">
        <w:t>znalostní soutěž</w:t>
      </w:r>
      <w:r>
        <w:rPr>
          <w:rStyle w:val="Znakapoznpodarou"/>
        </w:rPr>
        <w:footnoteReference w:id="9"/>
      </w:r>
      <w:r w:rsidRPr="00FA132B">
        <w:t>.</w:t>
      </w:r>
    </w:p>
    <w:p w14:paraId="5653F827" w14:textId="45882C0B" w:rsidR="00A14435" w:rsidRPr="005C6D0D" w:rsidRDefault="00A14435" w:rsidP="00A14435">
      <w:r w:rsidRPr="007D7048">
        <w:rPr>
          <w:b/>
        </w:rPr>
        <w:t>Celní správa se od 1. 1. 2017, tedy od počátku získání kompetence k výkonu dozoru nad hazardními hrami, primárně  zaměřovala na kontrolu provozovatelů provozujících hazardní hry bez povolení v tzv. černých hernách</w:t>
      </w:r>
      <w:r w:rsidR="008D59F9">
        <w:t xml:space="preserve">. Již </w:t>
      </w:r>
      <w:r w:rsidRPr="00FA132B">
        <w:t>v průběhu  ledna 2017 Celní správa zajistila</w:t>
      </w:r>
      <w:r w:rsidRPr="005C6D0D">
        <w:t xml:space="preserve"> </w:t>
      </w:r>
      <w:r>
        <w:t>přibližně 100 technických herních zařízení</w:t>
      </w:r>
      <w:r w:rsidRPr="005C6D0D">
        <w:t xml:space="preserve"> a finanční prostředky v řádu stovek tisíc korun.</w:t>
      </w:r>
    </w:p>
    <w:p w14:paraId="6E63D28C" w14:textId="4A27638A" w:rsidR="00A14435" w:rsidRDefault="00A14435" w:rsidP="00A14435">
      <w:r w:rsidRPr="0054297F">
        <w:rPr>
          <w:b/>
        </w:rPr>
        <w:t xml:space="preserve">V období let 2017 - 2020 provedla Celní správa celkem 5623 </w:t>
      </w:r>
      <w:r w:rsidR="003B2977" w:rsidRPr="0054297F">
        <w:rPr>
          <w:b/>
        </w:rPr>
        <w:t>kontrol v</w:t>
      </w:r>
      <w:r w:rsidR="00192A54">
        <w:rPr>
          <w:b/>
        </w:rPr>
        <w:t> land</w:t>
      </w:r>
      <w:r w:rsidR="00192A54">
        <w:rPr>
          <w:b/>
        </w:rPr>
        <w:noBreakHyphen/>
      </w:r>
      <w:r w:rsidR="003B2977" w:rsidRPr="0054297F">
        <w:rPr>
          <w:b/>
        </w:rPr>
        <w:t>based</w:t>
      </w:r>
      <w:r w:rsidR="004E6832" w:rsidRPr="0054297F">
        <w:rPr>
          <w:b/>
        </w:rPr>
        <w:t xml:space="preserve"> prostředí</w:t>
      </w:r>
      <w:r w:rsidR="003B2977" w:rsidRPr="0054297F">
        <w:rPr>
          <w:b/>
        </w:rPr>
        <w:t xml:space="preserve">. </w:t>
      </w:r>
      <w:r w:rsidRPr="0054297F">
        <w:rPr>
          <w:b/>
        </w:rPr>
        <w:t>V 944 případech</w:t>
      </w:r>
      <w:r w:rsidR="00192A54">
        <w:rPr>
          <w:b/>
        </w:rPr>
        <w:t xml:space="preserve"> byly tyto kontroly zaměřeny na </w:t>
      </w:r>
      <w:r w:rsidRPr="0054297F">
        <w:rPr>
          <w:b/>
        </w:rPr>
        <w:t>nelegální provozování hazardních her v tzv. černých hernách</w:t>
      </w:r>
      <w:r>
        <w:t xml:space="preserve">. Nejvíce kontrol bylo Celní správou v land-based </w:t>
      </w:r>
      <w:r w:rsidR="004E6832" w:rsidRPr="004E6832">
        <w:t xml:space="preserve">prostředí </w:t>
      </w:r>
      <w:r>
        <w:t>realiz</w:t>
      </w:r>
      <w:r w:rsidR="00192A54">
        <w:t>ováno v roce 2017, a to 2060, a </w:t>
      </w:r>
      <w:r>
        <w:t xml:space="preserve">v dalších letech, po stabilizaci trhu s hazardními </w:t>
      </w:r>
      <w:r w:rsidR="00192A54">
        <w:t>hrami provozovanými formou land</w:t>
      </w:r>
      <w:r w:rsidR="00192A54">
        <w:noBreakHyphen/>
      </w:r>
      <w:r>
        <w:t>based, se počet kontrol postupně snižoval, př</w:t>
      </w:r>
      <w:r w:rsidR="00192A54">
        <w:t>ičemž důraz byl stále kladen na </w:t>
      </w:r>
      <w:r>
        <w:t xml:space="preserve">striktní omezení nelegální formy provozování v tzv. černých hernách. Celní správa provádí kontrolní činnost se zaměřením na nelegální provozování hazardních her v land-based </w:t>
      </w:r>
      <w:r w:rsidR="004E6832" w:rsidRPr="004E6832">
        <w:t xml:space="preserve">prostředí </w:t>
      </w:r>
      <w:r>
        <w:t>i</w:t>
      </w:r>
      <w:r w:rsidR="004E6832">
        <w:t> </w:t>
      </w:r>
      <w:r>
        <w:t>v</w:t>
      </w:r>
      <w:r w:rsidR="004E6832">
        <w:t> </w:t>
      </w:r>
      <w:r>
        <w:t xml:space="preserve">rámci trestního řízení, a to jak z pohledu trestně právního prověřování, tak při samotné realizaci kontrol v trestním řízení. </w:t>
      </w:r>
    </w:p>
    <w:p w14:paraId="0D95F601" w14:textId="0ADA1D4D" w:rsidR="00F14165" w:rsidRDefault="00F14165" w:rsidP="00F14165">
      <w:pPr>
        <w:pStyle w:val="Titulek"/>
        <w:keepNext/>
      </w:pPr>
      <w:bookmarkStart w:id="14" w:name="_Toc73531925"/>
      <w:r>
        <w:t xml:space="preserve">Graf č. </w:t>
      </w:r>
      <w:fldSimple w:instr=" SEQ Graf_č. \* ARABIC ">
        <w:r w:rsidR="005F741F">
          <w:rPr>
            <w:noProof/>
          </w:rPr>
          <w:t>4</w:t>
        </w:r>
      </w:fldSimple>
      <w:r>
        <w:t xml:space="preserve">: </w:t>
      </w:r>
      <w:r w:rsidRPr="00D53B09">
        <w:t>Porovnání kontrol provedených Celní s</w:t>
      </w:r>
      <w:r>
        <w:t>právou v land-based</w:t>
      </w:r>
      <w:r w:rsidR="004E6832">
        <w:t xml:space="preserve"> </w:t>
      </w:r>
      <w:r w:rsidR="004E6832" w:rsidRPr="004E6832">
        <w:t>prostředí</w:t>
      </w:r>
      <w:r>
        <w:t xml:space="preserve"> s </w:t>
      </w:r>
      <w:r w:rsidRPr="00D53B09">
        <w:t>kontrolami zaměřenými na nelegálně provozují</w:t>
      </w:r>
      <w:r w:rsidR="00192A54">
        <w:t>cí provozovatele v období 2017 </w:t>
      </w:r>
      <w:r w:rsidR="00192A54">
        <w:noBreakHyphen/>
        <w:t> </w:t>
      </w:r>
      <w:r w:rsidRPr="00D53B09">
        <w:t>2020</w:t>
      </w:r>
      <w:bookmarkEnd w:id="14"/>
    </w:p>
    <w:p w14:paraId="0B2AC9FC" w14:textId="77777777" w:rsidR="00A14435" w:rsidRDefault="00A14435" w:rsidP="00A14435">
      <w:pPr>
        <w:spacing w:after="0"/>
        <w:rPr>
          <w:rFonts w:cs="Arial"/>
          <w:b/>
          <w:szCs w:val="24"/>
        </w:rPr>
      </w:pPr>
      <w:r>
        <w:rPr>
          <w:noProof/>
          <w:lang w:eastAsia="cs-CZ"/>
        </w:rPr>
        <w:drawing>
          <wp:inline distT="0" distB="0" distL="0" distR="0" wp14:anchorId="160D98E0" wp14:editId="22AE7B0E">
            <wp:extent cx="5787390" cy="1757966"/>
            <wp:effectExtent l="0" t="0" r="3810" b="13970"/>
            <wp:docPr id="64" name="Graf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39374C2" w14:textId="1F097B92" w:rsidR="00A14435" w:rsidRPr="00381A3F" w:rsidRDefault="00A14435" w:rsidP="00A14435">
      <w:pPr>
        <w:rPr>
          <w:i/>
          <w:sz w:val="20"/>
        </w:rPr>
      </w:pPr>
      <w:r w:rsidRPr="00381A3F">
        <w:rPr>
          <w:i/>
          <w:sz w:val="20"/>
        </w:rPr>
        <w:t>Zdroj: Celní správa</w:t>
      </w:r>
      <w:r w:rsidR="00F14165">
        <w:rPr>
          <w:i/>
          <w:sz w:val="20"/>
        </w:rPr>
        <w:t>.</w:t>
      </w:r>
    </w:p>
    <w:p w14:paraId="4AF2F065" w14:textId="4498F179" w:rsidR="00A14435" w:rsidRDefault="00A14435" w:rsidP="00A14435">
      <w:pPr>
        <w:rPr>
          <w:szCs w:val="24"/>
        </w:rPr>
      </w:pPr>
      <w:r w:rsidRPr="0054297F">
        <w:rPr>
          <w:b/>
          <w:szCs w:val="24"/>
        </w:rPr>
        <w:t>V rámci kontrol zaměřených na eliminaci nelegálně provozujících provozovatelů byl využíván institut spočívající v zabrání věci</w:t>
      </w:r>
      <w:r>
        <w:rPr>
          <w:szCs w:val="24"/>
        </w:rPr>
        <w:t>. Nejvíce kontrol zaměřených na nelegální provozování bylo uskutečněno v roce 2018. Při těchto kontrolách došlo k zajištění 1797 technických zařízení, jejichž prostřednictvím byla nelegální hazardní hra provozována. V následujících letech 2019 a 2020 již byla zaznamenána sestupná tendence jak v případě počtu kontrol, tak i využívání nástroje zabrání věci, neboť v porovnání s rokem 2018 již počet Celní správou zajištěných technických zařízení činil přibližně 50</w:t>
      </w:r>
      <w:r w:rsidR="00144A6A">
        <w:rPr>
          <w:szCs w:val="24"/>
        </w:rPr>
        <w:t xml:space="preserve"> </w:t>
      </w:r>
      <w:r>
        <w:rPr>
          <w:szCs w:val="24"/>
        </w:rPr>
        <w:t xml:space="preserve">% stavu z roku 2018.  </w:t>
      </w:r>
    </w:p>
    <w:p w14:paraId="24FB0F9B" w14:textId="6750D66E" w:rsidR="00F14165" w:rsidRDefault="00F14165" w:rsidP="00F14165">
      <w:pPr>
        <w:pStyle w:val="Titulek"/>
        <w:keepNext/>
      </w:pPr>
      <w:bookmarkStart w:id="15" w:name="_Toc73531926"/>
      <w:r>
        <w:lastRenderedPageBreak/>
        <w:t xml:space="preserve">Graf č. </w:t>
      </w:r>
      <w:fldSimple w:instr=" SEQ Graf_č. \* ARABIC ">
        <w:r w:rsidR="005F741F">
          <w:rPr>
            <w:noProof/>
          </w:rPr>
          <w:t>5</w:t>
        </w:r>
      </w:fldSimple>
      <w:r>
        <w:t xml:space="preserve">: </w:t>
      </w:r>
      <w:r w:rsidRPr="009935D6">
        <w:t>Porovnání počtu kontrol provedených Celní správou v nelegálních provozovnách (tzv. černých hernách) s uvedením počtu zajištěných nelegálně provozovaných technických zařízení v období 2017 – 2020</w:t>
      </w:r>
      <w:bookmarkEnd w:id="15"/>
    </w:p>
    <w:p w14:paraId="61FAF40C" w14:textId="77777777" w:rsidR="00A14435" w:rsidRPr="00F14165" w:rsidRDefault="00A14435" w:rsidP="00F14165">
      <w:pPr>
        <w:spacing w:after="80"/>
        <w:rPr>
          <w:rFonts w:cs="Arial"/>
          <w:b/>
          <w:i/>
          <w:szCs w:val="24"/>
        </w:rPr>
      </w:pPr>
      <w:r w:rsidRPr="00F14165">
        <w:rPr>
          <w:rFonts w:cs="Arial"/>
          <w:noProof/>
          <w:lang w:eastAsia="cs-CZ"/>
        </w:rPr>
        <w:drawing>
          <wp:inline distT="0" distB="0" distL="0" distR="0" wp14:anchorId="1AB38BF9" wp14:editId="750D98A9">
            <wp:extent cx="5739973" cy="2028825"/>
            <wp:effectExtent l="0" t="0" r="13335" b="9525"/>
            <wp:docPr id="65" name="Graf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3715ECD" w14:textId="60C266F7" w:rsidR="00A14435" w:rsidRPr="00F14165" w:rsidRDefault="00A14435" w:rsidP="00F14165">
      <w:pPr>
        <w:pStyle w:val="Odstavecseseznamem"/>
        <w:widowControl w:val="0"/>
        <w:autoSpaceDE w:val="0"/>
        <w:autoSpaceDN w:val="0"/>
        <w:adjustRightInd w:val="0"/>
        <w:spacing w:after="0"/>
        <w:ind w:left="0"/>
        <w:jc w:val="both"/>
        <w:rPr>
          <w:rFonts w:ascii="Arial" w:hAnsi="Arial" w:cs="Arial"/>
          <w:i/>
          <w:sz w:val="20"/>
          <w:szCs w:val="20"/>
        </w:rPr>
      </w:pPr>
      <w:r w:rsidRPr="00F14165">
        <w:rPr>
          <w:rFonts w:ascii="Arial" w:hAnsi="Arial" w:cs="Arial"/>
          <w:i/>
          <w:sz w:val="20"/>
          <w:szCs w:val="20"/>
        </w:rPr>
        <w:t>Zdroj: Celní správa</w:t>
      </w:r>
      <w:r w:rsidR="00F14165" w:rsidRPr="00F14165">
        <w:rPr>
          <w:rFonts w:ascii="Arial" w:hAnsi="Arial" w:cs="Arial"/>
          <w:i/>
          <w:sz w:val="20"/>
          <w:szCs w:val="20"/>
        </w:rPr>
        <w:t>.</w:t>
      </w:r>
    </w:p>
    <w:p w14:paraId="5F4ED4A2" w14:textId="77777777" w:rsidR="00A14435" w:rsidRDefault="00A14435" w:rsidP="00A14435">
      <w:pPr>
        <w:pStyle w:val="Odstavecseseznamem"/>
        <w:widowControl w:val="0"/>
        <w:autoSpaceDE w:val="0"/>
        <w:autoSpaceDN w:val="0"/>
        <w:adjustRightInd w:val="0"/>
        <w:spacing w:after="0"/>
        <w:ind w:left="0"/>
        <w:rPr>
          <w:rFonts w:cs="Arial"/>
          <w:szCs w:val="24"/>
        </w:rPr>
      </w:pPr>
    </w:p>
    <w:p w14:paraId="6E4035EC" w14:textId="0EA91EDE" w:rsidR="00A14435" w:rsidRPr="00FA132B" w:rsidRDefault="00A14435" w:rsidP="00A14435">
      <w:r w:rsidRPr="009A766A">
        <w:t xml:space="preserve">S ohledem </w:t>
      </w:r>
      <w:r w:rsidRPr="00FA132B">
        <w:t xml:space="preserve">na široký výčet činností přímo souvisejících s pojmem „hazardní hra“ (podle § 5 zákona o hazardních hrách) se nelegálního provozování hazardních her může dopouštět nejen osoba fyzická, ale i osoba právnická. </w:t>
      </w:r>
      <w:r w:rsidRPr="0054297F">
        <w:rPr>
          <w:b/>
        </w:rPr>
        <w:t xml:space="preserve">Za osobu nelegálně provozující hazardní hru </w:t>
      </w:r>
      <w:r w:rsidRPr="00604F76">
        <w:t>dozorující orgán, s ohledem na konkrétní případ, může považovat nejen</w:t>
      </w:r>
      <w:r w:rsidRPr="0054297F">
        <w:rPr>
          <w:b/>
        </w:rPr>
        <w:t xml:space="preserve"> fyzickou osobu</w:t>
      </w:r>
      <w:r w:rsidRPr="00604F76">
        <w:t>, a to i</w:t>
      </w:r>
      <w:r w:rsidRPr="0054297F">
        <w:rPr>
          <w:b/>
        </w:rPr>
        <w:t xml:space="preserve"> osobu podnikající </w:t>
      </w:r>
      <w:r w:rsidRPr="00604F76">
        <w:t>na základě živnostenského oprávnění, ale rovněž i</w:t>
      </w:r>
      <w:r w:rsidRPr="0054297F">
        <w:rPr>
          <w:b/>
        </w:rPr>
        <w:t xml:space="preserve"> právnickou osobu </w:t>
      </w:r>
      <w:r w:rsidRPr="00604F76">
        <w:t>(například provozovatele pohostinského zařízení).</w:t>
      </w:r>
      <w:r w:rsidRPr="007F015F">
        <w:t xml:space="preserve"> </w:t>
      </w:r>
      <w:r w:rsidRPr="0054297F">
        <w:rPr>
          <w:b/>
        </w:rPr>
        <w:t xml:space="preserve">Za osobu nelegálně provozující </w:t>
      </w:r>
      <w:r w:rsidRPr="00604F76">
        <w:t>hazardní hru lze taktéž považovat</w:t>
      </w:r>
      <w:r w:rsidRPr="0054297F">
        <w:rPr>
          <w:b/>
        </w:rPr>
        <w:t xml:space="preserve"> i osobu na tomto provozování se aktivně podílející</w:t>
      </w:r>
      <w:r w:rsidRPr="007F015F">
        <w:t>, a to primárně z hlediska</w:t>
      </w:r>
      <w:r w:rsidRPr="00FA132B">
        <w:t xml:space="preserve"> </w:t>
      </w:r>
      <w:r w:rsidRPr="00604F76">
        <w:t>zprostředkovatelských, organizačních, finančních, technických a dalších případných služeb souvisejících s vlastn</w:t>
      </w:r>
      <w:r w:rsidR="00192A54">
        <w:t>ím předmětem provozování (např. </w:t>
      </w:r>
      <w:r w:rsidRPr="00604F76">
        <w:t>spolek/sdružení</w:t>
      </w:r>
      <w:r w:rsidRPr="00FA132B">
        <w:t xml:space="preserve"> zaštiťující svým jménem faktické provozování na daném místě).   </w:t>
      </w:r>
    </w:p>
    <w:p w14:paraId="30618E3B" w14:textId="557CFDC5" w:rsidR="00A14435" w:rsidRPr="008D41A9" w:rsidRDefault="00A14435" w:rsidP="00A14435">
      <w:pPr>
        <w:rPr>
          <w:color w:val="000000" w:themeColor="text1"/>
        </w:rPr>
      </w:pPr>
      <w:r w:rsidRPr="00FA132B">
        <w:t xml:space="preserve">V praxi byla shledána zjištění nelegálně provozovaných hazardních her, kdy </w:t>
      </w:r>
      <w:r w:rsidRPr="005D43AF">
        <w:rPr>
          <w:b/>
        </w:rPr>
        <w:t>znaky provozovatele v rámci jednoho zjištění naplňovalo více osob</w:t>
      </w:r>
      <w:r w:rsidRPr="00FA132B">
        <w:t xml:space="preserve">, přičemž každá </w:t>
      </w:r>
      <w:r>
        <w:t>z těchto osob</w:t>
      </w:r>
      <w:r w:rsidRPr="00FA132B">
        <w:t xml:space="preserve"> svou určitou aktivitou naplňovala znaky provozování</w:t>
      </w:r>
      <w:r w:rsidRPr="005C6D0D">
        <w:t xml:space="preserve"> dle §</w:t>
      </w:r>
      <w:r>
        <w:t xml:space="preserve"> 5 zákona o</w:t>
      </w:r>
      <w:r w:rsidR="00FF2E77">
        <w:t> </w:t>
      </w:r>
      <w:r>
        <w:t xml:space="preserve">hazardních hrách. </w:t>
      </w:r>
      <w:r w:rsidRPr="003340AE">
        <w:t xml:space="preserve">Za osobu, která neoprávněně </w:t>
      </w:r>
      <w:r w:rsidRPr="008D41A9">
        <w:t xml:space="preserve">provozuje hazardní hru, </w:t>
      </w:r>
      <w:r>
        <w:t>byla</w:t>
      </w:r>
      <w:r w:rsidRPr="008D41A9">
        <w:t xml:space="preserve"> dozorujícími orgány například považována osoba, která </w:t>
      </w:r>
      <w:r w:rsidRPr="005D43AF">
        <w:rPr>
          <w:b/>
          <w:color w:val="000000" w:themeColor="text1"/>
        </w:rPr>
        <w:t>iniciovala umístění technických her</w:t>
      </w:r>
      <w:r w:rsidRPr="008D41A9">
        <w:rPr>
          <w:color w:val="000000" w:themeColor="text1"/>
        </w:rPr>
        <w:t xml:space="preserve"> za účelem jejich následného provozování v provozovně, </w:t>
      </w:r>
      <w:r w:rsidRPr="005D43AF">
        <w:rPr>
          <w:b/>
          <w:color w:val="000000" w:themeColor="text1"/>
        </w:rPr>
        <w:t>byla vlastníkem zařízení a vědomě souhlasila s využitím zařízení</w:t>
      </w:r>
      <w:r w:rsidRPr="008D41A9">
        <w:rPr>
          <w:color w:val="000000" w:themeColor="text1"/>
        </w:rPr>
        <w:t xml:space="preserve"> k neoprávněnému provozování hazardních her, </w:t>
      </w:r>
      <w:r w:rsidRPr="005D43AF">
        <w:rPr>
          <w:b/>
          <w:color w:val="000000" w:themeColor="text1"/>
        </w:rPr>
        <w:t>uzavřela nájemní, popř. podnájemní smlouvu</w:t>
      </w:r>
      <w:r w:rsidRPr="008D41A9">
        <w:rPr>
          <w:color w:val="000000" w:themeColor="text1"/>
        </w:rPr>
        <w:t xml:space="preserve"> s</w:t>
      </w:r>
      <w:r w:rsidR="00FF2E77">
        <w:rPr>
          <w:color w:val="000000" w:themeColor="text1"/>
        </w:rPr>
        <w:t> </w:t>
      </w:r>
      <w:r w:rsidRPr="008D41A9">
        <w:rPr>
          <w:color w:val="000000" w:themeColor="text1"/>
        </w:rPr>
        <w:t>majitelem nebo nájemcem prostoru, ve kter</w:t>
      </w:r>
      <w:r>
        <w:rPr>
          <w:color w:val="000000" w:themeColor="text1"/>
        </w:rPr>
        <w:t>ém</w:t>
      </w:r>
      <w:r w:rsidRPr="008D41A9">
        <w:rPr>
          <w:color w:val="000000" w:themeColor="text1"/>
        </w:rPr>
        <w:t xml:space="preserve"> k nelegálnímu provozování </w:t>
      </w:r>
      <w:r>
        <w:rPr>
          <w:color w:val="000000" w:themeColor="text1"/>
        </w:rPr>
        <w:t xml:space="preserve">docházelo, </w:t>
      </w:r>
      <w:r w:rsidRPr="008D41A9">
        <w:rPr>
          <w:color w:val="000000" w:themeColor="text1"/>
        </w:rPr>
        <w:t>nebo uzavřela nájemní nebo podnájemní smlouvu se spolkem nebo jiným subjektem, jehož jménem je provozovna tzv. „z</w:t>
      </w:r>
      <w:r w:rsidR="008D59F9">
        <w:rPr>
          <w:color w:val="000000" w:themeColor="text1"/>
        </w:rPr>
        <w:t xml:space="preserve">astřena", hradila nájemné, nebo </w:t>
      </w:r>
      <w:r w:rsidRPr="008D41A9">
        <w:rPr>
          <w:color w:val="000000" w:themeColor="text1"/>
        </w:rPr>
        <w:t xml:space="preserve">naopak </w:t>
      </w:r>
      <w:r>
        <w:rPr>
          <w:color w:val="000000" w:themeColor="text1"/>
        </w:rPr>
        <w:t>byla</w:t>
      </w:r>
      <w:r w:rsidRPr="008D41A9">
        <w:rPr>
          <w:color w:val="000000" w:themeColor="text1"/>
        </w:rPr>
        <w:t xml:space="preserve"> příjemcem nájemného, za pronajatý nebo</w:t>
      </w:r>
      <w:r w:rsidR="00192A54">
        <w:rPr>
          <w:color w:val="000000" w:themeColor="text1"/>
        </w:rPr>
        <w:t xml:space="preserve"> podnajatý prostor, ve </w:t>
      </w:r>
      <w:r>
        <w:rPr>
          <w:color w:val="000000" w:themeColor="text1"/>
        </w:rPr>
        <w:t>kterém k </w:t>
      </w:r>
      <w:r w:rsidRPr="008D41A9">
        <w:rPr>
          <w:color w:val="000000" w:themeColor="text1"/>
        </w:rPr>
        <w:t>nelegálnímu provozování docház</w:t>
      </w:r>
      <w:r>
        <w:rPr>
          <w:color w:val="000000" w:themeColor="text1"/>
        </w:rPr>
        <w:t>elo</w:t>
      </w:r>
      <w:r w:rsidRPr="008D41A9">
        <w:rPr>
          <w:color w:val="000000" w:themeColor="text1"/>
        </w:rPr>
        <w:t>, pověřila (</w:t>
      </w:r>
      <w:r>
        <w:rPr>
          <w:color w:val="000000" w:themeColor="text1"/>
        </w:rPr>
        <w:t xml:space="preserve">například </w:t>
      </w:r>
      <w:r w:rsidRPr="008D41A9">
        <w:rPr>
          <w:color w:val="000000" w:themeColor="text1"/>
        </w:rPr>
        <w:t>z pozice zaměstnavatele nebo nadřízené osoby) třetí osobu</w:t>
      </w:r>
      <w:r w:rsidR="00192A54">
        <w:rPr>
          <w:color w:val="000000" w:themeColor="text1"/>
        </w:rPr>
        <w:t xml:space="preserve"> povinností související např. s </w:t>
      </w:r>
      <w:r w:rsidRPr="008D41A9">
        <w:rPr>
          <w:color w:val="000000" w:themeColor="text1"/>
        </w:rPr>
        <w:t>výplatou výher nebo registrací nových členů apod.</w:t>
      </w:r>
    </w:p>
    <w:p w14:paraId="299A2BB3" w14:textId="5F2FA08C" w:rsidR="00A14435" w:rsidRDefault="00A14435" w:rsidP="00A14435">
      <w:r w:rsidRPr="0054297F">
        <w:rPr>
          <w:b/>
        </w:rPr>
        <w:t>Nelegální provozovatel tak může</w:t>
      </w:r>
      <w:r w:rsidRPr="008D41A9">
        <w:t xml:space="preserve"> v dílčích případech </w:t>
      </w:r>
      <w:r>
        <w:t>nelegálního</w:t>
      </w:r>
      <w:r w:rsidRPr="008D41A9">
        <w:t xml:space="preserve"> provozování hazardních her </w:t>
      </w:r>
      <w:r w:rsidRPr="0054297F">
        <w:rPr>
          <w:b/>
        </w:rPr>
        <w:t>naplňovat pouze některé z definičních znaků</w:t>
      </w:r>
      <w:r w:rsidRPr="008D41A9">
        <w:t xml:space="preserve"> provozování těchto her, tedy pouze některé z výše uvedených činností (např. pronajme nebo podnajme část provozovny, v níž provozuje pohostinskou činnost za účelem neoprávněného provozování technických her a pověří své zaměstnance registrací nových členů spolku a vyplácením výher). </w:t>
      </w:r>
      <w:r w:rsidRPr="0054297F">
        <w:rPr>
          <w:b/>
        </w:rPr>
        <w:t xml:space="preserve">V období let 2017 – 2020 provedla Celní správa kontrolu </w:t>
      </w:r>
      <w:r w:rsidRPr="0054297F">
        <w:rPr>
          <w:b/>
        </w:rPr>
        <w:lastRenderedPageBreak/>
        <w:t>v 944 provozovnách provozujícíc</w:t>
      </w:r>
      <w:r w:rsidR="00192A54">
        <w:rPr>
          <w:b/>
        </w:rPr>
        <w:t>h nelegální hazardní hru v land</w:t>
      </w:r>
      <w:r w:rsidR="00192A54">
        <w:rPr>
          <w:b/>
        </w:rPr>
        <w:noBreakHyphen/>
      </w:r>
      <w:r w:rsidRPr="0054297F">
        <w:rPr>
          <w:b/>
        </w:rPr>
        <w:t>based prostředí</w:t>
      </w:r>
      <w:r>
        <w:t xml:space="preserve">. V případě </w:t>
      </w:r>
      <w:r w:rsidRPr="00604F76">
        <w:rPr>
          <w:b/>
        </w:rPr>
        <w:t>714 kontrol</w:t>
      </w:r>
      <w:r>
        <w:t xml:space="preserve"> byla Celní správou za nelegálního provozovatele označena </w:t>
      </w:r>
      <w:r w:rsidRPr="00604F76">
        <w:rPr>
          <w:b/>
        </w:rPr>
        <w:t>pouze osoba provozující tuto provozovnu</w:t>
      </w:r>
      <w:r>
        <w:t xml:space="preserve">. </w:t>
      </w:r>
      <w:r w:rsidR="008D59F9">
        <w:t xml:space="preserve">Při </w:t>
      </w:r>
      <w:r w:rsidR="00192A54">
        <w:rPr>
          <w:b/>
        </w:rPr>
        <w:t>173 </w:t>
      </w:r>
      <w:r w:rsidRPr="00604F76">
        <w:rPr>
          <w:b/>
        </w:rPr>
        <w:t>kontrolách</w:t>
      </w:r>
      <w:r>
        <w:t xml:space="preserve"> byla Celní správou za provozovatele považována nejen osoba provozovatele nelegální provozovny, ale </w:t>
      </w:r>
      <w:r w:rsidRPr="00604F76">
        <w:rPr>
          <w:b/>
        </w:rPr>
        <w:t>rovněž i osoba odlišná od provozovatele</w:t>
      </w:r>
      <w:r>
        <w:t xml:space="preserve">, tedy osoba, která se na nelegálním provozování spolupodílela. </w:t>
      </w:r>
    </w:p>
    <w:p w14:paraId="559572C0" w14:textId="435A6580" w:rsidR="00F14165" w:rsidRDefault="00F14165" w:rsidP="00F14165">
      <w:pPr>
        <w:pStyle w:val="Titulek"/>
        <w:keepNext/>
      </w:pPr>
      <w:bookmarkStart w:id="16" w:name="_Toc73531927"/>
      <w:r>
        <w:t xml:space="preserve">Graf č. </w:t>
      </w:r>
      <w:fldSimple w:instr=" SEQ Graf_č. \* ARABIC ">
        <w:r w:rsidR="005F741F">
          <w:rPr>
            <w:noProof/>
          </w:rPr>
          <w:t>6</w:t>
        </w:r>
      </w:fldSimple>
      <w:r>
        <w:t xml:space="preserve">: </w:t>
      </w:r>
      <w:r w:rsidRPr="00366849">
        <w:t xml:space="preserve">Počet provozoven, v nichž byla provozovatelem shledána osoba provozující provozovnu, osoba odlišná od provozovatele provozovny nebo více fyzických či právnických </w:t>
      </w:r>
      <w:r>
        <w:t>osob, a to za období 2017 – 2020</w:t>
      </w:r>
      <w:bookmarkEnd w:id="16"/>
    </w:p>
    <w:p w14:paraId="6C96F911" w14:textId="77777777" w:rsidR="00A14435" w:rsidRPr="00381A3F" w:rsidRDefault="00A14435" w:rsidP="00A14435">
      <w:pPr>
        <w:spacing w:after="80"/>
        <w:rPr>
          <w:rFonts w:cs="Arial"/>
          <w:i/>
          <w:szCs w:val="24"/>
        </w:rPr>
      </w:pPr>
      <w:r w:rsidRPr="00EE1477">
        <w:rPr>
          <w:noProof/>
          <w:sz w:val="16"/>
          <w:szCs w:val="16"/>
          <w:lang w:eastAsia="cs-CZ"/>
        </w:rPr>
        <w:drawing>
          <wp:inline distT="0" distB="0" distL="0" distR="0" wp14:anchorId="25A676FE" wp14:editId="7E2FC1D1">
            <wp:extent cx="5562600" cy="2312894"/>
            <wp:effectExtent l="0" t="0" r="0" b="11430"/>
            <wp:docPr id="66" name="Graf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6DE0559" w14:textId="41268F26" w:rsidR="00A14435" w:rsidRPr="00381A3F" w:rsidRDefault="00A14435" w:rsidP="00A14435">
      <w:pPr>
        <w:spacing w:after="0"/>
        <w:rPr>
          <w:rFonts w:cs="Arial"/>
          <w:i/>
          <w:sz w:val="20"/>
          <w:szCs w:val="20"/>
        </w:rPr>
      </w:pPr>
      <w:r w:rsidRPr="00381A3F">
        <w:rPr>
          <w:rFonts w:cs="Arial"/>
          <w:i/>
          <w:sz w:val="20"/>
          <w:szCs w:val="20"/>
        </w:rPr>
        <w:t>Zdroj: Celní správa</w:t>
      </w:r>
      <w:r w:rsidR="00F14165">
        <w:rPr>
          <w:rFonts w:cs="Arial"/>
          <w:i/>
          <w:sz w:val="20"/>
          <w:szCs w:val="20"/>
        </w:rPr>
        <w:t>.</w:t>
      </w:r>
    </w:p>
    <w:p w14:paraId="3E80110E" w14:textId="77777777" w:rsidR="00A14435" w:rsidRPr="005C6D0D" w:rsidRDefault="00A14435" w:rsidP="00A14435">
      <w:pPr>
        <w:spacing w:after="0"/>
        <w:rPr>
          <w:rFonts w:cs="Arial"/>
          <w:szCs w:val="24"/>
        </w:rPr>
      </w:pPr>
    </w:p>
    <w:p w14:paraId="521B2B50" w14:textId="60E89491" w:rsidR="00A14435" w:rsidRPr="005C6D0D" w:rsidRDefault="00A14435" w:rsidP="00A14435">
      <w:r w:rsidRPr="005C6D0D">
        <w:t xml:space="preserve">V rámci dozoru vykonávaného </w:t>
      </w:r>
      <w:r>
        <w:t xml:space="preserve">v </w:t>
      </w:r>
      <w:r w:rsidRPr="005C6D0D">
        <w:t>oblasti nelegálního provozování hazardních</w:t>
      </w:r>
      <w:r>
        <w:t xml:space="preserve"> her v land-based </w:t>
      </w:r>
      <w:r w:rsidR="00FE4BB7" w:rsidRPr="00FE4BB7">
        <w:t xml:space="preserve">prostředí </w:t>
      </w:r>
      <w:r>
        <w:t xml:space="preserve">bylo </w:t>
      </w:r>
      <w:r w:rsidRPr="0054297F">
        <w:rPr>
          <w:b/>
        </w:rPr>
        <w:t xml:space="preserve">ve výjimečných případech Celní správou využito rovněž speciálního oprávnění, a to právo vstupu dozorujícího orgánu </w:t>
      </w:r>
      <w:r w:rsidR="008D59F9">
        <w:t xml:space="preserve">podle </w:t>
      </w:r>
      <w:r w:rsidRPr="00604F76">
        <w:t>§</w:t>
      </w:r>
      <w:r w:rsidR="00667479">
        <w:t> </w:t>
      </w:r>
      <w:r w:rsidRPr="00604F76">
        <w:t xml:space="preserve">119 zákona o hazardních hrách. </w:t>
      </w:r>
      <w:r w:rsidRPr="00604F76">
        <w:rPr>
          <w:b/>
        </w:rPr>
        <w:t>Z celkového počtu 5623 kontrol</w:t>
      </w:r>
      <w:r w:rsidRPr="00604F76">
        <w:t xml:space="preserve"> prov</w:t>
      </w:r>
      <w:r w:rsidRPr="00F215B6">
        <w:t xml:space="preserve">edených Celní správou za období 2017 – 2020 u legálních a nelegálních provozovatelů provozujících hazardní hry formou land-based </w:t>
      </w:r>
      <w:r w:rsidRPr="0054297F">
        <w:rPr>
          <w:b/>
        </w:rPr>
        <w:t>bylo Celní správou využito oprávnění vstoupit do prostor s využitím síly pouze ve 3 případech</w:t>
      </w:r>
      <w:r w:rsidRPr="00190F60">
        <w:t>. Toto právo bylo využito pouze v případech nelegální</w:t>
      </w:r>
      <w:r w:rsidR="00192A54">
        <w:t>ho provozování hazardních her v </w:t>
      </w:r>
      <w:r w:rsidRPr="00190F60">
        <w:t>land-based</w:t>
      </w:r>
      <w:r w:rsidR="00FE4BB7">
        <w:t xml:space="preserve"> </w:t>
      </w:r>
      <w:r w:rsidR="00FE4BB7" w:rsidRPr="00FE4BB7">
        <w:t>prostředí</w:t>
      </w:r>
      <w:r w:rsidRPr="00190F60">
        <w:t>.</w:t>
      </w:r>
      <w:r w:rsidRPr="005C6D0D">
        <w:t xml:space="preserve"> </w:t>
      </w:r>
    </w:p>
    <w:p w14:paraId="4EBA257D" w14:textId="2CBDB947" w:rsidR="00F14165" w:rsidRDefault="00F14165" w:rsidP="003B2977">
      <w:pPr>
        <w:pStyle w:val="Titulek"/>
        <w:keepNext/>
      </w:pPr>
      <w:bookmarkStart w:id="17" w:name="_Toc73531928"/>
      <w:r>
        <w:t xml:space="preserve">Graf č. </w:t>
      </w:r>
      <w:fldSimple w:instr=" SEQ Graf_č. \* ARABIC ">
        <w:r w:rsidR="005F741F">
          <w:rPr>
            <w:noProof/>
          </w:rPr>
          <w:t>7</w:t>
        </w:r>
      </w:fldSimple>
      <w:r>
        <w:t xml:space="preserve">: </w:t>
      </w:r>
      <w:r w:rsidRPr="00E862F5">
        <w:t xml:space="preserve">Porovnání celkového počtu kontrol provedených Celní správou u legálních a nelegálních provozovatelů provozujících hazardní hry formou land-based s počtem kontrol, při kterých bylo Celní správou využito </w:t>
      </w:r>
      <w:r w:rsidR="003B2977">
        <w:t>oprávnění vstoupit do prostor s </w:t>
      </w:r>
      <w:r w:rsidRPr="00E862F5">
        <w:t>využitím síly, a t</w:t>
      </w:r>
      <w:r w:rsidRPr="00276DE6">
        <w:rPr>
          <w:rFonts w:cs="Arial"/>
          <w:bCs/>
          <w:szCs w:val="24"/>
        </w:rPr>
        <w:t>o za období 2017 – 2020</w:t>
      </w:r>
      <w:bookmarkEnd w:id="17"/>
    </w:p>
    <w:p w14:paraId="40547656" w14:textId="77777777" w:rsidR="00A14435" w:rsidRPr="004D1525" w:rsidRDefault="00A14435" w:rsidP="00A14435">
      <w:pPr>
        <w:pStyle w:val="Odstavecseseznamem"/>
        <w:spacing w:after="80"/>
        <w:ind w:left="0"/>
        <w:rPr>
          <w:rFonts w:cs="Arial"/>
          <w:bCs/>
          <w:i/>
          <w:szCs w:val="24"/>
        </w:rPr>
      </w:pPr>
      <w:r>
        <w:rPr>
          <w:noProof/>
          <w:lang w:eastAsia="cs-CZ"/>
        </w:rPr>
        <w:drawing>
          <wp:inline distT="0" distB="0" distL="0" distR="0" wp14:anchorId="092B5D13" wp14:editId="5F9E55FA">
            <wp:extent cx="5760720" cy="1581785"/>
            <wp:effectExtent l="0" t="0" r="11430" b="18415"/>
            <wp:docPr id="67" name="Graf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34CA221" w14:textId="15A2A744" w:rsidR="00A14435" w:rsidRPr="00381A3F" w:rsidRDefault="00A14435" w:rsidP="00A14435">
      <w:pPr>
        <w:spacing w:after="0"/>
        <w:rPr>
          <w:rFonts w:cs="Arial"/>
          <w:i/>
          <w:sz w:val="20"/>
          <w:szCs w:val="20"/>
        </w:rPr>
      </w:pPr>
      <w:r w:rsidRPr="00381A3F">
        <w:rPr>
          <w:rFonts w:cs="Arial"/>
          <w:i/>
          <w:sz w:val="20"/>
          <w:szCs w:val="20"/>
        </w:rPr>
        <w:t>Zdroj: Celní správa</w:t>
      </w:r>
      <w:r w:rsidR="00F14165">
        <w:rPr>
          <w:rFonts w:cs="Arial"/>
          <w:i/>
          <w:sz w:val="20"/>
          <w:szCs w:val="20"/>
        </w:rPr>
        <w:t>.</w:t>
      </w:r>
    </w:p>
    <w:p w14:paraId="2DF47A25" w14:textId="77777777" w:rsidR="00A14435" w:rsidRDefault="00A14435" w:rsidP="00A14435">
      <w:pPr>
        <w:spacing w:after="0"/>
        <w:rPr>
          <w:rFonts w:cs="Arial"/>
          <w:szCs w:val="24"/>
        </w:rPr>
      </w:pPr>
    </w:p>
    <w:p w14:paraId="16FEB317" w14:textId="79276461" w:rsidR="00A14435" w:rsidRPr="00DD3E35" w:rsidRDefault="00A14435" w:rsidP="00A14435">
      <w:r w:rsidRPr="003161A3">
        <w:rPr>
          <w:b/>
        </w:rPr>
        <w:lastRenderedPageBreak/>
        <w:t>Právo testovat hrací zařízení</w:t>
      </w:r>
      <w:r w:rsidRPr="00F56D36">
        <w:t xml:space="preserve"> (§ 120 zákona o hazardních hrách) je průběžně </w:t>
      </w:r>
      <w:r w:rsidRPr="003161A3">
        <w:rPr>
          <w:b/>
        </w:rPr>
        <w:t>využíváno v rámci dílčích kontrol</w:t>
      </w:r>
      <w:r w:rsidRPr="00F56D36">
        <w:t xml:space="preserve"> za účelem ověření zákonem o hazardních hrách nastavených limitů (např. max</w:t>
      </w:r>
      <w:r>
        <w:t>imální</w:t>
      </w:r>
      <w:r w:rsidRPr="00F56D36">
        <w:t xml:space="preserve"> výše sázky, nastavení povinné přestávky apod.). V případě nelegální formy provozování hazardních her v land-based </w:t>
      </w:r>
      <w:r w:rsidR="00FE4BB7" w:rsidRPr="00FE4BB7">
        <w:t xml:space="preserve">prostředí </w:t>
      </w:r>
      <w:r w:rsidRPr="00F56D36">
        <w:t xml:space="preserve">je </w:t>
      </w:r>
      <w:r>
        <w:t xml:space="preserve">předmětem </w:t>
      </w:r>
      <w:r w:rsidRPr="00F56D36">
        <w:t>testování</w:t>
      </w:r>
      <w:r>
        <w:t xml:space="preserve"> ověření</w:t>
      </w:r>
      <w:r w:rsidRPr="00F56D36">
        <w:t xml:space="preserve"> skutečnosti, zda hra provozovaná prostřednictvím neoprávněně provozovaného technického zařízení naplňuje znaky hazardních her</w:t>
      </w:r>
      <w:r>
        <w:t>, tedy sázku, o </w:t>
      </w:r>
      <w:r w:rsidRPr="00F56D36">
        <w:t>jejímž výsled</w:t>
      </w:r>
      <w:r>
        <w:t>k</w:t>
      </w:r>
      <w:r w:rsidRPr="00F56D36">
        <w:t>u (výhře/prohře) rozhodne zcela nebo zčásti náhoda nebo</w:t>
      </w:r>
      <w:r w:rsidRPr="00DD3E35">
        <w:t xml:space="preserve"> neznámá okolnost. </w:t>
      </w:r>
    </w:p>
    <w:p w14:paraId="7BE5EAD2" w14:textId="5AECE1A4" w:rsidR="00A14435" w:rsidRDefault="00A14435" w:rsidP="00F14165">
      <w:pPr>
        <w:rPr>
          <w:rFonts w:cs="Arial"/>
          <w:bCs/>
          <w:i/>
          <w:szCs w:val="24"/>
        </w:rPr>
      </w:pPr>
      <w:r w:rsidRPr="00552400">
        <w:t xml:space="preserve">Zmocnění k zadržení věci (§ 121 zákona o hazardních hrách) je doposud </w:t>
      </w:r>
      <w:r>
        <w:t>C</w:t>
      </w:r>
      <w:r w:rsidRPr="00552400">
        <w:t xml:space="preserve">elní správou využíváno </w:t>
      </w:r>
      <w:r>
        <w:t>zejména</w:t>
      </w:r>
      <w:r w:rsidRPr="00552400">
        <w:t xml:space="preserve"> v souvislosti s nelegálním provozováním hazardních her provozovaných formou land-</w:t>
      </w:r>
      <w:r w:rsidRPr="00DE366B">
        <w:t xml:space="preserve">based. </w:t>
      </w:r>
      <w:r w:rsidRPr="0054297F">
        <w:rPr>
          <w:b/>
        </w:rPr>
        <w:t>Z celkového počtu 5623 kontrol provedených Celní správou za období 2017</w:t>
      </w:r>
      <w:r w:rsidR="008D59F9">
        <w:rPr>
          <w:b/>
        </w:rPr>
        <w:t> – </w:t>
      </w:r>
      <w:r w:rsidRPr="0054297F">
        <w:rPr>
          <w:b/>
        </w:rPr>
        <w:t>2020 u legálních a nelegálních provozovatelů provozujících hazardní hry formou land-based bylo Celní správou využito oprávnění k zadržení věci (technických zařízení</w:t>
      </w:r>
      <w:r w:rsidR="008D59F9">
        <w:rPr>
          <w:b/>
        </w:rPr>
        <w:t xml:space="preserve">, stolů živé hry apod.) při </w:t>
      </w:r>
      <w:r w:rsidR="00192A54">
        <w:rPr>
          <w:b/>
        </w:rPr>
        <w:t>960 </w:t>
      </w:r>
      <w:r w:rsidRPr="0054297F">
        <w:rPr>
          <w:b/>
        </w:rPr>
        <w:t>kontrolách</w:t>
      </w:r>
      <w:r>
        <w:t>, z nich převážná část (přibližně 98</w:t>
      </w:r>
      <w:r w:rsidR="00144A6A">
        <w:t xml:space="preserve"> </w:t>
      </w:r>
      <w:r w:rsidR="00192A54">
        <w:t>%) byla provedena u </w:t>
      </w:r>
      <w:r>
        <w:t xml:space="preserve">nelegálních provozovatelů v tzv. černých hernách. </w:t>
      </w:r>
      <w:r w:rsidRPr="005D43AF">
        <w:rPr>
          <w:b/>
        </w:rPr>
        <w:t>K zadržení věci došlo v případě 944 kontrol nelegálních provozovatelů a v 16 případech byla věc zadržena legálně provozujícím</w:t>
      </w:r>
      <w:r>
        <w:t xml:space="preserve"> </w:t>
      </w:r>
    </w:p>
    <w:p w14:paraId="5FCCC421" w14:textId="72419FC2" w:rsidR="00F14165" w:rsidRDefault="00F14165" w:rsidP="00F14165">
      <w:pPr>
        <w:pStyle w:val="Titulek"/>
        <w:keepNext/>
      </w:pPr>
      <w:bookmarkStart w:id="18" w:name="_Toc73531929"/>
      <w:r>
        <w:t xml:space="preserve">Graf č. </w:t>
      </w:r>
      <w:fldSimple w:instr=" SEQ Graf_č. \* ARABIC ">
        <w:r w:rsidR="005F741F">
          <w:rPr>
            <w:noProof/>
          </w:rPr>
          <w:t>8</w:t>
        </w:r>
      </w:fldSimple>
      <w:r>
        <w:t xml:space="preserve">: </w:t>
      </w:r>
      <w:r w:rsidRPr="003D2465">
        <w:t>Porovnání celkového počtu kontrol Celní správy u legálních a nelegálních provozovatelů v land-based</w:t>
      </w:r>
      <w:r w:rsidR="00FE4BB7">
        <w:t xml:space="preserve"> </w:t>
      </w:r>
      <w:r w:rsidR="00FE4BB7" w:rsidRPr="00FE4BB7">
        <w:t>prostředí</w:t>
      </w:r>
      <w:r w:rsidRPr="003D2465">
        <w:t xml:space="preserve"> s po</w:t>
      </w:r>
      <w:r w:rsidR="00FE4BB7">
        <w:t>čtem kontrol, při nichž došlo k </w:t>
      </w:r>
      <w:r w:rsidRPr="003D2465">
        <w:t>zadržení věci nelegálnímu a legálnímu provozovateli, a to za období 2017 – 2020</w:t>
      </w:r>
      <w:bookmarkEnd w:id="18"/>
    </w:p>
    <w:p w14:paraId="3E6E8116" w14:textId="77777777" w:rsidR="00A14435" w:rsidRPr="00381A3F" w:rsidRDefault="00A14435" w:rsidP="00A14435">
      <w:pPr>
        <w:spacing w:after="0"/>
        <w:rPr>
          <w:rFonts w:cs="Arial"/>
          <w:bCs/>
          <w:i/>
          <w:szCs w:val="24"/>
        </w:rPr>
      </w:pPr>
      <w:r>
        <w:rPr>
          <w:noProof/>
          <w:lang w:eastAsia="cs-CZ"/>
        </w:rPr>
        <w:drawing>
          <wp:inline distT="0" distB="0" distL="0" distR="0" wp14:anchorId="58553AE0" wp14:editId="58C08228">
            <wp:extent cx="5760720" cy="1824355"/>
            <wp:effectExtent l="0" t="0" r="11430" b="4445"/>
            <wp:docPr id="68" name="Graf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05AFA24" w14:textId="6724EA4D" w:rsidR="00A14435" w:rsidRPr="00381A3F" w:rsidRDefault="00A14435" w:rsidP="00A14435">
      <w:pPr>
        <w:spacing w:after="0"/>
        <w:rPr>
          <w:rFonts w:cs="Arial"/>
          <w:i/>
          <w:sz w:val="20"/>
          <w:szCs w:val="20"/>
        </w:rPr>
      </w:pPr>
      <w:r w:rsidRPr="00381A3F">
        <w:rPr>
          <w:rFonts w:cs="Arial"/>
          <w:i/>
          <w:sz w:val="20"/>
          <w:szCs w:val="20"/>
        </w:rPr>
        <w:t>Zdroj: Celní správa</w:t>
      </w:r>
      <w:r w:rsidR="00F14165">
        <w:rPr>
          <w:rFonts w:cs="Arial"/>
          <w:i/>
          <w:sz w:val="20"/>
          <w:szCs w:val="20"/>
        </w:rPr>
        <w:t>.</w:t>
      </w:r>
    </w:p>
    <w:p w14:paraId="2D3B060E" w14:textId="77777777" w:rsidR="00A14435" w:rsidRPr="00C373F7" w:rsidRDefault="00A14435" w:rsidP="00A14435">
      <w:pPr>
        <w:pStyle w:val="Odstavecseseznamem"/>
        <w:spacing w:after="0"/>
        <w:rPr>
          <w:rFonts w:cs="Arial"/>
        </w:rPr>
      </w:pPr>
    </w:p>
    <w:p w14:paraId="4C640BCB" w14:textId="254314C0" w:rsidR="00A14435" w:rsidRPr="000D711F" w:rsidRDefault="00A14435" w:rsidP="00A14435">
      <w:pPr>
        <w:rPr>
          <w:color w:val="000000" w:themeColor="text1"/>
        </w:rPr>
      </w:pPr>
      <w:r w:rsidRPr="00E4122A">
        <w:t xml:space="preserve">Zvláštní </w:t>
      </w:r>
      <w:r>
        <w:t>oprávnění</w:t>
      </w:r>
      <w:r w:rsidRPr="00E4122A">
        <w:t xml:space="preserve">, </w:t>
      </w:r>
      <w:r>
        <w:t xml:space="preserve">tedy </w:t>
      </w:r>
      <w:r w:rsidRPr="00E4122A">
        <w:t>právo vstupu dozorujícího orgánu d</w:t>
      </w:r>
      <w:r w:rsidR="00192A54">
        <w:t>o provozovny, a to </w:t>
      </w:r>
      <w:r w:rsidRPr="00E4122A">
        <w:t>v případě nutnosti i za použití síly, a zejména pak</w:t>
      </w:r>
      <w:r w:rsidR="00192A54">
        <w:t xml:space="preserve"> právo k zadržení věci, byla ve </w:t>
      </w:r>
      <w:r w:rsidRPr="00E4122A">
        <w:t>velké míře v</w:t>
      </w:r>
      <w:r w:rsidRPr="00552400">
        <w:t xml:space="preserve">yužívána v rámci </w:t>
      </w:r>
      <w:r w:rsidRPr="00552400">
        <w:rPr>
          <w:color w:val="000000" w:themeColor="text1"/>
        </w:rPr>
        <w:t>kontrol zaměřených na nelegální provozování hazardních her v  land-based</w:t>
      </w:r>
      <w:r w:rsidR="003B2A09">
        <w:rPr>
          <w:color w:val="000000" w:themeColor="text1"/>
        </w:rPr>
        <w:t xml:space="preserve"> </w:t>
      </w:r>
      <w:r w:rsidR="003B2A09" w:rsidRPr="003B2A09">
        <w:rPr>
          <w:color w:val="000000" w:themeColor="text1"/>
        </w:rPr>
        <w:t>prostředí</w:t>
      </w:r>
      <w:r w:rsidRPr="00552400">
        <w:rPr>
          <w:color w:val="000000" w:themeColor="text1"/>
        </w:rPr>
        <w:t xml:space="preserve">. </w:t>
      </w:r>
      <w:r w:rsidRPr="005D43AF">
        <w:rPr>
          <w:b/>
          <w:color w:val="000000" w:themeColor="text1"/>
        </w:rPr>
        <w:t>Četnost kontrol v dílčích oblastech České republiky</w:t>
      </w:r>
      <w:r w:rsidRPr="00552400">
        <w:rPr>
          <w:color w:val="000000" w:themeColor="text1"/>
        </w:rPr>
        <w:t xml:space="preserve"> lze </w:t>
      </w:r>
      <w:r>
        <w:rPr>
          <w:color w:val="000000" w:themeColor="text1"/>
        </w:rPr>
        <w:t>d</w:t>
      </w:r>
      <w:r w:rsidRPr="00552400">
        <w:rPr>
          <w:color w:val="000000" w:themeColor="text1"/>
        </w:rPr>
        <w:t>ovodit z přehledu uvedené</w:t>
      </w:r>
      <w:r w:rsidR="00192A54">
        <w:rPr>
          <w:color w:val="000000" w:themeColor="text1"/>
        </w:rPr>
        <w:t>ho</w:t>
      </w:r>
      <w:r w:rsidRPr="00552400">
        <w:rPr>
          <w:color w:val="000000" w:themeColor="text1"/>
        </w:rPr>
        <w:t xml:space="preserve"> na obrázku </w:t>
      </w:r>
      <w:r w:rsidRPr="00DE4E56">
        <w:rPr>
          <w:color w:val="000000" w:themeColor="text1"/>
        </w:rPr>
        <w:t>č</w:t>
      </w:r>
      <w:r w:rsidRPr="00F14165">
        <w:rPr>
          <w:color w:val="000000" w:themeColor="text1"/>
        </w:rPr>
        <w:t>. 1,</w:t>
      </w:r>
      <w:r w:rsidRPr="00552400">
        <w:rPr>
          <w:color w:val="000000" w:themeColor="text1"/>
        </w:rPr>
        <w:t xml:space="preserve"> </w:t>
      </w:r>
      <w:r>
        <w:rPr>
          <w:color w:val="000000" w:themeColor="text1"/>
        </w:rPr>
        <w:t>na kterém</w:t>
      </w:r>
      <w:r w:rsidRPr="00552400">
        <w:rPr>
          <w:color w:val="000000" w:themeColor="text1"/>
        </w:rPr>
        <w:t xml:space="preserve"> jsou znázorněny oblasti s uvedeným</w:t>
      </w:r>
      <w:r w:rsidRPr="000D711F">
        <w:rPr>
          <w:color w:val="000000" w:themeColor="text1"/>
        </w:rPr>
        <w:t xml:space="preserve"> počtem </w:t>
      </w:r>
      <w:r>
        <w:rPr>
          <w:color w:val="000000" w:themeColor="text1"/>
        </w:rPr>
        <w:t xml:space="preserve">Celní správou </w:t>
      </w:r>
      <w:r w:rsidRPr="000D711F">
        <w:rPr>
          <w:color w:val="000000" w:themeColor="text1"/>
        </w:rPr>
        <w:t>zjištěného výskytu nelegálně provozovaných heren.</w:t>
      </w:r>
    </w:p>
    <w:p w14:paraId="57EE2A19" w14:textId="7F46704C" w:rsidR="00F14165" w:rsidRDefault="005F741F" w:rsidP="00F14165">
      <w:pPr>
        <w:pStyle w:val="Titulek"/>
        <w:keepNext/>
      </w:pPr>
      <w:bookmarkStart w:id="19" w:name="_Toc72913587"/>
      <w:r>
        <w:t xml:space="preserve">Obrázek č. </w:t>
      </w:r>
      <w:fldSimple w:instr=" SEQ Obrázek_č._ \* ARABIC ">
        <w:r w:rsidR="00F14165">
          <w:rPr>
            <w:noProof/>
          </w:rPr>
          <w:t>1</w:t>
        </w:r>
      </w:fldSimple>
      <w:r w:rsidR="00F14165">
        <w:t xml:space="preserve">: </w:t>
      </w:r>
      <w:r w:rsidR="00F14165" w:rsidRPr="00450C23">
        <w:t>Počet nelegálních provozoven shledaných Celní správou v jednotlivých lokalitách České republiky v období 2017- 2020</w:t>
      </w:r>
      <w:bookmarkEnd w:id="19"/>
    </w:p>
    <w:p w14:paraId="7503BAC9" w14:textId="77777777" w:rsidR="00A14435" w:rsidRPr="000D711F" w:rsidRDefault="00A14435" w:rsidP="00A14435">
      <w:pPr>
        <w:spacing w:after="0"/>
        <w:rPr>
          <w:rFonts w:cs="Arial"/>
          <w:color w:val="000000" w:themeColor="text1"/>
          <w:szCs w:val="24"/>
        </w:rPr>
      </w:pPr>
      <w:r w:rsidRPr="00BB18E7">
        <w:rPr>
          <w:rFonts w:cs="Arial"/>
          <w:noProof/>
          <w:color w:val="000000" w:themeColor="text1"/>
          <w:szCs w:val="24"/>
          <w:lang w:eastAsia="cs-CZ"/>
        </w:rPr>
        <w:drawing>
          <wp:inline distT="0" distB="0" distL="0" distR="0" wp14:anchorId="6C4E301D" wp14:editId="0E98C4D8">
            <wp:extent cx="5679831" cy="3155462"/>
            <wp:effectExtent l="0" t="0" r="0" b="6985"/>
            <wp:docPr id="69" name="Obráze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6540" cy="3186967"/>
                    </a:xfrm>
                    <a:prstGeom prst="rect">
                      <a:avLst/>
                    </a:prstGeom>
                  </pic:spPr>
                </pic:pic>
              </a:graphicData>
            </a:graphic>
          </wp:inline>
        </w:drawing>
      </w:r>
    </w:p>
    <w:p w14:paraId="2B21AF0D" w14:textId="4A74EB4E" w:rsidR="00A14435" w:rsidRPr="00F14165" w:rsidRDefault="00A14435" w:rsidP="00A14435">
      <w:pPr>
        <w:widowControl w:val="0"/>
        <w:autoSpaceDE w:val="0"/>
        <w:autoSpaceDN w:val="0"/>
        <w:adjustRightInd w:val="0"/>
        <w:spacing w:after="0"/>
        <w:rPr>
          <w:rFonts w:cs="Arial"/>
          <w:i/>
          <w:color w:val="000000" w:themeColor="text1"/>
          <w:sz w:val="20"/>
          <w:szCs w:val="20"/>
        </w:rPr>
      </w:pPr>
      <w:r w:rsidRPr="00F14165">
        <w:rPr>
          <w:rFonts w:cs="Arial"/>
          <w:i/>
          <w:color w:val="000000" w:themeColor="text1"/>
          <w:sz w:val="20"/>
          <w:szCs w:val="20"/>
        </w:rPr>
        <w:t xml:space="preserve">Zdroj: </w:t>
      </w:r>
      <w:hyperlink r:id="rId22" w:history="1">
        <w:r w:rsidRPr="00F14165">
          <w:rPr>
            <w:rStyle w:val="Hypertextovodkaz"/>
            <w:rFonts w:cs="Arial"/>
            <w:i/>
            <w:color w:val="000000" w:themeColor="text1"/>
            <w:sz w:val="20"/>
            <w:szCs w:val="20"/>
          </w:rPr>
          <w:t>https://www.celnisprava.cz/cz/dalsi-kompetence/hazard/Stranky/default.aspx</w:t>
        </w:r>
      </w:hyperlink>
      <w:r w:rsidR="00F14165" w:rsidRPr="00F14165">
        <w:rPr>
          <w:rStyle w:val="Hypertextovodkaz"/>
          <w:rFonts w:cs="Arial"/>
          <w:i/>
          <w:color w:val="000000" w:themeColor="text1"/>
          <w:sz w:val="20"/>
          <w:szCs w:val="20"/>
        </w:rPr>
        <w:t>.</w:t>
      </w:r>
    </w:p>
    <w:p w14:paraId="46454D47" w14:textId="77777777" w:rsidR="00A14435" w:rsidRPr="00381A3F" w:rsidRDefault="00A14435" w:rsidP="00A14435">
      <w:pPr>
        <w:widowControl w:val="0"/>
        <w:autoSpaceDE w:val="0"/>
        <w:autoSpaceDN w:val="0"/>
        <w:adjustRightInd w:val="0"/>
        <w:spacing w:after="0"/>
        <w:rPr>
          <w:rFonts w:cs="Arial"/>
          <w:i/>
          <w:sz w:val="20"/>
          <w:szCs w:val="20"/>
        </w:rPr>
      </w:pPr>
    </w:p>
    <w:p w14:paraId="6BB2888A" w14:textId="3C128C9A" w:rsidR="00A14435" w:rsidRDefault="00A14435" w:rsidP="00A14435">
      <w:r>
        <w:t xml:space="preserve">Významný podíl v oblasti nelegálního provozování zaujímají tzv. kvízomaty. </w:t>
      </w:r>
      <w:r w:rsidRPr="006F02E6">
        <w:rPr>
          <w:b/>
        </w:rPr>
        <w:t>K problematice tzv. kvízomatů vydalo Ministerstvo financí v roce 2014 rozšířené stanovisko</w:t>
      </w:r>
      <w:r w:rsidRPr="00552400">
        <w:rPr>
          <w:rStyle w:val="Znakapoznpodarou"/>
          <w:rFonts w:cs="Arial"/>
          <w:szCs w:val="24"/>
        </w:rPr>
        <w:footnoteReference w:id="10"/>
      </w:r>
      <w:r w:rsidRPr="00552400">
        <w:t xml:space="preserve">. Z tohoto stanoviska vyplývá, že jediným objektivním přístupem, jak náhodu posuzovat, je nalézat ji všude tam, kde hraje </w:t>
      </w:r>
      <w:r>
        <w:t xml:space="preserve">při určení výsledku hry </w:t>
      </w:r>
      <w:r w:rsidRPr="00552400">
        <w:t>nezanedbateln</w:t>
      </w:r>
      <w:r>
        <w:t>ou roli. Náhoda se neshledává u </w:t>
      </w:r>
      <w:r w:rsidRPr="00552400">
        <w:t xml:space="preserve">soutěží, které jsou založeny zcela na vědomosti či na výkonu </w:t>
      </w:r>
      <w:r w:rsidR="00352BA5">
        <w:t>účastníka hazardní hry</w:t>
      </w:r>
      <w:r w:rsidR="00352BA5" w:rsidRPr="00552400">
        <w:t xml:space="preserve"> </w:t>
      </w:r>
      <w:r w:rsidRPr="00552400">
        <w:t xml:space="preserve">a při kterých </w:t>
      </w:r>
      <w:r w:rsidR="00352BA5">
        <w:t>účastník hazardní hry</w:t>
      </w:r>
      <w:r w:rsidR="00352BA5" w:rsidRPr="00552400">
        <w:t xml:space="preserve"> </w:t>
      </w:r>
      <w:r w:rsidRPr="00552400">
        <w:t xml:space="preserve">má výsledek hry zcela ve svých rukou. Hraniční případy vyžadují individuální posouzení. V případech, kdy se na výhře nebo prohře </w:t>
      </w:r>
      <w:r>
        <w:t>podílí prvek náhody zároveň i s </w:t>
      </w:r>
      <w:r w:rsidRPr="00552400">
        <w:t>prvkem znalostním, je nutno individuálně posuzovat konkrétní prvky ve vzájemných souvislostech</w:t>
      </w:r>
      <w:r w:rsidRPr="00211025">
        <w:t xml:space="preserve"> v rámci jednotlivých případů. Toto rozš</w:t>
      </w:r>
      <w:r>
        <w:t>ířené stanovisko respektovala i </w:t>
      </w:r>
      <w:r w:rsidRPr="00211025">
        <w:t>soudní praxe</w:t>
      </w:r>
      <w:r>
        <w:rPr>
          <w:rStyle w:val="Znakapoznpodarou"/>
          <w:rFonts w:cs="Arial"/>
          <w:szCs w:val="24"/>
        </w:rPr>
        <w:footnoteReference w:id="11"/>
      </w:r>
      <w:r>
        <w:t>.</w:t>
      </w:r>
      <w:r w:rsidRPr="00211025">
        <w:t xml:space="preserve"> </w:t>
      </w:r>
    </w:p>
    <w:p w14:paraId="3B2CF79D" w14:textId="11501E3F" w:rsidR="00A14435" w:rsidRPr="004E7D54" w:rsidRDefault="00A14435" w:rsidP="00A14435">
      <w:r w:rsidRPr="004E7D54">
        <w:t xml:space="preserve">K </w:t>
      </w:r>
      <w:r w:rsidRPr="00552400">
        <w:t xml:space="preserve">otázce odborné kompetence a působnosti správního orgánu ve věci technických herních zařízení se vyjádřil </w:t>
      </w:r>
      <w:r w:rsidRPr="006F02E6">
        <w:rPr>
          <w:b/>
        </w:rPr>
        <w:t>Nejvyšší správní soud</w:t>
      </w:r>
      <w:r w:rsidRPr="006F02E6">
        <w:rPr>
          <w:rStyle w:val="Znakapoznpodarou"/>
          <w:rFonts w:cs="Arial"/>
          <w:b/>
          <w:szCs w:val="24"/>
        </w:rPr>
        <w:footnoteReference w:id="12"/>
      </w:r>
      <w:r w:rsidR="00192A54">
        <w:rPr>
          <w:b/>
        </w:rPr>
        <w:t>, který dospěl k závěru, že za </w:t>
      </w:r>
      <w:r w:rsidRPr="006F02E6">
        <w:rPr>
          <w:b/>
        </w:rPr>
        <w:t>situace, kdy řešená odborná otázka spadá do rozsahu působnosti správního orgánu, nejsou zpravidla splněny podmínky pro ustanovení znalce</w:t>
      </w:r>
      <w:r w:rsidRPr="004E7D54">
        <w:t xml:space="preserve">. </w:t>
      </w:r>
      <w:r w:rsidRPr="006F02E6">
        <w:rPr>
          <w:b/>
        </w:rPr>
        <w:t>Správní orgán je v takových případech oprávněn si odbornou otázku posoudit sám</w:t>
      </w:r>
      <w:r>
        <w:t>.</w:t>
      </w:r>
    </w:p>
    <w:p w14:paraId="47242803" w14:textId="6DF55776" w:rsidR="00A14435" w:rsidRPr="00A810E8" w:rsidRDefault="00A14435" w:rsidP="00A14435">
      <w:r w:rsidRPr="0082225F">
        <w:t>V</w:t>
      </w:r>
      <w:r>
        <w:t>zhledem ke skutečnosti, že tzv. kvízomaty tvořily značné množství nelegálně provozovaných zařízení, byl aktivně</w:t>
      </w:r>
      <w:r w:rsidRPr="00552400">
        <w:t xml:space="preserve"> využíván institut </w:t>
      </w:r>
      <w:r w:rsidRPr="00A810E8">
        <w:t>zadržení věci</w:t>
      </w:r>
      <w:r>
        <w:t>. T</w:t>
      </w:r>
      <w:r w:rsidR="008D59F9">
        <w:t xml:space="preserve">echnické nebo </w:t>
      </w:r>
      <w:r w:rsidRPr="00A810E8">
        <w:t>jiné obdobné technické zařízení odebrán</w:t>
      </w:r>
      <w:r w:rsidR="00192A54">
        <w:t>o z dosahu kontrolované osoby a </w:t>
      </w:r>
      <w:r w:rsidRPr="00A810E8">
        <w:t>převezeno do skladových prosto</w:t>
      </w:r>
      <w:r>
        <w:t xml:space="preserve">r Celní správy. </w:t>
      </w:r>
    </w:p>
    <w:p w14:paraId="511FDD18" w14:textId="77777777" w:rsidR="00A14435" w:rsidRPr="00AE3060" w:rsidRDefault="00A14435" w:rsidP="00A14435">
      <w:pPr>
        <w:rPr>
          <w:u w:val="single"/>
        </w:rPr>
      </w:pPr>
      <w:r w:rsidRPr="00AE3060">
        <w:rPr>
          <w:u w:val="single"/>
        </w:rPr>
        <w:t>Souhrnné informace týkající se dozoru v land-based prostředí</w:t>
      </w:r>
    </w:p>
    <w:p w14:paraId="4E71D209" w14:textId="1216CDFC" w:rsidR="00A14435" w:rsidRDefault="00A14435" w:rsidP="00A14435">
      <w:r>
        <w:t xml:space="preserve">Z výše uvedených informací je zřejmé, že Celní správa aktivně vykonává dozor v oblasti provozování hazardních her v land-based prostředí a přiměřeně přitom využívá všechna oprávnění, která jí zákon o hazardních hrách přiznává. V níže uvedeném grafu je zobrazeno </w:t>
      </w:r>
      <w:r w:rsidRPr="006F02E6">
        <w:rPr>
          <w:b/>
        </w:rPr>
        <w:t>porovnání celkového počtu kontrol provedených Celní správou v období 2017 – 2020 v  land-based</w:t>
      </w:r>
      <w:r w:rsidR="00222261" w:rsidRPr="006F02E6">
        <w:rPr>
          <w:b/>
        </w:rPr>
        <w:t xml:space="preserve"> prostředí</w:t>
      </w:r>
      <w:r w:rsidRPr="006F02E6">
        <w:rPr>
          <w:b/>
        </w:rPr>
        <w:t>, a to u legálních a</w:t>
      </w:r>
      <w:r w:rsidR="00222261" w:rsidRPr="006F02E6">
        <w:rPr>
          <w:b/>
        </w:rPr>
        <w:t> </w:t>
      </w:r>
      <w:r w:rsidRPr="006F02E6">
        <w:rPr>
          <w:b/>
        </w:rPr>
        <w:t xml:space="preserve">nelegálních provozovatelů, s počtem kontrol, při nichž bylo zjištěno podezření na porušení podmínek uvedených v zákoně o hazardních hrách, </w:t>
      </w:r>
      <w:r w:rsidRPr="003161A3">
        <w:t>podmínek uvedených v základním povo</w:t>
      </w:r>
      <w:r w:rsidR="00192A54">
        <w:t>lení nebo podmínek uvedených ve </w:t>
      </w:r>
      <w:r w:rsidRPr="003161A3">
        <w:t>schváleném herním plánu. Do</w:t>
      </w:r>
      <w:r w:rsidRPr="008875D7">
        <w:t xml:space="preserve"> celkového počtu kontrol se zjištěným podezřením na porušení záko</w:t>
      </w:r>
      <w:r>
        <w:t>na o hazardních jsou zahrnuty i </w:t>
      </w:r>
      <w:r w:rsidRPr="008875D7">
        <w:t>kontro</w:t>
      </w:r>
      <w:r w:rsidR="006B6ED8">
        <w:t>ly nelegálních provozovatelů v </w:t>
      </w:r>
      <w:r w:rsidRPr="008875D7">
        <w:t>land-based</w:t>
      </w:r>
      <w:r w:rsidR="00857451">
        <w:t xml:space="preserve"> </w:t>
      </w:r>
      <w:r w:rsidR="00857451" w:rsidRPr="00857451">
        <w:t>prostředí</w:t>
      </w:r>
      <w:r w:rsidRPr="008875D7">
        <w:t>.</w:t>
      </w:r>
      <w:r>
        <w:t xml:space="preserve"> </w:t>
      </w:r>
      <w:r w:rsidRPr="005D43AF">
        <w:rPr>
          <w:b/>
        </w:rPr>
        <w:t>Z uvedeného porovnání vyplývá, že porušení bylo shledáno v přibližně u 48 % kontrol</w:t>
      </w:r>
      <w:r w:rsidRPr="00891D6D">
        <w:t>.</w:t>
      </w:r>
    </w:p>
    <w:p w14:paraId="5FF4609A" w14:textId="4E91AE56" w:rsidR="00F14165" w:rsidRDefault="00F14165" w:rsidP="00F14165">
      <w:pPr>
        <w:pStyle w:val="Titulek"/>
        <w:keepNext/>
      </w:pPr>
      <w:bookmarkStart w:id="20" w:name="_Toc73531930"/>
      <w:r>
        <w:t xml:space="preserve">Graf č. </w:t>
      </w:r>
      <w:fldSimple w:instr=" SEQ Graf_č. \* ARABIC ">
        <w:r w:rsidR="005F741F">
          <w:rPr>
            <w:noProof/>
          </w:rPr>
          <w:t>9</w:t>
        </w:r>
      </w:fldSimple>
      <w:r>
        <w:t xml:space="preserve">: </w:t>
      </w:r>
      <w:r w:rsidRPr="00FF6DFF">
        <w:t>Porovnání celkového počtu kontrol p</w:t>
      </w:r>
      <w:r w:rsidR="006B6ED8">
        <w:t>rovedených Celní správou v land</w:t>
      </w:r>
      <w:r w:rsidR="006B6ED8">
        <w:noBreakHyphen/>
      </w:r>
      <w:r w:rsidRPr="00FF6DFF">
        <w:t xml:space="preserve">based </w:t>
      </w:r>
      <w:r w:rsidR="00857451" w:rsidRPr="00857451">
        <w:t xml:space="preserve">prostředí </w:t>
      </w:r>
      <w:r w:rsidRPr="00FF6DFF">
        <w:t>s počtem kontrol se shledaným podezřením na porušení povinností stanovených zákonem o hazardních hrách legálním</w:t>
      </w:r>
      <w:r>
        <w:t>i a nelegálními provozovateli v </w:t>
      </w:r>
      <w:r w:rsidRPr="00FF6DFF">
        <w:t>období 2017 – 2020</w:t>
      </w:r>
      <w:bookmarkEnd w:id="20"/>
    </w:p>
    <w:p w14:paraId="59CE7A59" w14:textId="77777777" w:rsidR="00A14435" w:rsidRDefault="00A14435" w:rsidP="00A14435">
      <w:pPr>
        <w:spacing w:after="0"/>
        <w:rPr>
          <w:rFonts w:cs="Arial"/>
          <w:i/>
          <w:szCs w:val="24"/>
        </w:rPr>
      </w:pPr>
      <w:r>
        <w:rPr>
          <w:noProof/>
          <w:lang w:eastAsia="cs-CZ"/>
        </w:rPr>
        <w:drawing>
          <wp:inline distT="0" distB="0" distL="0" distR="0" wp14:anchorId="15C45323" wp14:editId="27B60FD4">
            <wp:extent cx="5747657" cy="1698171"/>
            <wp:effectExtent l="0" t="0" r="5715" b="16510"/>
            <wp:docPr id="70" name="Graf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1389A4C" w14:textId="205BDE21" w:rsidR="00A14435" w:rsidRPr="00381A3F" w:rsidRDefault="00A14435" w:rsidP="00A14435">
      <w:pPr>
        <w:spacing w:after="0"/>
        <w:rPr>
          <w:rFonts w:cs="Arial"/>
          <w:i/>
          <w:sz w:val="20"/>
          <w:szCs w:val="20"/>
        </w:rPr>
      </w:pPr>
      <w:r w:rsidRPr="00381A3F">
        <w:rPr>
          <w:rFonts w:cs="Arial"/>
          <w:i/>
          <w:sz w:val="20"/>
          <w:szCs w:val="20"/>
        </w:rPr>
        <w:t>Zdroj: Celní správa</w:t>
      </w:r>
      <w:r w:rsidR="00F14165">
        <w:rPr>
          <w:rFonts w:cs="Arial"/>
          <w:i/>
          <w:sz w:val="20"/>
          <w:szCs w:val="20"/>
        </w:rPr>
        <w:t>.</w:t>
      </w:r>
    </w:p>
    <w:p w14:paraId="53843A03" w14:textId="77777777" w:rsidR="00A14435" w:rsidRPr="00A810E8" w:rsidRDefault="00A14435" w:rsidP="00A14435"/>
    <w:p w14:paraId="12B26E38" w14:textId="6DB0625D" w:rsidR="00A14435" w:rsidRDefault="00A14435" w:rsidP="00A14435">
      <w:pPr>
        <w:rPr>
          <w:color w:val="000000" w:themeColor="text1"/>
        </w:rPr>
      </w:pPr>
      <w:r w:rsidRPr="00F14165">
        <w:rPr>
          <w:color w:val="000000" w:themeColor="text1"/>
        </w:rPr>
        <w:t>Na grafu č. 10 je</w:t>
      </w:r>
      <w:r w:rsidRPr="009502B0">
        <w:rPr>
          <w:color w:val="000000" w:themeColor="text1"/>
        </w:rPr>
        <w:t xml:space="preserve"> </w:t>
      </w:r>
      <w:r w:rsidRPr="00552400">
        <w:rPr>
          <w:color w:val="000000" w:themeColor="text1"/>
        </w:rPr>
        <w:t>zobrazen</w:t>
      </w:r>
      <w:r>
        <w:rPr>
          <w:color w:val="000000" w:themeColor="text1"/>
        </w:rPr>
        <w:t>o</w:t>
      </w:r>
      <w:r w:rsidRPr="00552400">
        <w:rPr>
          <w:color w:val="000000" w:themeColor="text1"/>
        </w:rPr>
        <w:t xml:space="preserve"> porovnání počtu kontrol provedených Celní správou v období let 2017 až 2020 v legálně provozovaných hernách a kasinech a</w:t>
      </w:r>
      <w:r>
        <w:rPr>
          <w:color w:val="000000" w:themeColor="text1"/>
        </w:rPr>
        <w:t> </w:t>
      </w:r>
      <w:r w:rsidRPr="00552400">
        <w:rPr>
          <w:color w:val="000000" w:themeColor="text1"/>
        </w:rPr>
        <w:t>počtu kontrol v nelegálně provozovaných provozovnách</w:t>
      </w:r>
      <w:r>
        <w:rPr>
          <w:color w:val="000000" w:themeColor="text1"/>
        </w:rPr>
        <w:t>.</w:t>
      </w:r>
      <w:r w:rsidR="006B6ED8">
        <w:rPr>
          <w:color w:val="000000" w:themeColor="text1"/>
        </w:rPr>
        <w:t xml:space="preserve"> Z výsledků vyplývá, že </w:t>
      </w:r>
      <w:r w:rsidRPr="006F02E6">
        <w:rPr>
          <w:b/>
          <w:color w:val="000000" w:themeColor="text1"/>
        </w:rPr>
        <w:t>z celkového počtu provedených kontrol byly kontroly v 83 % provedeny v legálně provozovaných herních prostorech a v 17 % pak v nelegálních provozovnách</w:t>
      </w:r>
      <w:r w:rsidRPr="00552400">
        <w:rPr>
          <w:color w:val="000000" w:themeColor="text1"/>
        </w:rPr>
        <w:t>.</w:t>
      </w:r>
    </w:p>
    <w:p w14:paraId="54170AC3" w14:textId="5DE87662" w:rsidR="00F14165" w:rsidRDefault="00F14165" w:rsidP="00F14165">
      <w:pPr>
        <w:pStyle w:val="Titulek"/>
        <w:keepNext/>
      </w:pPr>
      <w:bookmarkStart w:id="21" w:name="_Toc73531931"/>
      <w:r>
        <w:t xml:space="preserve">Graf č. </w:t>
      </w:r>
      <w:fldSimple w:instr=" SEQ Graf_č. \* ARABIC ">
        <w:r w:rsidR="005F741F">
          <w:rPr>
            <w:noProof/>
          </w:rPr>
          <w:t>10</w:t>
        </w:r>
      </w:fldSimple>
      <w:r>
        <w:t xml:space="preserve">: </w:t>
      </w:r>
      <w:r w:rsidRPr="00D039AB">
        <w:t xml:space="preserve"> Porovnání celkového počtu kontrol p</w:t>
      </w:r>
      <w:r w:rsidR="006B6ED8">
        <w:t>rovedených Celní správou v land</w:t>
      </w:r>
      <w:r w:rsidR="006B6ED8">
        <w:noBreakHyphen/>
      </w:r>
      <w:r w:rsidRPr="00D039AB">
        <w:t>based</w:t>
      </w:r>
      <w:r w:rsidR="00857451">
        <w:t xml:space="preserve"> </w:t>
      </w:r>
      <w:r w:rsidR="00857451" w:rsidRPr="00857451">
        <w:t>prostředí</w:t>
      </w:r>
      <w:r w:rsidRPr="00D039AB">
        <w:t xml:space="preserve"> s kontrolami v legálních a nelegálních pr</w:t>
      </w:r>
      <w:r w:rsidR="006B6ED8">
        <w:t>ovozovnách za </w:t>
      </w:r>
      <w:r>
        <w:t xml:space="preserve">období 2017 – </w:t>
      </w:r>
      <w:r w:rsidRPr="00D039AB">
        <w:t xml:space="preserve"> 2020</w:t>
      </w:r>
      <w:bookmarkEnd w:id="21"/>
    </w:p>
    <w:p w14:paraId="0DA52D71" w14:textId="77777777" w:rsidR="00A14435" w:rsidRDefault="00A14435" w:rsidP="00A14435">
      <w:pPr>
        <w:spacing w:after="0"/>
        <w:rPr>
          <w:rFonts w:cs="Arial"/>
          <w:color w:val="000000" w:themeColor="text1"/>
          <w:szCs w:val="24"/>
        </w:rPr>
      </w:pPr>
      <w:r>
        <w:rPr>
          <w:noProof/>
          <w:lang w:eastAsia="cs-CZ"/>
        </w:rPr>
        <w:drawing>
          <wp:inline distT="0" distB="0" distL="0" distR="0" wp14:anchorId="0E89EEA4" wp14:editId="5C94CD03">
            <wp:extent cx="5641340" cy="1680693"/>
            <wp:effectExtent l="0" t="0" r="16510" b="15240"/>
            <wp:docPr id="71" name="Graf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5113048" w14:textId="1546CA01" w:rsidR="00A14435" w:rsidRPr="005F741F" w:rsidRDefault="00A14435" w:rsidP="00A14435">
      <w:pPr>
        <w:spacing w:after="0"/>
        <w:rPr>
          <w:rFonts w:cs="Arial"/>
          <w:i/>
          <w:sz w:val="20"/>
          <w:szCs w:val="20"/>
        </w:rPr>
      </w:pPr>
      <w:r w:rsidRPr="00B82787">
        <w:rPr>
          <w:rFonts w:cs="Arial"/>
          <w:i/>
          <w:sz w:val="20"/>
          <w:szCs w:val="20"/>
        </w:rPr>
        <w:t>Zdroj: Celní správa</w:t>
      </w:r>
      <w:r w:rsidR="00F14165">
        <w:rPr>
          <w:rFonts w:cs="Arial"/>
          <w:i/>
          <w:sz w:val="20"/>
          <w:szCs w:val="20"/>
        </w:rPr>
        <w:t>.</w:t>
      </w:r>
    </w:p>
    <w:p w14:paraId="4943C0AD" w14:textId="77777777" w:rsidR="006B6ED8" w:rsidRDefault="006B6ED8" w:rsidP="00A14435">
      <w:pPr>
        <w:rPr>
          <w:b/>
        </w:rPr>
      </w:pPr>
    </w:p>
    <w:p w14:paraId="4F75F041" w14:textId="5EEA5FBC" w:rsidR="00A14435" w:rsidRDefault="00A14435" w:rsidP="00A14435">
      <w:r w:rsidRPr="006F02E6">
        <w:rPr>
          <w:b/>
        </w:rPr>
        <w:t>V roce 2017 Celní správa provedla 1913 kontrol u provozovatelů provozujících hazardní hry legálně v  land-based</w:t>
      </w:r>
      <w:r w:rsidR="00857451" w:rsidRPr="006F02E6">
        <w:rPr>
          <w:b/>
        </w:rPr>
        <w:t xml:space="preserve"> prostředí</w:t>
      </w:r>
      <w:r w:rsidRPr="006F02E6">
        <w:rPr>
          <w:b/>
        </w:rPr>
        <w:t>, přičemž u nelegálních provozovatelů bylo v  land-based</w:t>
      </w:r>
      <w:r w:rsidR="00857451" w:rsidRPr="006F02E6">
        <w:rPr>
          <w:b/>
        </w:rPr>
        <w:t xml:space="preserve"> prostředí</w:t>
      </w:r>
      <w:r w:rsidRPr="006F02E6">
        <w:rPr>
          <w:b/>
        </w:rPr>
        <w:t xml:space="preserve"> těchto kontrol provedeno 147</w:t>
      </w:r>
      <w:r>
        <w:t>. I</w:t>
      </w:r>
      <w:r w:rsidR="00B2666D">
        <w:t> </w:t>
      </w:r>
      <w:r>
        <w:t xml:space="preserve">v následujících letech kontroly zaměřené na legální provozování hazardních her výrazně převažovaly nad kontrolami provozovatelů provozujícími hazardní hry nelegálně. Prioritou kontrolních činností Celní správy byla a i nadále zůstává kontrola a eliminace nelegálního provozování hazardních her. Kontrolní činnost u nelegálního provozovatele má specifický charakter, neboť z povahy věci je vždy shledáno podezření na porušení zákona o hazardních hrách. Nelegální provozovatelé zpravidla uplatňují všechny možnosti obhajoby, které jim plynou z příslušných právních předpisů. Zejména se jedná o právo podání námitek proti zadržení věci, právo podání námitek vůči kontrolnímu protokolu a následně i o právo podání opravných prostředků ve správním a soudním řízení. </w:t>
      </w:r>
      <w:r w:rsidRPr="006F02E6">
        <w:rPr>
          <w:b/>
        </w:rPr>
        <w:t>Příčinu sestupného počtu kontrol zaměřených na nelegální provozování v letech 2019 – 2020 lze shledat ve výrazném úbytku míst, kde v minulosti docházelo k nelegálnímu provozování hazardních her</w:t>
      </w:r>
      <w:r>
        <w:t>. Z pravidelného monit</w:t>
      </w:r>
      <w:r w:rsidR="006B6ED8">
        <w:t>oringu Celní správy vyplývá, že </w:t>
      </w:r>
      <w:r>
        <w:t>místa, v nichž půs</w:t>
      </w:r>
      <w:r w:rsidR="00F14165">
        <w:t xml:space="preserve">obili nelegální provozovatelé, </w:t>
      </w:r>
      <w:r>
        <w:t>jso</w:t>
      </w:r>
      <w:r w:rsidR="006B6ED8">
        <w:t>u již zcela uzavřena, popřípadě </w:t>
      </w:r>
      <w:r>
        <w:t>v těchto místech vznikají provozovny s nabídkou zboží nebo služeb nesouvisejících s provozováním hazardní hry. Provozovny, v nichž dochází k nelegálnímu provozování hazardních her, vznikají v současné době pouze výjimečně.</w:t>
      </w:r>
    </w:p>
    <w:p w14:paraId="4F633180" w14:textId="6EC77A22" w:rsidR="00F14165" w:rsidRDefault="00F14165" w:rsidP="00F14165">
      <w:pPr>
        <w:pStyle w:val="Titulek"/>
        <w:keepNext/>
      </w:pPr>
      <w:bookmarkStart w:id="22" w:name="_Toc73531932"/>
      <w:r>
        <w:t xml:space="preserve">Graf č. </w:t>
      </w:r>
      <w:fldSimple w:instr=" SEQ Graf_č. \* ARABIC ">
        <w:r w:rsidR="005F741F">
          <w:rPr>
            <w:noProof/>
          </w:rPr>
          <w:t>11</w:t>
        </w:r>
      </w:fldSimple>
      <w:r>
        <w:t xml:space="preserve">: </w:t>
      </w:r>
      <w:r w:rsidRPr="00FE7C37">
        <w:t>Porovnání Celní správou provedeného počtu kontrol legálně a nelegálně provozujících provozovatelů v land-based</w:t>
      </w:r>
      <w:r w:rsidR="00566357" w:rsidRPr="00566357">
        <w:t xml:space="preserve"> prostředí</w:t>
      </w:r>
      <w:r w:rsidRPr="00FE7C37">
        <w:t xml:space="preserve"> </w:t>
      </w:r>
      <w:r w:rsidR="006B6ED8">
        <w:t>vůči celkovému počtu kontrol za </w:t>
      </w:r>
      <w:r w:rsidRPr="00FE7C37">
        <w:t>období 2017 až 2020</w:t>
      </w:r>
      <w:bookmarkEnd w:id="22"/>
    </w:p>
    <w:p w14:paraId="535B353E" w14:textId="77777777" w:rsidR="00A14435" w:rsidRDefault="00A14435" w:rsidP="00A14435">
      <w:pPr>
        <w:spacing w:after="0"/>
        <w:rPr>
          <w:rFonts w:cs="Arial"/>
          <w:b/>
          <w:bCs/>
          <w:color w:val="000000" w:themeColor="text1"/>
        </w:rPr>
      </w:pPr>
      <w:r>
        <w:rPr>
          <w:noProof/>
          <w:lang w:eastAsia="cs-CZ"/>
        </w:rPr>
        <w:drawing>
          <wp:inline distT="0" distB="0" distL="0" distR="0" wp14:anchorId="5389D836" wp14:editId="6A386D93">
            <wp:extent cx="6196330" cy="1968650"/>
            <wp:effectExtent l="0" t="0" r="13970" b="12700"/>
            <wp:docPr id="72" name="Graf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D1666DC" w14:textId="77777777" w:rsidR="00A14435" w:rsidRPr="00B82787" w:rsidRDefault="00A14435" w:rsidP="00A14435">
      <w:pPr>
        <w:spacing w:after="0"/>
        <w:rPr>
          <w:rFonts w:cs="Arial"/>
          <w:i/>
          <w:sz w:val="20"/>
          <w:szCs w:val="20"/>
        </w:rPr>
      </w:pPr>
      <w:r w:rsidRPr="00B82787">
        <w:rPr>
          <w:rFonts w:cs="Arial"/>
          <w:i/>
          <w:sz w:val="20"/>
          <w:szCs w:val="20"/>
        </w:rPr>
        <w:t>Zdroj: Celní správa.</w:t>
      </w:r>
    </w:p>
    <w:p w14:paraId="0F74EFE0" w14:textId="77777777" w:rsidR="00A14435" w:rsidRDefault="00A14435" w:rsidP="00A14435">
      <w:pPr>
        <w:spacing w:after="0"/>
        <w:rPr>
          <w:rFonts w:cs="Arial"/>
          <w:b/>
          <w:color w:val="000000" w:themeColor="text1"/>
          <w:szCs w:val="24"/>
        </w:rPr>
      </w:pPr>
    </w:p>
    <w:p w14:paraId="142311DC" w14:textId="7409A192" w:rsidR="00A14435" w:rsidRPr="00D270F1" w:rsidRDefault="00A14435" w:rsidP="00A14435">
      <w:r>
        <w:t xml:space="preserve">Jak je uvedeno výše, </w:t>
      </w:r>
      <w:r w:rsidRPr="006F02E6">
        <w:rPr>
          <w:b/>
        </w:rPr>
        <w:t>v období 2017 – 2020 bylo přibližně u 48 % kontrol (provedených u legálních a nelegálních provo</w:t>
      </w:r>
      <w:r w:rsidR="006B6ED8">
        <w:rPr>
          <w:b/>
        </w:rPr>
        <w:t>zovatelů) shledáno podezření na </w:t>
      </w:r>
      <w:r w:rsidRPr="006F02E6">
        <w:rPr>
          <w:b/>
        </w:rPr>
        <w:t>porušení zákona o hazardních hrách</w:t>
      </w:r>
      <w:r>
        <w:t xml:space="preserve">, </w:t>
      </w:r>
      <w:r w:rsidRPr="00891D6D">
        <w:t>podmínek uvedených v základním povolení nebo podmínek uvedených ve schváleném herním plánu</w:t>
      </w:r>
      <w:r w:rsidRPr="00B3389E">
        <w:t xml:space="preserve">. </w:t>
      </w:r>
      <w:r w:rsidR="00724759">
        <w:rPr>
          <w:b/>
        </w:rPr>
        <w:t>V</w:t>
      </w:r>
      <w:r w:rsidRPr="006F02E6">
        <w:rPr>
          <w:b/>
        </w:rPr>
        <w:t xml:space="preserve"> grafu</w:t>
      </w:r>
      <w:r w:rsidR="00B3389E" w:rsidRPr="006F02E6">
        <w:rPr>
          <w:b/>
        </w:rPr>
        <w:t xml:space="preserve"> č. 12</w:t>
      </w:r>
      <w:r w:rsidRPr="006F02E6">
        <w:rPr>
          <w:b/>
        </w:rPr>
        <w:t xml:space="preserve"> je zobrazen celkový počet kontrol provedených Celní správou v  land-based </w:t>
      </w:r>
      <w:r w:rsidR="00566357" w:rsidRPr="006F02E6">
        <w:rPr>
          <w:b/>
        </w:rPr>
        <w:t xml:space="preserve">prostředí </w:t>
      </w:r>
      <w:r w:rsidRPr="006F02E6">
        <w:rPr>
          <w:b/>
        </w:rPr>
        <w:t>v letech 2017 až 2020 a porovnání tohoto počtu se zjištěným podezřením na porušení dílčích povinností legálními a nelegálními provozovateli</w:t>
      </w:r>
      <w:r w:rsidRPr="00552400">
        <w:t>.</w:t>
      </w:r>
      <w:r>
        <w:t xml:space="preserve"> V roce 2017 bylo podezření na porušení dílčích povinností shledáno Celní správou při 488 kontrolách, přičemž ve 341 případech se toto podezření týkalo legálních provozovatelů a u 147 případů se podezř</w:t>
      </w:r>
      <w:r w:rsidR="008D59F9">
        <w:t xml:space="preserve">ení týkalo provozovatelů, kteří </w:t>
      </w:r>
      <w:r>
        <w:t>provozovali hazardní hry nelegálně. V roce 2018 - 2019 se počet Celní správou zjištěných podezření na porušení dílčích povinností legálními a nelegálními provozovateli provozujícími hazardní hry v  land-based</w:t>
      </w:r>
      <w:r w:rsidR="00566357">
        <w:t xml:space="preserve"> </w:t>
      </w:r>
      <w:r w:rsidR="00566357" w:rsidRPr="00566357">
        <w:t>prostředí</w:t>
      </w:r>
      <w:r>
        <w:t xml:space="preserve"> téměř zdvojnásobil (876), přičemž podíl shledaných podezření n</w:t>
      </w:r>
      <w:r w:rsidR="006B6ED8">
        <w:t>a porušení dílčích povinností u </w:t>
      </w:r>
      <w:r>
        <w:t>nelegálních provozovatelů se oproti roku 2017 zv</w:t>
      </w:r>
      <w:r w:rsidR="006B6ED8">
        <w:t>ýšil téměř trojnásobně, a to na </w:t>
      </w:r>
      <w:r>
        <w:t xml:space="preserve">423. V roce 2019 se počet </w:t>
      </w:r>
      <w:r w:rsidRPr="0017748D">
        <w:t xml:space="preserve">Celní správou zjištěných podezření na porušení dílčích </w:t>
      </w:r>
      <w:r>
        <w:t>porušení stabilizoval na obdobných</w:t>
      </w:r>
      <w:r w:rsidRPr="0017748D">
        <w:t xml:space="preserve"> hodnotách</w:t>
      </w:r>
      <w:r>
        <w:t xml:space="preserve"> roku 2018</w:t>
      </w:r>
      <w:r w:rsidRPr="0017748D">
        <w:t>, nicméně pokles</w:t>
      </w:r>
      <w:r>
        <w:t>l</w:t>
      </w:r>
      <w:r w:rsidRPr="0017748D">
        <w:t xml:space="preserve"> podíl zjištění vůči nelegálnímu provozování hazardních her, a</w:t>
      </w:r>
      <w:r w:rsidR="00212971">
        <w:t> </w:t>
      </w:r>
      <w:r w:rsidR="006B6ED8">
        <w:t>to na 232. Zároveň </w:t>
      </w:r>
      <w:r w:rsidRPr="0017748D">
        <w:t xml:space="preserve">bylo Celní správou zaznamenáno zvýšené množství podezření na porušení </w:t>
      </w:r>
      <w:r w:rsidRPr="008D2334">
        <w:rPr>
          <w:rFonts w:cs="Arial"/>
          <w:color w:val="000000" w:themeColor="text1"/>
          <w:szCs w:val="24"/>
        </w:rPr>
        <w:t xml:space="preserve">dílčích povinností u legálních </w:t>
      </w:r>
      <w:r w:rsidRPr="00CB3321">
        <w:rPr>
          <w:rFonts w:cs="Arial"/>
          <w:color w:val="000000" w:themeColor="text1"/>
          <w:szCs w:val="24"/>
        </w:rPr>
        <w:t>provozovatelů (630).</w:t>
      </w:r>
      <w:r w:rsidRPr="0017748D">
        <w:t xml:space="preserve"> Údaje za rok 2020 byly významně ovlivněny omezením provozu v souvislosti s pandemickou situací související s</w:t>
      </w:r>
      <w:r w:rsidR="006B6ED8">
        <w:t> </w:t>
      </w:r>
      <w:r w:rsidR="00003F3F">
        <w:t>c</w:t>
      </w:r>
      <w:r w:rsidRPr="0017748D">
        <w:t>ovid</w:t>
      </w:r>
      <w:r w:rsidR="008D59F9">
        <w:t>em</w:t>
      </w:r>
      <w:r w:rsidR="006B6ED8">
        <w:noBreakHyphen/>
      </w:r>
      <w:r w:rsidRPr="0017748D">
        <w:t>19.</w:t>
      </w:r>
    </w:p>
    <w:p w14:paraId="55A27BA7" w14:textId="1ACCA286" w:rsidR="00F14165" w:rsidRDefault="00F14165" w:rsidP="00F14165">
      <w:pPr>
        <w:pStyle w:val="Titulek"/>
        <w:keepNext/>
      </w:pPr>
      <w:bookmarkStart w:id="23" w:name="_Toc73531933"/>
      <w:r>
        <w:t xml:space="preserve">Graf č. </w:t>
      </w:r>
      <w:fldSimple w:instr=" SEQ Graf_č. \* ARABIC ">
        <w:r w:rsidR="005F741F">
          <w:rPr>
            <w:noProof/>
          </w:rPr>
          <w:t>12</w:t>
        </w:r>
      </w:fldSimple>
      <w:r>
        <w:t xml:space="preserve">: </w:t>
      </w:r>
      <w:r w:rsidRPr="00B506CA">
        <w:t xml:space="preserve">Celkový počet kontrol v land-based </w:t>
      </w:r>
      <w:r w:rsidR="00566357" w:rsidRPr="00566357">
        <w:t xml:space="preserve">prostředí </w:t>
      </w:r>
      <w:r w:rsidR="006B6ED8">
        <w:t>se zjištěným podezřením na </w:t>
      </w:r>
      <w:r w:rsidRPr="00B506CA">
        <w:t>porušení dílčích povinností v porovnání s počtem z</w:t>
      </w:r>
      <w:r>
        <w:t>jištěných podezření u legálně a </w:t>
      </w:r>
      <w:r w:rsidRPr="00B506CA">
        <w:t>nelegálně provozujících provozovatelů</w:t>
      </w:r>
      <w:bookmarkEnd w:id="23"/>
    </w:p>
    <w:p w14:paraId="25A321C9" w14:textId="77777777" w:rsidR="00A14435" w:rsidRDefault="00A14435" w:rsidP="00A14435">
      <w:pPr>
        <w:spacing w:after="0"/>
        <w:rPr>
          <w:rFonts w:cs="Arial"/>
          <w:b/>
          <w:color w:val="000000" w:themeColor="text1"/>
          <w:szCs w:val="24"/>
        </w:rPr>
      </w:pPr>
      <w:r>
        <w:rPr>
          <w:noProof/>
          <w:lang w:eastAsia="cs-CZ"/>
        </w:rPr>
        <w:drawing>
          <wp:inline distT="0" distB="0" distL="0" distR="0" wp14:anchorId="11D09811" wp14:editId="0A667ABA">
            <wp:extent cx="5760720" cy="2395220"/>
            <wp:effectExtent l="0" t="0" r="11430" b="5080"/>
            <wp:docPr id="73" name="Graf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E53F2A2" w14:textId="28586D30" w:rsidR="00A14435" w:rsidRPr="00B82787" w:rsidRDefault="00A14435" w:rsidP="00A14435">
      <w:pPr>
        <w:spacing w:after="0"/>
        <w:rPr>
          <w:rFonts w:cs="Arial"/>
          <w:i/>
          <w:sz w:val="20"/>
          <w:szCs w:val="20"/>
        </w:rPr>
      </w:pPr>
      <w:r w:rsidRPr="00B82787">
        <w:rPr>
          <w:rFonts w:cs="Arial"/>
          <w:i/>
          <w:sz w:val="20"/>
          <w:szCs w:val="20"/>
        </w:rPr>
        <w:t>Zdroj: Celní správa</w:t>
      </w:r>
      <w:r w:rsidR="00F14165">
        <w:rPr>
          <w:rFonts w:cs="Arial"/>
          <w:i/>
          <w:sz w:val="20"/>
          <w:szCs w:val="20"/>
        </w:rPr>
        <w:t>.</w:t>
      </w:r>
    </w:p>
    <w:p w14:paraId="75903027" w14:textId="77777777" w:rsidR="00A14435" w:rsidRDefault="00A14435" w:rsidP="00A14435">
      <w:pPr>
        <w:spacing w:after="0"/>
      </w:pPr>
    </w:p>
    <w:p w14:paraId="37943963" w14:textId="01B8E9D8" w:rsidR="00A14435" w:rsidRDefault="00A14435" w:rsidP="00A14435">
      <w:pPr>
        <w:spacing w:after="0"/>
      </w:pPr>
      <w:r w:rsidRPr="006F02E6">
        <w:rPr>
          <w:b/>
        </w:rPr>
        <w:t>Celní správa v měsíčních intervalech prezentuje základní statistické informace</w:t>
      </w:r>
      <w:r w:rsidRPr="006F02E6">
        <w:rPr>
          <w:rStyle w:val="Znakapoznpodarou"/>
          <w:rFonts w:cs="Arial"/>
          <w:b/>
          <w:color w:val="000000" w:themeColor="text1"/>
          <w:szCs w:val="24"/>
        </w:rPr>
        <w:footnoteReference w:id="13"/>
      </w:r>
      <w:r w:rsidRPr="006F02E6">
        <w:rPr>
          <w:b/>
        </w:rPr>
        <w:t xml:space="preserve"> o počtu kontrol v  land-based </w:t>
      </w:r>
      <w:r w:rsidR="00566357" w:rsidRPr="006F02E6">
        <w:rPr>
          <w:b/>
        </w:rPr>
        <w:t xml:space="preserve">prostředí </w:t>
      </w:r>
      <w:r w:rsidRPr="006F02E6">
        <w:rPr>
          <w:b/>
        </w:rPr>
        <w:t>a zjištěných nelegálně provozovaných technických nebo jiných obdobných zařízení</w:t>
      </w:r>
      <w:r w:rsidRPr="007F6AAC">
        <w:t xml:space="preserve"> tak, jak je uvedeno </w:t>
      </w:r>
      <w:r w:rsidR="00B3389E">
        <w:t>v tabulkách</w:t>
      </w:r>
      <w:r w:rsidRPr="007F6AAC">
        <w:t xml:space="preserve"> níže.</w:t>
      </w:r>
    </w:p>
    <w:p w14:paraId="4C6A5020" w14:textId="77777777" w:rsidR="00A14435" w:rsidRPr="007F6AAC" w:rsidRDefault="00A14435" w:rsidP="00A14435">
      <w:pPr>
        <w:spacing w:after="0"/>
      </w:pPr>
    </w:p>
    <w:p w14:paraId="7D6E21A9" w14:textId="186FBBA4" w:rsidR="00F14165" w:rsidRDefault="00F14165" w:rsidP="00F14165">
      <w:pPr>
        <w:pStyle w:val="Titulek"/>
        <w:keepNext/>
      </w:pPr>
      <w:bookmarkStart w:id="24" w:name="_Toc73531910"/>
      <w:r>
        <w:t xml:space="preserve">Tabulka č. </w:t>
      </w:r>
      <w:fldSimple w:instr=" SEQ Tabulka_č. \* ARABIC ">
        <w:r w:rsidR="00A3179D">
          <w:rPr>
            <w:noProof/>
          </w:rPr>
          <w:t>1</w:t>
        </w:r>
      </w:fldSimple>
      <w:r>
        <w:t xml:space="preserve">: </w:t>
      </w:r>
      <w:r w:rsidRPr="00C016ED">
        <w:t xml:space="preserve">Kontroly v oblasti hazardních her za </w:t>
      </w:r>
      <w:r w:rsidR="006B6ED8">
        <w:t>období od 1. 1. 2017 do 31. 12. </w:t>
      </w:r>
      <w:r w:rsidRPr="00C016ED">
        <w:t>2017</w:t>
      </w:r>
      <w:bookmarkEnd w:id="24"/>
    </w:p>
    <w:p w14:paraId="39919ECB" w14:textId="77777777" w:rsidR="00A14435" w:rsidRDefault="00A14435" w:rsidP="00A14435">
      <w:pPr>
        <w:spacing w:after="0"/>
        <w:rPr>
          <w:rFonts w:cs="Arial"/>
          <w:color w:val="000000" w:themeColor="text1"/>
          <w:szCs w:val="24"/>
        </w:rPr>
      </w:pPr>
      <w:r w:rsidRPr="001A5AF4">
        <w:rPr>
          <w:rFonts w:cs="Arial"/>
          <w:noProof/>
          <w:color w:val="000000" w:themeColor="text1"/>
          <w:szCs w:val="24"/>
          <w:lang w:eastAsia="cs-CZ"/>
        </w:rPr>
        <w:drawing>
          <wp:inline distT="0" distB="0" distL="0" distR="0" wp14:anchorId="187EEE0A" wp14:editId="587EBF83">
            <wp:extent cx="5760720" cy="1475105"/>
            <wp:effectExtent l="0" t="0" r="0" b="0"/>
            <wp:docPr id="74" name="Obráze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60720" cy="1475105"/>
                    </a:xfrm>
                    <a:prstGeom prst="rect">
                      <a:avLst/>
                    </a:prstGeom>
                  </pic:spPr>
                </pic:pic>
              </a:graphicData>
            </a:graphic>
          </wp:inline>
        </w:drawing>
      </w:r>
    </w:p>
    <w:p w14:paraId="2285ABAA" w14:textId="5C1D878E" w:rsidR="00A14435" w:rsidRPr="00B82787" w:rsidRDefault="00A14435" w:rsidP="00A14435">
      <w:pPr>
        <w:spacing w:after="0"/>
        <w:rPr>
          <w:rFonts w:cs="Arial"/>
          <w:i/>
          <w:color w:val="000000" w:themeColor="text1"/>
          <w:sz w:val="20"/>
          <w:szCs w:val="20"/>
        </w:rPr>
      </w:pPr>
      <w:r w:rsidRPr="00B82787">
        <w:rPr>
          <w:rFonts w:cs="Arial"/>
          <w:i/>
          <w:color w:val="000000" w:themeColor="text1"/>
          <w:sz w:val="20"/>
          <w:szCs w:val="20"/>
        </w:rPr>
        <w:t>Zdroj: https://www.celnisprava.cz/cz/statistiky/hazard/Stranky/default.aspx</w:t>
      </w:r>
      <w:r w:rsidR="00724759">
        <w:rPr>
          <w:rFonts w:cs="Arial"/>
          <w:i/>
          <w:color w:val="000000" w:themeColor="text1"/>
          <w:sz w:val="20"/>
          <w:szCs w:val="20"/>
        </w:rPr>
        <w:t>.</w:t>
      </w:r>
    </w:p>
    <w:p w14:paraId="7D174B08" w14:textId="77777777" w:rsidR="00A14435" w:rsidRDefault="00A14435" w:rsidP="00A14435">
      <w:pPr>
        <w:spacing w:after="0"/>
        <w:rPr>
          <w:rFonts w:cs="Arial"/>
          <w:color w:val="000000" w:themeColor="text1"/>
          <w:szCs w:val="24"/>
        </w:rPr>
      </w:pPr>
    </w:p>
    <w:p w14:paraId="41CC4AFA" w14:textId="02FDB0DA" w:rsidR="00F14165" w:rsidRDefault="00F14165" w:rsidP="00F14165">
      <w:pPr>
        <w:pStyle w:val="Titulek"/>
        <w:keepNext/>
      </w:pPr>
      <w:bookmarkStart w:id="25" w:name="_Toc73531911"/>
      <w:r>
        <w:t xml:space="preserve">Tabulka č. </w:t>
      </w:r>
      <w:fldSimple w:instr=" SEQ Tabulka_č. \* ARABIC ">
        <w:r w:rsidR="00A3179D">
          <w:rPr>
            <w:noProof/>
          </w:rPr>
          <w:t>2</w:t>
        </w:r>
      </w:fldSimple>
      <w:r>
        <w:t xml:space="preserve">: </w:t>
      </w:r>
      <w:r w:rsidRPr="001D2D4A">
        <w:t xml:space="preserve">Kontroly v oblasti hazardních her za </w:t>
      </w:r>
      <w:r w:rsidR="006B6ED8">
        <w:t>období od 1. 1. 2018 do 31. 12. </w:t>
      </w:r>
      <w:r w:rsidRPr="001D2D4A">
        <w:t>2018</w:t>
      </w:r>
      <w:bookmarkEnd w:id="25"/>
    </w:p>
    <w:p w14:paraId="68C515E1" w14:textId="77777777" w:rsidR="00A14435" w:rsidRDefault="00A14435" w:rsidP="00A14435">
      <w:pPr>
        <w:spacing w:after="0"/>
        <w:rPr>
          <w:rFonts w:cs="Arial"/>
          <w:color w:val="000000" w:themeColor="text1"/>
          <w:szCs w:val="24"/>
        </w:rPr>
      </w:pPr>
      <w:r w:rsidRPr="001A5AF4">
        <w:rPr>
          <w:rFonts w:cs="Arial"/>
          <w:noProof/>
          <w:color w:val="000000" w:themeColor="text1"/>
          <w:szCs w:val="24"/>
          <w:lang w:eastAsia="cs-CZ"/>
        </w:rPr>
        <w:drawing>
          <wp:inline distT="0" distB="0" distL="0" distR="0" wp14:anchorId="1185E22E" wp14:editId="5842AD2A">
            <wp:extent cx="5760098" cy="1783724"/>
            <wp:effectExtent l="0" t="0" r="0" b="6985"/>
            <wp:docPr id="75" name="Obráze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9369" cy="1786595"/>
                    </a:xfrm>
                    <a:prstGeom prst="rect">
                      <a:avLst/>
                    </a:prstGeom>
                  </pic:spPr>
                </pic:pic>
              </a:graphicData>
            </a:graphic>
          </wp:inline>
        </w:drawing>
      </w:r>
    </w:p>
    <w:p w14:paraId="6BE55545" w14:textId="4CFC1879" w:rsidR="00A14435" w:rsidRDefault="00A14435" w:rsidP="00A14435">
      <w:pPr>
        <w:spacing w:after="0"/>
        <w:rPr>
          <w:rFonts w:cs="Arial"/>
          <w:i/>
          <w:color w:val="000000" w:themeColor="text1"/>
          <w:sz w:val="20"/>
          <w:szCs w:val="20"/>
        </w:rPr>
      </w:pPr>
      <w:r w:rsidRPr="00B82787">
        <w:rPr>
          <w:rFonts w:cs="Arial"/>
          <w:i/>
          <w:color w:val="000000" w:themeColor="text1"/>
          <w:sz w:val="20"/>
          <w:szCs w:val="20"/>
        </w:rPr>
        <w:t xml:space="preserve">Zdroj: </w:t>
      </w:r>
      <w:hyperlink r:id="rId29" w:history="1">
        <w:r w:rsidR="00A3179D" w:rsidRPr="009735B9">
          <w:rPr>
            <w:rStyle w:val="Hypertextovodkaz"/>
            <w:rFonts w:cs="Arial"/>
            <w:i/>
            <w:sz w:val="20"/>
            <w:szCs w:val="20"/>
          </w:rPr>
          <w:t>https://www.celnisprava.cz/cz/statistiky/hazard/Stranky/default.aspx</w:t>
        </w:r>
      </w:hyperlink>
      <w:r w:rsidR="00A3179D">
        <w:rPr>
          <w:rFonts w:cs="Arial"/>
          <w:i/>
          <w:color w:val="000000" w:themeColor="text1"/>
          <w:sz w:val="20"/>
          <w:szCs w:val="20"/>
        </w:rPr>
        <w:t>.</w:t>
      </w:r>
    </w:p>
    <w:p w14:paraId="5AAFA269" w14:textId="77777777" w:rsidR="00A3179D" w:rsidRDefault="00A3179D" w:rsidP="00A14435">
      <w:pPr>
        <w:spacing w:after="0"/>
        <w:rPr>
          <w:rFonts w:cs="Arial"/>
          <w:color w:val="808080" w:themeColor="background1" w:themeShade="80"/>
          <w:szCs w:val="24"/>
        </w:rPr>
      </w:pPr>
    </w:p>
    <w:p w14:paraId="3AB52409" w14:textId="06B4E068" w:rsidR="00A3179D" w:rsidRDefault="00A3179D" w:rsidP="00A3179D">
      <w:pPr>
        <w:pStyle w:val="Titulek"/>
        <w:keepNext/>
      </w:pPr>
      <w:bookmarkStart w:id="26" w:name="_Toc73531912"/>
      <w:r>
        <w:t xml:space="preserve">Tabulka č. </w:t>
      </w:r>
      <w:fldSimple w:instr=" SEQ Tabulka_č. \* ARABIC ">
        <w:r>
          <w:rPr>
            <w:noProof/>
          </w:rPr>
          <w:t>3</w:t>
        </w:r>
      </w:fldSimple>
      <w:r>
        <w:t xml:space="preserve">: </w:t>
      </w:r>
      <w:r w:rsidRPr="00F6357B">
        <w:t xml:space="preserve">Kontroly v oblasti hazardních her za </w:t>
      </w:r>
      <w:r w:rsidR="006B6ED8">
        <w:t>období od 1. 1. 2019 do 31. 12. </w:t>
      </w:r>
      <w:r w:rsidRPr="00F6357B">
        <w:t>2019</w:t>
      </w:r>
      <w:bookmarkEnd w:id="26"/>
    </w:p>
    <w:p w14:paraId="0046EF63" w14:textId="45A80AB5" w:rsidR="00A14435" w:rsidRPr="001A5AF4" w:rsidRDefault="00A14435" w:rsidP="00A14435">
      <w:pPr>
        <w:spacing w:after="0"/>
        <w:rPr>
          <w:rFonts w:cs="Arial"/>
          <w:color w:val="808080" w:themeColor="background1" w:themeShade="80"/>
          <w:szCs w:val="24"/>
        </w:rPr>
      </w:pPr>
      <w:r w:rsidRPr="004A2AA9">
        <w:rPr>
          <w:rFonts w:cs="Arial"/>
          <w:noProof/>
          <w:color w:val="808080" w:themeColor="background1" w:themeShade="80"/>
          <w:szCs w:val="24"/>
          <w:lang w:eastAsia="cs-CZ"/>
        </w:rPr>
        <w:drawing>
          <wp:inline distT="0" distB="0" distL="0" distR="0" wp14:anchorId="10FA15C7" wp14:editId="65222DE3">
            <wp:extent cx="5760720" cy="2350770"/>
            <wp:effectExtent l="0" t="0" r="0" b="0"/>
            <wp:docPr id="76" name="Obráze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2350770"/>
                    </a:xfrm>
                    <a:prstGeom prst="rect">
                      <a:avLst/>
                    </a:prstGeom>
                  </pic:spPr>
                </pic:pic>
              </a:graphicData>
            </a:graphic>
          </wp:inline>
        </w:drawing>
      </w:r>
    </w:p>
    <w:p w14:paraId="12187A06" w14:textId="3C6D2542" w:rsidR="00A14435" w:rsidRDefault="00A14435" w:rsidP="00A3179D">
      <w:pPr>
        <w:spacing w:after="0"/>
        <w:rPr>
          <w:rFonts w:cs="Arial"/>
          <w:i/>
          <w:color w:val="000000" w:themeColor="text1"/>
          <w:sz w:val="20"/>
          <w:szCs w:val="20"/>
        </w:rPr>
      </w:pPr>
      <w:r w:rsidRPr="00B82787">
        <w:rPr>
          <w:rFonts w:cs="Arial"/>
          <w:i/>
          <w:color w:val="000000" w:themeColor="text1"/>
          <w:sz w:val="20"/>
          <w:szCs w:val="20"/>
        </w:rPr>
        <w:t xml:space="preserve">Zdroj: </w:t>
      </w:r>
      <w:hyperlink r:id="rId31" w:history="1">
        <w:r w:rsidR="00A3179D" w:rsidRPr="009735B9">
          <w:rPr>
            <w:rStyle w:val="Hypertextovodkaz"/>
            <w:rFonts w:cs="Arial"/>
            <w:i/>
            <w:sz w:val="20"/>
            <w:szCs w:val="20"/>
          </w:rPr>
          <w:t>https://www.celnisprava.cz/cz/statistiky/hazard/Stranky/default.aspx</w:t>
        </w:r>
      </w:hyperlink>
      <w:r w:rsidR="00A3179D">
        <w:rPr>
          <w:rFonts w:cs="Arial"/>
          <w:i/>
          <w:color w:val="000000" w:themeColor="text1"/>
          <w:sz w:val="20"/>
          <w:szCs w:val="20"/>
        </w:rPr>
        <w:t>.</w:t>
      </w:r>
    </w:p>
    <w:p w14:paraId="426CEB09" w14:textId="77777777" w:rsidR="00A3179D" w:rsidRPr="00A3179D" w:rsidRDefault="00A3179D" w:rsidP="00A3179D">
      <w:pPr>
        <w:spacing w:after="0"/>
        <w:rPr>
          <w:rFonts w:cs="Arial"/>
          <w:i/>
          <w:color w:val="000000" w:themeColor="text1"/>
          <w:sz w:val="20"/>
          <w:szCs w:val="20"/>
        </w:rPr>
      </w:pPr>
    </w:p>
    <w:p w14:paraId="3C9F4455" w14:textId="0A1E88C7" w:rsidR="00A3179D" w:rsidRDefault="00A3179D" w:rsidP="00A3179D">
      <w:pPr>
        <w:pStyle w:val="Titulek"/>
        <w:keepNext/>
      </w:pPr>
      <w:bookmarkStart w:id="27" w:name="_Toc73531913"/>
      <w:r>
        <w:t xml:space="preserve">Tabulka č. </w:t>
      </w:r>
      <w:fldSimple w:instr=" SEQ Tabulka_č. \* ARABIC ">
        <w:r>
          <w:rPr>
            <w:noProof/>
          </w:rPr>
          <w:t>4</w:t>
        </w:r>
      </w:fldSimple>
      <w:r>
        <w:t xml:space="preserve">: </w:t>
      </w:r>
      <w:r w:rsidRPr="00F702BA">
        <w:t xml:space="preserve">Kontroly v oblasti hazardních her za </w:t>
      </w:r>
      <w:r w:rsidR="006B6ED8">
        <w:t>období od 1. 1. 2020 do 31. 12. </w:t>
      </w:r>
      <w:r w:rsidRPr="00F702BA">
        <w:t>2020</w:t>
      </w:r>
      <w:bookmarkEnd w:id="27"/>
    </w:p>
    <w:p w14:paraId="500E03A2" w14:textId="77777777" w:rsidR="00A14435" w:rsidRDefault="00A14435" w:rsidP="00A14435">
      <w:pPr>
        <w:spacing w:after="0"/>
        <w:rPr>
          <w:rFonts w:cs="Arial"/>
        </w:rPr>
      </w:pPr>
      <w:r w:rsidRPr="004A2AA9">
        <w:rPr>
          <w:rFonts w:cs="Arial"/>
          <w:noProof/>
          <w:lang w:eastAsia="cs-CZ"/>
        </w:rPr>
        <w:drawing>
          <wp:inline distT="0" distB="0" distL="0" distR="0" wp14:anchorId="6B4738F3" wp14:editId="2660BA2A">
            <wp:extent cx="5760720" cy="2383155"/>
            <wp:effectExtent l="0" t="0" r="0" b="0"/>
            <wp:docPr id="77" name="Obráze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60720" cy="2383155"/>
                    </a:xfrm>
                    <a:prstGeom prst="rect">
                      <a:avLst/>
                    </a:prstGeom>
                  </pic:spPr>
                </pic:pic>
              </a:graphicData>
            </a:graphic>
          </wp:inline>
        </w:drawing>
      </w:r>
    </w:p>
    <w:p w14:paraId="44AE3452" w14:textId="5FAF29C3" w:rsidR="00A14435" w:rsidRDefault="00A14435" w:rsidP="00A14435">
      <w:pPr>
        <w:spacing w:after="0"/>
        <w:rPr>
          <w:rFonts w:cs="Arial"/>
          <w:i/>
          <w:color w:val="000000" w:themeColor="text1"/>
          <w:sz w:val="20"/>
          <w:szCs w:val="20"/>
        </w:rPr>
      </w:pPr>
      <w:r w:rsidRPr="00B82787">
        <w:rPr>
          <w:rFonts w:cs="Arial"/>
          <w:i/>
          <w:color w:val="000000" w:themeColor="text1"/>
          <w:sz w:val="20"/>
          <w:szCs w:val="20"/>
        </w:rPr>
        <w:t xml:space="preserve">Zdroj: </w:t>
      </w:r>
      <w:hyperlink r:id="rId33" w:history="1">
        <w:r w:rsidR="00A3179D" w:rsidRPr="009735B9">
          <w:rPr>
            <w:rStyle w:val="Hypertextovodkaz"/>
            <w:rFonts w:cs="Arial"/>
            <w:i/>
            <w:sz w:val="20"/>
            <w:szCs w:val="20"/>
          </w:rPr>
          <w:t>https://www.celnisprava.cz/cz/statistiky/hazard/Stranky/default.aspx</w:t>
        </w:r>
      </w:hyperlink>
      <w:r w:rsidR="00A3179D">
        <w:rPr>
          <w:rFonts w:cs="Arial"/>
          <w:i/>
          <w:color w:val="000000" w:themeColor="text1"/>
          <w:sz w:val="20"/>
          <w:szCs w:val="20"/>
        </w:rPr>
        <w:t>.</w:t>
      </w:r>
    </w:p>
    <w:p w14:paraId="3E3D811E" w14:textId="47B0B019" w:rsidR="00A3179D" w:rsidRDefault="00A3179D" w:rsidP="00A14435">
      <w:pPr>
        <w:spacing w:after="0"/>
        <w:rPr>
          <w:rFonts w:cs="Arial"/>
          <w:i/>
          <w:color w:val="000000" w:themeColor="text1"/>
          <w:sz w:val="20"/>
          <w:szCs w:val="20"/>
        </w:rPr>
      </w:pPr>
    </w:p>
    <w:p w14:paraId="016A56C5" w14:textId="77777777" w:rsidR="00A14435" w:rsidRPr="00AE3060" w:rsidRDefault="00A14435" w:rsidP="00A14435">
      <w:pPr>
        <w:rPr>
          <w:u w:val="single"/>
        </w:rPr>
      </w:pPr>
      <w:r w:rsidRPr="00AE3060">
        <w:rPr>
          <w:u w:val="single"/>
        </w:rPr>
        <w:t>Aplikace správního trestání a trestního řízení</w:t>
      </w:r>
    </w:p>
    <w:p w14:paraId="678F80EE" w14:textId="32B745F5" w:rsidR="00A14435" w:rsidRPr="00F45D62" w:rsidRDefault="00306790" w:rsidP="00A14435">
      <w:r>
        <w:t>T</w:t>
      </w:r>
      <w:r w:rsidR="00A14435" w:rsidRPr="00F45D62">
        <w:t>restní zákoník</w:t>
      </w:r>
      <w:r>
        <w:t xml:space="preserve"> v </w:t>
      </w:r>
      <w:r w:rsidRPr="00F45D62">
        <w:t>§ 252</w:t>
      </w:r>
      <w:r w:rsidR="00A14435" w:rsidRPr="00703E24">
        <w:t xml:space="preserve"> upravuje trestný čin neoprávněného provozování hazardní hry</w:t>
      </w:r>
      <w:r w:rsidR="00A14435" w:rsidRPr="00E01800">
        <w:t xml:space="preserve">. </w:t>
      </w:r>
      <w:r w:rsidR="00A14435" w:rsidRPr="003161A3">
        <w:rPr>
          <w:b/>
        </w:rPr>
        <w:t>Úprava trestníh</w:t>
      </w:r>
      <w:r w:rsidR="006B6ED8">
        <w:rPr>
          <w:b/>
        </w:rPr>
        <w:t>o z</w:t>
      </w:r>
      <w:r w:rsidR="001F7A73">
        <w:rPr>
          <w:b/>
        </w:rPr>
        <w:t xml:space="preserve">ákoníku zakotvuje postih pro </w:t>
      </w:r>
      <w:r w:rsidR="00A14435" w:rsidRPr="003161A3">
        <w:rPr>
          <w:b/>
        </w:rPr>
        <w:t>osoby, které neoprávněně provozují, organizují, propa</w:t>
      </w:r>
      <w:r w:rsidR="001F7A73">
        <w:rPr>
          <w:b/>
        </w:rPr>
        <w:t xml:space="preserve">gují nebo </w:t>
      </w:r>
      <w:r w:rsidR="00A14435" w:rsidRPr="003161A3">
        <w:rPr>
          <w:b/>
        </w:rPr>
        <w:t>zprostředkovávají hazardní hry, a to jak pro osoby fyzické tak i právnické</w:t>
      </w:r>
      <w:r w:rsidR="00A14435" w:rsidRPr="008D2334">
        <w:t xml:space="preserve">, a to podle </w:t>
      </w:r>
      <w:r w:rsidR="00A14435" w:rsidRPr="00E01800">
        <w:t>zákona č. 418/2011 Sb., o trestní odpovědnosti právnických osob a</w:t>
      </w:r>
      <w:r w:rsidR="00A14435" w:rsidRPr="00703E24">
        <w:t xml:space="preserve"> řízení proti nim, ve znění pozdějších</w:t>
      </w:r>
      <w:r w:rsidR="00A14435" w:rsidRPr="00F45D62">
        <w:t xml:space="preserve"> předpisů. </w:t>
      </w:r>
      <w:r w:rsidR="00A14435">
        <w:t xml:space="preserve">S ohledem na tuto skutečnost tak </w:t>
      </w:r>
      <w:r w:rsidR="00A14435" w:rsidRPr="006F02E6">
        <w:rPr>
          <w:b/>
        </w:rPr>
        <w:t xml:space="preserve">může osoba provozující nelegálně hazardní hru </w:t>
      </w:r>
      <w:r w:rsidR="001F7A73">
        <w:rPr>
          <w:b/>
        </w:rPr>
        <w:t xml:space="preserve">naplnit svým jednáním znaky buď </w:t>
      </w:r>
      <w:r w:rsidR="00A14435" w:rsidRPr="006F02E6">
        <w:rPr>
          <w:b/>
        </w:rPr>
        <w:t>přestupku podle zákona o hazardních h</w:t>
      </w:r>
      <w:r w:rsidR="006B6ED8">
        <w:rPr>
          <w:b/>
        </w:rPr>
        <w:t>rách, nebo trestného činu podle </w:t>
      </w:r>
      <w:r w:rsidR="00A14435" w:rsidRPr="006F02E6">
        <w:rPr>
          <w:b/>
        </w:rPr>
        <w:t>trestního zákoníku</w:t>
      </w:r>
      <w:r w:rsidR="00A14435">
        <w:t>. P</w:t>
      </w:r>
      <w:r w:rsidR="00A14435" w:rsidRPr="00F45D62">
        <w:t>říslušný orgán</w:t>
      </w:r>
      <w:r w:rsidR="00A14435">
        <w:t>, kterým je Celní správa, musí vždy</w:t>
      </w:r>
      <w:r w:rsidR="00A14435" w:rsidRPr="00F45D62">
        <w:t xml:space="preserve"> zvažovat, zda je na místě </w:t>
      </w:r>
      <w:r w:rsidR="00A14435">
        <w:t>postih podle zákona o přestupcích nebo trestního zákoníku.</w:t>
      </w:r>
    </w:p>
    <w:p w14:paraId="74DFC88A" w14:textId="77777777" w:rsidR="00A14435" w:rsidRPr="00AE3060" w:rsidRDefault="00A14435" w:rsidP="00A14435">
      <w:pPr>
        <w:spacing w:after="0"/>
        <w:rPr>
          <w:rFonts w:cs="Arial"/>
          <w:szCs w:val="24"/>
          <w:u w:val="single"/>
        </w:rPr>
      </w:pPr>
      <w:r w:rsidRPr="00AE3060">
        <w:rPr>
          <w:rFonts w:cs="Arial"/>
          <w:szCs w:val="24"/>
          <w:u w:val="single"/>
        </w:rPr>
        <w:t>Provozování hazardních her v on-line prostředí</w:t>
      </w:r>
    </w:p>
    <w:p w14:paraId="481D4DCB" w14:textId="77777777" w:rsidR="00A14435" w:rsidRDefault="00A14435" w:rsidP="00A14435">
      <w:pPr>
        <w:spacing w:after="0"/>
        <w:rPr>
          <w:rFonts w:cs="Arial"/>
          <w:szCs w:val="24"/>
        </w:rPr>
      </w:pPr>
    </w:p>
    <w:p w14:paraId="273E41BC" w14:textId="3ECF6DBF" w:rsidR="00A14435" w:rsidRDefault="00A14435" w:rsidP="00A14435">
      <w:r w:rsidRPr="00891062">
        <w:rPr>
          <w:b/>
        </w:rPr>
        <w:t>Dozorujícím orgánem v případě hazardních her provozovaných prostřednictvím internetu je Ministerstvo financí spolu s Celní správou</w:t>
      </w:r>
      <w:r w:rsidRPr="00CF4170">
        <w:t xml:space="preserve">. Tato sdílená kompetence je založena na vzájemné spolupráci. </w:t>
      </w:r>
      <w:r w:rsidRPr="00891062">
        <w:rPr>
          <w:b/>
        </w:rPr>
        <w:t>V období let 2017 až 2019 se kontrolou hazardních her provozovaných prostřednictvím internetu zabývalo zejména Ministerstvo financí</w:t>
      </w:r>
      <w:r w:rsidRPr="00CF4170">
        <w:t xml:space="preserve">. </w:t>
      </w:r>
      <w:r w:rsidRPr="00891062">
        <w:rPr>
          <w:b/>
        </w:rPr>
        <w:t>V následujícím období byla již tato kontrola jednou z hlavních aktivit Celní správy v oblasti hazardních her</w:t>
      </w:r>
      <w:r w:rsidRPr="00CF4170">
        <w:t xml:space="preserve">. </w:t>
      </w:r>
      <w:r w:rsidRPr="00874953">
        <w:t xml:space="preserve">Ministerstvo financí </w:t>
      </w:r>
      <w:r>
        <w:t xml:space="preserve">tak </w:t>
      </w:r>
      <w:r w:rsidRPr="00874953">
        <w:t>od konce roku 2019 postup</w:t>
      </w:r>
      <w:r>
        <w:t>ovalo</w:t>
      </w:r>
      <w:r w:rsidRPr="00874953">
        <w:t xml:space="preserve"> veškeré podněty </w:t>
      </w:r>
      <w:r>
        <w:t xml:space="preserve">s důvodným </w:t>
      </w:r>
      <w:r w:rsidR="006B6ED8">
        <w:t>podezřením na </w:t>
      </w:r>
      <w:r w:rsidRPr="00874953">
        <w:t xml:space="preserve">porušování zákona o hazardních hrách, porušení podmínek uvedených v základním povolení nebo porušení podmínek uvedených ve schváleném herním plánu </w:t>
      </w:r>
      <w:r w:rsidRPr="0056263B">
        <w:t>legálními i nelegálními</w:t>
      </w:r>
      <w:r>
        <w:t xml:space="preserve"> provozovateli provozujícími hazardní hry na internetu </w:t>
      </w:r>
      <w:r w:rsidRPr="00874953">
        <w:t>k dalšímu opatření Celní</w:t>
      </w:r>
      <w:r>
        <w:t xml:space="preserve"> správě</w:t>
      </w:r>
      <w:r w:rsidRPr="00874953">
        <w:t xml:space="preserve">. </w:t>
      </w:r>
    </w:p>
    <w:p w14:paraId="1A6C8CBC" w14:textId="64AEF6BC" w:rsidR="00A14435" w:rsidRPr="003161A3" w:rsidRDefault="00A14435" w:rsidP="00A14435">
      <w:r w:rsidRPr="003161A3">
        <w:rPr>
          <w:b/>
        </w:rPr>
        <w:t>V roce 2020 Ministerstvo financí předalo Celní správě 26 podnětů</w:t>
      </w:r>
      <w:r w:rsidRPr="003161A3">
        <w:t xml:space="preserve"> týkajících se legálního provozování hazardních her prostřednictvím internetu, přičemž podstatná část se týkala stížností na postup provozovatele v souvislosti s nevyplacenou výhrou. Dalších </w:t>
      </w:r>
      <w:r w:rsidRPr="003161A3">
        <w:rPr>
          <w:b/>
        </w:rPr>
        <w:t>17 podnětů předaných Celní s</w:t>
      </w:r>
      <w:r w:rsidR="006B6ED8">
        <w:rPr>
          <w:b/>
        </w:rPr>
        <w:t>právě souviselo s podezřením na </w:t>
      </w:r>
      <w:r w:rsidRPr="003161A3">
        <w:rPr>
          <w:b/>
        </w:rPr>
        <w:t>nelegální provozován</w:t>
      </w:r>
      <w:r w:rsidRPr="003161A3">
        <w:t>í hazardní hry v on-line prostředí</w:t>
      </w:r>
      <w:r w:rsidR="00724759">
        <w:t xml:space="preserve"> viz g</w:t>
      </w:r>
      <w:r w:rsidR="00212971" w:rsidRPr="003161A3">
        <w:t>raf č. 13 a 14</w:t>
      </w:r>
      <w:r w:rsidRPr="003161A3">
        <w:t xml:space="preserve">. </w:t>
      </w:r>
    </w:p>
    <w:p w14:paraId="1809BD5D" w14:textId="5D58F7B9" w:rsidR="00A3179D" w:rsidRDefault="00A3179D" w:rsidP="00A3179D">
      <w:pPr>
        <w:pStyle w:val="Titulek"/>
        <w:keepNext/>
      </w:pPr>
      <w:bookmarkStart w:id="28" w:name="_Toc73531934"/>
      <w:r>
        <w:t xml:space="preserve">Graf č. </w:t>
      </w:r>
      <w:fldSimple w:instr=" SEQ Graf_č. \* ARABIC ">
        <w:r w:rsidR="005F741F">
          <w:rPr>
            <w:noProof/>
          </w:rPr>
          <w:t>13</w:t>
        </w:r>
      </w:fldSimple>
      <w:r>
        <w:t xml:space="preserve">: </w:t>
      </w:r>
      <w:r w:rsidRPr="00027E7D">
        <w:t>Přehled podnětů předaných Ministerstvem financí v roce 2020 Celní správě k dalšímu opatření v souvislosti s legálním a v souvislosti s nelegálním provozováním hazardní hry v on-line prostředí</w:t>
      </w:r>
      <w:bookmarkEnd w:id="28"/>
    </w:p>
    <w:p w14:paraId="6370CD0B" w14:textId="77777777" w:rsidR="00A14435" w:rsidRDefault="00A14435" w:rsidP="00A14435">
      <w:pPr>
        <w:autoSpaceDE w:val="0"/>
        <w:autoSpaceDN w:val="0"/>
        <w:adjustRightInd w:val="0"/>
        <w:spacing w:after="80"/>
      </w:pPr>
      <w:r>
        <w:rPr>
          <w:noProof/>
          <w:lang w:eastAsia="cs-CZ"/>
        </w:rPr>
        <w:drawing>
          <wp:inline distT="0" distB="0" distL="0" distR="0" wp14:anchorId="67D2A8B5" wp14:editId="5B9C1E34">
            <wp:extent cx="4386562" cy="2653678"/>
            <wp:effectExtent l="0" t="0" r="14605" b="13335"/>
            <wp:docPr id="78" name="Graf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1168B61" w14:textId="2CEF2BCC" w:rsidR="00A14435" w:rsidRDefault="00A14435" w:rsidP="005F741F">
      <w:pPr>
        <w:spacing w:after="0"/>
        <w:ind w:firstLine="11"/>
        <w:rPr>
          <w:rFonts w:cs="Arial"/>
          <w:i/>
          <w:color w:val="000000" w:themeColor="text1"/>
          <w:sz w:val="20"/>
          <w:szCs w:val="20"/>
        </w:rPr>
      </w:pPr>
      <w:r w:rsidRPr="00B82787">
        <w:rPr>
          <w:rFonts w:cs="Arial"/>
          <w:i/>
          <w:color w:val="000000" w:themeColor="text1"/>
          <w:sz w:val="20"/>
          <w:szCs w:val="20"/>
        </w:rPr>
        <w:t>Zdroj: Ministerstvo financí</w:t>
      </w:r>
      <w:r w:rsidR="00A3179D">
        <w:rPr>
          <w:rFonts w:cs="Arial"/>
          <w:i/>
          <w:color w:val="000000" w:themeColor="text1"/>
          <w:sz w:val="20"/>
          <w:szCs w:val="20"/>
        </w:rPr>
        <w:t>.</w:t>
      </w:r>
    </w:p>
    <w:p w14:paraId="6E6FE9E7" w14:textId="77777777" w:rsidR="006020F5" w:rsidRPr="005F741F" w:rsidRDefault="006020F5" w:rsidP="005F741F">
      <w:pPr>
        <w:spacing w:after="0"/>
        <w:ind w:firstLine="11"/>
        <w:rPr>
          <w:rFonts w:cs="Arial"/>
          <w:i/>
          <w:color w:val="000000" w:themeColor="text1"/>
          <w:sz w:val="20"/>
          <w:szCs w:val="20"/>
        </w:rPr>
      </w:pPr>
    </w:p>
    <w:p w14:paraId="138A30DA" w14:textId="6403F12F" w:rsidR="00A3179D" w:rsidRDefault="00A3179D" w:rsidP="00A3179D">
      <w:pPr>
        <w:pStyle w:val="Titulek"/>
        <w:keepNext/>
      </w:pPr>
      <w:bookmarkStart w:id="29" w:name="_Toc73531935"/>
      <w:r>
        <w:t xml:space="preserve">Graf č. </w:t>
      </w:r>
      <w:fldSimple w:instr=" SEQ Graf_č. \* ARABIC ">
        <w:r w:rsidR="005F741F">
          <w:rPr>
            <w:noProof/>
          </w:rPr>
          <w:t>14</w:t>
        </w:r>
      </w:fldSimple>
      <w:r>
        <w:t xml:space="preserve">: </w:t>
      </w:r>
      <w:r w:rsidRPr="009E7184">
        <w:t>Kategorie podnětů s podezřením na porušení dílčích povinností legálními provozovateli provozujícími hazardní hru prostřednictvím internetu postoupených Ministerstvem financí k dalšímu opatření Celní správě v roce 2020</w:t>
      </w:r>
      <w:bookmarkEnd w:id="29"/>
    </w:p>
    <w:p w14:paraId="68EDF87B" w14:textId="77777777" w:rsidR="00A14435" w:rsidRDefault="00A14435" w:rsidP="00A14435">
      <w:pPr>
        <w:autoSpaceDE w:val="0"/>
        <w:autoSpaceDN w:val="0"/>
        <w:adjustRightInd w:val="0"/>
        <w:spacing w:after="0"/>
        <w:rPr>
          <w:rFonts w:cs="Arial"/>
          <w:color w:val="000000" w:themeColor="text1"/>
          <w:szCs w:val="24"/>
        </w:rPr>
      </w:pPr>
      <w:r>
        <w:rPr>
          <w:noProof/>
          <w:lang w:eastAsia="cs-CZ"/>
        </w:rPr>
        <w:drawing>
          <wp:inline distT="0" distB="0" distL="0" distR="0" wp14:anchorId="4F4B597F" wp14:editId="18B53029">
            <wp:extent cx="5760720" cy="1999397"/>
            <wp:effectExtent l="0" t="0" r="11430" b="1270"/>
            <wp:docPr id="79" name="Graf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C626446" w14:textId="6ADE765F" w:rsidR="00A14435" w:rsidRPr="00B82787" w:rsidRDefault="00A14435" w:rsidP="00A14435">
      <w:pPr>
        <w:spacing w:after="0"/>
        <w:ind w:firstLine="11"/>
        <w:rPr>
          <w:rFonts w:cs="Arial"/>
          <w:i/>
          <w:color w:val="000000" w:themeColor="text1"/>
          <w:sz w:val="20"/>
          <w:szCs w:val="20"/>
        </w:rPr>
      </w:pPr>
      <w:r w:rsidRPr="00B82787">
        <w:rPr>
          <w:rFonts w:cs="Arial"/>
          <w:i/>
          <w:color w:val="000000" w:themeColor="text1"/>
          <w:sz w:val="20"/>
          <w:szCs w:val="20"/>
        </w:rPr>
        <w:t>Zdroj: Ministerstvo financí</w:t>
      </w:r>
      <w:r w:rsidR="00A3179D">
        <w:rPr>
          <w:rFonts w:cs="Arial"/>
          <w:i/>
          <w:color w:val="000000" w:themeColor="text1"/>
          <w:sz w:val="20"/>
          <w:szCs w:val="20"/>
        </w:rPr>
        <w:t>.</w:t>
      </w:r>
    </w:p>
    <w:p w14:paraId="35AD7FE3" w14:textId="77777777" w:rsidR="00A14435" w:rsidRDefault="00A14435" w:rsidP="00A14435">
      <w:pPr>
        <w:spacing w:after="0"/>
        <w:ind w:left="1407" w:hanging="981"/>
        <w:rPr>
          <w:rFonts w:cs="Arial"/>
          <w:szCs w:val="24"/>
        </w:rPr>
      </w:pPr>
    </w:p>
    <w:p w14:paraId="5C0FF29E" w14:textId="77777777" w:rsidR="00A14435" w:rsidRPr="00AE3060" w:rsidRDefault="00A14435" w:rsidP="00A14435">
      <w:pPr>
        <w:spacing w:after="0"/>
        <w:rPr>
          <w:rFonts w:cs="Arial"/>
          <w:szCs w:val="24"/>
          <w:u w:val="single"/>
        </w:rPr>
      </w:pPr>
      <w:r w:rsidRPr="00AE3060">
        <w:rPr>
          <w:rFonts w:cs="Arial"/>
          <w:szCs w:val="24"/>
          <w:u w:val="single"/>
        </w:rPr>
        <w:t xml:space="preserve">Hazardní hry provozované </w:t>
      </w:r>
      <w:r w:rsidRPr="00AE3060">
        <w:rPr>
          <w:rFonts w:cs="Arial"/>
          <w:color w:val="000000" w:themeColor="text1"/>
          <w:szCs w:val="24"/>
          <w:u w:val="single"/>
        </w:rPr>
        <w:t xml:space="preserve">legálně </w:t>
      </w:r>
      <w:r w:rsidRPr="00AE3060">
        <w:rPr>
          <w:rFonts w:cs="Arial"/>
          <w:szCs w:val="24"/>
          <w:u w:val="single"/>
        </w:rPr>
        <w:t>prostřednictvím internetu</w:t>
      </w:r>
    </w:p>
    <w:p w14:paraId="6ADB785A" w14:textId="77777777" w:rsidR="00A14435" w:rsidRDefault="00A14435" w:rsidP="00A14435">
      <w:pPr>
        <w:spacing w:after="0"/>
      </w:pPr>
    </w:p>
    <w:p w14:paraId="00A5168D" w14:textId="7E4BFF44" w:rsidR="00A14435" w:rsidRDefault="00A14435" w:rsidP="00A14435">
      <w:pPr>
        <w:spacing w:after="0"/>
      </w:pPr>
      <w:r>
        <w:t xml:space="preserve">V období </w:t>
      </w:r>
      <w:r w:rsidRPr="00891062">
        <w:rPr>
          <w:b/>
        </w:rPr>
        <w:t xml:space="preserve">od 1. 1. 2017 do 30. 10. 2019 Ministerstvem financí provedlo 44 kontrol u legálních provozovatelů </w:t>
      </w:r>
      <w:r w:rsidRPr="00891062">
        <w:rPr>
          <w:rFonts w:cs="Arial"/>
          <w:b/>
          <w:szCs w:val="24"/>
        </w:rPr>
        <w:t>provozujících hazardní hry prostřednictvím internetu</w:t>
      </w:r>
      <w:r>
        <w:rPr>
          <w:rFonts w:cs="Arial"/>
          <w:szCs w:val="24"/>
        </w:rPr>
        <w:t xml:space="preserve">. Na tyto kontroly navázala </w:t>
      </w:r>
      <w:r w:rsidRPr="00891062">
        <w:rPr>
          <w:rFonts w:cs="Arial"/>
          <w:b/>
          <w:szCs w:val="24"/>
        </w:rPr>
        <w:t xml:space="preserve">Celní správa, která </w:t>
      </w:r>
      <w:r w:rsidRPr="00891062">
        <w:rPr>
          <w:b/>
        </w:rPr>
        <w:t>v období od 1. 11. 2019 do 31. 12. 2020 provedla u provozovatelů provozujících hazardní hry legál</w:t>
      </w:r>
      <w:r w:rsidR="00A3179D" w:rsidRPr="00891062">
        <w:rPr>
          <w:b/>
        </w:rPr>
        <w:t>ně prostřednictvím internetu 20 </w:t>
      </w:r>
      <w:r w:rsidRPr="00891062">
        <w:rPr>
          <w:b/>
        </w:rPr>
        <w:t>kontrol</w:t>
      </w:r>
      <w:r>
        <w:t xml:space="preserve">. </w:t>
      </w:r>
    </w:p>
    <w:p w14:paraId="7EAE0E58" w14:textId="77777777" w:rsidR="00A3179D" w:rsidRDefault="00A3179D" w:rsidP="00A14435">
      <w:pPr>
        <w:spacing w:after="0"/>
        <w:rPr>
          <w:rFonts w:cs="Arial"/>
          <w:szCs w:val="24"/>
        </w:rPr>
      </w:pPr>
    </w:p>
    <w:p w14:paraId="3F0A3E19" w14:textId="341860C9" w:rsidR="00A3179D" w:rsidRDefault="00A3179D" w:rsidP="00A3179D">
      <w:pPr>
        <w:pStyle w:val="Titulek"/>
        <w:keepNext/>
      </w:pPr>
      <w:bookmarkStart w:id="30" w:name="_Toc73531936"/>
      <w:r>
        <w:t xml:space="preserve">Graf č. </w:t>
      </w:r>
      <w:fldSimple w:instr=" SEQ Graf_č. \* ARABIC ">
        <w:r w:rsidR="005F741F">
          <w:rPr>
            <w:noProof/>
          </w:rPr>
          <w:t>15</w:t>
        </w:r>
      </w:fldSimple>
      <w:r>
        <w:t xml:space="preserve">: </w:t>
      </w:r>
      <w:r w:rsidRPr="005F6401">
        <w:t>Počet kontrol provedených Minister</w:t>
      </w:r>
      <w:r w:rsidR="005F741F">
        <w:t>stvem financí a Celní správou u </w:t>
      </w:r>
      <w:r w:rsidRPr="005F6401">
        <w:t xml:space="preserve">legálních provozovatelů provozujících hazardní </w:t>
      </w:r>
      <w:r w:rsidR="005F741F">
        <w:t>hry prostřednictvím internetu v </w:t>
      </w:r>
      <w:r w:rsidRPr="005F6401">
        <w:t>období let 2017 až 2020</w:t>
      </w:r>
      <w:bookmarkEnd w:id="30"/>
    </w:p>
    <w:p w14:paraId="0A21ADE9" w14:textId="11AB9634" w:rsidR="00A14435" w:rsidRDefault="00A14435" w:rsidP="00A14435">
      <w:pPr>
        <w:spacing w:after="0"/>
        <w:rPr>
          <w:rFonts w:cs="Arial"/>
          <w:szCs w:val="24"/>
        </w:rPr>
      </w:pPr>
      <w:r>
        <w:rPr>
          <w:noProof/>
          <w:lang w:eastAsia="cs-CZ"/>
        </w:rPr>
        <w:drawing>
          <wp:inline distT="0" distB="0" distL="0" distR="0" wp14:anchorId="7A055242" wp14:editId="3931A51D">
            <wp:extent cx="5760720" cy="1438275"/>
            <wp:effectExtent l="0" t="0" r="11430" b="9525"/>
            <wp:docPr id="80" name="Graf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9198701" w14:textId="1F99AA05" w:rsidR="00A14435" w:rsidRPr="00084647" w:rsidRDefault="00A14435" w:rsidP="00A14435">
      <w:pPr>
        <w:spacing w:after="0"/>
        <w:ind w:firstLine="11"/>
        <w:rPr>
          <w:rFonts w:cs="Arial"/>
          <w:i/>
          <w:color w:val="000000" w:themeColor="text1"/>
          <w:sz w:val="20"/>
          <w:szCs w:val="20"/>
        </w:rPr>
      </w:pPr>
      <w:r w:rsidRPr="00084647">
        <w:rPr>
          <w:rFonts w:cs="Arial"/>
          <w:i/>
          <w:color w:val="000000" w:themeColor="text1"/>
          <w:sz w:val="20"/>
          <w:szCs w:val="20"/>
        </w:rPr>
        <w:t>Zdroj: Ministerstvo financí</w:t>
      </w:r>
      <w:r>
        <w:rPr>
          <w:rFonts w:cs="Arial"/>
          <w:i/>
          <w:color w:val="000000" w:themeColor="text1"/>
          <w:sz w:val="20"/>
          <w:szCs w:val="20"/>
        </w:rPr>
        <w:t xml:space="preserve"> a Celní správa</w:t>
      </w:r>
      <w:r w:rsidR="00A3179D">
        <w:rPr>
          <w:rFonts w:cs="Arial"/>
          <w:i/>
          <w:color w:val="000000" w:themeColor="text1"/>
          <w:sz w:val="20"/>
          <w:szCs w:val="20"/>
        </w:rPr>
        <w:t>.</w:t>
      </w:r>
    </w:p>
    <w:p w14:paraId="735D1683" w14:textId="77777777" w:rsidR="00A14435" w:rsidRDefault="00A14435" w:rsidP="00A14435">
      <w:pPr>
        <w:spacing w:after="0"/>
        <w:rPr>
          <w:rFonts w:cs="Arial"/>
          <w:szCs w:val="24"/>
        </w:rPr>
      </w:pPr>
    </w:p>
    <w:p w14:paraId="5535A809" w14:textId="77777777" w:rsidR="00A14435" w:rsidRPr="00AE3060" w:rsidRDefault="00A14435" w:rsidP="00A14435">
      <w:pPr>
        <w:spacing w:after="0"/>
        <w:rPr>
          <w:rFonts w:cs="Arial"/>
          <w:color w:val="000000" w:themeColor="text1"/>
          <w:szCs w:val="24"/>
          <w:u w:val="single"/>
        </w:rPr>
      </w:pPr>
      <w:r w:rsidRPr="00AE3060">
        <w:rPr>
          <w:rFonts w:cs="Arial"/>
          <w:color w:val="000000" w:themeColor="text1"/>
          <w:szCs w:val="24"/>
          <w:u w:val="single"/>
        </w:rPr>
        <w:t>Hazardní hry provozované nelegálně prostřednictvím internetu</w:t>
      </w:r>
    </w:p>
    <w:p w14:paraId="067C3245" w14:textId="77777777" w:rsidR="00A14435" w:rsidRDefault="00A14435" w:rsidP="00A14435">
      <w:pPr>
        <w:spacing w:after="0"/>
        <w:rPr>
          <w:rStyle w:val="Odkaznakoment"/>
          <w:rFonts w:cs="Arial"/>
          <w:sz w:val="24"/>
          <w:szCs w:val="24"/>
        </w:rPr>
      </w:pPr>
    </w:p>
    <w:p w14:paraId="65A1421A" w14:textId="0DFB6E26" w:rsidR="00A14435" w:rsidRPr="00DD0E6B" w:rsidRDefault="00A14435" w:rsidP="00A14435">
      <w:pPr>
        <w:spacing w:after="0"/>
      </w:pPr>
      <w:r w:rsidRPr="00DD0E6B">
        <w:rPr>
          <w:rStyle w:val="Odkaznakoment"/>
          <w:rFonts w:cs="Arial"/>
          <w:sz w:val="24"/>
          <w:szCs w:val="24"/>
        </w:rPr>
        <w:t xml:space="preserve">Již v prvních dnech účinnosti zákona o hazardních hrách </w:t>
      </w:r>
      <w:r w:rsidRPr="00891062">
        <w:rPr>
          <w:rStyle w:val="Odkaznakoment"/>
          <w:rFonts w:cs="Arial"/>
          <w:b/>
          <w:sz w:val="24"/>
          <w:szCs w:val="24"/>
        </w:rPr>
        <w:t>Ministerstvo financí rozeslalo všem Ministerstvu financí známým provozovatelům</w:t>
      </w:r>
      <w:r w:rsidR="006B6ED8">
        <w:rPr>
          <w:rStyle w:val="Odkaznakoment"/>
          <w:rFonts w:cs="Arial"/>
          <w:sz w:val="24"/>
          <w:szCs w:val="24"/>
        </w:rPr>
        <w:t>, kteří před </w:t>
      </w:r>
      <w:r>
        <w:rPr>
          <w:rStyle w:val="Odkaznakoment"/>
          <w:rFonts w:cs="Arial"/>
          <w:sz w:val="24"/>
          <w:szCs w:val="24"/>
        </w:rPr>
        <w:t>účinností zákona o </w:t>
      </w:r>
      <w:r w:rsidRPr="00DD0E6B">
        <w:rPr>
          <w:rStyle w:val="Odkaznakoment"/>
          <w:rFonts w:cs="Arial"/>
          <w:sz w:val="24"/>
          <w:szCs w:val="24"/>
        </w:rPr>
        <w:t xml:space="preserve">hazardních hrách </w:t>
      </w:r>
      <w:r w:rsidRPr="00891062">
        <w:rPr>
          <w:rStyle w:val="Odkaznakoment"/>
          <w:rFonts w:cs="Arial"/>
          <w:b/>
          <w:sz w:val="24"/>
          <w:szCs w:val="24"/>
        </w:rPr>
        <w:t>bez povolení</w:t>
      </w:r>
      <w:r>
        <w:rPr>
          <w:rStyle w:val="Odkaznakoment"/>
          <w:rFonts w:cs="Arial"/>
          <w:sz w:val="24"/>
          <w:szCs w:val="24"/>
        </w:rPr>
        <w:t xml:space="preserve"> </w:t>
      </w:r>
      <w:r w:rsidRPr="00DD0E6B">
        <w:rPr>
          <w:rStyle w:val="Odkaznakoment"/>
          <w:rFonts w:cs="Arial"/>
          <w:sz w:val="24"/>
          <w:szCs w:val="24"/>
        </w:rPr>
        <w:t xml:space="preserve">svou nabídku hazardních her zaměřovali nebo cílili na osoby s bydlištěm na území České </w:t>
      </w:r>
      <w:r w:rsidRPr="00A403A6">
        <w:rPr>
          <w:rStyle w:val="Odkaznakoment"/>
          <w:rFonts w:cs="Arial"/>
          <w:sz w:val="24"/>
          <w:szCs w:val="24"/>
        </w:rPr>
        <w:t>republiky, informaci o</w:t>
      </w:r>
      <w:r w:rsidR="00003F3F">
        <w:rPr>
          <w:rStyle w:val="Odkaznakoment"/>
          <w:rFonts w:cs="Arial"/>
          <w:sz w:val="24"/>
          <w:szCs w:val="24"/>
        </w:rPr>
        <w:t> </w:t>
      </w:r>
      <w:r w:rsidRPr="00A403A6">
        <w:rPr>
          <w:rStyle w:val="Odkaznakoment"/>
          <w:rFonts w:cs="Arial"/>
          <w:sz w:val="24"/>
          <w:szCs w:val="24"/>
        </w:rPr>
        <w:t xml:space="preserve">legislativní úpravě v oblasti provozování hazardních her na internetu a upozornilo tyto provozovatele na důsledky plynoucí z tohoto zákona v případě, že nabídka hazardních her bude, bez platného povolení, i nadále zaměřena nebo cílena na osoby s bydlištěm na území </w:t>
      </w:r>
      <w:r w:rsidRPr="00A403A6">
        <w:t>České republiky</w:t>
      </w:r>
      <w:r w:rsidRPr="00DD0E6B">
        <w:rPr>
          <w:rStyle w:val="Odkaznakoment"/>
          <w:rFonts w:cs="Arial"/>
          <w:sz w:val="24"/>
          <w:szCs w:val="24"/>
        </w:rPr>
        <w:t xml:space="preserve">. </w:t>
      </w:r>
      <w:r w:rsidRPr="00891062">
        <w:rPr>
          <w:b/>
        </w:rPr>
        <w:t>Za první měsíc po účinnosti zákona o hazardních hrách přestalo svou nabídku hazardních her zaměřovat nebo cílit na osoby s bydlištěm na území České republiky přibližně 90 % Ministerstvu financí známých internetových stránek</w:t>
      </w:r>
      <w:r w:rsidRPr="00DD0E6B">
        <w:t xml:space="preserve">. </w:t>
      </w:r>
    </w:p>
    <w:p w14:paraId="7671D2C2" w14:textId="77777777" w:rsidR="00A14435" w:rsidRDefault="00A14435" w:rsidP="00A14435">
      <w:pPr>
        <w:spacing w:after="0"/>
        <w:rPr>
          <w:bCs/>
        </w:rPr>
      </w:pPr>
    </w:p>
    <w:p w14:paraId="07AF4B39" w14:textId="48265E70" w:rsidR="00A14435" w:rsidRPr="00F05F49" w:rsidRDefault="00A14435" w:rsidP="00A14435">
      <w:pPr>
        <w:spacing w:after="0"/>
        <w:rPr>
          <w:bCs/>
        </w:rPr>
      </w:pPr>
      <w:r w:rsidRPr="00F05F49">
        <w:rPr>
          <w:bCs/>
        </w:rPr>
        <w:t xml:space="preserve">V období </w:t>
      </w:r>
      <w:r w:rsidRPr="00891062">
        <w:rPr>
          <w:b/>
          <w:bCs/>
        </w:rPr>
        <w:t>do účinnosti zákona o hazardních hrách Ministerstvo financí evidovalo 55 internetových stránek s nelegální nabídkou</w:t>
      </w:r>
      <w:r w:rsidRPr="00F05F49">
        <w:rPr>
          <w:bCs/>
        </w:rPr>
        <w:t xml:space="preserve">. </w:t>
      </w:r>
      <w:r>
        <w:rPr>
          <w:bCs/>
        </w:rPr>
        <w:t>Po nabytí účinnosti zákona o </w:t>
      </w:r>
      <w:r w:rsidRPr="00F05F49">
        <w:rPr>
          <w:bCs/>
        </w:rPr>
        <w:t xml:space="preserve">hazardních </w:t>
      </w:r>
      <w:r w:rsidRPr="00A403A6">
        <w:rPr>
          <w:bCs/>
        </w:rPr>
        <w:t xml:space="preserve">hrách ukončilo cílení nabídky hazardních her na osoby </w:t>
      </w:r>
      <w:r w:rsidRPr="00A403A6">
        <w:t xml:space="preserve">s bydlištěm na území České republiky </w:t>
      </w:r>
      <w:r w:rsidRPr="00A403A6">
        <w:rPr>
          <w:bCs/>
        </w:rPr>
        <w:t>dobrovolně 20 nelegálních provozovatelů. U </w:t>
      </w:r>
      <w:r w:rsidR="00A3179D" w:rsidRPr="00A403A6">
        <w:rPr>
          <w:bCs/>
        </w:rPr>
        <w:t>zbývajících 35 </w:t>
      </w:r>
      <w:r w:rsidRPr="00A403A6">
        <w:rPr>
          <w:bCs/>
        </w:rPr>
        <w:t>internetových stránek Ministerstvo financí dohledalo provozovatele hazardní hry a subjekt, který má zaregistrovanou doménu, na které je hazardní hra provozována a těmto provozovatelům odeslalo dopis,</w:t>
      </w:r>
      <w:r w:rsidRPr="00F05F49">
        <w:rPr>
          <w:bCs/>
        </w:rPr>
        <w:t xml:space="preserve"> ve kterém </w:t>
      </w:r>
      <w:r w:rsidR="00243730">
        <w:rPr>
          <w:bCs/>
        </w:rPr>
        <w:t>upozornilo na </w:t>
      </w:r>
      <w:r w:rsidRPr="00F05F49">
        <w:rPr>
          <w:bCs/>
        </w:rPr>
        <w:t>provo</w:t>
      </w:r>
      <w:r>
        <w:rPr>
          <w:bCs/>
        </w:rPr>
        <w:t>zování hazardní hry v </w:t>
      </w:r>
      <w:r w:rsidRPr="00F05F49">
        <w:rPr>
          <w:bCs/>
        </w:rPr>
        <w:t xml:space="preserve">rozporu se zákonem a </w:t>
      </w:r>
      <w:r>
        <w:rPr>
          <w:bCs/>
        </w:rPr>
        <w:t xml:space="preserve">zároveň je </w:t>
      </w:r>
      <w:r w:rsidRPr="00F05F49">
        <w:rPr>
          <w:bCs/>
        </w:rPr>
        <w:t xml:space="preserve">vyzvalo k ukončení </w:t>
      </w:r>
      <w:r>
        <w:rPr>
          <w:bCs/>
        </w:rPr>
        <w:t>zaměření nebo cílení nabídky hazardních her na osoby s bydlištěm na území České republiky</w:t>
      </w:r>
      <w:r w:rsidRPr="00F05F49">
        <w:rPr>
          <w:bCs/>
        </w:rPr>
        <w:t>.</w:t>
      </w:r>
      <w:r>
        <w:rPr>
          <w:bCs/>
        </w:rPr>
        <w:t xml:space="preserve"> </w:t>
      </w:r>
      <w:r w:rsidRPr="00891062">
        <w:rPr>
          <w:b/>
          <w:bCs/>
        </w:rPr>
        <w:t>Na grafu níže</w:t>
      </w:r>
      <w:r>
        <w:rPr>
          <w:bCs/>
        </w:rPr>
        <w:t xml:space="preserve"> je zobrazen </w:t>
      </w:r>
      <w:r w:rsidRPr="00891062">
        <w:rPr>
          <w:b/>
          <w:bCs/>
        </w:rPr>
        <w:t xml:space="preserve">počet provozovatelů, kteří přistoupili k dobrovolnému zamezení cílení nabídky hazardních her </w:t>
      </w:r>
      <w:r w:rsidRPr="00891062">
        <w:rPr>
          <w:rStyle w:val="Odkaznakoment"/>
          <w:rFonts w:cs="Arial"/>
          <w:b/>
          <w:sz w:val="24"/>
          <w:szCs w:val="24"/>
        </w:rPr>
        <w:t xml:space="preserve">na osoby s bydlištěm na území </w:t>
      </w:r>
      <w:r w:rsidRPr="00891062">
        <w:rPr>
          <w:b/>
        </w:rPr>
        <w:t xml:space="preserve">České republiky a počet provozovatelů, jimž byla zaslána výzva k ukončení cílení </w:t>
      </w:r>
      <w:r w:rsidRPr="00891062">
        <w:rPr>
          <w:b/>
          <w:bCs/>
        </w:rPr>
        <w:t>na osoby s bydlištěm na území České republiky</w:t>
      </w:r>
      <w:r>
        <w:rPr>
          <w:bCs/>
        </w:rPr>
        <w:t>.</w:t>
      </w:r>
    </w:p>
    <w:p w14:paraId="7BA6BE52" w14:textId="62E8BE42" w:rsidR="005F741F" w:rsidRDefault="005F741F" w:rsidP="005F741F">
      <w:pPr>
        <w:pStyle w:val="Titulek"/>
        <w:keepNext/>
      </w:pPr>
      <w:bookmarkStart w:id="31" w:name="_Toc73531937"/>
      <w:r>
        <w:t xml:space="preserve">Graf č. </w:t>
      </w:r>
      <w:fldSimple w:instr=" SEQ Graf_č. \* ARABIC ">
        <w:r>
          <w:rPr>
            <w:noProof/>
          </w:rPr>
          <w:t>16</w:t>
        </w:r>
      </w:fldSimple>
      <w:r>
        <w:t xml:space="preserve">: </w:t>
      </w:r>
      <w:r w:rsidRPr="00741D58">
        <w:t>Reakce nelegálních provozovatelů on-line hazardních her ke dni účinnosti zákona o hazardních hrách</w:t>
      </w:r>
      <w:bookmarkEnd w:id="31"/>
    </w:p>
    <w:p w14:paraId="6483CFAF" w14:textId="77777777" w:rsidR="00A14435" w:rsidRDefault="00A14435" w:rsidP="00A14435">
      <w:pPr>
        <w:autoSpaceDE w:val="0"/>
        <w:autoSpaceDN w:val="0"/>
        <w:adjustRightInd w:val="0"/>
        <w:spacing w:after="0"/>
        <w:rPr>
          <w:rFonts w:ascii="Arial-BoldMT" w:hAnsi="Arial-BoldMT" w:cs="Arial-BoldMT"/>
          <w:bCs/>
          <w:szCs w:val="24"/>
        </w:rPr>
      </w:pPr>
      <w:r>
        <w:rPr>
          <w:noProof/>
          <w:lang w:eastAsia="cs-CZ"/>
        </w:rPr>
        <w:drawing>
          <wp:inline distT="0" distB="0" distL="0" distR="0" wp14:anchorId="40981C2E" wp14:editId="267DF7F7">
            <wp:extent cx="4612944" cy="1385248"/>
            <wp:effectExtent l="0" t="0" r="16510" b="5715"/>
            <wp:docPr id="81" name="Graf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FC355ED" w14:textId="511C4E0B" w:rsidR="00A14435" w:rsidRPr="00084647" w:rsidRDefault="00A14435" w:rsidP="00A14435">
      <w:pPr>
        <w:spacing w:after="0"/>
        <w:ind w:firstLine="11"/>
        <w:rPr>
          <w:rFonts w:cs="Arial"/>
          <w:i/>
          <w:sz w:val="20"/>
          <w:szCs w:val="20"/>
        </w:rPr>
      </w:pPr>
      <w:r w:rsidRPr="00084647">
        <w:rPr>
          <w:rFonts w:cs="Arial"/>
          <w:i/>
          <w:sz w:val="20"/>
          <w:szCs w:val="20"/>
        </w:rPr>
        <w:t>Zdroj: Ministerstvo financí</w:t>
      </w:r>
      <w:r w:rsidR="005F741F">
        <w:rPr>
          <w:rFonts w:cs="Arial"/>
          <w:i/>
          <w:sz w:val="20"/>
          <w:szCs w:val="20"/>
        </w:rPr>
        <w:t>.</w:t>
      </w:r>
    </w:p>
    <w:p w14:paraId="73C42768" w14:textId="77777777" w:rsidR="00A14435" w:rsidRDefault="00A14435" w:rsidP="00A14435">
      <w:pPr>
        <w:autoSpaceDE w:val="0"/>
        <w:autoSpaceDN w:val="0"/>
        <w:adjustRightInd w:val="0"/>
        <w:spacing w:after="0"/>
        <w:rPr>
          <w:rFonts w:cs="Arial"/>
          <w:color w:val="000000" w:themeColor="text1"/>
          <w:szCs w:val="24"/>
        </w:rPr>
      </w:pPr>
    </w:p>
    <w:p w14:paraId="4728B778" w14:textId="72CA81BA" w:rsidR="00A14435" w:rsidRPr="00294161" w:rsidRDefault="00A14435" w:rsidP="00A14435">
      <w:r w:rsidRPr="00A403A6">
        <w:rPr>
          <w:b/>
        </w:rPr>
        <w:t xml:space="preserve">K 31. 1. 2017 tak s přispěním komunikační kampaně Ministerstva financí ukončilo cílení na osoby s bydlištěm na </w:t>
      </w:r>
      <w:r w:rsidR="00243730">
        <w:rPr>
          <w:b/>
        </w:rPr>
        <w:t>území České republiky celkem 44 </w:t>
      </w:r>
      <w:r w:rsidRPr="00A403A6">
        <w:rPr>
          <w:b/>
        </w:rPr>
        <w:t>provozovatelů</w:t>
      </w:r>
      <w:r w:rsidRPr="00294161">
        <w:t xml:space="preserve">, kteří představovali přibližně </w:t>
      </w:r>
      <w:r>
        <w:t>8</w:t>
      </w:r>
      <w:r w:rsidRPr="00294161">
        <w:t xml:space="preserve">0 % </w:t>
      </w:r>
      <w:r>
        <w:t>v dané době evidované nelegální nabídky internetových hazardních her</w:t>
      </w:r>
      <w:r w:rsidRPr="00294161">
        <w:t xml:space="preserve">. </w:t>
      </w:r>
      <w:r>
        <w:t>Zbývající část (</w:t>
      </w:r>
      <w:r w:rsidRPr="00A403A6">
        <w:rPr>
          <w:b/>
        </w:rPr>
        <w:t>11 provozovatelů) na zákon o hazardních hrách nezareagoval</w:t>
      </w:r>
      <w:r w:rsidR="00243730">
        <w:rPr>
          <w:b/>
        </w:rPr>
        <w:t>a</w:t>
      </w:r>
      <w:r>
        <w:t xml:space="preserve"> a i nadále </w:t>
      </w:r>
      <w:r w:rsidR="00243730">
        <w:t xml:space="preserve">se </w:t>
      </w:r>
      <w:r>
        <w:t>zaměřoval</w:t>
      </w:r>
      <w:r w:rsidR="00243730">
        <w:t>a</w:t>
      </w:r>
      <w:r>
        <w:t xml:space="preserve"> nebo cílil</w:t>
      </w:r>
      <w:r w:rsidR="00243730">
        <w:t>a</w:t>
      </w:r>
      <w:r>
        <w:t xml:space="preserve"> svou nabídku hazardních her na osoby s bydlištěm na území České republiky.</w:t>
      </w:r>
    </w:p>
    <w:p w14:paraId="46A63516" w14:textId="0687036B" w:rsidR="005F741F" w:rsidRDefault="005F741F" w:rsidP="005F741F">
      <w:pPr>
        <w:pStyle w:val="Titulek"/>
        <w:keepNext/>
      </w:pPr>
      <w:bookmarkStart w:id="32" w:name="_Toc73531938"/>
      <w:r>
        <w:t xml:space="preserve">Graf č. </w:t>
      </w:r>
      <w:fldSimple w:instr=" SEQ Graf_č. \* ARABIC ">
        <w:r>
          <w:rPr>
            <w:noProof/>
          </w:rPr>
          <w:t>17</w:t>
        </w:r>
      </w:fldSimple>
      <w:r>
        <w:t xml:space="preserve">: </w:t>
      </w:r>
      <w:r w:rsidRPr="00820510">
        <w:t>Reakce nelegálních provozovatelů na účinnost zákona o hazardních hrách k 31. 1. 2017</w:t>
      </w:r>
      <w:bookmarkEnd w:id="32"/>
    </w:p>
    <w:p w14:paraId="7E63969E" w14:textId="77777777" w:rsidR="00A14435" w:rsidRDefault="00A14435" w:rsidP="00A14435">
      <w:pPr>
        <w:autoSpaceDE w:val="0"/>
        <w:autoSpaceDN w:val="0"/>
        <w:adjustRightInd w:val="0"/>
        <w:spacing w:after="0"/>
        <w:rPr>
          <w:rFonts w:cs="Arial"/>
          <w:color w:val="444444"/>
          <w:szCs w:val="24"/>
        </w:rPr>
      </w:pPr>
      <w:r>
        <w:rPr>
          <w:noProof/>
          <w:lang w:eastAsia="cs-CZ"/>
        </w:rPr>
        <w:drawing>
          <wp:inline distT="0" distB="0" distL="0" distR="0" wp14:anchorId="499E7DBF" wp14:editId="604AD902">
            <wp:extent cx="5663133" cy="1780540"/>
            <wp:effectExtent l="0" t="0" r="13970" b="10160"/>
            <wp:docPr id="82" name="Graf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1F47649" w14:textId="225D1463" w:rsidR="00A14435" w:rsidRPr="005F741F" w:rsidRDefault="00A14435" w:rsidP="005F741F">
      <w:pPr>
        <w:spacing w:after="0"/>
        <w:ind w:firstLine="11"/>
        <w:rPr>
          <w:rFonts w:cs="Arial"/>
          <w:i/>
          <w:sz w:val="20"/>
          <w:szCs w:val="20"/>
        </w:rPr>
      </w:pPr>
      <w:r w:rsidRPr="00084647">
        <w:rPr>
          <w:rFonts w:cs="Arial"/>
          <w:i/>
          <w:sz w:val="20"/>
          <w:szCs w:val="20"/>
        </w:rPr>
        <w:t>Zdroj: Ministerstvo financí</w:t>
      </w:r>
      <w:r w:rsidR="00A3179D">
        <w:rPr>
          <w:rFonts w:cs="Arial"/>
          <w:i/>
          <w:sz w:val="20"/>
          <w:szCs w:val="20"/>
        </w:rPr>
        <w:t>.</w:t>
      </w:r>
    </w:p>
    <w:p w14:paraId="770F5CE0" w14:textId="77777777" w:rsidR="00A403A6" w:rsidRDefault="00A403A6" w:rsidP="00A14435"/>
    <w:p w14:paraId="6A6A8584" w14:textId="32D3B54C" w:rsidR="00A14435" w:rsidRPr="008A5E0D" w:rsidRDefault="00A14435" w:rsidP="00A14435">
      <w:r w:rsidRPr="008A5E0D">
        <w:t xml:space="preserve">Z hlediska </w:t>
      </w:r>
      <w:r w:rsidRPr="00A403A6">
        <w:t xml:space="preserve">určení, zda lze provozování hazardních her prostřednictvím internetu považovat za </w:t>
      </w:r>
      <w:r w:rsidRPr="00A403A6">
        <w:rPr>
          <w:b/>
        </w:rPr>
        <w:t>nelegální</w:t>
      </w:r>
      <w:r w:rsidRPr="00A403A6">
        <w:t>, je</w:t>
      </w:r>
      <w:r w:rsidRPr="008A5E0D">
        <w:t xml:space="preserve"> </w:t>
      </w:r>
      <w:r w:rsidRPr="00A403A6">
        <w:rPr>
          <w:b/>
        </w:rPr>
        <w:t>zásadní posouzení otázky, zda se obsah konkrétní internetové stránky s nabídkou hazardní hry za</w:t>
      </w:r>
      <w:r w:rsidR="00243730">
        <w:rPr>
          <w:b/>
        </w:rPr>
        <w:t>měřuje nebo cílí, ve smyslu § 2 </w:t>
      </w:r>
      <w:r w:rsidRPr="00A403A6">
        <w:rPr>
          <w:b/>
        </w:rPr>
        <w:t>zákona o hazardních hrách, na osoby s bydlištěm na území České republiky</w:t>
      </w:r>
      <w:r w:rsidRPr="008A5E0D">
        <w:t xml:space="preserve">. K tomuto posouzení dochází buď na základě </w:t>
      </w:r>
      <w:r>
        <w:t xml:space="preserve">zjištění z </w:t>
      </w:r>
      <w:r w:rsidRPr="008A5E0D">
        <w:t xml:space="preserve">vlastní úřední činnosti, nebo na základě </w:t>
      </w:r>
      <w:r>
        <w:t>vyhodnocení</w:t>
      </w:r>
      <w:r w:rsidRPr="008A5E0D">
        <w:t xml:space="preserve"> podnětu </w:t>
      </w:r>
      <w:r>
        <w:t>obdrženého od veřejnosti</w:t>
      </w:r>
      <w:r w:rsidRPr="008A5E0D">
        <w:t>.</w:t>
      </w:r>
    </w:p>
    <w:p w14:paraId="1390FF3C" w14:textId="21AE2CFA" w:rsidR="00A14435" w:rsidRPr="00D9226A" w:rsidRDefault="00A14435" w:rsidP="00A14435">
      <w:r w:rsidRPr="008A5E0D">
        <w:t xml:space="preserve">Kontrolní orgán se </w:t>
      </w:r>
      <w:r w:rsidRPr="00A403A6">
        <w:rPr>
          <w:b/>
        </w:rPr>
        <w:t>přiklání</w:t>
      </w:r>
      <w:r w:rsidRPr="008A5E0D">
        <w:t xml:space="preserve"> k předběžnému závěru, že </w:t>
      </w:r>
      <w:r w:rsidRPr="00A403A6">
        <w:rPr>
          <w:b/>
        </w:rPr>
        <w:t>nabídka hazardních her se zaměřuje nebo cílí na osoby s bydliš</w:t>
      </w:r>
      <w:r w:rsidR="00243730">
        <w:rPr>
          <w:b/>
        </w:rPr>
        <w:t>těm na území České republiky za </w:t>
      </w:r>
      <w:r w:rsidRPr="00A403A6">
        <w:rPr>
          <w:b/>
        </w:rPr>
        <w:t>předpokladu, že internetová stránka umožňu</w:t>
      </w:r>
      <w:r w:rsidR="00243730">
        <w:rPr>
          <w:b/>
        </w:rPr>
        <w:t>je provést osobě s bydlištěm na </w:t>
      </w:r>
      <w:r w:rsidRPr="00A403A6">
        <w:rPr>
          <w:b/>
        </w:rPr>
        <w:t>území České republiky registraci k uživatelskému kontu a následnou účast na hazardní hře, a to na základě umo</w:t>
      </w:r>
      <w:r w:rsidR="00243730">
        <w:rPr>
          <w:b/>
        </w:rPr>
        <w:t>žnění výběru adresy bydliště do </w:t>
      </w:r>
      <w:r w:rsidRPr="00A403A6">
        <w:rPr>
          <w:b/>
        </w:rPr>
        <w:t>registračního formuláře</w:t>
      </w:r>
      <w:r>
        <w:t>. Nicméně existuje ce</w:t>
      </w:r>
      <w:r w:rsidR="001F7A73">
        <w:t xml:space="preserve">lá řada dalších kritérií, která </w:t>
      </w:r>
      <w:r>
        <w:t xml:space="preserve">dozorujícím orgánům umožňují posoudit, zda je či není nabídka </w:t>
      </w:r>
      <w:r w:rsidRPr="002B6F81">
        <w:t>hazardní hry cílena nebo zaměřena na osoby s bydlištěm na území České republiky (</w:t>
      </w:r>
      <w:r w:rsidR="00243730">
        <w:t>viz </w:t>
      </w:r>
      <w:r w:rsidRPr="002B6F81">
        <w:t>podrobnější informace v části Základní</w:t>
      </w:r>
      <w:r>
        <w:t xml:space="preserve"> ustanovení</w:t>
      </w:r>
      <w:r w:rsidRPr="008A5E0D">
        <w:t>).</w:t>
      </w:r>
    </w:p>
    <w:p w14:paraId="3C9C51F3" w14:textId="77777777" w:rsidR="00A14435" w:rsidRPr="00D01F2C" w:rsidRDefault="00A14435" w:rsidP="00A14435">
      <w:r w:rsidRPr="00105975">
        <w:t xml:space="preserve">Pokud </w:t>
      </w:r>
      <w:r>
        <w:t xml:space="preserve">se </w:t>
      </w:r>
      <w:r w:rsidRPr="00105975">
        <w:t xml:space="preserve">dozorující </w:t>
      </w:r>
      <w:r w:rsidRPr="00D01F2C">
        <w:t xml:space="preserve">orgán </w:t>
      </w:r>
      <w:r>
        <w:t xml:space="preserve">předběžně domnívá, že </w:t>
      </w:r>
      <w:r w:rsidRPr="00D01F2C">
        <w:t>kritéria zaměření nebo cílení</w:t>
      </w:r>
      <w:r>
        <w:t xml:space="preserve"> jsou naplněna</w:t>
      </w:r>
      <w:r w:rsidRPr="00D01F2C">
        <w:t xml:space="preserve">, přistupuje k bližšímu ohledání stránky a zadokumentování postupu účasti na hazardní hře s tím, že jednotlivé kroky související s ohledáním zadokumentuje formou videozáznamů. </w:t>
      </w:r>
      <w:r>
        <w:t>Součástí</w:t>
      </w:r>
      <w:r w:rsidRPr="00D01F2C">
        <w:t xml:space="preserve"> zadokumentování jsou </w:t>
      </w:r>
      <w:r>
        <w:t>i kroky učiněné v souvislosti s </w:t>
      </w:r>
      <w:r w:rsidRPr="00D01F2C">
        <w:t>prvotním ohledáním.</w:t>
      </w:r>
      <w:r>
        <w:t xml:space="preserve"> </w:t>
      </w:r>
    </w:p>
    <w:p w14:paraId="5400B71C" w14:textId="67485EB8" w:rsidR="00A14435" w:rsidRDefault="00A14435" w:rsidP="00A14435">
      <w:r w:rsidRPr="00D01F2C">
        <w:t>Při zajišťování důkazů ve věci neoprávněnéh</w:t>
      </w:r>
      <w:r w:rsidR="00243730">
        <w:t>o provozování hazardních her na </w:t>
      </w:r>
      <w:r w:rsidRPr="00D01F2C">
        <w:t>internetu dozorující orgán z</w:t>
      </w:r>
      <w:r>
        <w:t>ajistí</w:t>
      </w:r>
      <w:r w:rsidRPr="00D01F2C">
        <w:t xml:space="preserve"> a zadokument</w:t>
      </w:r>
      <w:r>
        <w:t xml:space="preserve">uje </w:t>
      </w:r>
      <w:r w:rsidRPr="00D01F2C">
        <w:t xml:space="preserve">nezbytné </w:t>
      </w:r>
      <w:r>
        <w:t xml:space="preserve">informace </w:t>
      </w:r>
      <w:r w:rsidRPr="00D01F2C">
        <w:t>o</w:t>
      </w:r>
      <w:r w:rsidR="00003F3F">
        <w:t> </w:t>
      </w:r>
      <w:r w:rsidRPr="00D01F2C">
        <w:t xml:space="preserve">provozovateli (za předpokladu, že jsou </w:t>
      </w:r>
      <w:r w:rsidR="00D74278">
        <w:t xml:space="preserve">informace </w:t>
      </w:r>
      <w:r w:rsidRPr="00D01F2C">
        <w:t xml:space="preserve">dostupné) a </w:t>
      </w:r>
      <w:r>
        <w:t xml:space="preserve">informace související s </w:t>
      </w:r>
      <w:r w:rsidRPr="00D01F2C">
        <w:t>nelegální nabíd</w:t>
      </w:r>
      <w:r>
        <w:t>kou</w:t>
      </w:r>
      <w:r w:rsidRPr="00D01F2C">
        <w:t xml:space="preserve"> hazardních her. Zejména se jedná o identifikační a</w:t>
      </w:r>
      <w:r w:rsidR="00003F3F">
        <w:t> </w:t>
      </w:r>
      <w:r w:rsidRPr="00D01F2C">
        <w:t>kontaktní údaje provozovatele, proces vedoucí k registraci k uživatelskému kontu, proces průběhu kontrolního nákupu (formou účasti na jednot</w:t>
      </w:r>
      <w:r w:rsidR="001F7A73">
        <w:t xml:space="preserve">livých druzích hazardních her), </w:t>
      </w:r>
      <w:r w:rsidRPr="00D01F2C">
        <w:t>rozsah nelegální nabídky hazardních her, informací o zpracovateli, poskytovateli a</w:t>
      </w:r>
      <w:r w:rsidR="00352BA5">
        <w:t> </w:t>
      </w:r>
      <w:r w:rsidRPr="00D01F2C">
        <w:t>šiřiteli reklamy na nelegální nabídku hazardní her, čísla platebních účtů určených</w:t>
      </w:r>
      <w:r w:rsidRPr="00105975">
        <w:t xml:space="preserve"> k provádění platebních transakcí ve prospěch a k tíži těchto platebních účtů</w:t>
      </w:r>
      <w:r>
        <w:t>, a další nezbytné informace prokazující protiprávní konání.</w:t>
      </w:r>
    </w:p>
    <w:p w14:paraId="5ADF6441" w14:textId="4C740F33" w:rsidR="00A3179D" w:rsidRDefault="00A14435" w:rsidP="005F741F">
      <w:r>
        <w:t xml:space="preserve">Na níže uvedeném grafu je ilustrován celkový počet kontrol Ministerstva financí v době od 1. 1. 2017 do 31. 10. 2019 zaměřených na provozování hazardních her provozovaných na internetu, a to s rozdělením na legálně a nelegálně provozující provozovatele. K tomuto je nutné doplnit, že </w:t>
      </w:r>
      <w:r w:rsidRPr="00A403A6">
        <w:rPr>
          <w:b/>
        </w:rPr>
        <w:t>v rámci 52 provedených kontrol nelegálních provozovatelů bylo prověřeno přibližně 170 internetových stránek</w:t>
      </w:r>
      <w:r>
        <w:t xml:space="preserve">, z nichž podstatná část vykazovala znaky tzv. </w:t>
      </w:r>
      <w:r w:rsidRPr="00A403A6">
        <w:rPr>
          <w:b/>
        </w:rPr>
        <w:t>zrcadlení</w:t>
      </w:r>
      <w:r>
        <w:rPr>
          <w:rStyle w:val="Znakapoznpodarou"/>
        </w:rPr>
        <w:footnoteReference w:id="14"/>
      </w:r>
      <w:r>
        <w:t xml:space="preserve"> jedné internetové stránky (1xbet1.com, 1xbet2.com, atd.).</w:t>
      </w:r>
    </w:p>
    <w:p w14:paraId="54940944" w14:textId="6666854C" w:rsidR="00A3179D" w:rsidRDefault="00A3179D" w:rsidP="00A3179D">
      <w:pPr>
        <w:pStyle w:val="Titulek"/>
        <w:keepNext/>
      </w:pPr>
      <w:bookmarkStart w:id="33" w:name="_Toc73531939"/>
      <w:r>
        <w:t xml:space="preserve">Graf č. </w:t>
      </w:r>
      <w:fldSimple w:instr=" SEQ Graf_č. \* ARABIC ">
        <w:r w:rsidR="005F741F">
          <w:rPr>
            <w:noProof/>
          </w:rPr>
          <w:t>18</w:t>
        </w:r>
      </w:fldSimple>
      <w:r>
        <w:t xml:space="preserve">: </w:t>
      </w:r>
      <w:r w:rsidRPr="001B4CC8">
        <w:t xml:space="preserve">Porovnání celkového počtu Ministerstvem financí provedených kontrol provozovatelů internetových hazardních her v období </w:t>
      </w:r>
      <w:r>
        <w:t>od 1. 1. 2017 do 31. 10. 2019 s </w:t>
      </w:r>
      <w:r w:rsidRPr="001B4CC8">
        <w:t>kontrolami zaměřenými na nelegální provozování hazardních her prostřednictvím internetu</w:t>
      </w:r>
      <w:bookmarkEnd w:id="33"/>
    </w:p>
    <w:p w14:paraId="70233168" w14:textId="77777777" w:rsidR="00A14435" w:rsidRPr="00844B48" w:rsidRDefault="00A14435" w:rsidP="00A14435">
      <w:pPr>
        <w:pStyle w:val="Odstavecseseznamem"/>
        <w:spacing w:after="80"/>
        <w:ind w:left="0"/>
        <w:rPr>
          <w:rFonts w:cs="Arial"/>
          <w:i/>
          <w:szCs w:val="24"/>
        </w:rPr>
      </w:pPr>
      <w:r>
        <w:rPr>
          <w:noProof/>
          <w:lang w:eastAsia="cs-CZ"/>
        </w:rPr>
        <w:drawing>
          <wp:inline distT="0" distB="0" distL="0" distR="0" wp14:anchorId="32740CA6" wp14:editId="29161DDD">
            <wp:extent cx="5755005" cy="1744276"/>
            <wp:effectExtent l="0" t="0" r="17145" b="8890"/>
            <wp:docPr id="83" name="Graf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12B47B6" w14:textId="2186DA8D" w:rsidR="00A14435" w:rsidRPr="00084647" w:rsidRDefault="00A14435" w:rsidP="00A14435">
      <w:pPr>
        <w:spacing w:after="0"/>
        <w:ind w:firstLine="11"/>
        <w:rPr>
          <w:rFonts w:cs="Arial"/>
          <w:i/>
          <w:sz w:val="20"/>
          <w:szCs w:val="20"/>
        </w:rPr>
      </w:pPr>
      <w:r w:rsidRPr="00084647">
        <w:rPr>
          <w:rFonts w:cs="Arial"/>
          <w:i/>
          <w:sz w:val="20"/>
          <w:szCs w:val="20"/>
        </w:rPr>
        <w:t>Zdroj: Ministerstvo financí</w:t>
      </w:r>
      <w:r w:rsidR="00A3179D">
        <w:rPr>
          <w:rFonts w:cs="Arial"/>
          <w:i/>
          <w:sz w:val="20"/>
          <w:szCs w:val="20"/>
        </w:rPr>
        <w:t>.</w:t>
      </w:r>
    </w:p>
    <w:p w14:paraId="446ADE5E" w14:textId="77777777" w:rsidR="00A14435" w:rsidRDefault="00A14435" w:rsidP="00A14435">
      <w:pPr>
        <w:pStyle w:val="Odstavecseseznamem"/>
        <w:spacing w:after="0"/>
        <w:ind w:left="0"/>
        <w:rPr>
          <w:rFonts w:cs="Arial"/>
          <w:szCs w:val="24"/>
        </w:rPr>
      </w:pPr>
    </w:p>
    <w:p w14:paraId="52E1A067" w14:textId="07369624" w:rsidR="00A14435" w:rsidRDefault="00A14435" w:rsidP="00A14435">
      <w:r w:rsidRPr="00A3179D">
        <w:t xml:space="preserve">Na grafu č. </w:t>
      </w:r>
      <w:r w:rsidR="00A3179D" w:rsidRPr="00A3179D">
        <w:t>18</w:t>
      </w:r>
      <w:r w:rsidRPr="00A3179D">
        <w:t xml:space="preserve"> je uveden celkový počet kontrol provedených </w:t>
      </w:r>
      <w:r w:rsidRPr="00A403A6">
        <w:rPr>
          <w:b/>
        </w:rPr>
        <w:t>Celní správou</w:t>
      </w:r>
      <w:r w:rsidR="001F7A73">
        <w:t xml:space="preserve">, které </w:t>
      </w:r>
      <w:r w:rsidRPr="00A3179D">
        <w:t>byly zaměřeny na provozování</w:t>
      </w:r>
      <w:r>
        <w:t xml:space="preserve"> hazardních her na internetu</w:t>
      </w:r>
      <w:r w:rsidR="00243730">
        <w:t xml:space="preserve"> v období od 1. 11. </w:t>
      </w:r>
      <w:r w:rsidR="00A3179D">
        <w:t>2019 do 31. </w:t>
      </w:r>
      <w:r>
        <w:t xml:space="preserve">12. 2020. Z celkového počtu </w:t>
      </w:r>
      <w:r w:rsidRPr="00A403A6">
        <w:rPr>
          <w:b/>
        </w:rPr>
        <w:t>45 provedených</w:t>
      </w:r>
      <w:r w:rsidR="00E474AE" w:rsidRPr="00A403A6">
        <w:rPr>
          <w:b/>
        </w:rPr>
        <w:t xml:space="preserve"> kontrol</w:t>
      </w:r>
      <w:r w:rsidR="00243730">
        <w:rPr>
          <w:b/>
        </w:rPr>
        <w:t xml:space="preserve"> bylo 20 </w:t>
      </w:r>
      <w:r w:rsidRPr="00A403A6">
        <w:rPr>
          <w:b/>
        </w:rPr>
        <w:t>kontrol provedeno u</w:t>
      </w:r>
      <w:r w:rsidR="00E474AE" w:rsidRPr="00A403A6">
        <w:rPr>
          <w:b/>
        </w:rPr>
        <w:t> </w:t>
      </w:r>
      <w:r w:rsidRPr="00A403A6">
        <w:rPr>
          <w:b/>
        </w:rPr>
        <w:t>legálních provozovatelů a dalších 25 kontrol bylo provedeno se zaměřením na nelegální provozovatele.</w:t>
      </w:r>
      <w:r>
        <w:t xml:space="preserve"> V rámci 25 kontrol nelegálních provozovatelů bylo Celní správou prověřeno přibližně 150 internetových stránek, z nichž podstatná část vykazovala znaky tzv. zrcadlení jedné internetové stránky (bet1.com, bet2.com apod.).</w:t>
      </w:r>
    </w:p>
    <w:p w14:paraId="3F51C7D3" w14:textId="57D36BD2" w:rsidR="00A3179D" w:rsidRDefault="003B2977" w:rsidP="00A3179D">
      <w:pPr>
        <w:pStyle w:val="Titulek"/>
        <w:keepNext/>
      </w:pPr>
      <w:bookmarkStart w:id="34" w:name="_Toc73531940"/>
      <w:r>
        <w:t>Graf č.</w:t>
      </w:r>
      <w:r w:rsidR="00A3179D">
        <w:t xml:space="preserve"> </w:t>
      </w:r>
      <w:fldSimple w:instr=" SEQ Graf_č. \* ARABIC ">
        <w:r w:rsidR="005F741F">
          <w:rPr>
            <w:noProof/>
          </w:rPr>
          <w:t>19</w:t>
        </w:r>
      </w:fldSimple>
      <w:r w:rsidR="00A3179D">
        <w:t xml:space="preserve">: </w:t>
      </w:r>
      <w:r w:rsidR="00A3179D" w:rsidRPr="0097323E">
        <w:t>Porovnání celkového počtu kont</w:t>
      </w:r>
      <w:r w:rsidR="00A3179D">
        <w:t>rol provedených Celní správou u </w:t>
      </w:r>
      <w:r w:rsidR="00A3179D" w:rsidRPr="0097323E">
        <w:t xml:space="preserve">provozovatelů hazardních her provozujících hazardní </w:t>
      </w:r>
      <w:r w:rsidR="00A3179D">
        <w:t>hry prostřednictvím internetu s </w:t>
      </w:r>
      <w:r w:rsidR="00A3179D" w:rsidRPr="0097323E">
        <w:t>počtem kontrol u legálních a nelegálních provozo</w:t>
      </w:r>
      <w:r w:rsidR="00A3179D">
        <w:t xml:space="preserve">vatelů, a to </w:t>
      </w:r>
      <w:r w:rsidR="00243730">
        <w:t>v období od </w:t>
      </w:r>
      <w:r w:rsidR="00A3179D">
        <w:t>1. 11. </w:t>
      </w:r>
      <w:r w:rsidR="00A3179D" w:rsidRPr="0097323E">
        <w:t>2019 do 31. 12. 2020</w:t>
      </w:r>
      <w:bookmarkEnd w:id="34"/>
    </w:p>
    <w:p w14:paraId="2DAD9852" w14:textId="77777777" w:rsidR="00A14435" w:rsidRDefault="00A14435" w:rsidP="00A14435">
      <w:pPr>
        <w:pStyle w:val="Odstavecseseznamem"/>
        <w:spacing w:after="80"/>
        <w:ind w:left="0"/>
        <w:rPr>
          <w:rFonts w:cs="Arial"/>
          <w:i/>
          <w:szCs w:val="24"/>
        </w:rPr>
      </w:pPr>
      <w:r>
        <w:rPr>
          <w:noProof/>
          <w:lang w:eastAsia="cs-CZ"/>
        </w:rPr>
        <w:drawing>
          <wp:inline distT="0" distB="0" distL="0" distR="0" wp14:anchorId="50846DCB" wp14:editId="0374DBAB">
            <wp:extent cx="5839865" cy="2105025"/>
            <wp:effectExtent l="0" t="0" r="8890" b="9525"/>
            <wp:docPr id="84" name="Graf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7B95DB9" w14:textId="5CFF52E0" w:rsidR="00A14435" w:rsidRPr="00084647" w:rsidRDefault="00A14435" w:rsidP="00A14435">
      <w:pPr>
        <w:spacing w:after="0"/>
        <w:ind w:firstLine="11"/>
        <w:rPr>
          <w:rFonts w:cs="Arial"/>
          <w:i/>
          <w:sz w:val="20"/>
          <w:szCs w:val="20"/>
        </w:rPr>
      </w:pPr>
      <w:r w:rsidRPr="00084647">
        <w:rPr>
          <w:rFonts w:cs="Arial"/>
          <w:i/>
          <w:sz w:val="20"/>
          <w:szCs w:val="20"/>
        </w:rPr>
        <w:t>Zdroj: Celní správa</w:t>
      </w:r>
      <w:r w:rsidR="00A3179D">
        <w:rPr>
          <w:rFonts w:cs="Arial"/>
          <w:i/>
          <w:sz w:val="20"/>
          <w:szCs w:val="20"/>
        </w:rPr>
        <w:t>.</w:t>
      </w:r>
    </w:p>
    <w:p w14:paraId="1D4D7D8B" w14:textId="77777777" w:rsidR="00A14435" w:rsidRDefault="00A14435" w:rsidP="00A14435">
      <w:pPr>
        <w:pStyle w:val="Odstavecseseznamem"/>
        <w:spacing w:after="0"/>
        <w:ind w:left="0"/>
        <w:rPr>
          <w:rFonts w:cs="Arial"/>
          <w:szCs w:val="24"/>
        </w:rPr>
      </w:pPr>
    </w:p>
    <w:p w14:paraId="40D5F05F" w14:textId="0193E72D" w:rsidR="00A14435" w:rsidRPr="00AA1679" w:rsidRDefault="00A14435" w:rsidP="00A14435">
      <w:r>
        <w:t xml:space="preserve">Vzhledem k tomu, </w:t>
      </w:r>
      <w:r w:rsidRPr="00AA1679">
        <w:t>že sídla nelegálních provozovatel</w:t>
      </w:r>
      <w:r w:rsidR="00E474AE">
        <w:t>ů</w:t>
      </w:r>
      <w:r w:rsidRPr="00AA1679">
        <w:t xml:space="preserve"> jsou mimo území Evropské unie, je postih zahraničních </w:t>
      </w:r>
      <w:r>
        <w:t>provozovatelů</w:t>
      </w:r>
      <w:r w:rsidRPr="00AA1679">
        <w:t xml:space="preserve"> prostřednictvím běžných nástrojů správního trestání značně </w:t>
      </w:r>
      <w:r w:rsidRPr="0028093A">
        <w:t xml:space="preserve">problematický a </w:t>
      </w:r>
      <w:r w:rsidRPr="00B95CAE">
        <w:t>sankce j</w:t>
      </w:r>
      <w:r w:rsidR="003B2977">
        <w:t xml:space="preserve">sou tudíž obtížně vymahatelné. </w:t>
      </w:r>
      <w:r w:rsidRPr="00B95CAE">
        <w:t>Z tohoto důvodu tak dozorová činnost a navazující správní trestání neplní svou odrazující funkci a blokace internetové stránky</w:t>
      </w:r>
      <w:r>
        <w:t xml:space="preserve"> </w:t>
      </w:r>
      <w:r w:rsidRPr="002B6F81">
        <w:t>(viz část Nepovolené internetové hry)</w:t>
      </w:r>
      <w:r w:rsidRPr="00B95CAE">
        <w:t xml:space="preserve"> </w:t>
      </w:r>
      <w:r>
        <w:t xml:space="preserve">se stává </w:t>
      </w:r>
      <w:r w:rsidRPr="00A3179D">
        <w:t xml:space="preserve">nejúčinnější možností vedoucí k zamezení nelegální nabídky hazardních her v České republice. Na grafu č. </w:t>
      </w:r>
      <w:r w:rsidR="003B2977">
        <w:t>20</w:t>
      </w:r>
      <w:r w:rsidRPr="00A3179D">
        <w:t xml:space="preserve"> jsou znázorněny </w:t>
      </w:r>
      <w:r w:rsidRPr="00A403A6">
        <w:rPr>
          <w:b/>
        </w:rPr>
        <w:t>nejčastěji zjištěná sídla nelegálních provozovatelů provozujících hazardní hry na internetu</w:t>
      </w:r>
      <w:r w:rsidRPr="00B95CAE">
        <w:t xml:space="preserve">. Část z těchto </w:t>
      </w:r>
      <w:r>
        <w:t xml:space="preserve">nelegálních </w:t>
      </w:r>
      <w:r w:rsidRPr="00B95CAE">
        <w:t xml:space="preserve">provozovatelů provozovala více internetových </w:t>
      </w:r>
      <w:r>
        <w:t>stránek</w:t>
      </w:r>
      <w:r w:rsidRPr="00B95CAE">
        <w:t xml:space="preserve"> s nabídkou hazardních her</w:t>
      </w:r>
      <w:r>
        <w:t xml:space="preserve"> cílících na osoby s bydlištěm na území České republiky. U některých z těchto nelegálních provozovatelů bylo, s ohledem na jimi provozované internetové stránky, provedeno kontrol</w:t>
      </w:r>
      <w:r w:rsidRPr="005C67B9">
        <w:t xml:space="preserve"> </w:t>
      </w:r>
      <w:r>
        <w:t xml:space="preserve">více. </w:t>
      </w:r>
    </w:p>
    <w:p w14:paraId="1262E5D3" w14:textId="6AC3E924" w:rsidR="00A3179D" w:rsidRDefault="00A3179D" w:rsidP="00A3179D">
      <w:pPr>
        <w:pStyle w:val="Titulek"/>
        <w:keepNext/>
      </w:pPr>
      <w:bookmarkStart w:id="35" w:name="_Toc73531941"/>
      <w:r>
        <w:t xml:space="preserve">Graf č. </w:t>
      </w:r>
      <w:fldSimple w:instr=" SEQ Graf_č. \* ARABIC ">
        <w:r w:rsidR="005F741F">
          <w:rPr>
            <w:noProof/>
          </w:rPr>
          <w:t>20</w:t>
        </w:r>
      </w:fldSimple>
      <w:r>
        <w:t xml:space="preserve">: </w:t>
      </w:r>
      <w:r w:rsidRPr="00C55834">
        <w:t>Přehled Ministerstvem financí a Celní správou zjištěných sídel nelegálních provozovatelů provozujících hazardní hry na internetu v období let 2017 až 2020</w:t>
      </w:r>
      <w:bookmarkEnd w:id="35"/>
    </w:p>
    <w:p w14:paraId="654A4640" w14:textId="77777777" w:rsidR="00A14435" w:rsidRDefault="00A14435" w:rsidP="00A14435">
      <w:pPr>
        <w:spacing w:after="0"/>
        <w:rPr>
          <w:rFonts w:cs="Arial"/>
          <w:color w:val="C00000"/>
          <w:szCs w:val="24"/>
        </w:rPr>
      </w:pPr>
      <w:r>
        <w:rPr>
          <w:noProof/>
          <w:lang w:eastAsia="cs-CZ"/>
        </w:rPr>
        <w:drawing>
          <wp:inline distT="0" distB="0" distL="0" distR="0" wp14:anchorId="351BD735" wp14:editId="081BECEA">
            <wp:extent cx="5604734" cy="1946237"/>
            <wp:effectExtent l="0" t="0" r="15240" b="16510"/>
            <wp:docPr id="85" name="Graf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D75F6D7" w14:textId="4B772FDE" w:rsidR="00A14435" w:rsidRPr="00A3179D" w:rsidRDefault="00A14435" w:rsidP="00A3179D">
      <w:pPr>
        <w:pStyle w:val="Odstavecseseznamem"/>
        <w:autoSpaceDE w:val="0"/>
        <w:autoSpaceDN w:val="0"/>
        <w:adjustRightInd w:val="0"/>
        <w:spacing w:after="0"/>
        <w:ind w:left="0"/>
        <w:jc w:val="both"/>
        <w:rPr>
          <w:rFonts w:ascii="Arial" w:hAnsi="Arial" w:cs="Arial"/>
          <w:i/>
          <w:sz w:val="20"/>
          <w:szCs w:val="20"/>
        </w:rPr>
      </w:pPr>
      <w:r w:rsidRPr="00A3179D">
        <w:rPr>
          <w:rFonts w:ascii="Arial" w:hAnsi="Arial" w:cs="Arial"/>
          <w:i/>
          <w:sz w:val="20"/>
          <w:szCs w:val="20"/>
        </w:rPr>
        <w:t>Zdroj: Ministerstvo financí a Celní správa</w:t>
      </w:r>
      <w:r w:rsidR="00A3179D">
        <w:rPr>
          <w:rFonts w:ascii="Arial" w:hAnsi="Arial" w:cs="Arial"/>
          <w:i/>
          <w:sz w:val="20"/>
          <w:szCs w:val="20"/>
        </w:rPr>
        <w:t>.</w:t>
      </w:r>
    </w:p>
    <w:p w14:paraId="618B7E07" w14:textId="77777777" w:rsidR="00A14435" w:rsidRDefault="00A14435" w:rsidP="00A14435">
      <w:pPr>
        <w:spacing w:after="0"/>
        <w:rPr>
          <w:rFonts w:cs="Arial"/>
          <w:color w:val="000000" w:themeColor="text1"/>
          <w:szCs w:val="24"/>
        </w:rPr>
      </w:pPr>
    </w:p>
    <w:p w14:paraId="3F6ED059" w14:textId="706AB1F5" w:rsidR="00A14435" w:rsidRDefault="00A14435" w:rsidP="00A14435">
      <w:pPr>
        <w:rPr>
          <w:rFonts w:eastAsia="Times New Roman"/>
          <w:lang w:eastAsia="cs-CZ"/>
        </w:rPr>
      </w:pPr>
      <w:r w:rsidRPr="00CF385F">
        <w:t>V období do 31. 12. 2020 byl dozor</w:t>
      </w:r>
      <w:r>
        <w:t>ující</w:t>
      </w:r>
      <w:r w:rsidRPr="00CF385F">
        <w:t xml:space="preserve"> orgán značně časově a finančně zatěžován </w:t>
      </w:r>
      <w:r w:rsidRPr="00741810">
        <w:rPr>
          <w:b/>
        </w:rPr>
        <w:t>doručováním (často i nedoručitelným) písemností nelegálním provozovatelům</w:t>
      </w:r>
      <w:r w:rsidRPr="00CF385F">
        <w:t xml:space="preserve"> se sídlem mimo </w:t>
      </w:r>
      <w:r w:rsidRPr="00CF385F">
        <w:rPr>
          <w:rFonts w:eastAsia="Times New Roman"/>
          <w:lang w:eastAsia="cs-CZ"/>
        </w:rPr>
        <w:t>území České republiky</w:t>
      </w:r>
      <w:r w:rsidRPr="00775791">
        <w:rPr>
          <w:rFonts w:eastAsia="Times New Roman"/>
          <w:lang w:eastAsia="cs-CZ"/>
        </w:rPr>
        <w:t>, jiného státu E</w:t>
      </w:r>
      <w:r w:rsidR="001F7A73">
        <w:rPr>
          <w:rFonts w:eastAsia="Times New Roman"/>
          <w:lang w:eastAsia="cs-CZ"/>
        </w:rPr>
        <w:t>vropské unie nebo státu, který j</w:t>
      </w:r>
      <w:r w:rsidRPr="00775791">
        <w:rPr>
          <w:rFonts w:eastAsia="Times New Roman"/>
          <w:lang w:eastAsia="cs-CZ"/>
        </w:rPr>
        <w:t xml:space="preserve">e smluvní stranou Dohody o Evropském hospodářském prostoru (např. Malta, </w:t>
      </w:r>
      <w:r w:rsidR="002218D6" w:rsidRPr="00775791">
        <w:rPr>
          <w:rFonts w:eastAsia="Times New Roman"/>
          <w:lang w:eastAsia="cs-CZ"/>
        </w:rPr>
        <w:t>Curaçao</w:t>
      </w:r>
      <w:r w:rsidRPr="00775791">
        <w:rPr>
          <w:rFonts w:eastAsia="Times New Roman"/>
          <w:lang w:eastAsia="cs-CZ"/>
        </w:rPr>
        <w:t xml:space="preserve">). </w:t>
      </w:r>
    </w:p>
    <w:p w14:paraId="193BBF33" w14:textId="0E9AC304" w:rsidR="00A14435" w:rsidRDefault="00A14435" w:rsidP="00A14435">
      <w:pPr>
        <w:rPr>
          <w:rFonts w:eastAsia="Times New Roman"/>
          <w:lang w:eastAsia="cs-CZ"/>
        </w:rPr>
      </w:pPr>
      <w:r w:rsidRPr="00C8665C">
        <w:t xml:space="preserve">Řešení přinesla až </w:t>
      </w:r>
      <w:r w:rsidRPr="00741810">
        <w:rPr>
          <w:b/>
        </w:rPr>
        <w:t>novela</w:t>
      </w:r>
      <w:r w:rsidRPr="00C8665C">
        <w:t xml:space="preserve"> </w:t>
      </w:r>
      <w:r w:rsidRPr="00741810">
        <w:rPr>
          <w:b/>
        </w:rPr>
        <w:t>zákona o hazardních hrách účinná od 1. 1. 2021</w:t>
      </w:r>
      <w:r w:rsidR="00243730">
        <w:t>, která</w:t>
      </w:r>
      <w:r w:rsidR="001F7A73">
        <w:t xml:space="preserve"> </w:t>
      </w:r>
      <w:r w:rsidRPr="00C8665C">
        <w:t>v § 121a</w:t>
      </w:r>
      <w:r w:rsidR="00243730">
        <w:t xml:space="preserve"> zákona o hazardních hrách</w:t>
      </w:r>
      <w:r w:rsidRPr="00C8665C">
        <w:t xml:space="preserve"> zavedla ustanovení, podle něhož </w:t>
      </w:r>
      <w:r w:rsidRPr="00C8665C">
        <w:rPr>
          <w:rFonts w:eastAsia="Times New Roman"/>
          <w:lang w:eastAsia="cs-CZ"/>
        </w:rPr>
        <w:t xml:space="preserve">provozovateli, který nemá místo pobytu nebo sídlo na území České republiky, jiného státu Evropské unie nebo státu, který je smluvní stranou Dohody o Evropském hospodářském prostoru, se při výkonu dozoru </w:t>
      </w:r>
      <w:r w:rsidRPr="00741810">
        <w:rPr>
          <w:rFonts w:eastAsia="Times New Roman"/>
          <w:b/>
          <w:lang w:eastAsia="cs-CZ"/>
        </w:rPr>
        <w:t>doručuje písemnost veřejnou vyhláškou</w:t>
      </w:r>
      <w:r w:rsidR="001F7A73">
        <w:rPr>
          <w:rFonts w:eastAsia="Times New Roman"/>
          <w:lang w:eastAsia="cs-CZ"/>
        </w:rPr>
        <w:t>. V </w:t>
      </w:r>
      <w:r w:rsidRPr="00C8665C">
        <w:rPr>
          <w:rFonts w:eastAsia="Times New Roman"/>
          <w:lang w:eastAsia="cs-CZ"/>
        </w:rPr>
        <w:t xml:space="preserve">případě, že je místo pobytu nebo sídlo takového provozovatele známo, písemnost se zašle rovněž na vědomí. </w:t>
      </w:r>
      <w:r w:rsidR="00243730">
        <w:rPr>
          <w:rFonts w:eastAsia="Times New Roman"/>
          <w:lang w:eastAsia="cs-CZ"/>
        </w:rPr>
        <w:t>Změna uvedená v § 121a zákona o </w:t>
      </w:r>
      <w:r w:rsidRPr="00C8665C">
        <w:rPr>
          <w:rFonts w:eastAsia="Times New Roman"/>
          <w:lang w:eastAsia="cs-CZ"/>
        </w:rPr>
        <w:t xml:space="preserve">hazardních hrách tak </w:t>
      </w:r>
      <w:r>
        <w:rPr>
          <w:rFonts w:eastAsia="Times New Roman"/>
          <w:lang w:eastAsia="cs-CZ"/>
        </w:rPr>
        <w:t>výrazným způsobem urychluje, zefektivňuje</w:t>
      </w:r>
      <w:r w:rsidRPr="00C8665C">
        <w:rPr>
          <w:rFonts w:eastAsia="Times New Roman"/>
          <w:lang w:eastAsia="cs-CZ"/>
        </w:rPr>
        <w:t xml:space="preserve"> a pro dozorující orgány i </w:t>
      </w:r>
      <w:r>
        <w:rPr>
          <w:rFonts w:eastAsia="Times New Roman"/>
          <w:lang w:eastAsia="cs-CZ"/>
        </w:rPr>
        <w:t>zlevňuje</w:t>
      </w:r>
      <w:r w:rsidRPr="00C8665C">
        <w:rPr>
          <w:rFonts w:eastAsia="Times New Roman"/>
          <w:lang w:eastAsia="cs-CZ"/>
        </w:rPr>
        <w:t xml:space="preserve"> výkon do</w:t>
      </w:r>
      <w:r>
        <w:rPr>
          <w:rFonts w:eastAsia="Times New Roman"/>
          <w:lang w:eastAsia="cs-CZ"/>
        </w:rPr>
        <w:t xml:space="preserve">zoru. </w:t>
      </w:r>
    </w:p>
    <w:p w14:paraId="2422CB57" w14:textId="4ACDF231" w:rsidR="00A14435" w:rsidRPr="008A5E0D" w:rsidRDefault="00A14435" w:rsidP="00A14435">
      <w:pPr>
        <w:spacing w:after="0"/>
      </w:pPr>
      <w:r>
        <w:rPr>
          <w:rFonts w:eastAsia="Times New Roman"/>
          <w:lang w:eastAsia="cs-CZ"/>
        </w:rPr>
        <w:t xml:space="preserve">Obdobně jako tzv. kvízomaty provozované v land-based prostředí, se také v prostředí on-line objevily nové koncepty hazardních her, jejichž provozovatelé popírali, že se jedná o hazardní hry. Jednalo se o tzv. </w:t>
      </w:r>
      <w:r w:rsidRPr="00741810">
        <w:rPr>
          <w:b/>
        </w:rPr>
        <w:t>dipování</w:t>
      </w:r>
      <w:r w:rsidRPr="008A5E0D">
        <w:rPr>
          <w:rStyle w:val="Znakapoznpodarou"/>
          <w:rFonts w:cs="Arial"/>
          <w:szCs w:val="24"/>
        </w:rPr>
        <w:footnoteReference w:id="15"/>
      </w:r>
      <w:r w:rsidRPr="008A5E0D">
        <w:t xml:space="preserve">. </w:t>
      </w:r>
      <w:r w:rsidRPr="00741810">
        <w:rPr>
          <w:b/>
        </w:rPr>
        <w:t>Dozor se v tomto případě zaměřil na různé skupiny</w:t>
      </w:r>
      <w:r w:rsidR="005712F1">
        <w:rPr>
          <w:b/>
        </w:rPr>
        <w:t xml:space="preserve"> v rámci sociální sítě Facebook</w:t>
      </w:r>
      <w:r w:rsidRPr="00741810">
        <w:rPr>
          <w:b/>
        </w:rPr>
        <w:t>, v jejichž rámci k tzv. dipování docházelo</w:t>
      </w:r>
      <w:r w:rsidRPr="008A5E0D">
        <w:t>.</w:t>
      </w:r>
    </w:p>
    <w:p w14:paraId="65DF8AD7" w14:textId="77777777" w:rsidR="00A14435" w:rsidRDefault="00A14435" w:rsidP="00A14435">
      <w:pPr>
        <w:spacing w:after="0"/>
        <w:rPr>
          <w:rFonts w:cs="Arial"/>
          <w:b/>
          <w:color w:val="000000" w:themeColor="text1"/>
          <w:szCs w:val="24"/>
        </w:rPr>
      </w:pPr>
    </w:p>
    <w:p w14:paraId="4BDE49D3" w14:textId="77777777" w:rsidR="00A14435" w:rsidRPr="00AE3060" w:rsidRDefault="00A14435" w:rsidP="00A14435">
      <w:pPr>
        <w:spacing w:after="0"/>
        <w:rPr>
          <w:rFonts w:cs="Arial"/>
          <w:color w:val="000000" w:themeColor="text1"/>
          <w:szCs w:val="24"/>
          <w:u w:val="single"/>
        </w:rPr>
      </w:pPr>
      <w:r w:rsidRPr="00AE3060">
        <w:rPr>
          <w:rFonts w:cs="Arial"/>
          <w:color w:val="000000" w:themeColor="text1"/>
          <w:szCs w:val="24"/>
          <w:u w:val="single"/>
        </w:rPr>
        <w:t>Dozor nad plněním povinností poskytovatelů připojení k internetu</w:t>
      </w:r>
    </w:p>
    <w:p w14:paraId="29C2F6D3" w14:textId="77777777" w:rsidR="00A14435" w:rsidRDefault="00A14435" w:rsidP="00A14435">
      <w:pPr>
        <w:pStyle w:val="Default"/>
        <w:jc w:val="both"/>
        <w:rPr>
          <w:rFonts w:ascii="Arial" w:hAnsi="Arial" w:cs="Arial"/>
          <w:color w:val="000000" w:themeColor="text1"/>
        </w:rPr>
      </w:pPr>
    </w:p>
    <w:p w14:paraId="3783C7F5" w14:textId="5E66B8E5" w:rsidR="00A14435" w:rsidRDefault="00A14435" w:rsidP="00A14435">
      <w:pPr>
        <w:rPr>
          <w:iCs/>
        </w:rPr>
      </w:pPr>
      <w:r w:rsidRPr="00741810">
        <w:rPr>
          <w:b/>
        </w:rPr>
        <w:t>Za poskytovatele připojení k internetu</w:t>
      </w:r>
      <w:r w:rsidR="001F7A73">
        <w:rPr>
          <w:b/>
        </w:rPr>
        <w:t xml:space="preserve"> je považována každá osoba, jež </w:t>
      </w:r>
      <w:r w:rsidRPr="00741810">
        <w:rPr>
          <w:b/>
        </w:rPr>
        <w:t>zprostředkovává přístup do sítě internet veřejnosti. Za účelem zvýšení právní jistoty vydalo Ministerstvo financí stanovisko</w:t>
      </w:r>
      <w:r w:rsidRPr="00D031E5">
        <w:rPr>
          <w:rStyle w:val="Znakapoznpodarou"/>
          <w:rFonts w:cs="Arial"/>
          <w:color w:val="000000" w:themeColor="text1"/>
        </w:rPr>
        <w:footnoteReference w:id="16"/>
      </w:r>
      <w:r>
        <w:t xml:space="preserve">, podle něhož </w:t>
      </w:r>
      <w:r w:rsidR="00243730">
        <w:t>je nutné za </w:t>
      </w:r>
      <w:r w:rsidRPr="00D031E5">
        <w:t xml:space="preserve">poskytovatele připojení k internetu </w:t>
      </w:r>
      <w:r w:rsidRPr="00D0181A">
        <w:t xml:space="preserve">považovat </w:t>
      </w:r>
      <w:r w:rsidRPr="00D0181A">
        <w:rPr>
          <w:iCs/>
        </w:rPr>
        <w:t>„</w:t>
      </w:r>
      <w:r w:rsidRPr="00315911">
        <w:rPr>
          <w:i/>
          <w:iCs/>
        </w:rPr>
        <w:t>subjekty, které v sou</w:t>
      </w:r>
      <w:r>
        <w:rPr>
          <w:i/>
          <w:iCs/>
        </w:rPr>
        <w:t>ladu s</w:t>
      </w:r>
      <w:r w:rsidR="002749E5">
        <w:rPr>
          <w:i/>
          <w:iCs/>
        </w:rPr>
        <w:t> </w:t>
      </w:r>
      <w:r>
        <w:rPr>
          <w:i/>
          <w:iCs/>
        </w:rPr>
        <w:t>§</w:t>
      </w:r>
      <w:r w:rsidR="00352BA5">
        <w:rPr>
          <w:i/>
          <w:iCs/>
        </w:rPr>
        <w:t> </w:t>
      </w:r>
      <w:r>
        <w:rPr>
          <w:i/>
          <w:iCs/>
        </w:rPr>
        <w:t>1 zákona o </w:t>
      </w:r>
      <w:r w:rsidRPr="00315911">
        <w:rPr>
          <w:i/>
          <w:iCs/>
        </w:rPr>
        <w:t>elektronických komunikacích oznámily Českému telekomunikačnímu úřadu zahájení činnosti spočívající v poskytování služeb přístupu k internetu a tuto činnost fakticky vykonávají</w:t>
      </w:r>
      <w:r w:rsidRPr="00D0181A">
        <w:rPr>
          <w:iCs/>
        </w:rPr>
        <w:t>“</w:t>
      </w:r>
      <w:r w:rsidRPr="00D0181A">
        <w:t>.</w:t>
      </w:r>
      <w:r w:rsidRPr="00CC3BF0">
        <w:t xml:space="preserve"> </w:t>
      </w:r>
    </w:p>
    <w:p w14:paraId="559ACA89" w14:textId="4AAB51B8" w:rsidR="00A14435" w:rsidRPr="00FD7FC8" w:rsidRDefault="00A14435" w:rsidP="00A14435">
      <w:pPr>
        <w:rPr>
          <w:szCs w:val="24"/>
        </w:rPr>
      </w:pPr>
      <w:r>
        <w:rPr>
          <w:szCs w:val="24"/>
        </w:rPr>
        <w:t xml:space="preserve">Poskytovatelé </w:t>
      </w:r>
      <w:r w:rsidRPr="00B02D0B">
        <w:rPr>
          <w:szCs w:val="24"/>
        </w:rPr>
        <w:t>připojení k</w:t>
      </w:r>
      <w:r>
        <w:rPr>
          <w:szCs w:val="24"/>
        </w:rPr>
        <w:t> </w:t>
      </w:r>
      <w:r w:rsidRPr="00B02D0B">
        <w:rPr>
          <w:szCs w:val="24"/>
        </w:rPr>
        <w:t>internetu</w:t>
      </w:r>
      <w:r>
        <w:rPr>
          <w:szCs w:val="24"/>
        </w:rPr>
        <w:t xml:space="preserve"> jsou povinni zajistit zamezení v přístupu k </w:t>
      </w:r>
      <w:r w:rsidRPr="00B02D0B">
        <w:rPr>
          <w:szCs w:val="24"/>
        </w:rPr>
        <w:t>internetovým stránkám uvedeným</w:t>
      </w:r>
      <w:r w:rsidR="00735867">
        <w:rPr>
          <w:szCs w:val="24"/>
        </w:rPr>
        <w:t xml:space="preserve"> na</w:t>
      </w:r>
      <w:r w:rsidR="00D95A43">
        <w:rPr>
          <w:szCs w:val="24"/>
        </w:rPr>
        <w:t xml:space="preserve"> tzv.</w:t>
      </w:r>
      <w:r w:rsidR="00735867">
        <w:rPr>
          <w:szCs w:val="24"/>
        </w:rPr>
        <w:t xml:space="preserve"> black-</w:t>
      </w:r>
      <w:r>
        <w:rPr>
          <w:szCs w:val="24"/>
        </w:rPr>
        <w:t xml:space="preserve">listu </w:t>
      </w:r>
      <w:r w:rsidR="001F7A73">
        <w:rPr>
          <w:szCs w:val="24"/>
        </w:rPr>
        <w:t xml:space="preserve">ve lhůtě 15 dní ode </w:t>
      </w:r>
      <w:r w:rsidR="00243730">
        <w:rPr>
          <w:szCs w:val="24"/>
        </w:rPr>
        <w:t>dne </w:t>
      </w:r>
      <w:r w:rsidRPr="00B02D0B">
        <w:rPr>
          <w:szCs w:val="24"/>
        </w:rPr>
        <w:t>zv</w:t>
      </w:r>
      <w:r>
        <w:rPr>
          <w:szCs w:val="24"/>
        </w:rPr>
        <w:t>eřejně</w:t>
      </w:r>
      <w:r w:rsidR="00735867">
        <w:rPr>
          <w:szCs w:val="24"/>
        </w:rPr>
        <w:t xml:space="preserve">ní internetové stránky na </w:t>
      </w:r>
      <w:r w:rsidR="00D95A43">
        <w:rPr>
          <w:szCs w:val="24"/>
        </w:rPr>
        <w:t xml:space="preserve">tzv. </w:t>
      </w:r>
      <w:r w:rsidR="00735867">
        <w:rPr>
          <w:szCs w:val="24"/>
        </w:rPr>
        <w:t>black-</w:t>
      </w:r>
      <w:r>
        <w:rPr>
          <w:szCs w:val="24"/>
        </w:rPr>
        <w:t xml:space="preserve">listu. </w:t>
      </w:r>
      <w:r w:rsidR="00243730">
        <w:rPr>
          <w:b/>
          <w:szCs w:val="24"/>
        </w:rPr>
        <w:t>Dozorující orgány na </w:t>
      </w:r>
      <w:r w:rsidRPr="00741810">
        <w:rPr>
          <w:b/>
          <w:szCs w:val="24"/>
        </w:rPr>
        <w:t>základě vlastní úřední činnosti neshledaly po c</w:t>
      </w:r>
      <w:r w:rsidR="00243730">
        <w:rPr>
          <w:b/>
          <w:szCs w:val="24"/>
        </w:rPr>
        <w:t>elou dobu účinnosti zákona o </w:t>
      </w:r>
      <w:r w:rsidRPr="00741810">
        <w:rPr>
          <w:b/>
          <w:szCs w:val="24"/>
        </w:rPr>
        <w:t>hazardních hrách důvody vedoucí k podezření na porušení povinností poskytovatelů internetového připojení.</w:t>
      </w:r>
      <w:r w:rsidRPr="00D0181A">
        <w:rPr>
          <w:szCs w:val="24"/>
        </w:rPr>
        <w:t xml:space="preserve"> Zároveň po celou tuto dobu nebyl evidován podnět </w:t>
      </w:r>
      <w:r>
        <w:rPr>
          <w:szCs w:val="24"/>
        </w:rPr>
        <w:t>poskytnutý ze strany</w:t>
      </w:r>
      <w:r w:rsidRPr="00D0181A">
        <w:rPr>
          <w:szCs w:val="24"/>
        </w:rPr>
        <w:t xml:space="preserve"> veřejnosti.</w:t>
      </w:r>
      <w:r w:rsidRPr="00FD7FC8">
        <w:rPr>
          <w:szCs w:val="24"/>
        </w:rPr>
        <w:t xml:space="preserve"> </w:t>
      </w:r>
    </w:p>
    <w:p w14:paraId="2E58BD04" w14:textId="77777777" w:rsidR="00A14435" w:rsidRPr="00AE3060" w:rsidRDefault="00A14435" w:rsidP="00A14435">
      <w:pPr>
        <w:spacing w:after="0"/>
        <w:rPr>
          <w:rFonts w:cs="Arial"/>
          <w:color w:val="000000" w:themeColor="text1"/>
          <w:szCs w:val="24"/>
          <w:u w:val="single"/>
        </w:rPr>
      </w:pPr>
      <w:r w:rsidRPr="00AE3060">
        <w:rPr>
          <w:rFonts w:cs="Arial"/>
          <w:color w:val="000000" w:themeColor="text1"/>
          <w:szCs w:val="24"/>
          <w:u w:val="single"/>
        </w:rPr>
        <w:t>Dozor nad plněním povinností poskytovatelů platebních služeb</w:t>
      </w:r>
    </w:p>
    <w:p w14:paraId="1D5814BA" w14:textId="77777777" w:rsidR="00A14435" w:rsidRDefault="00A14435" w:rsidP="00A14435">
      <w:pPr>
        <w:pStyle w:val="Default"/>
        <w:jc w:val="both"/>
        <w:rPr>
          <w:color w:val="FF0000"/>
          <w:sz w:val="20"/>
          <w:szCs w:val="20"/>
        </w:rPr>
      </w:pPr>
    </w:p>
    <w:p w14:paraId="571FE7FB" w14:textId="547ADE1B" w:rsidR="00A14435" w:rsidRPr="007E160B" w:rsidRDefault="00A14435" w:rsidP="00A14435">
      <w:pPr>
        <w:rPr>
          <w:iCs/>
        </w:rPr>
      </w:pPr>
      <w:r w:rsidRPr="0055113F">
        <w:t>Druhé z blokačních opatření uvedený</w:t>
      </w:r>
      <w:r>
        <w:t>ch</w:t>
      </w:r>
      <w:r w:rsidRPr="0055113F">
        <w:t xml:space="preserve"> v zákoně o hazardních hrách je </w:t>
      </w:r>
      <w:r w:rsidRPr="00741810">
        <w:rPr>
          <w:b/>
        </w:rPr>
        <w:t>blokace plateb u nepovolených internetových her</w:t>
      </w:r>
      <w:r w:rsidRPr="0055113F">
        <w:t xml:space="preserve">. </w:t>
      </w:r>
      <w:r w:rsidR="00243730">
        <w:t>Toto opatření spočívá v tom, že </w:t>
      </w:r>
      <w:r w:rsidRPr="0055113F">
        <w:t>poskytovatelé</w:t>
      </w:r>
      <w:r w:rsidRPr="0055113F">
        <w:rPr>
          <w:iCs/>
        </w:rPr>
        <w:t xml:space="preserve"> platebních služeb jsou povinni </w:t>
      </w:r>
      <w:r w:rsidR="00243730">
        <w:rPr>
          <w:iCs/>
        </w:rPr>
        <w:t>zamezit platebním transakcím ve </w:t>
      </w:r>
      <w:r w:rsidRPr="0055113F">
        <w:rPr>
          <w:iCs/>
        </w:rPr>
        <w:t xml:space="preserve">prospěch nebo k tíži platebních účtů uvedených na </w:t>
      </w:r>
      <w:r w:rsidR="00D95A43">
        <w:rPr>
          <w:iCs/>
        </w:rPr>
        <w:t xml:space="preserve">tzv. </w:t>
      </w:r>
      <w:r w:rsidR="00735867">
        <w:rPr>
          <w:iCs/>
        </w:rPr>
        <w:t>black-</w:t>
      </w:r>
      <w:r>
        <w:rPr>
          <w:iCs/>
        </w:rPr>
        <w:t xml:space="preserve">listu. </w:t>
      </w:r>
      <w:r w:rsidRPr="007A31DC">
        <w:rPr>
          <w:iCs/>
        </w:rPr>
        <w:t>Podle tohoto opatření je</w:t>
      </w:r>
      <w:r w:rsidRPr="007A31DC">
        <w:t xml:space="preserve"> poskytovatel platebních služeb povinen sp</w:t>
      </w:r>
      <w:r>
        <w:t>lnit svou povinnost ve lhůtě 15 </w:t>
      </w:r>
      <w:r w:rsidRPr="007A31DC">
        <w:t xml:space="preserve">dnů ode dne zveřejnění jedinečného identifikátoru platebního účtu na </w:t>
      </w:r>
      <w:r w:rsidR="00D95A43">
        <w:t xml:space="preserve">tzv. </w:t>
      </w:r>
      <w:r w:rsidR="00243730">
        <w:t>black</w:t>
      </w:r>
      <w:r w:rsidR="00243730">
        <w:noBreakHyphen/>
      </w:r>
      <w:r>
        <w:t>listu</w:t>
      </w:r>
      <w:r w:rsidRPr="007A31DC">
        <w:t>.</w:t>
      </w:r>
    </w:p>
    <w:p w14:paraId="7E135BCD" w14:textId="733745FB" w:rsidR="00A14435" w:rsidRPr="00A57F95" w:rsidRDefault="00A14435" w:rsidP="00A14435">
      <w:pPr>
        <w:rPr>
          <w:b/>
          <w:szCs w:val="24"/>
        </w:rPr>
      </w:pPr>
      <w:r w:rsidRPr="00741810">
        <w:rPr>
          <w:b/>
          <w:szCs w:val="24"/>
        </w:rPr>
        <w:t>Dozorující orgány na základě vlastní úřední činnosti nezaznamenaly po celou dobu účinnosti zákona o hazardních hrác</w:t>
      </w:r>
      <w:r w:rsidR="00243730">
        <w:rPr>
          <w:b/>
          <w:szCs w:val="24"/>
        </w:rPr>
        <w:t>h důvody vedoucí k podezření na </w:t>
      </w:r>
      <w:r w:rsidRPr="00741810">
        <w:rPr>
          <w:b/>
          <w:szCs w:val="24"/>
        </w:rPr>
        <w:t>porušení povinností poskytovatelů platebních služeb</w:t>
      </w:r>
      <w:r w:rsidRPr="00315911">
        <w:rPr>
          <w:szCs w:val="24"/>
        </w:rPr>
        <w:t>.</w:t>
      </w:r>
      <w:r w:rsidRPr="00D0181A">
        <w:rPr>
          <w:szCs w:val="24"/>
        </w:rPr>
        <w:t xml:space="preserve"> Zároveň po celou tuto dobu nebyl evidován podnět třetích osob nebo veřejnosti.</w:t>
      </w:r>
      <w:r w:rsidRPr="00A57F95">
        <w:rPr>
          <w:szCs w:val="24"/>
        </w:rPr>
        <w:t xml:space="preserve"> </w:t>
      </w:r>
    </w:p>
    <w:p w14:paraId="47B5BC96" w14:textId="77777777" w:rsidR="00A14435" w:rsidRPr="00AE3060" w:rsidRDefault="00A14435" w:rsidP="00A14435">
      <w:pPr>
        <w:spacing w:after="0"/>
        <w:rPr>
          <w:rFonts w:cs="Arial"/>
          <w:color w:val="000000" w:themeColor="text1"/>
          <w:szCs w:val="24"/>
          <w:u w:val="single"/>
        </w:rPr>
      </w:pPr>
      <w:r w:rsidRPr="00AE3060">
        <w:rPr>
          <w:rFonts w:cs="Arial"/>
          <w:color w:val="000000" w:themeColor="text1"/>
          <w:szCs w:val="24"/>
          <w:u w:val="single"/>
        </w:rPr>
        <w:t>Dozor nad plněním povinností pověřených osob</w:t>
      </w:r>
    </w:p>
    <w:p w14:paraId="22109CBD" w14:textId="77777777" w:rsidR="00A14435" w:rsidRPr="00A57F95" w:rsidRDefault="00A14435" w:rsidP="00A14435">
      <w:pPr>
        <w:widowControl w:val="0"/>
        <w:autoSpaceDE w:val="0"/>
        <w:autoSpaceDN w:val="0"/>
        <w:adjustRightInd w:val="0"/>
        <w:spacing w:after="0"/>
        <w:rPr>
          <w:rFonts w:cs="Arial"/>
          <w:szCs w:val="24"/>
        </w:rPr>
      </w:pPr>
    </w:p>
    <w:p w14:paraId="7259B4C1" w14:textId="77777777" w:rsidR="00A14435" w:rsidRPr="00D0181A" w:rsidRDefault="00A14435" w:rsidP="00A14435">
      <w:r w:rsidRPr="00741810">
        <w:rPr>
          <w:b/>
        </w:rPr>
        <w:t>Zákon o hazardních hrách ve znění účinném do 31. 12. 2020 neumožňoval pověřené osobě, při zjištění porušení příslušných ustanovení tohoto zákona, uložit sankci</w:t>
      </w:r>
      <w:r w:rsidRPr="00D0181A">
        <w:t xml:space="preserve">. </w:t>
      </w:r>
    </w:p>
    <w:p w14:paraId="767855DB" w14:textId="2A849B5B" w:rsidR="00A14435" w:rsidRPr="00741810" w:rsidRDefault="00A14435" w:rsidP="00A14435">
      <w:pPr>
        <w:rPr>
          <w:b/>
        </w:rPr>
      </w:pPr>
      <w:r w:rsidRPr="00D0181A">
        <w:t xml:space="preserve">Novelou zákona o hazardních hrách je s účinností od 1. 1. 2021 </w:t>
      </w:r>
      <w:r w:rsidRPr="00741810">
        <w:rPr>
          <w:b/>
        </w:rPr>
        <w:t>postih za neplnění dílčích povinností, spolu s maximální výší přípustné sankce, již uveden v</w:t>
      </w:r>
      <w:r w:rsidR="002749E5">
        <w:rPr>
          <w:b/>
        </w:rPr>
        <w:t> </w:t>
      </w:r>
      <w:r w:rsidRPr="00741810">
        <w:rPr>
          <w:b/>
        </w:rPr>
        <w:t>zákoně o hazardních hrách.</w:t>
      </w:r>
    </w:p>
    <w:p w14:paraId="0182BB9B" w14:textId="77777777" w:rsidR="00A14435" w:rsidRDefault="00A14435" w:rsidP="00A14435">
      <w:r>
        <w:t xml:space="preserve">Po celou dobu účinnosti zákona o hazardních hrách však nebyla </w:t>
      </w:r>
      <w:r w:rsidRPr="00315911">
        <w:t>zaznamenán</w:t>
      </w:r>
      <w:r>
        <w:t>a</w:t>
      </w:r>
      <w:r w:rsidRPr="00315911">
        <w:t xml:space="preserve"> taková</w:t>
      </w:r>
      <w:r>
        <w:t xml:space="preserve"> podezření na porušení příslušných povinností pověřenou osobou, která by odůvodňovala zahájení správního řízení ve věci odebrání pověření.</w:t>
      </w:r>
    </w:p>
    <w:p w14:paraId="0F63E554" w14:textId="5F2155E9" w:rsidR="00A14435" w:rsidRPr="00A57F95" w:rsidRDefault="00A14435" w:rsidP="00A14435">
      <w:pPr>
        <w:rPr>
          <w:highlight w:val="yellow"/>
        </w:rPr>
      </w:pPr>
      <w:r w:rsidRPr="00D0181A">
        <w:t>Komunikace s pověřenými osobami do 31. 12. 2020 byla prováděna neformálním způsobem, a to na základě ověřování náležitostí uvedených pověřeno</w:t>
      </w:r>
      <w:r w:rsidR="002218D6">
        <w:t>u osobou ve </w:t>
      </w:r>
      <w:r w:rsidRPr="00D0181A">
        <w:t>výstupních dokumentech. Pokud výstupní dokumenty obsahovaly administrativní nepřesnosti nebo v nich absentovaly</w:t>
      </w:r>
      <w:r w:rsidRPr="00A57F95">
        <w:t xml:space="preserve"> požadované informace, byla pověřená osoba vyzvána k uvedení výstupních dokumentů do souladu s požadovaným stavem. </w:t>
      </w:r>
    </w:p>
    <w:p w14:paraId="06618DF4" w14:textId="4C869B94" w:rsidR="00A14435" w:rsidRPr="00AE3060" w:rsidRDefault="00A14435" w:rsidP="00A14435">
      <w:pPr>
        <w:rPr>
          <w:rFonts w:cs="Arial"/>
          <w:szCs w:val="24"/>
          <w:u w:val="single"/>
        </w:rPr>
      </w:pPr>
      <w:r w:rsidRPr="00AE3060">
        <w:rPr>
          <w:u w:val="single"/>
        </w:rPr>
        <w:t>Souhrnná informace k podmínkám pro výkon dozoru v  land-based</w:t>
      </w:r>
      <w:r w:rsidR="00566357">
        <w:rPr>
          <w:u w:val="single"/>
        </w:rPr>
        <w:t xml:space="preserve"> </w:t>
      </w:r>
      <w:r w:rsidR="00566357" w:rsidRPr="00566357">
        <w:rPr>
          <w:u w:val="single"/>
        </w:rPr>
        <w:t>prostředí</w:t>
      </w:r>
      <w:r w:rsidRPr="00AE3060">
        <w:rPr>
          <w:u w:val="single"/>
        </w:rPr>
        <w:t xml:space="preserve"> a v prostředí  on-line</w:t>
      </w:r>
    </w:p>
    <w:p w14:paraId="678F7EBA" w14:textId="1CE9BCCA" w:rsidR="00A14435" w:rsidRPr="00006045" w:rsidRDefault="00A14435" w:rsidP="00A14435">
      <w:r>
        <w:t>Shora uvedené lze v souvislosti s podmínkami vytvořenými pro řádný dozor shrnout tak, že z</w:t>
      </w:r>
      <w:r w:rsidRPr="00566A2D">
        <w:t xml:space="preserve">ákon o loteriích </w:t>
      </w:r>
      <w:r w:rsidRPr="00D0181A">
        <w:t xml:space="preserve">neobsahoval dostatečnou úpravu podmínek pro </w:t>
      </w:r>
      <w:r>
        <w:t xml:space="preserve">řádný </w:t>
      </w:r>
      <w:r w:rsidRPr="00D0181A">
        <w:t xml:space="preserve">výkon dozoru, zejména pak </w:t>
      </w:r>
      <w:r>
        <w:t xml:space="preserve">byl zcela nedostatečný z hlediska oprávnění dozorujících orgánů </w:t>
      </w:r>
      <w:r w:rsidRPr="00D0181A">
        <w:t>pro efektivní postup vůči nelegálně provozovaným hazardním hrám provozovaným formou land-based.</w:t>
      </w:r>
      <w:r>
        <w:t xml:space="preserve"> </w:t>
      </w:r>
      <w:r w:rsidRPr="00741810">
        <w:rPr>
          <w:b/>
        </w:rPr>
        <w:t>Teprve až zákon o hazardních hrách vytvořil podmínky pro efektivní a účinný postup při kontrole hazardních her provozovaných formou land-based, a to zejména prostřednictvím zvláštních oprávněních spočívajících zejména v oprávnění umožňující zadržení věci a</w:t>
      </w:r>
      <w:r w:rsidR="002749E5">
        <w:rPr>
          <w:b/>
        </w:rPr>
        <w:t> </w:t>
      </w:r>
      <w:r w:rsidRPr="00741810">
        <w:rPr>
          <w:b/>
        </w:rPr>
        <w:t>právu vstupu dozorujícího orgánu, a to i za použití síly</w:t>
      </w:r>
      <w:r>
        <w:t>.</w:t>
      </w:r>
    </w:p>
    <w:p w14:paraId="06FD86CB" w14:textId="26EFC616" w:rsidR="00A14435" w:rsidRPr="0028156E" w:rsidRDefault="00A14435" w:rsidP="00A14435">
      <w:r w:rsidRPr="0028156E">
        <w:t>Na základě novely zákona o hazardních hrách</w:t>
      </w:r>
      <w:r>
        <w:t>, která nabyla účinnosti k 1. </w:t>
      </w:r>
      <w:r w:rsidRPr="0028156E">
        <w:t xml:space="preserve">1. 2021, </w:t>
      </w:r>
      <w:r>
        <w:t xml:space="preserve">rovněž </w:t>
      </w:r>
      <w:r w:rsidRPr="0028156E">
        <w:t xml:space="preserve">došlo ve věci </w:t>
      </w:r>
      <w:r w:rsidRPr="00741810">
        <w:rPr>
          <w:b/>
        </w:rPr>
        <w:t>zadržení věci</w:t>
      </w:r>
      <w:r w:rsidRPr="0028156E">
        <w:t xml:space="preserve"> a </w:t>
      </w:r>
      <w:r w:rsidRPr="00741810">
        <w:rPr>
          <w:b/>
        </w:rPr>
        <w:t>doručování písemností</w:t>
      </w:r>
      <w:r>
        <w:t xml:space="preserve"> </w:t>
      </w:r>
      <w:r w:rsidRPr="0028156E">
        <w:t>k níže uvedeným změnám, které optimalizovaly podmínky pro kontrolu a odstranil</w:t>
      </w:r>
      <w:r>
        <w:t>y</w:t>
      </w:r>
      <w:r w:rsidR="002218D6">
        <w:t xml:space="preserve"> nedostatky, které </w:t>
      </w:r>
      <w:r w:rsidRPr="0028156E">
        <w:t xml:space="preserve">byly dozorujícími orgány v souvislosti s dozorem </w:t>
      </w:r>
      <w:r>
        <w:t>identifikovány.</w:t>
      </w:r>
      <w:r w:rsidRPr="0028156E">
        <w:t xml:space="preserve"> </w:t>
      </w:r>
    </w:p>
    <w:p w14:paraId="4728D40A" w14:textId="21B480B5" w:rsidR="00A14435" w:rsidRPr="00A57F95" w:rsidRDefault="00A14435" w:rsidP="00A14435">
      <w:pPr>
        <w:rPr>
          <w:rFonts w:eastAsia="Times New Roman"/>
          <w:lang w:eastAsia="cs-CZ"/>
        </w:rPr>
      </w:pPr>
      <w:r w:rsidRPr="00A57F95">
        <w:t>Do</w:t>
      </w:r>
      <w:r w:rsidRPr="00A57F95">
        <w:rPr>
          <w:rFonts w:eastAsia="Times New Roman"/>
          <w:lang w:eastAsia="cs-CZ"/>
        </w:rPr>
        <w:t xml:space="preserve">zorujícímu </w:t>
      </w:r>
      <w:r w:rsidRPr="00D0181A">
        <w:rPr>
          <w:rFonts w:eastAsia="Times New Roman"/>
          <w:lang w:eastAsia="cs-CZ"/>
        </w:rPr>
        <w:t xml:space="preserve">orgánu je </w:t>
      </w:r>
      <w:r w:rsidRPr="00023807">
        <w:rPr>
          <w:rFonts w:eastAsia="Times New Roman"/>
          <w:b/>
          <w:lang w:eastAsia="cs-CZ"/>
        </w:rPr>
        <w:t>od 1. 1. 2021 umožněno zadrženou věc ponechat osobě, které byla zadržena</w:t>
      </w:r>
      <w:r w:rsidRPr="00D0181A">
        <w:rPr>
          <w:rFonts w:eastAsia="Times New Roman"/>
          <w:lang w:eastAsia="cs-CZ"/>
        </w:rPr>
        <w:t xml:space="preserve">. </w:t>
      </w:r>
      <w:r w:rsidRPr="00023807">
        <w:rPr>
          <w:rFonts w:eastAsia="Times New Roman"/>
          <w:b/>
          <w:lang w:eastAsia="cs-CZ"/>
        </w:rPr>
        <w:t>Tento postup je v praxi efektivnější</w:t>
      </w:r>
      <w:r w:rsidRPr="00D0181A">
        <w:rPr>
          <w:rFonts w:eastAsia="Times New Roman"/>
          <w:lang w:eastAsia="cs-CZ"/>
        </w:rPr>
        <w:t xml:space="preserve"> a pro danou osobu i</w:t>
      </w:r>
      <w:r w:rsidR="002749E5">
        <w:rPr>
          <w:rFonts w:eastAsia="Times New Roman"/>
          <w:lang w:eastAsia="cs-CZ"/>
        </w:rPr>
        <w:t> </w:t>
      </w:r>
      <w:r w:rsidRPr="00D0181A">
        <w:rPr>
          <w:rFonts w:eastAsia="Times New Roman"/>
          <w:lang w:eastAsia="cs-CZ"/>
        </w:rPr>
        <w:t>dozorující orgán méně zatěžující a nákladný, než v případě fyzického převzetí věci dozorujícím orgánem a jejím uskladněním</w:t>
      </w:r>
      <w:r w:rsidRPr="00A57F95">
        <w:rPr>
          <w:rFonts w:eastAsia="Times New Roman"/>
          <w:lang w:eastAsia="cs-CZ"/>
        </w:rPr>
        <w:t xml:space="preserve"> mimo dosah dozorované osoby. Osoba, které byla věc zadržena, zároveň nesmí pod hrozbou sankce, věc z</w:t>
      </w:r>
      <w:r>
        <w:rPr>
          <w:rFonts w:eastAsia="Times New Roman"/>
          <w:lang w:eastAsia="cs-CZ"/>
        </w:rPr>
        <w:t>ničit ani s ní jinak nakládat s </w:t>
      </w:r>
      <w:r w:rsidRPr="00A57F95">
        <w:rPr>
          <w:rFonts w:eastAsia="Times New Roman"/>
          <w:lang w:eastAsia="cs-CZ"/>
        </w:rPr>
        <w:t xml:space="preserve">výjimkou jejího držení nebo skladování. </w:t>
      </w:r>
      <w:r w:rsidRPr="00023807">
        <w:rPr>
          <w:rFonts w:eastAsia="Times New Roman"/>
          <w:b/>
          <w:lang w:eastAsia="cs-CZ"/>
        </w:rPr>
        <w:t>Tento postup se uplatní také v</w:t>
      </w:r>
      <w:r w:rsidR="002749E5">
        <w:rPr>
          <w:rFonts w:eastAsia="Times New Roman"/>
          <w:b/>
          <w:lang w:eastAsia="cs-CZ"/>
        </w:rPr>
        <w:t> </w:t>
      </w:r>
      <w:r w:rsidRPr="00023807">
        <w:rPr>
          <w:rFonts w:eastAsia="Times New Roman"/>
          <w:b/>
          <w:lang w:eastAsia="cs-CZ"/>
        </w:rPr>
        <w:t>případech, kdy není možné zadrženou věc odejmout bez jejího poškození nebo vzniku jiné škody, například proto, že je stavebně zabudována</w:t>
      </w:r>
      <w:r w:rsidRPr="00A57F95">
        <w:rPr>
          <w:rFonts w:eastAsia="Times New Roman"/>
          <w:lang w:eastAsia="cs-CZ"/>
        </w:rPr>
        <w:t>.</w:t>
      </w:r>
    </w:p>
    <w:p w14:paraId="045B699D" w14:textId="77777777" w:rsidR="00A14435" w:rsidRPr="00D0181A" w:rsidRDefault="00A14435" w:rsidP="00A14435">
      <w:pPr>
        <w:rPr>
          <w:rFonts w:ascii="Times New Roman" w:eastAsia="Times New Roman" w:hAnsi="Times New Roman" w:cs="Times New Roman"/>
          <w:lang w:eastAsia="cs-CZ"/>
        </w:rPr>
      </w:pPr>
      <w:r w:rsidRPr="00A57F95">
        <w:rPr>
          <w:rFonts w:eastAsia="Times New Roman"/>
          <w:lang w:eastAsia="cs-CZ"/>
        </w:rPr>
        <w:t xml:space="preserve">Dále je od 1. 1. 2021 dozorující orgán oprávněn osobě provozující hazardní hry, která má sídlo nebo </w:t>
      </w:r>
      <w:r w:rsidRPr="00D0181A">
        <w:rPr>
          <w:rFonts w:eastAsia="Times New Roman"/>
          <w:lang w:eastAsia="cs-CZ"/>
        </w:rPr>
        <w:t xml:space="preserve">místo pobytu mimo Českou republiku, jiný členský stát Evropské unie nebo stát, který je smluvní stranou Dohody o Evropském hospodářském prostoru, </w:t>
      </w:r>
      <w:r w:rsidRPr="00023807">
        <w:rPr>
          <w:rFonts w:eastAsia="Times New Roman"/>
          <w:b/>
          <w:lang w:eastAsia="cs-CZ"/>
        </w:rPr>
        <w:t>doručovat písemnosti veřejnou vyhláškou</w:t>
      </w:r>
      <w:r>
        <w:rPr>
          <w:rFonts w:eastAsia="Times New Roman"/>
          <w:lang w:eastAsia="cs-CZ"/>
        </w:rPr>
        <w:t>.</w:t>
      </w:r>
      <w:r w:rsidRPr="00D0181A">
        <w:rPr>
          <w:rFonts w:eastAsia="Times New Roman"/>
          <w:lang w:eastAsia="cs-CZ"/>
        </w:rPr>
        <w:t xml:space="preserve"> Tato změna výrazně </w:t>
      </w:r>
      <w:r w:rsidRPr="00023807">
        <w:rPr>
          <w:rFonts w:eastAsia="Times New Roman"/>
          <w:b/>
          <w:lang w:eastAsia="cs-CZ"/>
        </w:rPr>
        <w:t>urychluje výkon dozoru a zároveň má pozitivní dopady na časovou náročnost řízení</w:t>
      </w:r>
      <w:r w:rsidRPr="00D0181A">
        <w:rPr>
          <w:rFonts w:eastAsia="Times New Roman"/>
          <w:lang w:eastAsia="cs-CZ"/>
        </w:rPr>
        <w:t>. V případech, kdy je dozor</w:t>
      </w:r>
      <w:r>
        <w:rPr>
          <w:rFonts w:eastAsia="Times New Roman"/>
          <w:lang w:eastAsia="cs-CZ"/>
        </w:rPr>
        <w:t>ujícímu</w:t>
      </w:r>
      <w:r w:rsidRPr="00D0181A">
        <w:rPr>
          <w:rFonts w:eastAsia="Times New Roman"/>
          <w:lang w:eastAsia="cs-CZ"/>
        </w:rPr>
        <w:t xml:space="preserve"> orgánu známo místo pobytu nebo sídlo takového provozovatele, je mu vždy písemnost zaslána na vědomí.</w:t>
      </w:r>
      <w:r w:rsidRPr="00D0181A">
        <w:rPr>
          <w:rFonts w:ascii="Times New Roman" w:eastAsia="Times New Roman" w:hAnsi="Times New Roman" w:cs="Times New Roman"/>
          <w:lang w:eastAsia="cs-CZ"/>
        </w:rPr>
        <w:t xml:space="preserve"> </w:t>
      </w:r>
    </w:p>
    <w:p w14:paraId="41EF67AE" w14:textId="6593A288" w:rsidR="00A14435" w:rsidRDefault="00A14435" w:rsidP="00A14435">
      <w:r w:rsidRPr="00AE3060">
        <w:rPr>
          <w:rFonts w:eastAsia="Times New Roman"/>
          <w:b/>
          <w:lang w:eastAsia="cs-CZ"/>
        </w:rPr>
        <w:t xml:space="preserve">Procesní úprava vyplývající z kontrolního řádu, spolu se zvláštními </w:t>
      </w:r>
      <w:r w:rsidRPr="00AE3060">
        <w:rPr>
          <w:b/>
        </w:rPr>
        <w:t>oprávněními dozor</w:t>
      </w:r>
      <w:r>
        <w:rPr>
          <w:b/>
        </w:rPr>
        <w:t xml:space="preserve">ujících </w:t>
      </w:r>
      <w:r w:rsidRPr="00AE3060">
        <w:rPr>
          <w:b/>
        </w:rPr>
        <w:t>orgánů podle zákona o hazardních hrách a právní úpravou obsaženou v zákoně o Celní správě, v</w:t>
      </w:r>
      <w:r w:rsidR="002218D6">
        <w:rPr>
          <w:b/>
        </w:rPr>
        <w:t>ytvářejí optimální podmínky pro </w:t>
      </w:r>
      <w:r w:rsidRPr="00AE3060">
        <w:rPr>
          <w:b/>
        </w:rPr>
        <w:t>řádný výkon dozoru.</w:t>
      </w:r>
      <w:r>
        <w:t xml:space="preserve"> </w:t>
      </w:r>
      <w:r w:rsidRPr="00AE3060">
        <w:rPr>
          <w:b/>
        </w:rPr>
        <w:t>Na základě vyhodnocení aktuální právní úpravy hazardních her z hlediska výkonu dozoru nebyly shledány žádné nedostatky bránící optimálnímu výkonu dozoru</w:t>
      </w:r>
      <w:r w:rsidRPr="0028156E">
        <w:t xml:space="preserve">.  </w:t>
      </w:r>
    </w:p>
    <w:p w14:paraId="1869482B" w14:textId="492EBF26" w:rsidR="00A14435" w:rsidRPr="00AE3060" w:rsidRDefault="00A14435" w:rsidP="00A14435">
      <w:pPr>
        <w:rPr>
          <w:u w:val="single"/>
        </w:rPr>
      </w:pPr>
      <w:r w:rsidRPr="00AE3060">
        <w:rPr>
          <w:u w:val="single"/>
        </w:rPr>
        <w:t>Souhrnná informace k  pokutám uloženým Ministerstvem financí a Celní správou za přestupky legálních a nelegálních provozovatelů zjištěné rámci výkonu dozoru v</w:t>
      </w:r>
      <w:r w:rsidR="00566357">
        <w:rPr>
          <w:u w:val="single"/>
        </w:rPr>
        <w:t xml:space="preserve"> </w:t>
      </w:r>
      <w:r w:rsidRPr="00AE3060">
        <w:rPr>
          <w:u w:val="single"/>
        </w:rPr>
        <w:t xml:space="preserve">land-based </w:t>
      </w:r>
      <w:r w:rsidR="00566357" w:rsidRPr="00566357">
        <w:rPr>
          <w:u w:val="single"/>
        </w:rPr>
        <w:t xml:space="preserve">prostředí </w:t>
      </w:r>
      <w:r w:rsidRPr="00AE3060">
        <w:rPr>
          <w:u w:val="single"/>
        </w:rPr>
        <w:t>a v prostředí  on-line za období 2017 – 2020</w:t>
      </w:r>
    </w:p>
    <w:p w14:paraId="1A0257D0" w14:textId="25D0134B" w:rsidR="00A14435" w:rsidRDefault="00A14435" w:rsidP="00A14435">
      <w:pPr>
        <w:spacing w:after="0"/>
      </w:pPr>
      <w:r w:rsidRPr="00D01F2C">
        <w:rPr>
          <w:color w:val="000000" w:themeColor="text1"/>
        </w:rPr>
        <w:t>Na základě novely zákona o hazardních hrách</w:t>
      </w:r>
      <w:r>
        <w:rPr>
          <w:color w:val="000000" w:themeColor="text1"/>
        </w:rPr>
        <w:t>, která nabyla účinnosti k 1. </w:t>
      </w:r>
      <w:r w:rsidRPr="00D01F2C">
        <w:rPr>
          <w:color w:val="000000" w:themeColor="text1"/>
        </w:rPr>
        <w:t>1. 2021, byla kompetence k </w:t>
      </w:r>
      <w:r>
        <w:rPr>
          <w:color w:val="000000" w:themeColor="text1"/>
        </w:rPr>
        <w:t>projednávání</w:t>
      </w:r>
      <w:r w:rsidRPr="00D01F2C">
        <w:rPr>
          <w:color w:val="000000" w:themeColor="text1"/>
        </w:rPr>
        <w:t xml:space="preserve"> přestupků za ce</w:t>
      </w:r>
      <w:r w:rsidR="002218D6">
        <w:rPr>
          <w:color w:val="000000" w:themeColor="text1"/>
        </w:rPr>
        <w:t>lou oblast hazardních her, tedy</w:t>
      </w:r>
      <w:r w:rsidR="001F7A73">
        <w:rPr>
          <w:color w:val="000000" w:themeColor="text1"/>
        </w:rPr>
        <w:t xml:space="preserve"> </w:t>
      </w:r>
      <w:r>
        <w:rPr>
          <w:color w:val="000000" w:themeColor="text1"/>
        </w:rPr>
        <w:t>i v souvislosti s provozováním</w:t>
      </w:r>
      <w:r w:rsidRPr="00D01F2C">
        <w:rPr>
          <w:color w:val="000000" w:themeColor="text1"/>
        </w:rPr>
        <w:t xml:space="preserve"> internetových</w:t>
      </w:r>
      <w:r>
        <w:rPr>
          <w:color w:val="000000" w:themeColor="text1"/>
        </w:rPr>
        <w:t xml:space="preserve"> hazardních her</w:t>
      </w:r>
      <w:r w:rsidRPr="00D01F2C">
        <w:rPr>
          <w:color w:val="000000" w:themeColor="text1"/>
        </w:rPr>
        <w:t>, převedena komplexně na</w:t>
      </w:r>
      <w:r w:rsidRPr="00D01F2C">
        <w:t xml:space="preserve"> </w:t>
      </w:r>
      <w:r>
        <w:t xml:space="preserve">celní úřady </w:t>
      </w:r>
      <w:r w:rsidRPr="00D01F2C">
        <w:t>(do 31. 12. 2020 bylo k řešení přestupků na internetu příslušné Ministerstvo financí).</w:t>
      </w:r>
      <w:r>
        <w:t xml:space="preserve"> </w:t>
      </w:r>
      <w:r w:rsidRPr="00FA4BAA">
        <w:t xml:space="preserve"> </w:t>
      </w:r>
      <w:r w:rsidRPr="00023807">
        <w:rPr>
          <w:b/>
        </w:rPr>
        <w:t xml:space="preserve">V důsledku převedení kompetence </w:t>
      </w:r>
      <w:r w:rsidRPr="00023807">
        <w:rPr>
          <w:b/>
          <w:color w:val="000000" w:themeColor="text1"/>
        </w:rPr>
        <w:t>k projednávání přestupků za celou oblast hazardních her</w:t>
      </w:r>
      <w:r w:rsidRPr="00023807">
        <w:rPr>
          <w:b/>
        </w:rPr>
        <w:t xml:space="preserve"> na celní úřady došlo ke snížení koncentrace pravomoci Ministerstva financí,</w:t>
      </w:r>
      <w:r>
        <w:t xml:space="preserve"> které je i nadále orgánem příslušným mimo jiné k vydání základního povolení a ke kontrole dodržování zákona o</w:t>
      </w:r>
      <w:r w:rsidR="00352BA5">
        <w:t> </w:t>
      </w:r>
      <w:r>
        <w:t>hazardních hrách.</w:t>
      </w:r>
    </w:p>
    <w:p w14:paraId="66EF9742" w14:textId="77777777" w:rsidR="00A14435" w:rsidRDefault="00A14435" w:rsidP="00A14435">
      <w:pPr>
        <w:spacing w:after="0"/>
        <w:rPr>
          <w:b/>
        </w:rPr>
      </w:pPr>
    </w:p>
    <w:p w14:paraId="6BE7AA2D" w14:textId="4E8B8C52" w:rsidR="00A3179D" w:rsidRDefault="00A3179D" w:rsidP="00A3179D">
      <w:pPr>
        <w:pStyle w:val="Titulek"/>
        <w:keepNext/>
      </w:pPr>
      <w:bookmarkStart w:id="36" w:name="_Toc73531942"/>
      <w:r>
        <w:t xml:space="preserve">Graf č. </w:t>
      </w:r>
      <w:fldSimple w:instr=" SEQ Graf_č. \* ARABIC ">
        <w:r w:rsidR="005F741F">
          <w:rPr>
            <w:noProof/>
          </w:rPr>
          <w:t>21</w:t>
        </w:r>
      </w:fldSimple>
      <w:r>
        <w:t xml:space="preserve">: </w:t>
      </w:r>
      <w:r w:rsidRPr="003B0BD8">
        <w:t xml:space="preserve">Celková výše Ministerstvem financí uložených pokut za </w:t>
      </w:r>
      <w:r w:rsidR="002218D6">
        <w:rPr>
          <w:b/>
        </w:rPr>
        <w:t>legální a </w:t>
      </w:r>
      <w:r w:rsidRPr="00A3179D">
        <w:rPr>
          <w:b/>
        </w:rPr>
        <w:t>nelegální</w:t>
      </w:r>
      <w:r w:rsidRPr="003B0BD8">
        <w:t xml:space="preserve"> provozování v on-line prostředí za období 2017 – 2020 (v mil. Kč)</w:t>
      </w:r>
      <w:bookmarkEnd w:id="36"/>
    </w:p>
    <w:p w14:paraId="33B01216" w14:textId="77777777" w:rsidR="00A14435" w:rsidRDefault="00A14435" w:rsidP="00A14435">
      <w:pPr>
        <w:spacing w:after="0"/>
      </w:pPr>
      <w:r>
        <w:rPr>
          <w:noProof/>
          <w:lang w:eastAsia="cs-CZ"/>
        </w:rPr>
        <w:drawing>
          <wp:inline distT="0" distB="0" distL="0" distR="0" wp14:anchorId="325C8CA0" wp14:editId="238B91C5">
            <wp:extent cx="4572000" cy="1962150"/>
            <wp:effectExtent l="0" t="0" r="0" b="0"/>
            <wp:docPr id="86" name="Graf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4B29CE1" w14:textId="41D9FEC8" w:rsidR="00A14435" w:rsidRPr="00A3179D" w:rsidRDefault="00A14435" w:rsidP="00A3179D">
      <w:pPr>
        <w:pStyle w:val="Odstavecseseznamem"/>
        <w:autoSpaceDE w:val="0"/>
        <w:autoSpaceDN w:val="0"/>
        <w:adjustRightInd w:val="0"/>
        <w:spacing w:after="0"/>
        <w:ind w:left="0"/>
        <w:jc w:val="both"/>
        <w:rPr>
          <w:rFonts w:ascii="Arial" w:hAnsi="Arial" w:cs="Arial"/>
          <w:i/>
          <w:sz w:val="20"/>
          <w:szCs w:val="20"/>
        </w:rPr>
      </w:pPr>
      <w:r w:rsidRPr="00A3179D">
        <w:rPr>
          <w:rFonts w:ascii="Arial" w:hAnsi="Arial" w:cs="Arial"/>
          <w:i/>
          <w:sz w:val="20"/>
          <w:szCs w:val="20"/>
        </w:rPr>
        <w:t>Zdroj: Ministerstvo financí</w:t>
      </w:r>
      <w:r w:rsidR="00A3179D">
        <w:rPr>
          <w:rFonts w:ascii="Arial" w:hAnsi="Arial" w:cs="Arial"/>
          <w:i/>
          <w:sz w:val="20"/>
          <w:szCs w:val="20"/>
        </w:rPr>
        <w:t>.</w:t>
      </w:r>
    </w:p>
    <w:p w14:paraId="533910C5" w14:textId="77777777" w:rsidR="00A14435" w:rsidRDefault="00A14435" w:rsidP="00A14435">
      <w:pPr>
        <w:spacing w:after="0"/>
      </w:pPr>
    </w:p>
    <w:p w14:paraId="2B59DCA3" w14:textId="5F593C4D" w:rsidR="00A3179D" w:rsidRDefault="00A3179D" w:rsidP="00A3179D">
      <w:pPr>
        <w:pStyle w:val="Titulek"/>
        <w:keepNext/>
      </w:pPr>
      <w:bookmarkStart w:id="37" w:name="_Toc73531943"/>
      <w:r>
        <w:t xml:space="preserve">Graf č. </w:t>
      </w:r>
      <w:fldSimple w:instr=" SEQ Graf_č. \* ARABIC ">
        <w:r w:rsidR="005F741F">
          <w:rPr>
            <w:noProof/>
          </w:rPr>
          <w:t>22</w:t>
        </w:r>
      </w:fldSimple>
      <w:r>
        <w:t xml:space="preserve">: </w:t>
      </w:r>
      <w:r w:rsidRPr="00792ED3">
        <w:t xml:space="preserve"> Porovnání počtu a výše pokut pravomocně uložených Celní správou ČR za </w:t>
      </w:r>
      <w:r w:rsidRPr="002655CB">
        <w:rPr>
          <w:b/>
        </w:rPr>
        <w:t>legální a nelegální</w:t>
      </w:r>
      <w:r w:rsidRPr="00792ED3">
        <w:t xml:space="preserve"> provozování v land</w:t>
      </w:r>
      <w:r w:rsidR="00566357">
        <w:t>-</w:t>
      </w:r>
      <w:r>
        <w:t>based</w:t>
      </w:r>
      <w:r w:rsidR="00566357">
        <w:t xml:space="preserve"> </w:t>
      </w:r>
      <w:r w:rsidR="00566357" w:rsidRPr="00566357">
        <w:t>prostředí</w:t>
      </w:r>
      <w:r>
        <w:t xml:space="preserve"> za období 2017 – 2020 (v </w:t>
      </w:r>
      <w:r w:rsidRPr="00792ED3">
        <w:t>mil. Kč)</w:t>
      </w:r>
      <w:bookmarkEnd w:id="37"/>
    </w:p>
    <w:p w14:paraId="2D2CCF76" w14:textId="77777777" w:rsidR="00A14435" w:rsidRDefault="00A14435" w:rsidP="00A14435">
      <w:pPr>
        <w:spacing w:after="80"/>
        <w:rPr>
          <w:rFonts w:cs="Arial"/>
          <w:szCs w:val="24"/>
        </w:rPr>
      </w:pPr>
      <w:r w:rsidRPr="00B80D78">
        <w:rPr>
          <w:rFonts w:cs="Arial"/>
          <w:noProof/>
          <w:szCs w:val="24"/>
          <w:lang w:eastAsia="cs-CZ"/>
        </w:rPr>
        <w:drawing>
          <wp:inline distT="0" distB="0" distL="0" distR="0" wp14:anchorId="3C63FC85" wp14:editId="62DB5EDE">
            <wp:extent cx="5760720" cy="2365375"/>
            <wp:effectExtent l="0" t="0" r="11430" b="15875"/>
            <wp:docPr id="87" name="Graf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B1FB63D" w14:textId="77777777" w:rsidR="00A14435" w:rsidRPr="00A3179D" w:rsidRDefault="00A14435" w:rsidP="00A3179D">
      <w:pPr>
        <w:pStyle w:val="Odstavecseseznamem"/>
        <w:autoSpaceDE w:val="0"/>
        <w:autoSpaceDN w:val="0"/>
        <w:adjustRightInd w:val="0"/>
        <w:spacing w:after="0"/>
        <w:ind w:left="0"/>
        <w:jc w:val="both"/>
        <w:rPr>
          <w:rFonts w:ascii="Arial" w:hAnsi="Arial" w:cs="Arial"/>
          <w:i/>
          <w:sz w:val="20"/>
          <w:szCs w:val="20"/>
        </w:rPr>
      </w:pPr>
      <w:r w:rsidRPr="00A3179D">
        <w:rPr>
          <w:rFonts w:ascii="Arial" w:hAnsi="Arial" w:cs="Arial"/>
          <w:i/>
          <w:sz w:val="20"/>
          <w:szCs w:val="20"/>
        </w:rPr>
        <w:t>Zdroj: Celní správa.</w:t>
      </w:r>
    </w:p>
    <w:p w14:paraId="7A9F09DD" w14:textId="77777777" w:rsidR="00A14435" w:rsidRDefault="00A14435" w:rsidP="00A14435">
      <w:pPr>
        <w:spacing w:after="0"/>
        <w:rPr>
          <w:rFonts w:cs="Arial"/>
          <w:szCs w:val="24"/>
        </w:rPr>
      </w:pPr>
    </w:p>
    <w:p w14:paraId="0E944A26" w14:textId="77777777" w:rsidR="00A3179D" w:rsidRDefault="00A3179D" w:rsidP="00A14435">
      <w:pPr>
        <w:spacing w:after="80"/>
        <w:rPr>
          <w:i/>
        </w:rPr>
      </w:pPr>
    </w:p>
    <w:p w14:paraId="61340BF9" w14:textId="77777777" w:rsidR="00A3179D" w:rsidRDefault="00A3179D" w:rsidP="00A14435">
      <w:pPr>
        <w:spacing w:after="80"/>
        <w:rPr>
          <w:i/>
        </w:rPr>
      </w:pPr>
    </w:p>
    <w:p w14:paraId="4CC8724D" w14:textId="77777777" w:rsidR="00A3179D" w:rsidRDefault="00A3179D" w:rsidP="00A14435">
      <w:pPr>
        <w:spacing w:after="80"/>
        <w:rPr>
          <w:i/>
        </w:rPr>
      </w:pPr>
    </w:p>
    <w:p w14:paraId="59A243F8" w14:textId="77777777" w:rsidR="00A3179D" w:rsidRDefault="00A3179D" w:rsidP="00A14435">
      <w:pPr>
        <w:spacing w:after="80"/>
        <w:rPr>
          <w:i/>
        </w:rPr>
      </w:pPr>
    </w:p>
    <w:p w14:paraId="771CBDBC" w14:textId="77777777" w:rsidR="00A3179D" w:rsidRDefault="00A3179D" w:rsidP="00A14435">
      <w:pPr>
        <w:spacing w:after="80"/>
        <w:rPr>
          <w:i/>
        </w:rPr>
      </w:pPr>
    </w:p>
    <w:p w14:paraId="4BDDDC27" w14:textId="77777777" w:rsidR="00A3179D" w:rsidRDefault="00A3179D" w:rsidP="00A14435">
      <w:pPr>
        <w:spacing w:after="80"/>
        <w:rPr>
          <w:i/>
        </w:rPr>
      </w:pPr>
    </w:p>
    <w:p w14:paraId="0A088ECF" w14:textId="77777777" w:rsidR="00A3179D" w:rsidRDefault="00A3179D" w:rsidP="00A14435">
      <w:pPr>
        <w:spacing w:after="80"/>
        <w:rPr>
          <w:i/>
        </w:rPr>
      </w:pPr>
    </w:p>
    <w:p w14:paraId="37F072AA" w14:textId="4FA5E7B3" w:rsidR="00A3179D" w:rsidRDefault="00A3179D" w:rsidP="00A3179D">
      <w:pPr>
        <w:pStyle w:val="Titulek"/>
        <w:keepNext/>
      </w:pPr>
      <w:bookmarkStart w:id="38" w:name="_Toc73531944"/>
      <w:r>
        <w:t xml:space="preserve">Graf č. </w:t>
      </w:r>
      <w:fldSimple w:instr=" SEQ Graf_č. \* ARABIC ">
        <w:r w:rsidR="005F741F">
          <w:rPr>
            <w:noProof/>
          </w:rPr>
          <w:t>23</w:t>
        </w:r>
      </w:fldSimple>
      <w:r>
        <w:t xml:space="preserve">: </w:t>
      </w:r>
      <w:r w:rsidRPr="009815F4">
        <w:t xml:space="preserve">Porovnání počtu a výše pokut uložených Celní správou ČR za </w:t>
      </w:r>
      <w:r w:rsidRPr="00A3179D">
        <w:rPr>
          <w:b/>
        </w:rPr>
        <w:t>legální</w:t>
      </w:r>
      <w:r w:rsidRPr="009815F4">
        <w:t xml:space="preserve"> provozování v land</w:t>
      </w:r>
      <w:r w:rsidR="00566357">
        <w:t>-</w:t>
      </w:r>
      <w:r w:rsidRPr="009815F4">
        <w:t xml:space="preserve">based </w:t>
      </w:r>
      <w:r w:rsidR="00566357" w:rsidRPr="00566357">
        <w:t xml:space="preserve">prostředí </w:t>
      </w:r>
      <w:r w:rsidRPr="009815F4">
        <w:t>za období 2017 – 2020 (v mil. Kč)</w:t>
      </w:r>
      <w:bookmarkEnd w:id="38"/>
    </w:p>
    <w:p w14:paraId="39DD6F56" w14:textId="77777777" w:rsidR="00A14435" w:rsidRDefault="00A14435" w:rsidP="00A14435">
      <w:pPr>
        <w:spacing w:after="80"/>
      </w:pPr>
      <w:r w:rsidRPr="003445BC">
        <w:rPr>
          <w:noProof/>
          <w:lang w:eastAsia="cs-CZ"/>
        </w:rPr>
        <w:drawing>
          <wp:inline distT="0" distB="0" distL="0" distR="0" wp14:anchorId="14D361B6" wp14:editId="0C584EA6">
            <wp:extent cx="5760720" cy="2743200"/>
            <wp:effectExtent l="0" t="0" r="11430" b="0"/>
            <wp:docPr id="88" name="Graf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F04F687" w14:textId="77777777" w:rsidR="00A14435" w:rsidRPr="002655CB" w:rsidRDefault="00A14435" w:rsidP="00A14435">
      <w:pPr>
        <w:pStyle w:val="Odstavecseseznamem"/>
        <w:autoSpaceDE w:val="0"/>
        <w:autoSpaceDN w:val="0"/>
        <w:adjustRightInd w:val="0"/>
        <w:spacing w:after="0"/>
        <w:ind w:left="0"/>
        <w:rPr>
          <w:rFonts w:ascii="Arial" w:hAnsi="Arial" w:cs="Arial"/>
          <w:i/>
          <w:sz w:val="20"/>
          <w:szCs w:val="20"/>
        </w:rPr>
      </w:pPr>
      <w:r w:rsidRPr="002655CB">
        <w:rPr>
          <w:rFonts w:ascii="Arial" w:hAnsi="Arial" w:cs="Arial"/>
          <w:i/>
          <w:sz w:val="20"/>
          <w:szCs w:val="20"/>
        </w:rPr>
        <w:t>Zdroj: Celní správa.</w:t>
      </w:r>
    </w:p>
    <w:p w14:paraId="7C729366" w14:textId="77777777" w:rsidR="00A14435" w:rsidRDefault="00A14435" w:rsidP="00A14435">
      <w:pPr>
        <w:spacing w:after="0"/>
      </w:pPr>
    </w:p>
    <w:p w14:paraId="0377A2C7" w14:textId="58FB83B0" w:rsidR="002655CB" w:rsidRDefault="002655CB" w:rsidP="002655CB">
      <w:pPr>
        <w:pStyle w:val="Titulek"/>
        <w:keepNext/>
      </w:pPr>
      <w:bookmarkStart w:id="39" w:name="_Toc73531945"/>
      <w:r>
        <w:t xml:space="preserve">Graf č. </w:t>
      </w:r>
      <w:fldSimple w:instr=" SEQ Graf_č. \* ARABIC ">
        <w:r w:rsidR="005F741F">
          <w:rPr>
            <w:noProof/>
          </w:rPr>
          <w:t>24</w:t>
        </w:r>
      </w:fldSimple>
      <w:r>
        <w:t xml:space="preserve">: </w:t>
      </w:r>
      <w:r w:rsidRPr="00295C85">
        <w:t>Porovnání počtu a výše pokut uložených Celní správou ČR za nelegální provozování (v mil. Kč) v land</w:t>
      </w:r>
      <w:r w:rsidR="00566357">
        <w:t>-</w:t>
      </w:r>
      <w:r w:rsidRPr="00295C85">
        <w:t xml:space="preserve">based </w:t>
      </w:r>
      <w:r w:rsidR="00566357" w:rsidRPr="00566357">
        <w:t xml:space="preserve">prostředí </w:t>
      </w:r>
      <w:r w:rsidRPr="00295C85">
        <w:t>za období 2017 - 2020</w:t>
      </w:r>
      <w:bookmarkEnd w:id="39"/>
    </w:p>
    <w:p w14:paraId="1E81FED1" w14:textId="77777777" w:rsidR="00A14435" w:rsidRPr="002655CB" w:rsidRDefault="00A14435" w:rsidP="00A14435">
      <w:pPr>
        <w:spacing w:after="80"/>
        <w:rPr>
          <w:rFonts w:cs="Arial"/>
        </w:rPr>
      </w:pPr>
      <w:r w:rsidRPr="002655CB">
        <w:rPr>
          <w:rFonts w:cs="Arial"/>
          <w:noProof/>
          <w:lang w:eastAsia="cs-CZ"/>
        </w:rPr>
        <w:drawing>
          <wp:inline distT="0" distB="0" distL="0" distR="0" wp14:anchorId="32CDED61" wp14:editId="2118691F">
            <wp:extent cx="5760720" cy="2365375"/>
            <wp:effectExtent l="0" t="0" r="11430" b="15875"/>
            <wp:docPr id="89" name="Graf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C194BC6" w14:textId="77777777" w:rsidR="00A14435" w:rsidRPr="002655CB" w:rsidRDefault="00A14435" w:rsidP="00A14435">
      <w:pPr>
        <w:pStyle w:val="Odstavecseseznamem"/>
        <w:autoSpaceDE w:val="0"/>
        <w:autoSpaceDN w:val="0"/>
        <w:adjustRightInd w:val="0"/>
        <w:spacing w:after="0"/>
        <w:ind w:left="0"/>
        <w:rPr>
          <w:rFonts w:ascii="Arial" w:hAnsi="Arial" w:cs="Arial"/>
        </w:rPr>
      </w:pPr>
      <w:r w:rsidRPr="002655CB">
        <w:rPr>
          <w:rFonts w:ascii="Arial" w:hAnsi="Arial" w:cs="Arial"/>
          <w:i/>
          <w:sz w:val="20"/>
          <w:szCs w:val="20"/>
        </w:rPr>
        <w:t>Zdroj: Celní správa.</w:t>
      </w:r>
    </w:p>
    <w:p w14:paraId="717CDF71" w14:textId="77777777" w:rsidR="00A14435" w:rsidRDefault="00A14435" w:rsidP="00A14435">
      <w:pPr>
        <w:spacing w:after="0"/>
      </w:pPr>
    </w:p>
    <w:p w14:paraId="284185BC" w14:textId="5C7F92B6" w:rsidR="002655CB" w:rsidRDefault="002655CB" w:rsidP="002655CB">
      <w:pPr>
        <w:pStyle w:val="Titulek"/>
        <w:keepNext/>
      </w:pPr>
      <w:bookmarkStart w:id="40" w:name="_Toc73531946"/>
      <w:r>
        <w:t xml:space="preserve">Graf č. </w:t>
      </w:r>
      <w:fldSimple w:instr=" SEQ Graf_č. \* ARABIC ">
        <w:r w:rsidR="005F741F">
          <w:rPr>
            <w:noProof/>
          </w:rPr>
          <w:t>25</w:t>
        </w:r>
      </w:fldSimple>
      <w:r>
        <w:t xml:space="preserve">: </w:t>
      </w:r>
      <w:r w:rsidRPr="00D129BC">
        <w:t>Porovnání výše pokut uložených Celní správou ČR za legální a nelegální provozování v land</w:t>
      </w:r>
      <w:r w:rsidR="00566357">
        <w:t>-</w:t>
      </w:r>
      <w:r w:rsidRPr="00D129BC">
        <w:t>based</w:t>
      </w:r>
      <w:r w:rsidR="00566357">
        <w:t xml:space="preserve"> </w:t>
      </w:r>
      <w:r w:rsidR="00566357" w:rsidRPr="00566357">
        <w:t>prostřed</w:t>
      </w:r>
      <w:r w:rsidR="00566357">
        <w:t>í</w:t>
      </w:r>
      <w:r w:rsidRPr="00D129BC">
        <w:t xml:space="preserve"> za období 2017 – 2020 (v mil. Kč)</w:t>
      </w:r>
      <w:bookmarkEnd w:id="40"/>
    </w:p>
    <w:p w14:paraId="0FF99D93" w14:textId="77777777" w:rsidR="00A14435" w:rsidRDefault="00A14435" w:rsidP="00A14435">
      <w:pPr>
        <w:spacing w:after="80"/>
      </w:pPr>
      <w:r w:rsidRPr="005554D4">
        <w:rPr>
          <w:noProof/>
          <w:sz w:val="20"/>
          <w:szCs w:val="20"/>
          <w:lang w:eastAsia="cs-CZ"/>
        </w:rPr>
        <w:drawing>
          <wp:inline distT="0" distB="0" distL="0" distR="0" wp14:anchorId="40859DA8" wp14:editId="60FE163D">
            <wp:extent cx="5760720" cy="2723767"/>
            <wp:effectExtent l="0" t="0" r="11430" b="635"/>
            <wp:docPr id="90" name="Graf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61ECD64" w14:textId="77777777" w:rsidR="00A14435" w:rsidRPr="002655CB" w:rsidRDefault="00A14435" w:rsidP="00A14435">
      <w:pPr>
        <w:pStyle w:val="Odstavecseseznamem"/>
        <w:autoSpaceDE w:val="0"/>
        <w:autoSpaceDN w:val="0"/>
        <w:adjustRightInd w:val="0"/>
        <w:spacing w:after="0"/>
        <w:ind w:left="0"/>
        <w:rPr>
          <w:rFonts w:ascii="Arial" w:hAnsi="Arial" w:cs="Arial"/>
          <w:i/>
          <w:sz w:val="20"/>
          <w:szCs w:val="20"/>
        </w:rPr>
      </w:pPr>
      <w:r w:rsidRPr="002655CB">
        <w:rPr>
          <w:rFonts w:ascii="Arial" w:hAnsi="Arial" w:cs="Arial"/>
          <w:i/>
          <w:sz w:val="20"/>
          <w:szCs w:val="20"/>
        </w:rPr>
        <w:t>Zdroj: Celní správa.</w:t>
      </w:r>
    </w:p>
    <w:p w14:paraId="34A4FCFF" w14:textId="77777777" w:rsidR="00A14435" w:rsidRPr="00A14435" w:rsidRDefault="00A14435" w:rsidP="00A14435"/>
    <w:p w14:paraId="530933AA" w14:textId="1106AB1D" w:rsidR="006C6138" w:rsidRPr="00BB3271" w:rsidRDefault="006C6138" w:rsidP="00214A28">
      <w:pPr>
        <w:pStyle w:val="Nadpis3"/>
      </w:pPr>
      <w:bookmarkStart w:id="41" w:name="_Toc71631362"/>
      <w:bookmarkStart w:id="42" w:name="_Toc73532029"/>
      <w:bookmarkStart w:id="43" w:name="_Toc73608164"/>
      <w:r w:rsidRPr="00BB3271">
        <w:t xml:space="preserve">Seznam tabulek, </w:t>
      </w:r>
      <w:bookmarkEnd w:id="41"/>
      <w:r w:rsidR="00724759" w:rsidRPr="00BB3271">
        <w:t>obrázků a grafů</w:t>
      </w:r>
      <w:bookmarkEnd w:id="42"/>
      <w:bookmarkEnd w:id="43"/>
    </w:p>
    <w:p w14:paraId="7998D03E" w14:textId="77777777" w:rsidR="00724759" w:rsidRPr="00BB3271" w:rsidRDefault="00724759" w:rsidP="00724759">
      <w:pPr>
        <w:pStyle w:val="Nadpis4"/>
      </w:pPr>
      <w:bookmarkStart w:id="44" w:name="_Toc71631366"/>
      <w:bookmarkStart w:id="45" w:name="_Toc73532030"/>
      <w:bookmarkStart w:id="46" w:name="_Toc73608165"/>
      <w:bookmarkStart w:id="47" w:name="_Toc71631363"/>
      <w:r w:rsidRPr="00BB3271">
        <w:t>Tabulky</w:t>
      </w:r>
      <w:bookmarkEnd w:id="44"/>
      <w:bookmarkEnd w:id="45"/>
      <w:bookmarkEnd w:id="46"/>
      <w:r w:rsidRPr="00724759">
        <w:fldChar w:fldCharType="begin"/>
      </w:r>
      <w:r w:rsidRPr="00BB3271">
        <w:instrText xml:space="preserve"> TOC \h \z \c "Tabulka č." </w:instrText>
      </w:r>
      <w:r w:rsidRPr="00724759">
        <w:fldChar w:fldCharType="separate"/>
      </w:r>
    </w:p>
    <w:p w14:paraId="7679C358" w14:textId="7D9CD578"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10" w:history="1">
        <w:r w:rsidR="00724759" w:rsidRPr="00724759">
          <w:rPr>
            <w:rStyle w:val="Hypertextovodkaz"/>
            <w:noProof/>
          </w:rPr>
          <w:t>Tabulka č. 1: Kontroly v oblasti hazardních her za období od 1. 1. 2017 do 31. 12. 2017</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_Toc73531910 \h </w:instrText>
        </w:r>
        <w:r w:rsidR="00724759" w:rsidRPr="00724759">
          <w:rPr>
            <w:noProof/>
            <w:webHidden/>
          </w:rPr>
        </w:r>
        <w:r w:rsidR="00724759" w:rsidRPr="00724759">
          <w:rPr>
            <w:noProof/>
            <w:webHidden/>
          </w:rPr>
          <w:fldChar w:fldCharType="separate"/>
        </w:r>
        <w:r w:rsidR="00724759" w:rsidRPr="00724759">
          <w:rPr>
            <w:noProof/>
            <w:webHidden/>
          </w:rPr>
          <w:t>19</w:t>
        </w:r>
        <w:r w:rsidR="00724759" w:rsidRPr="00724759">
          <w:rPr>
            <w:noProof/>
            <w:webHidden/>
          </w:rPr>
          <w:fldChar w:fldCharType="end"/>
        </w:r>
      </w:hyperlink>
    </w:p>
    <w:p w14:paraId="38480BAB" w14:textId="40849AE7"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11" w:history="1">
        <w:r w:rsidR="00724759" w:rsidRPr="00724759">
          <w:rPr>
            <w:rStyle w:val="Hypertextovodkaz"/>
            <w:noProof/>
          </w:rPr>
          <w:t>Tabulka č. 2: Kontroly v oblasti hazardních her za období od 1. 1. 2018 do 31. 12. 2018</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_Toc73531911 \h </w:instrText>
        </w:r>
        <w:r w:rsidR="00724759" w:rsidRPr="00724759">
          <w:rPr>
            <w:noProof/>
            <w:webHidden/>
          </w:rPr>
        </w:r>
        <w:r w:rsidR="00724759" w:rsidRPr="00724759">
          <w:rPr>
            <w:noProof/>
            <w:webHidden/>
          </w:rPr>
          <w:fldChar w:fldCharType="separate"/>
        </w:r>
        <w:r w:rsidR="00724759" w:rsidRPr="00724759">
          <w:rPr>
            <w:noProof/>
            <w:webHidden/>
          </w:rPr>
          <w:t>20</w:t>
        </w:r>
        <w:r w:rsidR="00724759" w:rsidRPr="00724759">
          <w:rPr>
            <w:noProof/>
            <w:webHidden/>
          </w:rPr>
          <w:fldChar w:fldCharType="end"/>
        </w:r>
      </w:hyperlink>
    </w:p>
    <w:p w14:paraId="3EF46CF9" w14:textId="2EAF19D0"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12" w:history="1">
        <w:r w:rsidR="00724759" w:rsidRPr="00724759">
          <w:rPr>
            <w:rStyle w:val="Hypertextovodkaz"/>
            <w:noProof/>
          </w:rPr>
          <w:t>Tabulka č. 3: Kontroly v oblasti hazardních her za období od 1. 1. 2019 do 31. 12. 2019</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_Toc73531912 \h </w:instrText>
        </w:r>
        <w:r w:rsidR="00724759" w:rsidRPr="00724759">
          <w:rPr>
            <w:noProof/>
            <w:webHidden/>
          </w:rPr>
        </w:r>
        <w:r w:rsidR="00724759" w:rsidRPr="00724759">
          <w:rPr>
            <w:noProof/>
            <w:webHidden/>
          </w:rPr>
          <w:fldChar w:fldCharType="separate"/>
        </w:r>
        <w:r w:rsidR="00724759" w:rsidRPr="00724759">
          <w:rPr>
            <w:noProof/>
            <w:webHidden/>
          </w:rPr>
          <w:t>20</w:t>
        </w:r>
        <w:r w:rsidR="00724759" w:rsidRPr="00724759">
          <w:rPr>
            <w:noProof/>
            <w:webHidden/>
          </w:rPr>
          <w:fldChar w:fldCharType="end"/>
        </w:r>
      </w:hyperlink>
    </w:p>
    <w:p w14:paraId="42055BBB" w14:textId="245EFC09"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13" w:history="1">
        <w:r w:rsidR="00724759" w:rsidRPr="00724759">
          <w:rPr>
            <w:rStyle w:val="Hypertextovodkaz"/>
            <w:noProof/>
          </w:rPr>
          <w:t>Tabulka č. 4: Kontroly v oblasti hazardních her za období od 1. 1. 2020 do 31. 12.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_Toc73531913 \h </w:instrText>
        </w:r>
        <w:r w:rsidR="00724759" w:rsidRPr="00724759">
          <w:rPr>
            <w:noProof/>
            <w:webHidden/>
          </w:rPr>
        </w:r>
        <w:r w:rsidR="00724759" w:rsidRPr="00724759">
          <w:rPr>
            <w:noProof/>
            <w:webHidden/>
          </w:rPr>
          <w:fldChar w:fldCharType="separate"/>
        </w:r>
        <w:r w:rsidR="00724759" w:rsidRPr="00724759">
          <w:rPr>
            <w:noProof/>
            <w:webHidden/>
          </w:rPr>
          <w:t>20</w:t>
        </w:r>
        <w:r w:rsidR="00724759" w:rsidRPr="00724759">
          <w:rPr>
            <w:noProof/>
            <w:webHidden/>
          </w:rPr>
          <w:fldChar w:fldCharType="end"/>
        </w:r>
      </w:hyperlink>
    </w:p>
    <w:p w14:paraId="1AF837C6" w14:textId="5F03B7AB" w:rsidR="00724759" w:rsidRPr="00BB3271" w:rsidRDefault="00724759" w:rsidP="00724759">
      <w:pPr>
        <w:pStyle w:val="Nadpis4"/>
      </w:pPr>
      <w:r w:rsidRPr="00724759">
        <w:fldChar w:fldCharType="end"/>
      </w:r>
      <w:bookmarkStart w:id="48" w:name="_Toc71631365"/>
      <w:bookmarkStart w:id="49" w:name="_Toc73532031"/>
      <w:bookmarkStart w:id="50" w:name="_Toc73608166"/>
      <w:r w:rsidRPr="00BB3271">
        <w:t>Obrázky</w:t>
      </w:r>
      <w:bookmarkEnd w:id="48"/>
      <w:bookmarkEnd w:id="49"/>
      <w:bookmarkEnd w:id="50"/>
    </w:p>
    <w:p w14:paraId="3F80608D" w14:textId="77777777" w:rsidR="00724759" w:rsidRDefault="00724759" w:rsidP="00724759">
      <w:pPr>
        <w:pStyle w:val="Seznamobrzk"/>
        <w:tabs>
          <w:tab w:val="right" w:leader="dot" w:pos="9062"/>
        </w:tabs>
        <w:rPr>
          <w:rFonts w:asciiTheme="minorHAnsi" w:eastAsiaTheme="minorEastAsia" w:hAnsiTheme="minorHAnsi"/>
          <w:noProof/>
          <w:sz w:val="22"/>
          <w:lang w:eastAsia="cs-CZ"/>
        </w:rPr>
      </w:pPr>
      <w:r>
        <w:rPr>
          <w:highlight w:val="lightGray"/>
        </w:rPr>
        <w:fldChar w:fldCharType="begin"/>
      </w:r>
      <w:r>
        <w:rPr>
          <w:highlight w:val="lightGray"/>
        </w:rPr>
        <w:instrText xml:space="preserve"> TOC \h \z \c "Obrázek č. " </w:instrText>
      </w:r>
      <w:r>
        <w:rPr>
          <w:highlight w:val="lightGray"/>
        </w:rPr>
        <w:fldChar w:fldCharType="separate"/>
      </w:r>
      <w:hyperlink w:anchor="_Toc72913587" w:history="1">
        <w:r w:rsidRPr="000A559D">
          <w:rPr>
            <w:rStyle w:val="Hypertextovodkaz"/>
            <w:noProof/>
          </w:rPr>
          <w:t>Obrázek č. 1: Počet nelegálních provozoven shledaných Celní správou v jednotlivých lokalitách České republiky v období 2017- 2020</w:t>
        </w:r>
        <w:r>
          <w:rPr>
            <w:noProof/>
            <w:webHidden/>
          </w:rPr>
          <w:tab/>
        </w:r>
        <w:r>
          <w:rPr>
            <w:noProof/>
            <w:webHidden/>
          </w:rPr>
          <w:fldChar w:fldCharType="begin"/>
        </w:r>
        <w:r>
          <w:rPr>
            <w:noProof/>
            <w:webHidden/>
          </w:rPr>
          <w:instrText xml:space="preserve"> PAGEREF _Toc72913587 \h </w:instrText>
        </w:r>
        <w:r>
          <w:rPr>
            <w:noProof/>
            <w:webHidden/>
          </w:rPr>
        </w:r>
        <w:r>
          <w:rPr>
            <w:noProof/>
            <w:webHidden/>
          </w:rPr>
          <w:fldChar w:fldCharType="separate"/>
        </w:r>
        <w:r>
          <w:rPr>
            <w:noProof/>
            <w:webHidden/>
          </w:rPr>
          <w:t>15</w:t>
        </w:r>
        <w:r>
          <w:rPr>
            <w:noProof/>
            <w:webHidden/>
          </w:rPr>
          <w:fldChar w:fldCharType="end"/>
        </w:r>
      </w:hyperlink>
    </w:p>
    <w:p w14:paraId="4B387B58" w14:textId="3B04CED9" w:rsidR="00724759" w:rsidRPr="00BB3271" w:rsidRDefault="00724759" w:rsidP="00724759">
      <w:pPr>
        <w:pStyle w:val="Nadpis4"/>
      </w:pPr>
      <w:r>
        <w:rPr>
          <w:highlight w:val="lightGray"/>
        </w:rPr>
        <w:fldChar w:fldCharType="end"/>
      </w:r>
      <w:bookmarkStart w:id="51" w:name="_Toc73532032"/>
      <w:bookmarkStart w:id="52" w:name="_Toc73608167"/>
      <w:r w:rsidR="006C6138" w:rsidRPr="00BB3271">
        <w:t>Grafy</w:t>
      </w:r>
      <w:bookmarkEnd w:id="47"/>
      <w:bookmarkEnd w:id="51"/>
      <w:bookmarkEnd w:id="52"/>
      <w:r w:rsidR="002655CB" w:rsidRPr="00DC2AAF">
        <w:fldChar w:fldCharType="begin"/>
      </w:r>
      <w:r w:rsidR="002655CB" w:rsidRPr="00BB3271">
        <w:instrText xml:space="preserve"> TOC \h \z \c "Graf č." </w:instrText>
      </w:r>
      <w:r w:rsidR="002655CB" w:rsidRPr="00DC2AAF">
        <w:fldChar w:fldCharType="separate"/>
      </w:r>
    </w:p>
    <w:p w14:paraId="50E0AEC4" w14:textId="63736941"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22" w:history="1">
        <w:r w:rsidR="00724759" w:rsidRPr="00724759">
          <w:rPr>
            <w:rStyle w:val="Hypertextovodkaz"/>
            <w:noProof/>
          </w:rPr>
          <w:t>Graf č. 1: Porovnání celkového počtu Celní správou provedených kontrol v land</w:t>
        </w:r>
        <w:r w:rsidR="00724759" w:rsidRPr="00724759">
          <w:rPr>
            <w:rStyle w:val="Hypertextovodkaz"/>
            <w:noProof/>
          </w:rPr>
          <w:noBreakHyphen/>
          <w:t>based prostředí s kontrolami u legálně provozujících provozovatelů, v období 2017 </w:t>
        </w:r>
        <w:r w:rsidR="00724759" w:rsidRPr="00724759">
          <w:rPr>
            <w:rStyle w:val="Hypertextovodkaz"/>
            <w:noProof/>
          </w:rPr>
          <w:noBreakHyphen/>
          <w:t>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_Toc73531922 \h </w:instrText>
        </w:r>
        <w:r w:rsidR="00724759" w:rsidRPr="00724759">
          <w:rPr>
            <w:noProof/>
            <w:webHidden/>
          </w:rPr>
        </w:r>
        <w:r w:rsidR="00724759" w:rsidRPr="00724759">
          <w:rPr>
            <w:noProof/>
            <w:webHidden/>
          </w:rPr>
          <w:fldChar w:fldCharType="separate"/>
        </w:r>
        <w:r w:rsidR="00724759" w:rsidRPr="00724759">
          <w:rPr>
            <w:noProof/>
            <w:webHidden/>
          </w:rPr>
          <w:t>8</w:t>
        </w:r>
        <w:r w:rsidR="00724759" w:rsidRPr="00724759">
          <w:rPr>
            <w:noProof/>
            <w:webHidden/>
          </w:rPr>
          <w:fldChar w:fldCharType="end"/>
        </w:r>
      </w:hyperlink>
    </w:p>
    <w:p w14:paraId="569D8033" w14:textId="53FB7A2D"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23" w:history="1">
        <w:r w:rsidR="00724759" w:rsidRPr="00724759">
          <w:rPr>
            <w:rStyle w:val="Hypertextovodkaz"/>
            <w:noProof/>
          </w:rPr>
          <w:t>Graf č. 2: Porovnání počtu kontrol provedených Celní správou v land-based prostředí u legálních provozovatelů s počtem zjištěných podezření na porušení dílčích povinností, a to v období 2017 - 2020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_Toc73531923 \h </w:instrText>
        </w:r>
        <w:r w:rsidR="00724759" w:rsidRPr="00724759">
          <w:rPr>
            <w:noProof/>
            <w:webHidden/>
          </w:rPr>
        </w:r>
        <w:r w:rsidR="00724759" w:rsidRPr="00724759">
          <w:rPr>
            <w:noProof/>
            <w:webHidden/>
          </w:rPr>
          <w:fldChar w:fldCharType="separate"/>
        </w:r>
        <w:r w:rsidR="00724759" w:rsidRPr="00724759">
          <w:rPr>
            <w:noProof/>
            <w:webHidden/>
          </w:rPr>
          <w:t>9</w:t>
        </w:r>
        <w:r w:rsidR="00724759" w:rsidRPr="00724759">
          <w:rPr>
            <w:noProof/>
            <w:webHidden/>
          </w:rPr>
          <w:fldChar w:fldCharType="end"/>
        </w:r>
      </w:hyperlink>
    </w:p>
    <w:p w14:paraId="734C0D0D" w14:textId="4E2072B0"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24" w:history="1">
        <w:r w:rsidR="00724759" w:rsidRPr="00724759">
          <w:rPr>
            <w:rStyle w:val="Hypertextovodkaz"/>
            <w:noProof/>
          </w:rPr>
          <w:t>Graf č. 3: Přehled nejčetněji Celní správou zjištěných podezření na porušení dílčích povinností legálně provozujícími provozovateli v land-based prostředí v roce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_Toc73531924 \h </w:instrText>
        </w:r>
        <w:r w:rsidR="00724759" w:rsidRPr="00724759">
          <w:rPr>
            <w:noProof/>
            <w:webHidden/>
          </w:rPr>
        </w:r>
        <w:r w:rsidR="00724759" w:rsidRPr="00724759">
          <w:rPr>
            <w:noProof/>
            <w:webHidden/>
          </w:rPr>
          <w:fldChar w:fldCharType="separate"/>
        </w:r>
        <w:r w:rsidR="00724759" w:rsidRPr="00724759">
          <w:rPr>
            <w:noProof/>
            <w:webHidden/>
          </w:rPr>
          <w:t>10</w:t>
        </w:r>
        <w:r w:rsidR="00724759" w:rsidRPr="00724759">
          <w:rPr>
            <w:noProof/>
            <w:webHidden/>
          </w:rPr>
          <w:fldChar w:fldCharType="end"/>
        </w:r>
      </w:hyperlink>
    </w:p>
    <w:p w14:paraId="479D9479" w14:textId="52A3A6BE"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25" w:history="1">
        <w:r w:rsidR="00724759" w:rsidRPr="00724759">
          <w:rPr>
            <w:rStyle w:val="Hypertextovodkaz"/>
            <w:noProof/>
          </w:rPr>
          <w:t>Graf č. 4: Porovnání kontrol provedených Celní správou v land-based prostředí s kontrolami zaměřenými na nelegálně provozující provozovatele v období 2017 </w:t>
        </w:r>
        <w:r w:rsidR="00724759" w:rsidRPr="00724759">
          <w:rPr>
            <w:rStyle w:val="Hypertextovodkaz"/>
            <w:noProof/>
          </w:rPr>
          <w:noBreakHyphen/>
          <w:t>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_Toc73531925 \h </w:instrText>
        </w:r>
        <w:r w:rsidR="00724759" w:rsidRPr="00724759">
          <w:rPr>
            <w:noProof/>
            <w:webHidden/>
          </w:rPr>
        </w:r>
        <w:r w:rsidR="00724759" w:rsidRPr="00724759">
          <w:rPr>
            <w:noProof/>
            <w:webHidden/>
          </w:rPr>
          <w:fldChar w:fldCharType="separate"/>
        </w:r>
        <w:r w:rsidR="00724759" w:rsidRPr="00724759">
          <w:rPr>
            <w:noProof/>
            <w:webHidden/>
          </w:rPr>
          <w:t>11</w:t>
        </w:r>
        <w:r w:rsidR="00724759" w:rsidRPr="00724759">
          <w:rPr>
            <w:noProof/>
            <w:webHidden/>
          </w:rPr>
          <w:fldChar w:fldCharType="end"/>
        </w:r>
      </w:hyperlink>
    </w:p>
    <w:p w14:paraId="0355BD67" w14:textId="19A0192A"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26" w:history="1">
        <w:r w:rsidR="00724759" w:rsidRPr="00724759">
          <w:rPr>
            <w:rStyle w:val="Hypertextovodkaz"/>
            <w:noProof/>
          </w:rPr>
          <w:t>Graf č. 5: Porovnání počtu kontrol provedených Celní správou v nelegálních provozovnách (tzv. černých hernách) s uvedením počtu zajištěných nelegálně provozovaných technických zařízení v období 2017 –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_Toc73531926 \h </w:instrText>
        </w:r>
        <w:r w:rsidR="00724759" w:rsidRPr="00724759">
          <w:rPr>
            <w:noProof/>
            <w:webHidden/>
          </w:rPr>
        </w:r>
        <w:r w:rsidR="00724759" w:rsidRPr="00724759">
          <w:rPr>
            <w:noProof/>
            <w:webHidden/>
          </w:rPr>
          <w:fldChar w:fldCharType="separate"/>
        </w:r>
        <w:r w:rsidR="00724759" w:rsidRPr="00724759">
          <w:rPr>
            <w:noProof/>
            <w:webHidden/>
          </w:rPr>
          <w:t>12</w:t>
        </w:r>
        <w:r w:rsidR="00724759" w:rsidRPr="00724759">
          <w:rPr>
            <w:noProof/>
            <w:webHidden/>
          </w:rPr>
          <w:fldChar w:fldCharType="end"/>
        </w:r>
      </w:hyperlink>
    </w:p>
    <w:p w14:paraId="0B4FCAEC" w14:textId="5712CE5E"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27" w:history="1">
        <w:r w:rsidR="00724759" w:rsidRPr="00724759">
          <w:rPr>
            <w:rStyle w:val="Hypertextovodkaz"/>
            <w:noProof/>
          </w:rPr>
          <w:t>Graf č. 6: Počet provozoven, v nichž byla provozovatelem shledána osoba provozující provozovnu, osoba odlišná od provozovatele provozovny nebo více fyzických či právnických osob, a to za období 2017 –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_Toc73531927 \h </w:instrText>
        </w:r>
        <w:r w:rsidR="00724759" w:rsidRPr="00724759">
          <w:rPr>
            <w:noProof/>
            <w:webHidden/>
          </w:rPr>
        </w:r>
        <w:r w:rsidR="00724759" w:rsidRPr="00724759">
          <w:rPr>
            <w:noProof/>
            <w:webHidden/>
          </w:rPr>
          <w:fldChar w:fldCharType="separate"/>
        </w:r>
        <w:r w:rsidR="00724759" w:rsidRPr="00724759">
          <w:rPr>
            <w:noProof/>
            <w:webHidden/>
          </w:rPr>
          <w:t>13</w:t>
        </w:r>
        <w:r w:rsidR="00724759" w:rsidRPr="00724759">
          <w:rPr>
            <w:noProof/>
            <w:webHidden/>
          </w:rPr>
          <w:fldChar w:fldCharType="end"/>
        </w:r>
      </w:hyperlink>
    </w:p>
    <w:p w14:paraId="0F28838C" w14:textId="23C32032"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28" w:history="1">
        <w:r w:rsidR="00724759" w:rsidRPr="00724759">
          <w:rPr>
            <w:rStyle w:val="Hypertextovodkaz"/>
            <w:noProof/>
          </w:rPr>
          <w:t>Graf č. 7: Porovnání celkového počtu kontrol provedených Celní správou u legálních a nelegálních provozovatelů provozujících hazardní hry formou land-based s počtem kontrol, při kterých bylo Celní správou využito oprávnění vstoupit do prostor s využitím síly, a t</w:t>
        </w:r>
        <w:r w:rsidR="00724759" w:rsidRPr="00724759">
          <w:rPr>
            <w:rStyle w:val="Hypertextovodkaz"/>
            <w:rFonts w:cs="Arial"/>
            <w:bCs/>
            <w:noProof/>
          </w:rPr>
          <w:t>o za období 2017 –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_Toc73531928 \h </w:instrText>
        </w:r>
        <w:r w:rsidR="00724759" w:rsidRPr="00724759">
          <w:rPr>
            <w:noProof/>
            <w:webHidden/>
          </w:rPr>
        </w:r>
        <w:r w:rsidR="00724759" w:rsidRPr="00724759">
          <w:rPr>
            <w:noProof/>
            <w:webHidden/>
          </w:rPr>
          <w:fldChar w:fldCharType="separate"/>
        </w:r>
        <w:r w:rsidR="00724759" w:rsidRPr="00724759">
          <w:rPr>
            <w:noProof/>
            <w:webHidden/>
          </w:rPr>
          <w:t>13</w:t>
        </w:r>
        <w:r w:rsidR="00724759" w:rsidRPr="00724759">
          <w:rPr>
            <w:noProof/>
            <w:webHidden/>
          </w:rPr>
          <w:fldChar w:fldCharType="end"/>
        </w:r>
      </w:hyperlink>
    </w:p>
    <w:p w14:paraId="204B5419" w14:textId="445109A8"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29" w:history="1">
        <w:r w:rsidR="00724759" w:rsidRPr="00724759">
          <w:rPr>
            <w:rStyle w:val="Hypertextovodkaz"/>
            <w:noProof/>
          </w:rPr>
          <w:t>Graf č. 8: Porovnání celkového počtu kontrol Celní správy u legálních a nelegálních provozovatelů v land-based prostředí s počtem kontrol, při nichž došlo k zadržení věci nelegálnímu a legálnímu provozovateli, a to za období 2017 –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_Toc73531929 \h </w:instrText>
        </w:r>
        <w:r w:rsidR="00724759" w:rsidRPr="00724759">
          <w:rPr>
            <w:noProof/>
            <w:webHidden/>
          </w:rPr>
        </w:r>
        <w:r w:rsidR="00724759" w:rsidRPr="00724759">
          <w:rPr>
            <w:noProof/>
            <w:webHidden/>
          </w:rPr>
          <w:fldChar w:fldCharType="separate"/>
        </w:r>
        <w:r w:rsidR="00724759" w:rsidRPr="00724759">
          <w:rPr>
            <w:noProof/>
            <w:webHidden/>
          </w:rPr>
          <w:t>14</w:t>
        </w:r>
        <w:r w:rsidR="00724759" w:rsidRPr="00724759">
          <w:rPr>
            <w:noProof/>
            <w:webHidden/>
          </w:rPr>
          <w:fldChar w:fldCharType="end"/>
        </w:r>
      </w:hyperlink>
    </w:p>
    <w:p w14:paraId="04E60C71" w14:textId="0A9FFCA7"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30" w:history="1">
        <w:r w:rsidR="00724759" w:rsidRPr="00724759">
          <w:rPr>
            <w:rStyle w:val="Hypertextovodkaz"/>
            <w:noProof/>
          </w:rPr>
          <w:t>Graf č. 9: Porovnání celkového počtu kontrol provedených Celní správou v land</w:t>
        </w:r>
        <w:r w:rsidR="00724759" w:rsidRPr="00724759">
          <w:rPr>
            <w:rStyle w:val="Hypertextovodkaz"/>
            <w:noProof/>
          </w:rPr>
          <w:noBreakHyphen/>
          <w:t>based prostředí s počtem kontrol se shledaným podezřením na porušení povinností stanovených zákonem o hazardních hrách legálními a nelegálními provozovateli v období 2017 –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_Toc73531930 \h </w:instrText>
        </w:r>
        <w:r w:rsidR="00724759" w:rsidRPr="00724759">
          <w:rPr>
            <w:noProof/>
            <w:webHidden/>
          </w:rPr>
        </w:r>
        <w:r w:rsidR="00724759" w:rsidRPr="00724759">
          <w:rPr>
            <w:noProof/>
            <w:webHidden/>
          </w:rPr>
          <w:fldChar w:fldCharType="separate"/>
        </w:r>
        <w:r w:rsidR="00724759" w:rsidRPr="00724759">
          <w:rPr>
            <w:noProof/>
            <w:webHidden/>
          </w:rPr>
          <w:t>16</w:t>
        </w:r>
        <w:r w:rsidR="00724759" w:rsidRPr="00724759">
          <w:rPr>
            <w:noProof/>
            <w:webHidden/>
          </w:rPr>
          <w:fldChar w:fldCharType="end"/>
        </w:r>
      </w:hyperlink>
    </w:p>
    <w:p w14:paraId="0877F7DD" w14:textId="7AC5CF63"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31" w:history="1">
        <w:r w:rsidR="00724759" w:rsidRPr="00724759">
          <w:rPr>
            <w:rStyle w:val="Hypertextovodkaz"/>
            <w:noProof/>
          </w:rPr>
          <w:t>Graf č. 10:  Porovnání celkového počtu kontrol provedených Celní správou v land</w:t>
        </w:r>
        <w:r w:rsidR="00724759" w:rsidRPr="00724759">
          <w:rPr>
            <w:rStyle w:val="Hypertextovodkaz"/>
            <w:noProof/>
          </w:rPr>
          <w:noBreakHyphen/>
          <w:t>based prostředí s kontrolami v legálních a nelegálních provozovnách za období 2017 –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_Toc73531931 \h </w:instrText>
        </w:r>
        <w:r w:rsidR="00724759" w:rsidRPr="00724759">
          <w:rPr>
            <w:noProof/>
            <w:webHidden/>
          </w:rPr>
        </w:r>
        <w:r w:rsidR="00724759" w:rsidRPr="00724759">
          <w:rPr>
            <w:noProof/>
            <w:webHidden/>
          </w:rPr>
          <w:fldChar w:fldCharType="separate"/>
        </w:r>
        <w:r w:rsidR="00724759" w:rsidRPr="00724759">
          <w:rPr>
            <w:noProof/>
            <w:webHidden/>
          </w:rPr>
          <w:t>17</w:t>
        </w:r>
        <w:r w:rsidR="00724759" w:rsidRPr="00724759">
          <w:rPr>
            <w:noProof/>
            <w:webHidden/>
          </w:rPr>
          <w:fldChar w:fldCharType="end"/>
        </w:r>
      </w:hyperlink>
    </w:p>
    <w:p w14:paraId="7D6C7E39" w14:textId="42453BE1"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32" w:history="1">
        <w:r w:rsidR="00724759" w:rsidRPr="00724759">
          <w:rPr>
            <w:rStyle w:val="Hypertextovodkaz"/>
            <w:noProof/>
          </w:rPr>
          <w:t>Graf č. 11: Porovnání Celní správou provedeného počtu kontrol legálně a nelegálně provozujících provozovatelů v land-based prostředí vůči celkovému počtu kontrol za období 2017 až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_Toc73531932 \h </w:instrText>
        </w:r>
        <w:r w:rsidR="00724759" w:rsidRPr="00724759">
          <w:rPr>
            <w:noProof/>
            <w:webHidden/>
          </w:rPr>
        </w:r>
        <w:r w:rsidR="00724759" w:rsidRPr="00724759">
          <w:rPr>
            <w:noProof/>
            <w:webHidden/>
          </w:rPr>
          <w:fldChar w:fldCharType="separate"/>
        </w:r>
        <w:r w:rsidR="00724759" w:rsidRPr="00724759">
          <w:rPr>
            <w:noProof/>
            <w:webHidden/>
          </w:rPr>
          <w:t>18</w:t>
        </w:r>
        <w:r w:rsidR="00724759" w:rsidRPr="00724759">
          <w:rPr>
            <w:noProof/>
            <w:webHidden/>
          </w:rPr>
          <w:fldChar w:fldCharType="end"/>
        </w:r>
      </w:hyperlink>
    </w:p>
    <w:p w14:paraId="46333F9A" w14:textId="6B4ED9E1"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33" w:history="1">
        <w:r w:rsidR="00724759" w:rsidRPr="00724759">
          <w:rPr>
            <w:rStyle w:val="Hypertextovodkaz"/>
            <w:noProof/>
          </w:rPr>
          <w:t>Graf č. 12: Celkový počet kontrol v land-based prostředí se zjištěným podezřením na porušení dílčích povinností v porovnání s počtem zjištěných podezření u legálně a nelegálně provozujících provozovatelů</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_Toc73531933 \h </w:instrText>
        </w:r>
        <w:r w:rsidR="00724759" w:rsidRPr="00724759">
          <w:rPr>
            <w:noProof/>
            <w:webHidden/>
          </w:rPr>
        </w:r>
        <w:r w:rsidR="00724759" w:rsidRPr="00724759">
          <w:rPr>
            <w:noProof/>
            <w:webHidden/>
          </w:rPr>
          <w:fldChar w:fldCharType="separate"/>
        </w:r>
        <w:r w:rsidR="00724759" w:rsidRPr="00724759">
          <w:rPr>
            <w:noProof/>
            <w:webHidden/>
          </w:rPr>
          <w:t>19</w:t>
        </w:r>
        <w:r w:rsidR="00724759" w:rsidRPr="00724759">
          <w:rPr>
            <w:noProof/>
            <w:webHidden/>
          </w:rPr>
          <w:fldChar w:fldCharType="end"/>
        </w:r>
      </w:hyperlink>
    </w:p>
    <w:p w14:paraId="371BCA31" w14:textId="24253BFB"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34" w:history="1">
        <w:r w:rsidR="00724759" w:rsidRPr="00724759">
          <w:rPr>
            <w:rStyle w:val="Hypertextovodkaz"/>
            <w:noProof/>
          </w:rPr>
          <w:t>Graf č. 13: Přehled podnětů předaných Ministerstvem financí v roce 2020 Celní správě k dalšímu opatření v souvislosti s legálním a v souvislosti s nelegálním provozováním hazardní hry v on-line prostředí</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_Toc73531934 \h </w:instrText>
        </w:r>
        <w:r w:rsidR="00724759" w:rsidRPr="00724759">
          <w:rPr>
            <w:noProof/>
            <w:webHidden/>
          </w:rPr>
        </w:r>
        <w:r w:rsidR="00724759" w:rsidRPr="00724759">
          <w:rPr>
            <w:noProof/>
            <w:webHidden/>
          </w:rPr>
          <w:fldChar w:fldCharType="separate"/>
        </w:r>
        <w:r w:rsidR="00724759" w:rsidRPr="00724759">
          <w:rPr>
            <w:noProof/>
            <w:webHidden/>
          </w:rPr>
          <w:t>22</w:t>
        </w:r>
        <w:r w:rsidR="00724759" w:rsidRPr="00724759">
          <w:rPr>
            <w:noProof/>
            <w:webHidden/>
          </w:rPr>
          <w:fldChar w:fldCharType="end"/>
        </w:r>
      </w:hyperlink>
    </w:p>
    <w:p w14:paraId="40288C13" w14:textId="4EFBDF97"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35" w:history="1">
        <w:r w:rsidR="00724759" w:rsidRPr="00724759">
          <w:rPr>
            <w:rStyle w:val="Hypertextovodkaz"/>
            <w:noProof/>
          </w:rPr>
          <w:t>Graf č. 14: Kategorie podnětů s podezřením na porušení dílčích povinností legálními provozovateli provozujícími hazardní hru prostřednictvím internetu postoupených Ministerstvem financí k dalšímu opatření Celní správě v roce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_Toc73531935 \h </w:instrText>
        </w:r>
        <w:r w:rsidR="00724759" w:rsidRPr="00724759">
          <w:rPr>
            <w:noProof/>
            <w:webHidden/>
          </w:rPr>
        </w:r>
        <w:r w:rsidR="00724759" w:rsidRPr="00724759">
          <w:rPr>
            <w:noProof/>
            <w:webHidden/>
          </w:rPr>
          <w:fldChar w:fldCharType="separate"/>
        </w:r>
        <w:r w:rsidR="00724759" w:rsidRPr="00724759">
          <w:rPr>
            <w:noProof/>
            <w:webHidden/>
          </w:rPr>
          <w:t>22</w:t>
        </w:r>
        <w:r w:rsidR="00724759" w:rsidRPr="00724759">
          <w:rPr>
            <w:noProof/>
            <w:webHidden/>
          </w:rPr>
          <w:fldChar w:fldCharType="end"/>
        </w:r>
      </w:hyperlink>
    </w:p>
    <w:p w14:paraId="6E92794F" w14:textId="73597BCD"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36" w:history="1">
        <w:r w:rsidR="00724759" w:rsidRPr="00724759">
          <w:rPr>
            <w:rStyle w:val="Hypertextovodkaz"/>
            <w:noProof/>
          </w:rPr>
          <w:t>Graf č. 15: Počet kontrol provedených Ministerstvem financí a Celní správou u legálních provozovatelů provozujících hazardní hry prostřednictvím internetu v období let 2017 až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_Toc73531936 \h </w:instrText>
        </w:r>
        <w:r w:rsidR="00724759" w:rsidRPr="00724759">
          <w:rPr>
            <w:noProof/>
            <w:webHidden/>
          </w:rPr>
        </w:r>
        <w:r w:rsidR="00724759" w:rsidRPr="00724759">
          <w:rPr>
            <w:noProof/>
            <w:webHidden/>
          </w:rPr>
          <w:fldChar w:fldCharType="separate"/>
        </w:r>
        <w:r w:rsidR="00724759" w:rsidRPr="00724759">
          <w:rPr>
            <w:noProof/>
            <w:webHidden/>
          </w:rPr>
          <w:t>23</w:t>
        </w:r>
        <w:r w:rsidR="00724759" w:rsidRPr="00724759">
          <w:rPr>
            <w:noProof/>
            <w:webHidden/>
          </w:rPr>
          <w:fldChar w:fldCharType="end"/>
        </w:r>
      </w:hyperlink>
    </w:p>
    <w:p w14:paraId="0444C5B0" w14:textId="703F5EC6"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37" w:history="1">
        <w:r w:rsidR="00724759" w:rsidRPr="00724759">
          <w:rPr>
            <w:rStyle w:val="Hypertextovodkaz"/>
            <w:noProof/>
          </w:rPr>
          <w:t>Graf č. 16: Reakce nelegálních provozovatelů on-line hazardních her ke dni účinnosti zákona o hazardních hrách</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_Toc73531937 \h </w:instrText>
        </w:r>
        <w:r w:rsidR="00724759" w:rsidRPr="00724759">
          <w:rPr>
            <w:noProof/>
            <w:webHidden/>
          </w:rPr>
        </w:r>
        <w:r w:rsidR="00724759" w:rsidRPr="00724759">
          <w:rPr>
            <w:noProof/>
            <w:webHidden/>
          </w:rPr>
          <w:fldChar w:fldCharType="separate"/>
        </w:r>
        <w:r w:rsidR="00724759" w:rsidRPr="00724759">
          <w:rPr>
            <w:noProof/>
            <w:webHidden/>
          </w:rPr>
          <w:t>24</w:t>
        </w:r>
        <w:r w:rsidR="00724759" w:rsidRPr="00724759">
          <w:rPr>
            <w:noProof/>
            <w:webHidden/>
          </w:rPr>
          <w:fldChar w:fldCharType="end"/>
        </w:r>
      </w:hyperlink>
    </w:p>
    <w:p w14:paraId="5D609953" w14:textId="63C288E7"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38" w:history="1">
        <w:r w:rsidR="00724759" w:rsidRPr="00724759">
          <w:rPr>
            <w:rStyle w:val="Hypertextovodkaz"/>
            <w:noProof/>
          </w:rPr>
          <w:t>Graf č. 17: Reakce nelegálních provozovatelů na účinnost zákona o hazardních hrách k 31. 1. 2017</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_Toc73531938 \h </w:instrText>
        </w:r>
        <w:r w:rsidR="00724759" w:rsidRPr="00724759">
          <w:rPr>
            <w:noProof/>
            <w:webHidden/>
          </w:rPr>
        </w:r>
        <w:r w:rsidR="00724759" w:rsidRPr="00724759">
          <w:rPr>
            <w:noProof/>
            <w:webHidden/>
          </w:rPr>
          <w:fldChar w:fldCharType="separate"/>
        </w:r>
        <w:r w:rsidR="00724759" w:rsidRPr="00724759">
          <w:rPr>
            <w:noProof/>
            <w:webHidden/>
          </w:rPr>
          <w:t>24</w:t>
        </w:r>
        <w:r w:rsidR="00724759" w:rsidRPr="00724759">
          <w:rPr>
            <w:noProof/>
            <w:webHidden/>
          </w:rPr>
          <w:fldChar w:fldCharType="end"/>
        </w:r>
      </w:hyperlink>
    </w:p>
    <w:p w14:paraId="5DE6DB52" w14:textId="133ED9FF"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39" w:history="1">
        <w:r w:rsidR="00724759" w:rsidRPr="00724759">
          <w:rPr>
            <w:rStyle w:val="Hypertextovodkaz"/>
            <w:noProof/>
          </w:rPr>
          <w:t>Graf č. 18: Porovnání celkového počtu Ministerstvem financí provedených kontrol provozovatelů internetových hazardních her v období od 1. 1. 2017 do 31. 10. 2019 s kontrolami zaměřenými na nelegální provozování hazardních her prostřednictvím internetu</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_Toc73531939 \h </w:instrText>
        </w:r>
        <w:r w:rsidR="00724759" w:rsidRPr="00724759">
          <w:rPr>
            <w:noProof/>
            <w:webHidden/>
          </w:rPr>
        </w:r>
        <w:r w:rsidR="00724759" w:rsidRPr="00724759">
          <w:rPr>
            <w:noProof/>
            <w:webHidden/>
          </w:rPr>
          <w:fldChar w:fldCharType="separate"/>
        </w:r>
        <w:r w:rsidR="00724759" w:rsidRPr="00724759">
          <w:rPr>
            <w:noProof/>
            <w:webHidden/>
          </w:rPr>
          <w:t>25</w:t>
        </w:r>
        <w:r w:rsidR="00724759" w:rsidRPr="00724759">
          <w:rPr>
            <w:noProof/>
            <w:webHidden/>
          </w:rPr>
          <w:fldChar w:fldCharType="end"/>
        </w:r>
      </w:hyperlink>
    </w:p>
    <w:p w14:paraId="7C78AE47" w14:textId="1B03EE58"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40" w:history="1">
        <w:r w:rsidR="00724759" w:rsidRPr="00724759">
          <w:rPr>
            <w:rStyle w:val="Hypertextovodkaz"/>
            <w:noProof/>
          </w:rPr>
          <w:t>Graf č. 19: Porovnání celkového počtu kontrol provedených Celní správou u provozovatelů hazardních her provozujících hazardní hry prostřednictvím internetu s počtem kontrol u legálních a nelegálních provozovatelů, a to v období od 1. 11. 2019 do 31. 12.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_Toc73531940 \h </w:instrText>
        </w:r>
        <w:r w:rsidR="00724759" w:rsidRPr="00724759">
          <w:rPr>
            <w:noProof/>
            <w:webHidden/>
          </w:rPr>
        </w:r>
        <w:r w:rsidR="00724759" w:rsidRPr="00724759">
          <w:rPr>
            <w:noProof/>
            <w:webHidden/>
          </w:rPr>
          <w:fldChar w:fldCharType="separate"/>
        </w:r>
        <w:r w:rsidR="00724759" w:rsidRPr="00724759">
          <w:rPr>
            <w:noProof/>
            <w:webHidden/>
          </w:rPr>
          <w:t>26</w:t>
        </w:r>
        <w:r w:rsidR="00724759" w:rsidRPr="00724759">
          <w:rPr>
            <w:noProof/>
            <w:webHidden/>
          </w:rPr>
          <w:fldChar w:fldCharType="end"/>
        </w:r>
      </w:hyperlink>
    </w:p>
    <w:p w14:paraId="3CC2E3A9" w14:textId="3F3540D7"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41" w:history="1">
        <w:r w:rsidR="00724759" w:rsidRPr="00724759">
          <w:rPr>
            <w:rStyle w:val="Hypertextovodkaz"/>
            <w:noProof/>
          </w:rPr>
          <w:t>Graf č. 20: Přehled Ministerstvem financí a Celní správou zjištěných sídel nelegálních provozovatelů provozujících hazardní hry na internetu v období let 2017 až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_Toc73531941 \h </w:instrText>
        </w:r>
        <w:r w:rsidR="00724759" w:rsidRPr="00724759">
          <w:rPr>
            <w:noProof/>
            <w:webHidden/>
          </w:rPr>
        </w:r>
        <w:r w:rsidR="00724759" w:rsidRPr="00724759">
          <w:rPr>
            <w:noProof/>
            <w:webHidden/>
          </w:rPr>
          <w:fldChar w:fldCharType="separate"/>
        </w:r>
        <w:r w:rsidR="00724759" w:rsidRPr="00724759">
          <w:rPr>
            <w:noProof/>
            <w:webHidden/>
          </w:rPr>
          <w:t>27</w:t>
        </w:r>
        <w:r w:rsidR="00724759" w:rsidRPr="00724759">
          <w:rPr>
            <w:noProof/>
            <w:webHidden/>
          </w:rPr>
          <w:fldChar w:fldCharType="end"/>
        </w:r>
      </w:hyperlink>
    </w:p>
    <w:p w14:paraId="1BA4ACA1" w14:textId="1CBB6F86"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42" w:history="1">
        <w:r w:rsidR="00724759" w:rsidRPr="00724759">
          <w:rPr>
            <w:rStyle w:val="Hypertextovodkaz"/>
            <w:noProof/>
          </w:rPr>
          <w:t>Graf č. 21: Celková výše Ministerstvem financí uložených pokut za legální a nelegální provozování v on-line prostředí za období 2017 – 2020 (v mil. Kč)</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_Toc73531942 \h </w:instrText>
        </w:r>
        <w:r w:rsidR="00724759" w:rsidRPr="00724759">
          <w:rPr>
            <w:noProof/>
            <w:webHidden/>
          </w:rPr>
        </w:r>
        <w:r w:rsidR="00724759" w:rsidRPr="00724759">
          <w:rPr>
            <w:noProof/>
            <w:webHidden/>
          </w:rPr>
          <w:fldChar w:fldCharType="separate"/>
        </w:r>
        <w:r w:rsidR="00724759" w:rsidRPr="00724759">
          <w:rPr>
            <w:noProof/>
            <w:webHidden/>
          </w:rPr>
          <w:t>30</w:t>
        </w:r>
        <w:r w:rsidR="00724759" w:rsidRPr="00724759">
          <w:rPr>
            <w:noProof/>
            <w:webHidden/>
          </w:rPr>
          <w:fldChar w:fldCharType="end"/>
        </w:r>
      </w:hyperlink>
    </w:p>
    <w:p w14:paraId="177F54FD" w14:textId="34F2AB86"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43" w:history="1">
        <w:r w:rsidR="00724759" w:rsidRPr="00724759">
          <w:rPr>
            <w:rStyle w:val="Hypertextovodkaz"/>
            <w:noProof/>
          </w:rPr>
          <w:t>Graf č. 22:  Porovnání počtu a výše pokut pravomocně uložených Celní správou ČR za legální a nelegální provozování v land-based prostředí za období 2017 – 2020 (v mil. Kč)</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_Toc73531943 \h </w:instrText>
        </w:r>
        <w:r w:rsidR="00724759" w:rsidRPr="00724759">
          <w:rPr>
            <w:noProof/>
            <w:webHidden/>
          </w:rPr>
        </w:r>
        <w:r w:rsidR="00724759" w:rsidRPr="00724759">
          <w:rPr>
            <w:noProof/>
            <w:webHidden/>
          </w:rPr>
          <w:fldChar w:fldCharType="separate"/>
        </w:r>
        <w:r w:rsidR="00724759" w:rsidRPr="00724759">
          <w:rPr>
            <w:noProof/>
            <w:webHidden/>
          </w:rPr>
          <w:t>30</w:t>
        </w:r>
        <w:r w:rsidR="00724759" w:rsidRPr="00724759">
          <w:rPr>
            <w:noProof/>
            <w:webHidden/>
          </w:rPr>
          <w:fldChar w:fldCharType="end"/>
        </w:r>
      </w:hyperlink>
    </w:p>
    <w:p w14:paraId="0AEC1FBE" w14:textId="4680E2C4"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44" w:history="1">
        <w:r w:rsidR="00724759" w:rsidRPr="00724759">
          <w:rPr>
            <w:rStyle w:val="Hypertextovodkaz"/>
            <w:noProof/>
          </w:rPr>
          <w:t>Graf č. 23: Porovnání počtu a výše pokut uložených Celní správou ČR za legální provozování v land-based prostředí za období 2017 – 2020 (v mil. Kč)</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_Toc73531944 \h </w:instrText>
        </w:r>
        <w:r w:rsidR="00724759" w:rsidRPr="00724759">
          <w:rPr>
            <w:noProof/>
            <w:webHidden/>
          </w:rPr>
        </w:r>
        <w:r w:rsidR="00724759" w:rsidRPr="00724759">
          <w:rPr>
            <w:noProof/>
            <w:webHidden/>
          </w:rPr>
          <w:fldChar w:fldCharType="separate"/>
        </w:r>
        <w:r w:rsidR="00724759" w:rsidRPr="00724759">
          <w:rPr>
            <w:noProof/>
            <w:webHidden/>
          </w:rPr>
          <w:t>31</w:t>
        </w:r>
        <w:r w:rsidR="00724759" w:rsidRPr="00724759">
          <w:rPr>
            <w:noProof/>
            <w:webHidden/>
          </w:rPr>
          <w:fldChar w:fldCharType="end"/>
        </w:r>
      </w:hyperlink>
    </w:p>
    <w:p w14:paraId="1F8A677C" w14:textId="5A52E8A6" w:rsidR="00724759" w:rsidRPr="00724759" w:rsidRDefault="008C13D5">
      <w:pPr>
        <w:pStyle w:val="Seznamobrzk"/>
        <w:tabs>
          <w:tab w:val="right" w:leader="dot" w:pos="9062"/>
        </w:tabs>
        <w:rPr>
          <w:rFonts w:asciiTheme="minorHAnsi" w:eastAsiaTheme="minorEastAsia" w:hAnsiTheme="minorHAnsi"/>
          <w:noProof/>
          <w:sz w:val="22"/>
          <w:lang w:eastAsia="cs-CZ"/>
        </w:rPr>
      </w:pPr>
      <w:hyperlink w:anchor="_Toc73531945" w:history="1">
        <w:r w:rsidR="00724759" w:rsidRPr="00724759">
          <w:rPr>
            <w:rStyle w:val="Hypertextovodkaz"/>
            <w:noProof/>
          </w:rPr>
          <w:t>Graf č. 24: Porovnání počtu a výše pokut uložených Celní správou ČR za nelegální provozování (v mil. Kč) v land-based prostředí za období 2017 - 2020</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_Toc73531945 \h </w:instrText>
        </w:r>
        <w:r w:rsidR="00724759" w:rsidRPr="00724759">
          <w:rPr>
            <w:noProof/>
            <w:webHidden/>
          </w:rPr>
        </w:r>
        <w:r w:rsidR="00724759" w:rsidRPr="00724759">
          <w:rPr>
            <w:noProof/>
            <w:webHidden/>
          </w:rPr>
          <w:fldChar w:fldCharType="separate"/>
        </w:r>
        <w:r w:rsidR="00724759" w:rsidRPr="00724759">
          <w:rPr>
            <w:noProof/>
            <w:webHidden/>
          </w:rPr>
          <w:t>31</w:t>
        </w:r>
        <w:r w:rsidR="00724759" w:rsidRPr="00724759">
          <w:rPr>
            <w:noProof/>
            <w:webHidden/>
          </w:rPr>
          <w:fldChar w:fldCharType="end"/>
        </w:r>
      </w:hyperlink>
    </w:p>
    <w:p w14:paraId="1BB0C103" w14:textId="63A6CA03" w:rsidR="00724759" w:rsidRDefault="008C13D5">
      <w:pPr>
        <w:pStyle w:val="Seznamobrzk"/>
        <w:tabs>
          <w:tab w:val="right" w:leader="dot" w:pos="9062"/>
        </w:tabs>
        <w:rPr>
          <w:rFonts w:asciiTheme="minorHAnsi" w:eastAsiaTheme="minorEastAsia" w:hAnsiTheme="minorHAnsi"/>
          <w:noProof/>
          <w:sz w:val="22"/>
          <w:lang w:eastAsia="cs-CZ"/>
        </w:rPr>
      </w:pPr>
      <w:hyperlink w:anchor="_Toc73531946" w:history="1">
        <w:r w:rsidR="00724759" w:rsidRPr="00724759">
          <w:rPr>
            <w:rStyle w:val="Hypertextovodkaz"/>
            <w:noProof/>
          </w:rPr>
          <w:t>Graf č. 25: Porovnání výše pokut uložených Celní správou ČR za legální a nelegální provozování v land-based prostředí za období 2017 – 2020 (v mil. Kč)</w:t>
        </w:r>
        <w:r w:rsidR="00724759" w:rsidRPr="00724759">
          <w:rPr>
            <w:noProof/>
            <w:webHidden/>
          </w:rPr>
          <w:tab/>
        </w:r>
        <w:r w:rsidR="00724759" w:rsidRPr="00724759">
          <w:rPr>
            <w:noProof/>
            <w:webHidden/>
          </w:rPr>
          <w:fldChar w:fldCharType="begin"/>
        </w:r>
        <w:r w:rsidR="00724759" w:rsidRPr="00724759">
          <w:rPr>
            <w:noProof/>
            <w:webHidden/>
          </w:rPr>
          <w:instrText xml:space="preserve"> PAGEREF _Toc73531946 \h </w:instrText>
        </w:r>
        <w:r w:rsidR="00724759" w:rsidRPr="00724759">
          <w:rPr>
            <w:noProof/>
            <w:webHidden/>
          </w:rPr>
        </w:r>
        <w:r w:rsidR="00724759" w:rsidRPr="00724759">
          <w:rPr>
            <w:noProof/>
            <w:webHidden/>
          </w:rPr>
          <w:fldChar w:fldCharType="separate"/>
        </w:r>
        <w:r w:rsidR="00724759" w:rsidRPr="00724759">
          <w:rPr>
            <w:noProof/>
            <w:webHidden/>
          </w:rPr>
          <w:t>32</w:t>
        </w:r>
        <w:r w:rsidR="00724759" w:rsidRPr="00724759">
          <w:rPr>
            <w:noProof/>
            <w:webHidden/>
          </w:rPr>
          <w:fldChar w:fldCharType="end"/>
        </w:r>
      </w:hyperlink>
    </w:p>
    <w:p w14:paraId="613D797D" w14:textId="437FE880" w:rsidR="009727AF" w:rsidRPr="009727AF" w:rsidRDefault="002655CB" w:rsidP="009727AF">
      <w:pPr>
        <w:pStyle w:val="Nadpis3"/>
        <w:rPr>
          <w:noProof/>
        </w:rPr>
      </w:pPr>
      <w:r w:rsidRPr="00DC2AAF">
        <w:rPr>
          <w:highlight w:val="yellow"/>
        </w:rPr>
        <w:fldChar w:fldCharType="end"/>
      </w:r>
      <w:bookmarkStart w:id="53" w:name="_Toc73608168"/>
      <w:r w:rsidR="009727AF">
        <w:t>Obsah</w:t>
      </w:r>
      <w:bookmarkEnd w:id="53"/>
      <w:r w:rsidR="0018238D">
        <w:fldChar w:fldCharType="begin"/>
      </w:r>
      <w:r w:rsidR="0018238D">
        <w:instrText xml:space="preserve"> TOC \o "1-6" \h \z \u </w:instrText>
      </w:r>
      <w:r w:rsidR="0018238D">
        <w:fldChar w:fldCharType="separate"/>
      </w:r>
      <w:hyperlink w:anchor="_Toc73608160" w:history="1"/>
    </w:p>
    <w:p w14:paraId="0E6A9558" w14:textId="6337B8FC" w:rsidR="009727AF" w:rsidRDefault="008C13D5">
      <w:pPr>
        <w:pStyle w:val="Obsah3"/>
        <w:tabs>
          <w:tab w:val="left" w:pos="1100"/>
          <w:tab w:val="right" w:leader="dot" w:pos="9062"/>
        </w:tabs>
        <w:rPr>
          <w:rFonts w:asciiTheme="minorHAnsi" w:eastAsiaTheme="minorEastAsia" w:hAnsiTheme="minorHAnsi"/>
          <w:noProof/>
          <w:sz w:val="22"/>
          <w:lang w:eastAsia="cs-CZ"/>
        </w:rPr>
      </w:pPr>
      <w:hyperlink w:anchor="_Toc73608161" w:history="1">
        <w:r w:rsidR="009727AF" w:rsidRPr="00BE360B">
          <w:rPr>
            <w:rStyle w:val="Hypertextovodkaz"/>
            <w:noProof/>
          </w:rPr>
          <w:t>1.1</w:t>
        </w:r>
        <w:r w:rsidR="009727AF">
          <w:rPr>
            <w:rFonts w:asciiTheme="minorHAnsi" w:eastAsiaTheme="minorEastAsia" w:hAnsiTheme="minorHAnsi"/>
            <w:noProof/>
            <w:sz w:val="22"/>
            <w:lang w:eastAsia="cs-CZ"/>
          </w:rPr>
          <w:tab/>
        </w:r>
        <w:r w:rsidR="009727AF" w:rsidRPr="00BE360B">
          <w:rPr>
            <w:rStyle w:val="Hypertextovodkaz"/>
            <w:noProof/>
          </w:rPr>
          <w:t>Konkrétní popis regulace obsažené v zákoně o loteriích</w:t>
        </w:r>
        <w:r w:rsidR="009727AF">
          <w:rPr>
            <w:noProof/>
            <w:webHidden/>
          </w:rPr>
          <w:tab/>
        </w:r>
        <w:r w:rsidR="009727AF">
          <w:rPr>
            <w:noProof/>
            <w:webHidden/>
          </w:rPr>
          <w:fldChar w:fldCharType="begin"/>
        </w:r>
        <w:r w:rsidR="009727AF">
          <w:rPr>
            <w:noProof/>
            <w:webHidden/>
          </w:rPr>
          <w:instrText xml:space="preserve"> PAGEREF _Toc73608161 \h </w:instrText>
        </w:r>
        <w:r w:rsidR="009727AF">
          <w:rPr>
            <w:noProof/>
            <w:webHidden/>
          </w:rPr>
        </w:r>
        <w:r w:rsidR="009727AF">
          <w:rPr>
            <w:noProof/>
            <w:webHidden/>
          </w:rPr>
          <w:fldChar w:fldCharType="separate"/>
        </w:r>
        <w:r w:rsidR="009727AF">
          <w:rPr>
            <w:noProof/>
            <w:webHidden/>
          </w:rPr>
          <w:t>1</w:t>
        </w:r>
        <w:r w:rsidR="009727AF">
          <w:rPr>
            <w:noProof/>
            <w:webHidden/>
          </w:rPr>
          <w:fldChar w:fldCharType="end"/>
        </w:r>
      </w:hyperlink>
    </w:p>
    <w:p w14:paraId="29EFF7C9" w14:textId="7B9DCE87" w:rsidR="009727AF" w:rsidRDefault="008C13D5">
      <w:pPr>
        <w:pStyle w:val="Obsah3"/>
        <w:tabs>
          <w:tab w:val="left" w:pos="1100"/>
          <w:tab w:val="right" w:leader="dot" w:pos="9062"/>
        </w:tabs>
        <w:rPr>
          <w:rFonts w:asciiTheme="minorHAnsi" w:eastAsiaTheme="minorEastAsia" w:hAnsiTheme="minorHAnsi"/>
          <w:noProof/>
          <w:sz w:val="22"/>
          <w:lang w:eastAsia="cs-CZ"/>
        </w:rPr>
      </w:pPr>
      <w:hyperlink w:anchor="_Toc73608162" w:history="1">
        <w:r w:rsidR="009727AF" w:rsidRPr="00BE360B">
          <w:rPr>
            <w:rStyle w:val="Hypertextovodkaz"/>
            <w:noProof/>
          </w:rPr>
          <w:t>1.2</w:t>
        </w:r>
        <w:r w:rsidR="009727AF">
          <w:rPr>
            <w:rFonts w:asciiTheme="minorHAnsi" w:eastAsiaTheme="minorEastAsia" w:hAnsiTheme="minorHAnsi"/>
            <w:noProof/>
            <w:sz w:val="22"/>
            <w:lang w:eastAsia="cs-CZ"/>
          </w:rPr>
          <w:tab/>
        </w:r>
        <w:r w:rsidR="009727AF" w:rsidRPr="00BE360B">
          <w:rPr>
            <w:rStyle w:val="Hypertextovodkaz"/>
            <w:noProof/>
          </w:rPr>
          <w:t>Konkrétní popis regulace obsažené v zákoně o hazardních hrách</w:t>
        </w:r>
        <w:r w:rsidR="009727AF">
          <w:rPr>
            <w:noProof/>
            <w:webHidden/>
          </w:rPr>
          <w:tab/>
        </w:r>
        <w:r w:rsidR="009727AF">
          <w:rPr>
            <w:noProof/>
            <w:webHidden/>
          </w:rPr>
          <w:fldChar w:fldCharType="begin"/>
        </w:r>
        <w:r w:rsidR="009727AF">
          <w:rPr>
            <w:noProof/>
            <w:webHidden/>
          </w:rPr>
          <w:instrText xml:space="preserve"> PAGEREF _Toc73608162 \h </w:instrText>
        </w:r>
        <w:r w:rsidR="009727AF">
          <w:rPr>
            <w:noProof/>
            <w:webHidden/>
          </w:rPr>
        </w:r>
        <w:r w:rsidR="009727AF">
          <w:rPr>
            <w:noProof/>
            <w:webHidden/>
          </w:rPr>
          <w:fldChar w:fldCharType="separate"/>
        </w:r>
        <w:r w:rsidR="009727AF">
          <w:rPr>
            <w:noProof/>
            <w:webHidden/>
          </w:rPr>
          <w:t>1</w:t>
        </w:r>
        <w:r w:rsidR="009727AF">
          <w:rPr>
            <w:noProof/>
            <w:webHidden/>
          </w:rPr>
          <w:fldChar w:fldCharType="end"/>
        </w:r>
      </w:hyperlink>
    </w:p>
    <w:p w14:paraId="760190F0" w14:textId="76AEE356" w:rsidR="009727AF" w:rsidRDefault="008C13D5">
      <w:pPr>
        <w:pStyle w:val="Obsah3"/>
        <w:tabs>
          <w:tab w:val="left" w:pos="1100"/>
          <w:tab w:val="right" w:leader="dot" w:pos="9062"/>
        </w:tabs>
        <w:rPr>
          <w:rFonts w:asciiTheme="minorHAnsi" w:eastAsiaTheme="minorEastAsia" w:hAnsiTheme="minorHAnsi"/>
          <w:noProof/>
          <w:sz w:val="22"/>
          <w:lang w:eastAsia="cs-CZ"/>
        </w:rPr>
      </w:pPr>
      <w:hyperlink w:anchor="_Toc73608163" w:history="1">
        <w:r w:rsidR="009727AF" w:rsidRPr="00BE360B">
          <w:rPr>
            <w:rStyle w:val="Hypertextovodkaz"/>
            <w:noProof/>
          </w:rPr>
          <w:t>1.3</w:t>
        </w:r>
        <w:r w:rsidR="009727AF">
          <w:rPr>
            <w:rFonts w:asciiTheme="minorHAnsi" w:eastAsiaTheme="minorEastAsia" w:hAnsiTheme="minorHAnsi"/>
            <w:noProof/>
            <w:sz w:val="22"/>
            <w:lang w:eastAsia="cs-CZ"/>
          </w:rPr>
          <w:tab/>
        </w:r>
        <w:r w:rsidR="009727AF" w:rsidRPr="00BE360B">
          <w:rPr>
            <w:rStyle w:val="Hypertextovodkaz"/>
            <w:noProof/>
          </w:rPr>
          <w:t>Implementace dozorové činnosti v hodnoceném období</w:t>
        </w:r>
        <w:r w:rsidR="009727AF">
          <w:rPr>
            <w:noProof/>
            <w:webHidden/>
          </w:rPr>
          <w:tab/>
        </w:r>
        <w:r w:rsidR="009727AF">
          <w:rPr>
            <w:noProof/>
            <w:webHidden/>
          </w:rPr>
          <w:fldChar w:fldCharType="begin"/>
        </w:r>
        <w:r w:rsidR="009727AF">
          <w:rPr>
            <w:noProof/>
            <w:webHidden/>
          </w:rPr>
          <w:instrText xml:space="preserve"> PAGEREF _Toc73608163 \h </w:instrText>
        </w:r>
        <w:r w:rsidR="009727AF">
          <w:rPr>
            <w:noProof/>
            <w:webHidden/>
          </w:rPr>
        </w:r>
        <w:r w:rsidR="009727AF">
          <w:rPr>
            <w:noProof/>
            <w:webHidden/>
          </w:rPr>
          <w:fldChar w:fldCharType="separate"/>
        </w:r>
        <w:r w:rsidR="009727AF">
          <w:rPr>
            <w:noProof/>
            <w:webHidden/>
          </w:rPr>
          <w:t>6</w:t>
        </w:r>
        <w:r w:rsidR="009727AF">
          <w:rPr>
            <w:noProof/>
            <w:webHidden/>
          </w:rPr>
          <w:fldChar w:fldCharType="end"/>
        </w:r>
      </w:hyperlink>
    </w:p>
    <w:p w14:paraId="35224CDC" w14:textId="1FB96D46" w:rsidR="009727AF" w:rsidRDefault="008C13D5">
      <w:pPr>
        <w:pStyle w:val="Obsah3"/>
        <w:tabs>
          <w:tab w:val="left" w:pos="1100"/>
          <w:tab w:val="right" w:leader="dot" w:pos="9062"/>
        </w:tabs>
        <w:rPr>
          <w:rFonts w:asciiTheme="minorHAnsi" w:eastAsiaTheme="minorEastAsia" w:hAnsiTheme="minorHAnsi"/>
          <w:noProof/>
          <w:sz w:val="22"/>
          <w:lang w:eastAsia="cs-CZ"/>
        </w:rPr>
      </w:pPr>
      <w:hyperlink w:anchor="_Toc73608164" w:history="1">
        <w:r w:rsidR="009727AF" w:rsidRPr="00BE360B">
          <w:rPr>
            <w:rStyle w:val="Hypertextovodkaz"/>
            <w:noProof/>
          </w:rPr>
          <w:t>1.4</w:t>
        </w:r>
        <w:r w:rsidR="009727AF">
          <w:rPr>
            <w:rFonts w:asciiTheme="minorHAnsi" w:eastAsiaTheme="minorEastAsia" w:hAnsiTheme="minorHAnsi"/>
            <w:noProof/>
            <w:sz w:val="22"/>
            <w:lang w:eastAsia="cs-CZ"/>
          </w:rPr>
          <w:tab/>
        </w:r>
        <w:r w:rsidR="009727AF" w:rsidRPr="00BE360B">
          <w:rPr>
            <w:rStyle w:val="Hypertextovodkaz"/>
            <w:noProof/>
          </w:rPr>
          <w:t>Seznam tabulek, obrázků a grafů</w:t>
        </w:r>
        <w:r w:rsidR="009727AF">
          <w:rPr>
            <w:noProof/>
            <w:webHidden/>
          </w:rPr>
          <w:tab/>
        </w:r>
        <w:r w:rsidR="009727AF">
          <w:rPr>
            <w:noProof/>
            <w:webHidden/>
          </w:rPr>
          <w:fldChar w:fldCharType="begin"/>
        </w:r>
        <w:r w:rsidR="009727AF">
          <w:rPr>
            <w:noProof/>
            <w:webHidden/>
          </w:rPr>
          <w:instrText xml:space="preserve"> PAGEREF _Toc73608164 \h </w:instrText>
        </w:r>
        <w:r w:rsidR="009727AF">
          <w:rPr>
            <w:noProof/>
            <w:webHidden/>
          </w:rPr>
        </w:r>
        <w:r w:rsidR="009727AF">
          <w:rPr>
            <w:noProof/>
            <w:webHidden/>
          </w:rPr>
          <w:fldChar w:fldCharType="separate"/>
        </w:r>
        <w:r w:rsidR="009727AF">
          <w:rPr>
            <w:noProof/>
            <w:webHidden/>
          </w:rPr>
          <w:t>31</w:t>
        </w:r>
        <w:r w:rsidR="009727AF">
          <w:rPr>
            <w:noProof/>
            <w:webHidden/>
          </w:rPr>
          <w:fldChar w:fldCharType="end"/>
        </w:r>
      </w:hyperlink>
    </w:p>
    <w:p w14:paraId="7FEB6F8E" w14:textId="183C2CFB" w:rsidR="009727AF" w:rsidRDefault="008C13D5">
      <w:pPr>
        <w:pStyle w:val="Obsah4"/>
        <w:tabs>
          <w:tab w:val="left" w:pos="1540"/>
          <w:tab w:val="right" w:leader="dot" w:pos="9062"/>
        </w:tabs>
        <w:rPr>
          <w:rFonts w:asciiTheme="minorHAnsi" w:eastAsiaTheme="minorEastAsia" w:hAnsiTheme="minorHAnsi"/>
          <w:noProof/>
          <w:sz w:val="22"/>
          <w:lang w:eastAsia="cs-CZ"/>
        </w:rPr>
      </w:pPr>
      <w:hyperlink w:anchor="_Toc73608165" w:history="1">
        <w:r w:rsidR="009727AF" w:rsidRPr="00BE360B">
          <w:rPr>
            <w:rStyle w:val="Hypertextovodkaz"/>
            <w:noProof/>
          </w:rPr>
          <w:t>1.4.1</w:t>
        </w:r>
        <w:r w:rsidR="009727AF">
          <w:rPr>
            <w:rFonts w:asciiTheme="minorHAnsi" w:eastAsiaTheme="minorEastAsia" w:hAnsiTheme="minorHAnsi"/>
            <w:noProof/>
            <w:sz w:val="22"/>
            <w:lang w:eastAsia="cs-CZ"/>
          </w:rPr>
          <w:tab/>
        </w:r>
        <w:r w:rsidR="009727AF" w:rsidRPr="00BE360B">
          <w:rPr>
            <w:rStyle w:val="Hypertextovodkaz"/>
            <w:noProof/>
          </w:rPr>
          <w:t>Tabulky</w:t>
        </w:r>
        <w:r w:rsidR="009727AF">
          <w:rPr>
            <w:noProof/>
            <w:webHidden/>
          </w:rPr>
          <w:tab/>
        </w:r>
        <w:r w:rsidR="009727AF">
          <w:rPr>
            <w:noProof/>
            <w:webHidden/>
          </w:rPr>
          <w:fldChar w:fldCharType="begin"/>
        </w:r>
        <w:r w:rsidR="009727AF">
          <w:rPr>
            <w:noProof/>
            <w:webHidden/>
          </w:rPr>
          <w:instrText xml:space="preserve"> PAGEREF _Toc73608165 \h </w:instrText>
        </w:r>
        <w:r w:rsidR="009727AF">
          <w:rPr>
            <w:noProof/>
            <w:webHidden/>
          </w:rPr>
        </w:r>
        <w:r w:rsidR="009727AF">
          <w:rPr>
            <w:noProof/>
            <w:webHidden/>
          </w:rPr>
          <w:fldChar w:fldCharType="separate"/>
        </w:r>
        <w:r w:rsidR="009727AF">
          <w:rPr>
            <w:noProof/>
            <w:webHidden/>
          </w:rPr>
          <w:t>31</w:t>
        </w:r>
        <w:r w:rsidR="009727AF">
          <w:rPr>
            <w:noProof/>
            <w:webHidden/>
          </w:rPr>
          <w:fldChar w:fldCharType="end"/>
        </w:r>
      </w:hyperlink>
    </w:p>
    <w:p w14:paraId="0623A069" w14:textId="7FD91185" w:rsidR="009727AF" w:rsidRDefault="008C13D5">
      <w:pPr>
        <w:pStyle w:val="Obsah4"/>
        <w:tabs>
          <w:tab w:val="left" w:pos="1540"/>
          <w:tab w:val="right" w:leader="dot" w:pos="9062"/>
        </w:tabs>
        <w:rPr>
          <w:rFonts w:asciiTheme="minorHAnsi" w:eastAsiaTheme="minorEastAsia" w:hAnsiTheme="minorHAnsi"/>
          <w:noProof/>
          <w:sz w:val="22"/>
          <w:lang w:eastAsia="cs-CZ"/>
        </w:rPr>
      </w:pPr>
      <w:hyperlink w:anchor="_Toc73608166" w:history="1">
        <w:r w:rsidR="009727AF" w:rsidRPr="00BE360B">
          <w:rPr>
            <w:rStyle w:val="Hypertextovodkaz"/>
            <w:noProof/>
          </w:rPr>
          <w:t>1.4.2</w:t>
        </w:r>
        <w:r w:rsidR="009727AF">
          <w:rPr>
            <w:rFonts w:asciiTheme="minorHAnsi" w:eastAsiaTheme="minorEastAsia" w:hAnsiTheme="minorHAnsi"/>
            <w:noProof/>
            <w:sz w:val="22"/>
            <w:lang w:eastAsia="cs-CZ"/>
          </w:rPr>
          <w:tab/>
        </w:r>
        <w:r w:rsidR="009727AF" w:rsidRPr="00BE360B">
          <w:rPr>
            <w:rStyle w:val="Hypertextovodkaz"/>
            <w:noProof/>
          </w:rPr>
          <w:t>Obrázky</w:t>
        </w:r>
        <w:r w:rsidR="009727AF">
          <w:rPr>
            <w:noProof/>
            <w:webHidden/>
          </w:rPr>
          <w:tab/>
        </w:r>
        <w:r w:rsidR="009727AF">
          <w:rPr>
            <w:noProof/>
            <w:webHidden/>
          </w:rPr>
          <w:fldChar w:fldCharType="begin"/>
        </w:r>
        <w:r w:rsidR="009727AF">
          <w:rPr>
            <w:noProof/>
            <w:webHidden/>
          </w:rPr>
          <w:instrText xml:space="preserve"> PAGEREF _Toc73608166 \h </w:instrText>
        </w:r>
        <w:r w:rsidR="009727AF">
          <w:rPr>
            <w:noProof/>
            <w:webHidden/>
          </w:rPr>
        </w:r>
        <w:r w:rsidR="009727AF">
          <w:rPr>
            <w:noProof/>
            <w:webHidden/>
          </w:rPr>
          <w:fldChar w:fldCharType="separate"/>
        </w:r>
        <w:r w:rsidR="009727AF">
          <w:rPr>
            <w:noProof/>
            <w:webHidden/>
          </w:rPr>
          <w:t>31</w:t>
        </w:r>
        <w:r w:rsidR="009727AF">
          <w:rPr>
            <w:noProof/>
            <w:webHidden/>
          </w:rPr>
          <w:fldChar w:fldCharType="end"/>
        </w:r>
      </w:hyperlink>
    </w:p>
    <w:p w14:paraId="1FCD9F82" w14:textId="709E0BA4" w:rsidR="009727AF" w:rsidRDefault="008C13D5">
      <w:pPr>
        <w:pStyle w:val="Obsah4"/>
        <w:tabs>
          <w:tab w:val="left" w:pos="1540"/>
          <w:tab w:val="right" w:leader="dot" w:pos="9062"/>
        </w:tabs>
        <w:rPr>
          <w:rFonts w:asciiTheme="minorHAnsi" w:eastAsiaTheme="minorEastAsia" w:hAnsiTheme="minorHAnsi"/>
          <w:noProof/>
          <w:sz w:val="22"/>
          <w:lang w:eastAsia="cs-CZ"/>
        </w:rPr>
      </w:pPr>
      <w:hyperlink w:anchor="_Toc73608167" w:history="1">
        <w:r w:rsidR="009727AF" w:rsidRPr="00BE360B">
          <w:rPr>
            <w:rStyle w:val="Hypertextovodkaz"/>
            <w:noProof/>
          </w:rPr>
          <w:t>1.4.3</w:t>
        </w:r>
        <w:r w:rsidR="009727AF">
          <w:rPr>
            <w:rFonts w:asciiTheme="minorHAnsi" w:eastAsiaTheme="minorEastAsia" w:hAnsiTheme="minorHAnsi"/>
            <w:noProof/>
            <w:sz w:val="22"/>
            <w:lang w:eastAsia="cs-CZ"/>
          </w:rPr>
          <w:tab/>
        </w:r>
        <w:r w:rsidR="009727AF" w:rsidRPr="00BE360B">
          <w:rPr>
            <w:rStyle w:val="Hypertextovodkaz"/>
            <w:noProof/>
          </w:rPr>
          <w:t>Grafy</w:t>
        </w:r>
        <w:r w:rsidR="009727AF">
          <w:rPr>
            <w:noProof/>
            <w:webHidden/>
          </w:rPr>
          <w:tab/>
        </w:r>
        <w:r w:rsidR="009727AF">
          <w:rPr>
            <w:noProof/>
            <w:webHidden/>
          </w:rPr>
          <w:fldChar w:fldCharType="begin"/>
        </w:r>
        <w:r w:rsidR="009727AF">
          <w:rPr>
            <w:noProof/>
            <w:webHidden/>
          </w:rPr>
          <w:instrText xml:space="preserve"> PAGEREF _Toc73608167 \h </w:instrText>
        </w:r>
        <w:r w:rsidR="009727AF">
          <w:rPr>
            <w:noProof/>
            <w:webHidden/>
          </w:rPr>
        </w:r>
        <w:r w:rsidR="009727AF">
          <w:rPr>
            <w:noProof/>
            <w:webHidden/>
          </w:rPr>
          <w:fldChar w:fldCharType="separate"/>
        </w:r>
        <w:r w:rsidR="009727AF">
          <w:rPr>
            <w:noProof/>
            <w:webHidden/>
          </w:rPr>
          <w:t>31</w:t>
        </w:r>
        <w:r w:rsidR="009727AF">
          <w:rPr>
            <w:noProof/>
            <w:webHidden/>
          </w:rPr>
          <w:fldChar w:fldCharType="end"/>
        </w:r>
      </w:hyperlink>
    </w:p>
    <w:p w14:paraId="2E6CFD05" w14:textId="1FC951D7" w:rsidR="009727AF" w:rsidRDefault="008C13D5">
      <w:pPr>
        <w:pStyle w:val="Obsah3"/>
        <w:tabs>
          <w:tab w:val="left" w:pos="1100"/>
          <w:tab w:val="right" w:leader="dot" w:pos="9062"/>
        </w:tabs>
        <w:rPr>
          <w:rFonts w:asciiTheme="minorHAnsi" w:eastAsiaTheme="minorEastAsia" w:hAnsiTheme="minorHAnsi"/>
          <w:noProof/>
          <w:sz w:val="22"/>
          <w:lang w:eastAsia="cs-CZ"/>
        </w:rPr>
      </w:pPr>
      <w:hyperlink w:anchor="_Toc73608168" w:history="1">
        <w:r w:rsidR="009727AF" w:rsidRPr="00BE360B">
          <w:rPr>
            <w:rStyle w:val="Hypertextovodkaz"/>
            <w:noProof/>
          </w:rPr>
          <w:t>1.5</w:t>
        </w:r>
        <w:r w:rsidR="009727AF">
          <w:rPr>
            <w:rFonts w:asciiTheme="minorHAnsi" w:eastAsiaTheme="minorEastAsia" w:hAnsiTheme="minorHAnsi"/>
            <w:noProof/>
            <w:sz w:val="22"/>
            <w:lang w:eastAsia="cs-CZ"/>
          </w:rPr>
          <w:tab/>
        </w:r>
        <w:r w:rsidR="009727AF" w:rsidRPr="00BE360B">
          <w:rPr>
            <w:rStyle w:val="Hypertextovodkaz"/>
            <w:noProof/>
          </w:rPr>
          <w:t>Obsah</w:t>
        </w:r>
        <w:r w:rsidR="009727AF">
          <w:rPr>
            <w:noProof/>
            <w:webHidden/>
          </w:rPr>
          <w:tab/>
        </w:r>
        <w:r w:rsidR="009727AF">
          <w:rPr>
            <w:noProof/>
            <w:webHidden/>
          </w:rPr>
          <w:fldChar w:fldCharType="begin"/>
        </w:r>
        <w:r w:rsidR="009727AF">
          <w:rPr>
            <w:noProof/>
            <w:webHidden/>
          </w:rPr>
          <w:instrText xml:space="preserve"> PAGEREF _Toc73608168 \h </w:instrText>
        </w:r>
        <w:r w:rsidR="009727AF">
          <w:rPr>
            <w:noProof/>
            <w:webHidden/>
          </w:rPr>
        </w:r>
        <w:r w:rsidR="009727AF">
          <w:rPr>
            <w:noProof/>
            <w:webHidden/>
          </w:rPr>
          <w:fldChar w:fldCharType="separate"/>
        </w:r>
        <w:r w:rsidR="009727AF">
          <w:rPr>
            <w:noProof/>
            <w:webHidden/>
          </w:rPr>
          <w:t>33</w:t>
        </w:r>
        <w:r w:rsidR="009727AF">
          <w:rPr>
            <w:noProof/>
            <w:webHidden/>
          </w:rPr>
          <w:fldChar w:fldCharType="end"/>
        </w:r>
      </w:hyperlink>
    </w:p>
    <w:p w14:paraId="5BA583C8" w14:textId="36D18BF0" w:rsidR="0018238D" w:rsidRPr="0018238D" w:rsidRDefault="0018238D" w:rsidP="0018238D">
      <w:r>
        <w:fldChar w:fldCharType="end"/>
      </w:r>
    </w:p>
    <w:sectPr w:rsidR="0018238D" w:rsidRPr="0018238D" w:rsidSect="001374C4">
      <w:headerReference w:type="default" r:id="rId47"/>
      <w:footerReference w:type="default" r:id="rId4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6288B" w14:textId="77777777" w:rsidR="00306790" w:rsidRDefault="00306790" w:rsidP="000B15C0">
      <w:pPr>
        <w:spacing w:after="0"/>
      </w:pPr>
      <w:r>
        <w:separator/>
      </w:r>
    </w:p>
  </w:endnote>
  <w:endnote w:type="continuationSeparator" w:id="0">
    <w:p w14:paraId="23FBFCFB" w14:textId="77777777" w:rsidR="00306790" w:rsidRDefault="00306790" w:rsidP="000B15C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Arial-BoldMT">
    <w:altName w:val="Arial"/>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5624917"/>
      <w:docPartObj>
        <w:docPartGallery w:val="Page Numbers (Bottom of Page)"/>
        <w:docPartUnique/>
      </w:docPartObj>
    </w:sdtPr>
    <w:sdtEndPr/>
    <w:sdtContent>
      <w:p w14:paraId="2FC70D84" w14:textId="6BE69276" w:rsidR="00306790" w:rsidRDefault="00306790">
        <w:pPr>
          <w:pStyle w:val="Zpat"/>
          <w:jc w:val="right"/>
        </w:pPr>
        <w:r>
          <w:fldChar w:fldCharType="begin"/>
        </w:r>
        <w:r>
          <w:instrText>PAGE   \* MERGEFORMAT</w:instrText>
        </w:r>
        <w:r>
          <w:fldChar w:fldCharType="separate"/>
        </w:r>
        <w:r w:rsidR="008C13D5">
          <w:rPr>
            <w:noProof/>
          </w:rPr>
          <w:t>1</w:t>
        </w:r>
        <w:r>
          <w:fldChar w:fldCharType="end"/>
        </w:r>
      </w:p>
    </w:sdtContent>
  </w:sdt>
  <w:p w14:paraId="4169847C" w14:textId="77777777" w:rsidR="00306790" w:rsidRDefault="0030679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4E16A" w14:textId="77777777" w:rsidR="00306790" w:rsidRDefault="00306790" w:rsidP="000B15C0">
      <w:pPr>
        <w:spacing w:after="0"/>
      </w:pPr>
      <w:r>
        <w:separator/>
      </w:r>
    </w:p>
  </w:footnote>
  <w:footnote w:type="continuationSeparator" w:id="0">
    <w:p w14:paraId="19F0C722" w14:textId="77777777" w:rsidR="00306790" w:rsidRDefault="00306790" w:rsidP="000B15C0">
      <w:pPr>
        <w:spacing w:after="0"/>
      </w:pPr>
      <w:r>
        <w:continuationSeparator/>
      </w:r>
    </w:p>
  </w:footnote>
  <w:footnote w:id="1">
    <w:p w14:paraId="0EA804B2" w14:textId="77777777" w:rsidR="00306790" w:rsidRPr="00735867" w:rsidRDefault="00306790" w:rsidP="00735867">
      <w:pPr>
        <w:spacing w:after="0"/>
        <w:rPr>
          <w:rFonts w:cs="Arial"/>
          <w:sz w:val="20"/>
          <w:szCs w:val="20"/>
        </w:rPr>
      </w:pPr>
      <w:r w:rsidRPr="00735867">
        <w:rPr>
          <w:rStyle w:val="Znakapoznpodarou"/>
          <w:rFonts w:cs="Arial"/>
          <w:sz w:val="20"/>
          <w:szCs w:val="20"/>
        </w:rPr>
        <w:footnoteRef/>
      </w:r>
      <w:r w:rsidRPr="00735867">
        <w:rPr>
          <w:rFonts w:cs="Arial"/>
          <w:sz w:val="20"/>
          <w:szCs w:val="20"/>
        </w:rPr>
        <w:t xml:space="preserve"> S výjimkou těch povinností, které vyplývaly z části šesté zákona nazvané "Odvod z loterií a jiných podobných her". Odvod z loterií a jiných podobných her podléhal dozoru upravenému daňovým řádem.  </w:t>
      </w:r>
    </w:p>
  </w:footnote>
  <w:footnote w:id="2">
    <w:p w14:paraId="5EC8CEAB" w14:textId="77777777" w:rsidR="00306790" w:rsidRPr="00301BAA" w:rsidRDefault="00306790" w:rsidP="00735867">
      <w:pPr>
        <w:pStyle w:val="Textpoznpodarou"/>
        <w:jc w:val="both"/>
      </w:pPr>
      <w:r w:rsidRPr="00735867">
        <w:rPr>
          <w:rStyle w:val="Znakapoznpodarou"/>
          <w:rFonts w:ascii="Arial" w:hAnsi="Arial" w:cs="Arial"/>
        </w:rPr>
        <w:footnoteRef/>
      </w:r>
      <w:r w:rsidRPr="00735867">
        <w:rPr>
          <w:rFonts w:ascii="Arial" w:hAnsi="Arial" w:cs="Arial"/>
        </w:rPr>
        <w:t xml:space="preserve"> Generální ředitelství cel od 1. 1. 2021.</w:t>
      </w:r>
    </w:p>
  </w:footnote>
  <w:footnote w:id="3">
    <w:p w14:paraId="58AD6431" w14:textId="77777777" w:rsidR="00306790" w:rsidRPr="00735867" w:rsidRDefault="00306790" w:rsidP="00735867">
      <w:pPr>
        <w:pStyle w:val="Textpoznpodarou"/>
        <w:jc w:val="both"/>
        <w:rPr>
          <w:rFonts w:ascii="Arial" w:hAnsi="Arial" w:cs="Arial"/>
        </w:rPr>
      </w:pPr>
      <w:r w:rsidRPr="00735867">
        <w:rPr>
          <w:rStyle w:val="Znakapoznpodarou"/>
          <w:rFonts w:ascii="Arial" w:hAnsi="Arial" w:cs="Arial"/>
        </w:rPr>
        <w:footnoteRef/>
      </w:r>
      <w:r w:rsidRPr="00735867">
        <w:rPr>
          <w:rFonts w:ascii="Arial" w:hAnsi="Arial" w:cs="Arial"/>
        </w:rPr>
        <w:t xml:space="preserve"> Do 31. 12. 2020 projednávalo přestupky v oblasti internetových her Ministerstvo financí, a to na základě zákona o hazardních hrách ve znění účinném do 31. 12. 2020</w:t>
      </w:r>
    </w:p>
  </w:footnote>
  <w:footnote w:id="4">
    <w:p w14:paraId="0EE97F20" w14:textId="77777777" w:rsidR="00306790" w:rsidRPr="00735867" w:rsidRDefault="00306790" w:rsidP="00735867">
      <w:pPr>
        <w:pStyle w:val="Textpoznpodarou"/>
        <w:jc w:val="both"/>
        <w:rPr>
          <w:rFonts w:ascii="Arial" w:hAnsi="Arial" w:cs="Arial"/>
        </w:rPr>
      </w:pPr>
      <w:r w:rsidRPr="00735867">
        <w:rPr>
          <w:rStyle w:val="Znakapoznpodarou"/>
          <w:rFonts w:ascii="Arial" w:hAnsi="Arial" w:cs="Arial"/>
        </w:rPr>
        <w:footnoteRef/>
      </w:r>
      <w:r w:rsidRPr="00735867">
        <w:rPr>
          <w:rFonts w:ascii="Arial" w:hAnsi="Arial" w:cs="Arial"/>
        </w:rPr>
        <w:t xml:space="preserve"> Podle zákona o loteriích byl orgán provádějící státní dozor povinen přizvat pověřenou autorizovanou osobu, pokud součástí výkonu státního dozoru nad provozováním výherních hracích přístrojů byla i technická kontrola.</w:t>
      </w:r>
    </w:p>
  </w:footnote>
  <w:footnote w:id="5">
    <w:p w14:paraId="2EBEA181" w14:textId="77777777" w:rsidR="00306790" w:rsidRPr="00735867" w:rsidRDefault="00306790" w:rsidP="00735867">
      <w:pPr>
        <w:pStyle w:val="Textpoznpodarou"/>
        <w:jc w:val="both"/>
        <w:rPr>
          <w:rFonts w:ascii="Arial" w:hAnsi="Arial" w:cs="Arial"/>
        </w:rPr>
      </w:pPr>
      <w:r w:rsidRPr="00735867">
        <w:rPr>
          <w:rStyle w:val="Znakapoznpodarou"/>
          <w:rFonts w:ascii="Arial" w:hAnsi="Arial" w:cs="Arial"/>
        </w:rPr>
        <w:footnoteRef/>
      </w:r>
      <w:r w:rsidRPr="00735867">
        <w:rPr>
          <w:rFonts w:ascii="Arial" w:hAnsi="Arial" w:cs="Arial"/>
        </w:rPr>
        <w:t xml:space="preserve"> V případech, kdy součástí dozoru je provádění technické kontroly technických zařízení/testování, správní orgán odbornou otázku zásadně posoudí sám.</w:t>
      </w:r>
    </w:p>
  </w:footnote>
  <w:footnote w:id="6">
    <w:p w14:paraId="2A5E7547" w14:textId="6C3858A6" w:rsidR="00306790" w:rsidRDefault="00306790" w:rsidP="00052F79">
      <w:pPr>
        <w:pStyle w:val="Textpoznpodarou"/>
        <w:jc w:val="both"/>
      </w:pPr>
      <w:r>
        <w:rPr>
          <w:rStyle w:val="Znakapoznpodarou"/>
        </w:rPr>
        <w:footnoteRef/>
      </w:r>
      <w:r>
        <w:t xml:space="preserve"> </w:t>
      </w:r>
      <w:r w:rsidRPr="00735867">
        <w:rPr>
          <w:rFonts w:ascii="Arial" w:hAnsi="Arial" w:cs="Arial"/>
        </w:rPr>
        <w:t>§ 120 zákona o hazardních hrách „Právo testovat hrací zařízení“ - dozorující orgán je v herním prostoru oprávněn provádět zkoušky technických zařízení.</w:t>
      </w:r>
    </w:p>
  </w:footnote>
  <w:footnote w:id="7">
    <w:p w14:paraId="4861B62A" w14:textId="77777777" w:rsidR="00306790" w:rsidRPr="00735867" w:rsidRDefault="00306790" w:rsidP="00735867">
      <w:pPr>
        <w:pStyle w:val="Textpoznpodarou"/>
        <w:jc w:val="both"/>
        <w:rPr>
          <w:rFonts w:ascii="Arial" w:hAnsi="Arial" w:cs="Arial"/>
        </w:rPr>
      </w:pPr>
      <w:r w:rsidRPr="00735867">
        <w:rPr>
          <w:rStyle w:val="Znakapoznpodarou"/>
          <w:rFonts w:ascii="Arial" w:hAnsi="Arial" w:cs="Arial"/>
        </w:rPr>
        <w:footnoteRef/>
      </w:r>
      <w:r w:rsidRPr="00735867">
        <w:rPr>
          <w:rFonts w:ascii="Arial" w:hAnsi="Arial" w:cs="Arial"/>
        </w:rPr>
        <w:t xml:space="preserve"> Oprávnění zadržet věc přísluší všem dozorujícím orgánům, nicméně pokud věc zadržuje Ministerstvo financí, předá zadržené věci orgánu Celní správy České republiky.</w:t>
      </w:r>
    </w:p>
  </w:footnote>
  <w:footnote w:id="8">
    <w:p w14:paraId="6796347C" w14:textId="177E289B" w:rsidR="00306790" w:rsidRPr="00735867" w:rsidRDefault="00306790" w:rsidP="00735867">
      <w:pPr>
        <w:pStyle w:val="Textpoznpodarou"/>
        <w:jc w:val="both"/>
        <w:rPr>
          <w:rFonts w:ascii="Arial" w:hAnsi="Arial" w:cs="Arial"/>
        </w:rPr>
      </w:pPr>
      <w:r w:rsidRPr="00735867">
        <w:rPr>
          <w:rStyle w:val="Znakapoznpodarou"/>
          <w:rFonts w:ascii="Arial" w:hAnsi="Arial" w:cs="Arial"/>
        </w:rPr>
        <w:footnoteRef/>
      </w:r>
      <w:r w:rsidRPr="00735867">
        <w:rPr>
          <w:rFonts w:ascii="Arial" w:hAnsi="Arial" w:cs="Arial"/>
        </w:rPr>
        <w:t xml:space="preserve"> Spotřebitelskou soutěží se rozumí soutěž, anketa nebo jiná akce o ceny pořádaná pro spotřebitele v přímé souvislosti s propagací, nabídkou nebo prodejem výrobku či služby prodávajícího, při níž se prodávající či jím pověřená osoba zavazuje vyplatit účastníkům určeným náhodným výběrem peněžité či nepeněžité ceny a při které je podmínkou účasti zakoupení určitého výrobku či služby a doložení tohoto nákupu prodávajícímu nebo uzavření smluvního vztahu s prodávajícím výrobku, nebo služby či účast spotřebitele na marketingové akci prodávajícího, a to i nepřímo prostřednictvím jiné osoby.</w:t>
      </w:r>
    </w:p>
  </w:footnote>
  <w:footnote w:id="9">
    <w:p w14:paraId="086860FA" w14:textId="77777777" w:rsidR="00306790" w:rsidRPr="00D44943" w:rsidRDefault="00306790" w:rsidP="00D44943">
      <w:pPr>
        <w:pStyle w:val="Textpoznpodarou"/>
        <w:jc w:val="both"/>
        <w:rPr>
          <w:rFonts w:ascii="Arial" w:hAnsi="Arial" w:cs="Arial"/>
          <w:sz w:val="24"/>
          <w:szCs w:val="24"/>
        </w:rPr>
      </w:pPr>
      <w:r w:rsidRPr="00D44943">
        <w:rPr>
          <w:rStyle w:val="Znakapoznpodarou"/>
          <w:rFonts w:ascii="Arial" w:hAnsi="Arial" w:cs="Arial"/>
          <w:szCs w:val="24"/>
        </w:rPr>
        <w:footnoteRef/>
      </w:r>
      <w:r w:rsidRPr="00D44943">
        <w:rPr>
          <w:rFonts w:ascii="Arial" w:hAnsi="Arial" w:cs="Arial"/>
          <w:szCs w:val="24"/>
        </w:rPr>
        <w:t xml:space="preserve"> V polovině roku 2015 založil útvar Policie České republiky, Služba kriminální policie a vyšetřování vyšetřovací tým Výhra a v roce 2016 navázal úzkou součinnost s Celní správou.  Kromě zajišťování tzv. kvízomatů a peněžních prostředků v nelegálních hernách šlo především o snahu odhalit organizátory, kteří stáli za jejich provozem.   </w:t>
      </w:r>
    </w:p>
  </w:footnote>
  <w:footnote w:id="10">
    <w:p w14:paraId="275D07D3" w14:textId="4E1F4D03" w:rsidR="00306790" w:rsidRPr="002218D6" w:rsidRDefault="00306790" w:rsidP="00F14165">
      <w:pPr>
        <w:pStyle w:val="Textpoznpodarou"/>
        <w:jc w:val="both"/>
        <w:rPr>
          <w:rFonts w:ascii="Arial" w:hAnsi="Arial" w:cs="Arial"/>
        </w:rPr>
      </w:pPr>
      <w:r w:rsidRPr="005F741F">
        <w:rPr>
          <w:rStyle w:val="Znakapoznpodarou"/>
          <w:rFonts w:ascii="Arial" w:hAnsi="Arial" w:cs="Arial"/>
        </w:rPr>
        <w:footnoteRef/>
      </w:r>
      <w:r w:rsidRPr="005F741F">
        <w:rPr>
          <w:rFonts w:ascii="Arial" w:hAnsi="Arial" w:cs="Arial"/>
          <w:lang w:val="de-DE"/>
        </w:rPr>
        <w:t xml:space="preserve"> </w:t>
      </w:r>
      <w:r w:rsidR="00A76B5E" w:rsidRPr="00336396">
        <w:rPr>
          <w:rFonts w:ascii="Arial" w:hAnsi="Arial" w:cs="Arial"/>
          <w:iCs/>
          <w:color w:val="212529"/>
        </w:rPr>
        <w:t xml:space="preserve">Sdělení Ministerstva </w:t>
      </w:r>
      <w:r w:rsidR="00336396">
        <w:rPr>
          <w:rFonts w:ascii="Arial" w:hAnsi="Arial" w:cs="Arial"/>
          <w:iCs/>
          <w:color w:val="212529"/>
        </w:rPr>
        <w:t>financí k tzv. „Kvízomatům“ ze dne 24.7.2014</w:t>
      </w:r>
      <w:r w:rsidR="00336396" w:rsidRPr="00336396">
        <w:rPr>
          <w:rFonts w:ascii="Arial" w:hAnsi="Arial" w:cs="Arial"/>
          <w:iCs/>
          <w:color w:val="212529"/>
        </w:rPr>
        <w:t>. Ministerstvo financí</w:t>
      </w:r>
      <w:r w:rsidR="00A76B5E" w:rsidRPr="00336396">
        <w:rPr>
          <w:rFonts w:ascii="Arial" w:hAnsi="Arial" w:cs="Arial"/>
          <w:color w:val="212529"/>
        </w:rPr>
        <w:t xml:space="preserve"> [online]. [cit. 2021-6-3]. Dostupné z: https://www.mfcr.cz/cs/soukromy-sektor/hazardni-hry/archiv-zakon-c-202</w:t>
      </w:r>
      <w:r w:rsidR="00A76B5E" w:rsidRPr="00352BA5">
        <w:rPr>
          <w:rFonts w:ascii="Arial" w:hAnsi="Arial" w:cs="Arial"/>
          <w:color w:val="212529"/>
        </w:rPr>
        <w:t>-1990-sb/stanoviska/sdeleni-ministerstva-financi-k-tzv-kvizo-16525</w:t>
      </w:r>
    </w:p>
  </w:footnote>
  <w:footnote w:id="11">
    <w:p w14:paraId="3701FB8D" w14:textId="77777777" w:rsidR="00306790" w:rsidRPr="005F741F" w:rsidRDefault="00306790" w:rsidP="00F14165">
      <w:pPr>
        <w:widowControl w:val="0"/>
        <w:autoSpaceDE w:val="0"/>
        <w:autoSpaceDN w:val="0"/>
        <w:adjustRightInd w:val="0"/>
        <w:spacing w:after="0"/>
        <w:rPr>
          <w:rFonts w:cs="Arial"/>
          <w:sz w:val="20"/>
          <w:szCs w:val="20"/>
        </w:rPr>
      </w:pPr>
      <w:r w:rsidRPr="002218D6">
        <w:rPr>
          <w:rStyle w:val="Znakapoznpodarou"/>
          <w:rFonts w:cs="Arial"/>
          <w:sz w:val="20"/>
          <w:szCs w:val="20"/>
        </w:rPr>
        <w:footnoteRef/>
      </w:r>
      <w:r w:rsidRPr="002218D6">
        <w:rPr>
          <w:rFonts w:cs="Arial"/>
          <w:sz w:val="20"/>
          <w:szCs w:val="20"/>
        </w:rPr>
        <w:t xml:space="preserve"> Viz např. rozsudek</w:t>
      </w:r>
      <w:r w:rsidRPr="005F741F">
        <w:rPr>
          <w:rFonts w:cs="Arial"/>
          <w:sz w:val="20"/>
          <w:szCs w:val="20"/>
        </w:rPr>
        <w:t xml:space="preserve"> Krajského soudu v Plzni ze dne 30. 11. 2017, č. j. 57Af 23/2016-72, a rozsudek Krajského soudu v Ostravě ze dne 8. 3. 2018, č. j. 22Af 19/2015-150. </w:t>
      </w:r>
    </w:p>
  </w:footnote>
  <w:footnote w:id="12">
    <w:p w14:paraId="621C1827" w14:textId="77777777" w:rsidR="00306790" w:rsidRPr="004E7D54" w:rsidRDefault="00306790" w:rsidP="00F14165">
      <w:pPr>
        <w:pStyle w:val="Textpoznpodarou"/>
        <w:jc w:val="both"/>
      </w:pPr>
      <w:r w:rsidRPr="005F741F">
        <w:rPr>
          <w:rStyle w:val="Znakapoznpodarou"/>
          <w:rFonts w:ascii="Arial" w:hAnsi="Arial" w:cs="Arial"/>
        </w:rPr>
        <w:footnoteRef/>
      </w:r>
      <w:r w:rsidRPr="005F741F">
        <w:rPr>
          <w:rFonts w:ascii="Arial" w:hAnsi="Arial" w:cs="Arial"/>
        </w:rPr>
        <w:t xml:space="preserve"> Rozsudek NSS 1 As 136/2018 – 32 ze dne 17. 10. 2018.</w:t>
      </w:r>
    </w:p>
  </w:footnote>
  <w:footnote w:id="13">
    <w:p w14:paraId="6AD77864" w14:textId="6129C935" w:rsidR="00306790" w:rsidRPr="00A3179D" w:rsidRDefault="00306790" w:rsidP="00A3179D">
      <w:pPr>
        <w:pStyle w:val="Textpoznpodarou"/>
        <w:jc w:val="both"/>
        <w:rPr>
          <w:rFonts w:ascii="Arial" w:hAnsi="Arial" w:cs="Arial"/>
        </w:rPr>
      </w:pPr>
      <w:r w:rsidRPr="00A3179D">
        <w:rPr>
          <w:rStyle w:val="Znakapoznpodarou"/>
          <w:rFonts w:ascii="Arial" w:hAnsi="Arial" w:cs="Arial"/>
        </w:rPr>
        <w:footnoteRef/>
      </w:r>
      <w:r w:rsidRPr="00A3179D">
        <w:rPr>
          <w:rFonts w:ascii="Arial" w:hAnsi="Arial" w:cs="Arial"/>
        </w:rPr>
        <w:t xml:space="preserve"> </w:t>
      </w:r>
      <w:r w:rsidRPr="008335A2">
        <w:rPr>
          <w:rFonts w:ascii="Arial" w:hAnsi="Arial" w:cs="Arial"/>
        </w:rPr>
        <w:t>Hazardní hry - Statistika z oblasti hazardních her. Celní správa [online</w:t>
      </w:r>
      <w:r w:rsidR="00052F79">
        <w:rPr>
          <w:rFonts w:ascii="Arial" w:hAnsi="Arial" w:cs="Arial"/>
        </w:rPr>
        <w:t>]. [cit. 2021-6-2]. Dostupné z: </w:t>
      </w:r>
      <w:r w:rsidRPr="008335A2">
        <w:rPr>
          <w:rFonts w:ascii="Arial" w:hAnsi="Arial" w:cs="Arial"/>
        </w:rPr>
        <w:t>https://www.celnisprava.cz/cz/statistiky/hazard/Stranky/default.aspx</w:t>
      </w:r>
      <w:r w:rsidRPr="00A3179D">
        <w:rPr>
          <w:rFonts w:ascii="Arial" w:hAnsi="Arial" w:cs="Arial"/>
        </w:rPr>
        <w:t>.</w:t>
      </w:r>
    </w:p>
  </w:footnote>
  <w:footnote w:id="14">
    <w:p w14:paraId="67328791" w14:textId="70B9C78E" w:rsidR="00306790" w:rsidRPr="007449BB" w:rsidRDefault="00306790" w:rsidP="00A14435">
      <w:pPr>
        <w:pStyle w:val="Textkomente"/>
        <w:spacing w:after="0"/>
      </w:pPr>
      <w:r w:rsidRPr="0034708B">
        <w:rPr>
          <w:rStyle w:val="Znakapoznpodarou"/>
          <w:rFonts w:cs="Arial"/>
        </w:rPr>
        <w:footnoteRef/>
      </w:r>
      <w:r w:rsidRPr="0034708B">
        <w:rPr>
          <w:rFonts w:cs="Arial"/>
        </w:rPr>
        <w:t xml:space="preserve"> Z</w:t>
      </w:r>
      <w:r w:rsidRPr="007449BB">
        <w:rPr>
          <w:rFonts w:cs="Arial"/>
        </w:rPr>
        <w:t xml:space="preserve">rcadlový web je kopie webové stránky nebo sady souborů hostovaných na vzdáleném místě. Je možné vytvořit tzv. živé zrcadlo, které zůstane aktuální se změnami na původním webu. Zrcadla mohou kopírovat celé weby, nebo mohou sloužit jako archivy souborů v závislosti na použití, na které se zrcadlový web používá. Pro boj proti cenzuře se tradičně používají zrcadlová místa. Kontroverzní web může být zrcadlen na vzdáleném místě, například v případě, že je web vypnutý, nebo stránky, které jsou zakázány pomocí cenzurovacího softwaru, mohou hostovat zrcadla, aby k nim lidé měli stále přístup – viz další informace na https://www.netinbag.com/cs/internet/what-is-a-mirror-site.html. Institut blokace nelegálních internetových stránek nemůže být ani v nejmenším považován za výraz cenzury, což potvrdil rovněž Ústavní soud v nálezu </w:t>
      </w:r>
      <w:r w:rsidRPr="007449BB">
        <w:rPr>
          <w:rStyle w:val="Zdraznn"/>
          <w:rFonts w:cs="Arial"/>
        </w:rPr>
        <w:t>TZ 16/2017</w:t>
      </w:r>
      <w:r>
        <w:rPr>
          <w:rStyle w:val="Zdraznn"/>
          <w:rFonts w:cs="Arial"/>
        </w:rPr>
        <w:t>,</w:t>
      </w:r>
      <w:r w:rsidRPr="007449BB">
        <w:rPr>
          <w:rStyle w:val="Zdraznn"/>
          <w:rFonts w:cs="Arial"/>
        </w:rPr>
        <w:t xml:space="preserve"> viz https://www.usoud.cz/aktualne/blokovani-nelegalniho-hazardu-na-internetu-neni-protiustavni</w:t>
      </w:r>
      <w:r w:rsidRPr="007449BB">
        <w:rPr>
          <w:rFonts w:cs="Arial"/>
        </w:rPr>
        <w:t xml:space="preserve">. </w:t>
      </w:r>
    </w:p>
  </w:footnote>
  <w:footnote w:id="15">
    <w:p w14:paraId="1887AD9B" w14:textId="77777777" w:rsidR="00306790" w:rsidRPr="00A3179D" w:rsidRDefault="00306790" w:rsidP="00A3179D">
      <w:pPr>
        <w:pStyle w:val="Textpoznpodarou"/>
        <w:jc w:val="both"/>
        <w:rPr>
          <w:rFonts w:ascii="Arial" w:hAnsi="Arial" w:cs="Arial"/>
          <w:color w:val="000000" w:themeColor="text1"/>
        </w:rPr>
      </w:pPr>
      <w:r w:rsidRPr="00A3179D">
        <w:rPr>
          <w:rStyle w:val="Znakapoznpodarou"/>
          <w:rFonts w:ascii="Arial" w:hAnsi="Arial" w:cs="Arial"/>
          <w:color w:val="000000" w:themeColor="text1"/>
        </w:rPr>
        <w:footnoteRef/>
      </w:r>
      <w:r w:rsidRPr="00A3179D">
        <w:rPr>
          <w:rFonts w:ascii="Arial" w:hAnsi="Arial" w:cs="Arial"/>
          <w:color w:val="000000" w:themeColor="text1"/>
        </w:rPr>
        <w:t xml:space="preserve"> Dipováním lze rozumět určitou formu tomboly nebo věcné loterie na internetu. Účastníci hry si zakoupí virtuální losy, neboli "dipy", s jedinečnými čísly. Tyto zakoupené losy jsou následně pořadatelem slosovány a majitel vylosovaného čísla se stává výhercem předem stanovené věcné nebo peněžité ceny, popř. služby.</w:t>
      </w:r>
    </w:p>
  </w:footnote>
  <w:footnote w:id="16">
    <w:p w14:paraId="281BC450" w14:textId="5BF572B8" w:rsidR="00306790" w:rsidRPr="00A3179D" w:rsidRDefault="00306790" w:rsidP="00A3179D">
      <w:pPr>
        <w:pStyle w:val="Textpoznpodarou"/>
        <w:jc w:val="both"/>
        <w:rPr>
          <w:rFonts w:ascii="Arial" w:hAnsi="Arial" w:cs="Arial"/>
        </w:rPr>
      </w:pPr>
      <w:r w:rsidRPr="00A3179D">
        <w:rPr>
          <w:rStyle w:val="Znakapoznpodarou"/>
          <w:rFonts w:ascii="Arial" w:hAnsi="Arial" w:cs="Arial"/>
          <w:color w:val="000000" w:themeColor="text1"/>
        </w:rPr>
        <w:footnoteRef/>
      </w:r>
      <w:r w:rsidRPr="00A3179D">
        <w:rPr>
          <w:rFonts w:ascii="Arial" w:hAnsi="Arial" w:cs="Arial"/>
          <w:color w:val="000000" w:themeColor="text1"/>
        </w:rPr>
        <w:t xml:space="preserve"> Ministerstvo financí, odbor 34 – Státní dozor nad sázkovými hrami a loteriemi. </w:t>
      </w:r>
      <w:r w:rsidRPr="00A3179D">
        <w:rPr>
          <w:rFonts w:ascii="Arial" w:hAnsi="Arial" w:cs="Arial"/>
          <w:i/>
          <w:iCs/>
          <w:color w:val="000000" w:themeColor="text1"/>
        </w:rPr>
        <w:t>Metodický pokyn odboru - státní dozor nad hazardními hrami k plnění povinností</w:t>
      </w:r>
      <w:r w:rsidRPr="00A3179D">
        <w:rPr>
          <w:rFonts w:ascii="Arial" w:hAnsi="Arial" w:cs="Arial"/>
          <w:color w:val="000000" w:themeColor="text1"/>
        </w:rPr>
        <w:t>. 15. ledna 2017. 19 s.</w:t>
      </w:r>
      <w:r>
        <w:rPr>
          <w:rFonts w:ascii="Arial" w:hAnsi="Arial" w:cs="Arial"/>
          <w:color w:val="000000" w:themeColor="text1"/>
        </w:rPr>
        <w:t xml:space="preserve"> </w:t>
      </w:r>
      <w:r w:rsidRPr="00580394">
        <w:rPr>
          <w:rFonts w:ascii="Arial" w:hAnsi="Arial" w:cs="Arial"/>
          <w:color w:val="000000" w:themeColor="text1"/>
        </w:rPr>
        <w:t>Ministerstvo financí</w:t>
      </w:r>
      <w:r w:rsidRPr="00A3179D">
        <w:rPr>
          <w:rFonts w:ascii="Arial" w:hAnsi="Arial" w:cs="Arial"/>
          <w:color w:val="000000" w:themeColor="text1"/>
        </w:rPr>
        <w:t xml:space="preserve"> [online]</w:t>
      </w:r>
      <w:r w:rsidR="00052F79">
        <w:rPr>
          <w:rFonts w:ascii="Arial" w:hAnsi="Arial" w:cs="Arial"/>
          <w:color w:val="000000" w:themeColor="text1"/>
        </w:rPr>
        <w:t>. [cit. 2018-04-11]. Dostupné z </w:t>
      </w:r>
      <w:r w:rsidRPr="00A3179D">
        <w:rPr>
          <w:rFonts w:ascii="Arial" w:hAnsi="Arial" w:cs="Arial"/>
          <w:color w:val="000000" w:themeColor="text1"/>
        </w:rPr>
        <w:t>https://www.mfcr.cz/cs/legislativa/metodiky/2017/metodicky-pokyn-k-plneni-povinnosti-ve-v-27269.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FABFE" w14:textId="27CD2A87" w:rsidR="00306790" w:rsidRPr="0019366E" w:rsidRDefault="00306790" w:rsidP="008C13D5">
    <w:pPr>
      <w:pStyle w:val="Zhlav"/>
      <w:rPr>
        <w:sz w:val="20"/>
      </w:rPr>
    </w:pPr>
    <w:r w:rsidRPr="0019366E">
      <w:rPr>
        <w:sz w:val="20"/>
      </w:rPr>
      <w:t xml:space="preserve">Příloha č. 12 </w:t>
    </w:r>
    <w:r w:rsidR="0019366E" w:rsidRPr="0019366E">
      <w:rPr>
        <w:sz w:val="20"/>
      </w:rPr>
      <w:t>Hodnocení dopadů regulace zákona o hazardních hrách a souvisejících právních předpisů</w:t>
    </w:r>
  </w:p>
  <w:p w14:paraId="68995334" w14:textId="5BA455AC" w:rsidR="00306790" w:rsidRDefault="0030679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B6307"/>
    <w:multiLevelType w:val="hybridMultilevel"/>
    <w:tmpl w:val="9F003C40"/>
    <w:lvl w:ilvl="0" w:tplc="6D94407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773337"/>
    <w:multiLevelType w:val="multilevel"/>
    <w:tmpl w:val="879C007C"/>
    <w:lvl w:ilvl="0">
      <w:start w:val="1"/>
      <w:numFmt w:val="decimal"/>
      <w:pStyle w:val="Nadpis5"/>
      <w:lvlText w:val="%1."/>
      <w:lvlJc w:val="left"/>
      <w:pPr>
        <w:ind w:left="720" w:hanging="360"/>
      </w:pPr>
      <w:rPr>
        <w:rFonts w:hint="default"/>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decimal"/>
      <w:isLg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4AA0057"/>
    <w:multiLevelType w:val="hybridMultilevel"/>
    <w:tmpl w:val="66621C1E"/>
    <w:lvl w:ilvl="0" w:tplc="F3E666E0">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73B5FB1"/>
    <w:multiLevelType w:val="hybridMultilevel"/>
    <w:tmpl w:val="5A4452E0"/>
    <w:lvl w:ilvl="0" w:tplc="DB38A68C">
      <w:start w:val="1"/>
      <w:numFmt w:val="lowerRoman"/>
      <w:pStyle w:val="Nadpis6"/>
      <w:lvlText w:val="%1."/>
      <w:lvlJc w:val="right"/>
      <w:pPr>
        <w:ind w:left="502"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2E30856"/>
    <w:multiLevelType w:val="hybridMultilevel"/>
    <w:tmpl w:val="9F64711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9654466"/>
    <w:multiLevelType w:val="hybridMultilevel"/>
    <w:tmpl w:val="9290458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3D81AA4"/>
    <w:multiLevelType w:val="hybridMultilevel"/>
    <w:tmpl w:val="332C77D2"/>
    <w:lvl w:ilvl="0" w:tplc="42AAD64E">
      <w:start w:val="1"/>
      <w:numFmt w:val="decimal"/>
      <w:pStyle w:val="slovanodstavec"/>
      <w:suff w:val="space"/>
      <w:lvlText w:val="[%1]"/>
      <w:lvlJc w:val="left"/>
      <w:pPr>
        <w:ind w:left="284" w:firstLine="0"/>
      </w:pPr>
      <w:rPr>
        <w:rFonts w:hint="default"/>
        <w:b w:val="0"/>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7" w15:restartNumberingAfterBreak="0">
    <w:nsid w:val="387E72AA"/>
    <w:multiLevelType w:val="hybridMultilevel"/>
    <w:tmpl w:val="4C884E74"/>
    <w:lvl w:ilvl="0" w:tplc="33A236F8">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8737E6B"/>
    <w:multiLevelType w:val="hybridMultilevel"/>
    <w:tmpl w:val="62A834B2"/>
    <w:lvl w:ilvl="0" w:tplc="6D94407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F3A0050"/>
    <w:multiLevelType w:val="multilevel"/>
    <w:tmpl w:val="F984F2C4"/>
    <w:lvl w:ilvl="0">
      <w:start w:val="1"/>
      <w:numFmt w:val="none"/>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1003" w:hanging="720"/>
      </w:pPr>
      <w:rPr>
        <w:rFonts w:hint="default"/>
      </w:rPr>
    </w:lvl>
    <w:lvl w:ilvl="3">
      <w:start w:val="1"/>
      <w:numFmt w:val="decimal"/>
      <w:pStyle w:val="Nadpis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Nadpis7"/>
      <w:lvlText w:val="%1"/>
      <w:lvlJc w:val="left"/>
      <w:pPr>
        <w:ind w:left="1296" w:hanging="1296"/>
      </w:pPr>
      <w:rPr>
        <w:rFonts w:hint="default"/>
      </w:rPr>
    </w:lvl>
    <w:lvl w:ilvl="7">
      <w:start w:val="1"/>
      <w:numFmt w:val="decimal"/>
      <w:pStyle w:val="Nadpis8"/>
      <w:lvlText w:val="%1"/>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10" w15:restartNumberingAfterBreak="0">
    <w:nsid w:val="639A627B"/>
    <w:multiLevelType w:val="hybridMultilevel"/>
    <w:tmpl w:val="239CA0E6"/>
    <w:lvl w:ilvl="0" w:tplc="FFAE3A26">
      <w:start w:val="1"/>
      <w:numFmt w:val="bullet"/>
      <w:lvlText w:val="-"/>
      <w:lvlJc w:val="left"/>
      <w:pPr>
        <w:ind w:left="720" w:hanging="360"/>
      </w:pPr>
      <w:rPr>
        <w:rFonts w:ascii="Arial" w:eastAsia="Calibr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6BF26585"/>
    <w:multiLevelType w:val="hybridMultilevel"/>
    <w:tmpl w:val="21FAF0FA"/>
    <w:lvl w:ilvl="0" w:tplc="061E03B6">
      <w:start w:val="1"/>
      <w:numFmt w:val="upperLetter"/>
      <w:lvlText w:val="%1."/>
      <w:lvlJc w:val="lef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1FB70A6"/>
    <w:multiLevelType w:val="hybridMultilevel"/>
    <w:tmpl w:val="A02A033C"/>
    <w:lvl w:ilvl="0" w:tplc="20305B7C">
      <w:start w:val="1"/>
      <w:numFmt w:val="decimal"/>
      <w:pStyle w:val="Dvodovzprvakbodu"/>
      <w:suff w:val="space"/>
      <w:lvlText w:val="K bodu %1"/>
      <w:lvlJc w:val="left"/>
      <w:pPr>
        <w:ind w:left="0" w:firstLine="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9"/>
  </w:num>
  <w:num w:numId="2">
    <w:abstractNumId w:val="11"/>
  </w:num>
  <w:num w:numId="3">
    <w:abstractNumId w:val="3"/>
  </w:num>
  <w:num w:numId="4">
    <w:abstractNumId w:val="3"/>
    <w:lvlOverride w:ilvl="0">
      <w:startOverride w:val="1"/>
    </w:lvlOverride>
  </w:num>
  <w:num w:numId="5">
    <w:abstractNumId w:val="8"/>
  </w:num>
  <w:num w:numId="6">
    <w:abstractNumId w:val="1"/>
  </w:num>
  <w:num w:numId="7">
    <w:abstractNumId w:val="3"/>
    <w:lvlOverride w:ilvl="0">
      <w:startOverride w:val="1"/>
    </w:lvlOverride>
  </w:num>
  <w:num w:numId="8">
    <w:abstractNumId w:val="6"/>
  </w:num>
  <w:num w:numId="9">
    <w:abstractNumId w:val="3"/>
    <w:lvlOverride w:ilvl="0">
      <w:startOverride w:val="1"/>
    </w:lvlOverride>
  </w:num>
  <w:num w:numId="10">
    <w:abstractNumId w:val="0"/>
  </w:num>
  <w:num w:numId="11">
    <w:abstractNumId w:val="3"/>
    <w:lvlOverride w:ilvl="0">
      <w:startOverride w:val="1"/>
    </w:lvlOverride>
  </w:num>
  <w:num w:numId="12">
    <w:abstractNumId w:val="3"/>
    <w:lvlOverride w:ilvl="0">
      <w:startOverride w:val="1"/>
    </w:lvlOverride>
  </w:num>
  <w:num w:numId="13">
    <w:abstractNumId w:val="2"/>
  </w:num>
  <w:num w:numId="14">
    <w:abstractNumId w:val="5"/>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 w:numId="18">
    <w:abstractNumId w:val="3"/>
    <w:lvlOverride w:ilvl="0">
      <w:startOverride w:val="1"/>
    </w:lvlOverride>
  </w:num>
  <w:num w:numId="19">
    <w:abstractNumId w:val="12"/>
  </w:num>
  <w:num w:numId="20">
    <w:abstractNumId w:val="4"/>
  </w:num>
  <w:num w:numId="21">
    <w:abstractNumId w:val="7"/>
  </w:num>
  <w:num w:numId="22">
    <w:abstractNumId w:val="10"/>
  </w:num>
  <w:num w:numId="23">
    <w:abstractNumId w:val="9"/>
  </w:num>
  <w:num w:numId="24">
    <w:abstractNumId w:val="9"/>
  </w:num>
  <w:num w:numId="25">
    <w:abstractNumId w:val="9"/>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EC3"/>
    <w:rsid w:val="00003F3F"/>
    <w:rsid w:val="00004257"/>
    <w:rsid w:val="00004CAA"/>
    <w:rsid w:val="00005302"/>
    <w:rsid w:val="00007B49"/>
    <w:rsid w:val="000105E5"/>
    <w:rsid w:val="00013073"/>
    <w:rsid w:val="00014CAE"/>
    <w:rsid w:val="000221D3"/>
    <w:rsid w:val="00022940"/>
    <w:rsid w:val="00023807"/>
    <w:rsid w:val="00026175"/>
    <w:rsid w:val="00027647"/>
    <w:rsid w:val="000356A3"/>
    <w:rsid w:val="00052F79"/>
    <w:rsid w:val="00053691"/>
    <w:rsid w:val="00066D81"/>
    <w:rsid w:val="0007706F"/>
    <w:rsid w:val="00077666"/>
    <w:rsid w:val="00080B69"/>
    <w:rsid w:val="00080D2A"/>
    <w:rsid w:val="0008162A"/>
    <w:rsid w:val="000836D4"/>
    <w:rsid w:val="0008436B"/>
    <w:rsid w:val="00093CD6"/>
    <w:rsid w:val="0009655B"/>
    <w:rsid w:val="00097F70"/>
    <w:rsid w:val="000A28D2"/>
    <w:rsid w:val="000B01A0"/>
    <w:rsid w:val="000B15C0"/>
    <w:rsid w:val="000B16B5"/>
    <w:rsid w:val="000B406A"/>
    <w:rsid w:val="000B58A2"/>
    <w:rsid w:val="000C0A07"/>
    <w:rsid w:val="000C198C"/>
    <w:rsid w:val="000C27B8"/>
    <w:rsid w:val="000C38C0"/>
    <w:rsid w:val="000C52C2"/>
    <w:rsid w:val="000C5BEF"/>
    <w:rsid w:val="000C6602"/>
    <w:rsid w:val="000D01F0"/>
    <w:rsid w:val="000D04BD"/>
    <w:rsid w:val="000E4FD5"/>
    <w:rsid w:val="000E5B21"/>
    <w:rsid w:val="000E6348"/>
    <w:rsid w:val="000F26C0"/>
    <w:rsid w:val="0010145E"/>
    <w:rsid w:val="00102FAA"/>
    <w:rsid w:val="00104E85"/>
    <w:rsid w:val="001134E1"/>
    <w:rsid w:val="00115126"/>
    <w:rsid w:val="001374C4"/>
    <w:rsid w:val="00142D3F"/>
    <w:rsid w:val="00142E24"/>
    <w:rsid w:val="00144A6A"/>
    <w:rsid w:val="00146097"/>
    <w:rsid w:val="00151439"/>
    <w:rsid w:val="00155ABB"/>
    <w:rsid w:val="00156AD0"/>
    <w:rsid w:val="001608EB"/>
    <w:rsid w:val="001627C6"/>
    <w:rsid w:val="00171027"/>
    <w:rsid w:val="0017121F"/>
    <w:rsid w:val="00171292"/>
    <w:rsid w:val="00176A3A"/>
    <w:rsid w:val="001770A0"/>
    <w:rsid w:val="0018238D"/>
    <w:rsid w:val="0018359B"/>
    <w:rsid w:val="00185EB7"/>
    <w:rsid w:val="0018733A"/>
    <w:rsid w:val="001875E6"/>
    <w:rsid w:val="00187F36"/>
    <w:rsid w:val="00192A54"/>
    <w:rsid w:val="0019366E"/>
    <w:rsid w:val="001A3165"/>
    <w:rsid w:val="001A58FF"/>
    <w:rsid w:val="001B5AA0"/>
    <w:rsid w:val="001B778C"/>
    <w:rsid w:val="001C327C"/>
    <w:rsid w:val="001C5AA1"/>
    <w:rsid w:val="001C6495"/>
    <w:rsid w:val="001D1A8B"/>
    <w:rsid w:val="001E3756"/>
    <w:rsid w:val="001E6B79"/>
    <w:rsid w:val="001E79B3"/>
    <w:rsid w:val="001F0F94"/>
    <w:rsid w:val="001F3D5C"/>
    <w:rsid w:val="001F505B"/>
    <w:rsid w:val="001F7A73"/>
    <w:rsid w:val="0021073C"/>
    <w:rsid w:val="00212609"/>
    <w:rsid w:val="00212908"/>
    <w:rsid w:val="00212971"/>
    <w:rsid w:val="00212DD1"/>
    <w:rsid w:val="00214A28"/>
    <w:rsid w:val="00217926"/>
    <w:rsid w:val="002218D6"/>
    <w:rsid w:val="00222261"/>
    <w:rsid w:val="00243706"/>
    <w:rsid w:val="00243730"/>
    <w:rsid w:val="002447E0"/>
    <w:rsid w:val="00244A60"/>
    <w:rsid w:val="00252F3F"/>
    <w:rsid w:val="00253244"/>
    <w:rsid w:val="00262235"/>
    <w:rsid w:val="002655CB"/>
    <w:rsid w:val="00272425"/>
    <w:rsid w:val="002749E5"/>
    <w:rsid w:val="00280B85"/>
    <w:rsid w:val="0028393C"/>
    <w:rsid w:val="00291A25"/>
    <w:rsid w:val="002A127E"/>
    <w:rsid w:val="002A3493"/>
    <w:rsid w:val="002A436B"/>
    <w:rsid w:val="002A6FEA"/>
    <w:rsid w:val="002A71F0"/>
    <w:rsid w:val="002C479A"/>
    <w:rsid w:val="002C531A"/>
    <w:rsid w:val="002C697B"/>
    <w:rsid w:val="002C73AB"/>
    <w:rsid w:val="002D0576"/>
    <w:rsid w:val="002D3389"/>
    <w:rsid w:val="002D389C"/>
    <w:rsid w:val="002D502D"/>
    <w:rsid w:val="002E0B98"/>
    <w:rsid w:val="002E0DEB"/>
    <w:rsid w:val="002E13BB"/>
    <w:rsid w:val="002E6EC3"/>
    <w:rsid w:val="002F042E"/>
    <w:rsid w:val="002F0AB2"/>
    <w:rsid w:val="002F1AA6"/>
    <w:rsid w:val="002F6E38"/>
    <w:rsid w:val="002F7CCB"/>
    <w:rsid w:val="00300B5A"/>
    <w:rsid w:val="00304CD0"/>
    <w:rsid w:val="00306790"/>
    <w:rsid w:val="00312257"/>
    <w:rsid w:val="00314835"/>
    <w:rsid w:val="003161A3"/>
    <w:rsid w:val="00326066"/>
    <w:rsid w:val="00332623"/>
    <w:rsid w:val="00336396"/>
    <w:rsid w:val="003405C9"/>
    <w:rsid w:val="003430EF"/>
    <w:rsid w:val="0034328E"/>
    <w:rsid w:val="00345AB2"/>
    <w:rsid w:val="00346482"/>
    <w:rsid w:val="003519E5"/>
    <w:rsid w:val="00351ED5"/>
    <w:rsid w:val="00352BA5"/>
    <w:rsid w:val="00355872"/>
    <w:rsid w:val="00355C85"/>
    <w:rsid w:val="00356E50"/>
    <w:rsid w:val="0035740C"/>
    <w:rsid w:val="00365ED5"/>
    <w:rsid w:val="00367E3E"/>
    <w:rsid w:val="00371C23"/>
    <w:rsid w:val="00372887"/>
    <w:rsid w:val="00374764"/>
    <w:rsid w:val="00376D73"/>
    <w:rsid w:val="00380BDE"/>
    <w:rsid w:val="003B0BE0"/>
    <w:rsid w:val="003B2977"/>
    <w:rsid w:val="003B2A09"/>
    <w:rsid w:val="003B6097"/>
    <w:rsid w:val="003B66F3"/>
    <w:rsid w:val="003B6C8F"/>
    <w:rsid w:val="003C3B30"/>
    <w:rsid w:val="003C60E7"/>
    <w:rsid w:val="003C71BF"/>
    <w:rsid w:val="003D18CD"/>
    <w:rsid w:val="003D24FE"/>
    <w:rsid w:val="003E096A"/>
    <w:rsid w:val="003F10B6"/>
    <w:rsid w:val="003F387B"/>
    <w:rsid w:val="00401956"/>
    <w:rsid w:val="0041134D"/>
    <w:rsid w:val="00415CB9"/>
    <w:rsid w:val="0041725B"/>
    <w:rsid w:val="00430225"/>
    <w:rsid w:val="004325D3"/>
    <w:rsid w:val="004411E4"/>
    <w:rsid w:val="00441501"/>
    <w:rsid w:val="00446712"/>
    <w:rsid w:val="00455C87"/>
    <w:rsid w:val="00462D07"/>
    <w:rsid w:val="004655AF"/>
    <w:rsid w:val="00474584"/>
    <w:rsid w:val="0047503E"/>
    <w:rsid w:val="004850EA"/>
    <w:rsid w:val="00487953"/>
    <w:rsid w:val="00490B1D"/>
    <w:rsid w:val="00492485"/>
    <w:rsid w:val="004926A8"/>
    <w:rsid w:val="00492738"/>
    <w:rsid w:val="004958BE"/>
    <w:rsid w:val="004A016E"/>
    <w:rsid w:val="004A50C5"/>
    <w:rsid w:val="004A65D7"/>
    <w:rsid w:val="004B30A2"/>
    <w:rsid w:val="004B315F"/>
    <w:rsid w:val="004B565C"/>
    <w:rsid w:val="004B56B8"/>
    <w:rsid w:val="004C29BC"/>
    <w:rsid w:val="004C3D53"/>
    <w:rsid w:val="004C4C28"/>
    <w:rsid w:val="004C633C"/>
    <w:rsid w:val="004C7BAC"/>
    <w:rsid w:val="004D16B0"/>
    <w:rsid w:val="004D51B3"/>
    <w:rsid w:val="004D6B92"/>
    <w:rsid w:val="004D71A1"/>
    <w:rsid w:val="004E2D3E"/>
    <w:rsid w:val="004E5980"/>
    <w:rsid w:val="004E6832"/>
    <w:rsid w:val="004F7FA9"/>
    <w:rsid w:val="005104A7"/>
    <w:rsid w:val="00513AB2"/>
    <w:rsid w:val="0053147B"/>
    <w:rsid w:val="00536221"/>
    <w:rsid w:val="0053701D"/>
    <w:rsid w:val="005400B5"/>
    <w:rsid w:val="0054297F"/>
    <w:rsid w:val="005434CB"/>
    <w:rsid w:val="0054392E"/>
    <w:rsid w:val="005479DF"/>
    <w:rsid w:val="00551308"/>
    <w:rsid w:val="00554064"/>
    <w:rsid w:val="00557CBF"/>
    <w:rsid w:val="00560FF2"/>
    <w:rsid w:val="00564B7A"/>
    <w:rsid w:val="00566357"/>
    <w:rsid w:val="005668D0"/>
    <w:rsid w:val="00566A5F"/>
    <w:rsid w:val="0056765F"/>
    <w:rsid w:val="005712F1"/>
    <w:rsid w:val="00573400"/>
    <w:rsid w:val="0057379B"/>
    <w:rsid w:val="005800BA"/>
    <w:rsid w:val="00580394"/>
    <w:rsid w:val="00585E81"/>
    <w:rsid w:val="00586306"/>
    <w:rsid w:val="00590069"/>
    <w:rsid w:val="0059012E"/>
    <w:rsid w:val="0059042D"/>
    <w:rsid w:val="00591183"/>
    <w:rsid w:val="00594ACC"/>
    <w:rsid w:val="005A2D9E"/>
    <w:rsid w:val="005A3711"/>
    <w:rsid w:val="005A3887"/>
    <w:rsid w:val="005A46BA"/>
    <w:rsid w:val="005B14F0"/>
    <w:rsid w:val="005B1C9D"/>
    <w:rsid w:val="005B7826"/>
    <w:rsid w:val="005B7872"/>
    <w:rsid w:val="005C17BC"/>
    <w:rsid w:val="005C5CB0"/>
    <w:rsid w:val="005C68C5"/>
    <w:rsid w:val="005D1ED1"/>
    <w:rsid w:val="005D43AF"/>
    <w:rsid w:val="005D57F0"/>
    <w:rsid w:val="005E0822"/>
    <w:rsid w:val="005E1892"/>
    <w:rsid w:val="005E483F"/>
    <w:rsid w:val="005E7CF9"/>
    <w:rsid w:val="005F0913"/>
    <w:rsid w:val="005F2BF7"/>
    <w:rsid w:val="005F741F"/>
    <w:rsid w:val="006020F5"/>
    <w:rsid w:val="00604F76"/>
    <w:rsid w:val="0060728E"/>
    <w:rsid w:val="00607CAF"/>
    <w:rsid w:val="00610772"/>
    <w:rsid w:val="00614A99"/>
    <w:rsid w:val="006167E0"/>
    <w:rsid w:val="00620052"/>
    <w:rsid w:val="0062249A"/>
    <w:rsid w:val="00623962"/>
    <w:rsid w:val="00624C9A"/>
    <w:rsid w:val="0062638C"/>
    <w:rsid w:val="00631134"/>
    <w:rsid w:val="00633850"/>
    <w:rsid w:val="00651FFD"/>
    <w:rsid w:val="00661659"/>
    <w:rsid w:val="00661F7B"/>
    <w:rsid w:val="006623FB"/>
    <w:rsid w:val="00663D26"/>
    <w:rsid w:val="006646BC"/>
    <w:rsid w:val="00664DD7"/>
    <w:rsid w:val="00667479"/>
    <w:rsid w:val="0067013C"/>
    <w:rsid w:val="00675437"/>
    <w:rsid w:val="00682014"/>
    <w:rsid w:val="0068376E"/>
    <w:rsid w:val="0068398A"/>
    <w:rsid w:val="0068742F"/>
    <w:rsid w:val="006A33C7"/>
    <w:rsid w:val="006A6EB5"/>
    <w:rsid w:val="006A7F20"/>
    <w:rsid w:val="006B0917"/>
    <w:rsid w:val="006B3B31"/>
    <w:rsid w:val="006B6ED8"/>
    <w:rsid w:val="006C1388"/>
    <w:rsid w:val="006C6138"/>
    <w:rsid w:val="006E2226"/>
    <w:rsid w:val="006E2CEC"/>
    <w:rsid w:val="006E2F93"/>
    <w:rsid w:val="006E491B"/>
    <w:rsid w:val="006F02E6"/>
    <w:rsid w:val="006F0DCD"/>
    <w:rsid w:val="006F5B28"/>
    <w:rsid w:val="006F6635"/>
    <w:rsid w:val="006F6833"/>
    <w:rsid w:val="00700AF7"/>
    <w:rsid w:val="007029FF"/>
    <w:rsid w:val="00711276"/>
    <w:rsid w:val="00716167"/>
    <w:rsid w:val="00716452"/>
    <w:rsid w:val="00724759"/>
    <w:rsid w:val="00732D8A"/>
    <w:rsid w:val="007337CD"/>
    <w:rsid w:val="00735867"/>
    <w:rsid w:val="00741810"/>
    <w:rsid w:val="0074190B"/>
    <w:rsid w:val="00743824"/>
    <w:rsid w:val="00755B08"/>
    <w:rsid w:val="00757025"/>
    <w:rsid w:val="00764ED9"/>
    <w:rsid w:val="00771199"/>
    <w:rsid w:val="00782572"/>
    <w:rsid w:val="007858C5"/>
    <w:rsid w:val="007931D7"/>
    <w:rsid w:val="007A02EE"/>
    <w:rsid w:val="007A1BCF"/>
    <w:rsid w:val="007A1D1F"/>
    <w:rsid w:val="007A5916"/>
    <w:rsid w:val="007B0331"/>
    <w:rsid w:val="007B40AE"/>
    <w:rsid w:val="007C16F1"/>
    <w:rsid w:val="007C268C"/>
    <w:rsid w:val="007C6C67"/>
    <w:rsid w:val="007D4ED3"/>
    <w:rsid w:val="007D6A29"/>
    <w:rsid w:val="007D7048"/>
    <w:rsid w:val="007E0AFD"/>
    <w:rsid w:val="007E3008"/>
    <w:rsid w:val="007E65E4"/>
    <w:rsid w:val="007F210B"/>
    <w:rsid w:val="007F5ABE"/>
    <w:rsid w:val="007F6299"/>
    <w:rsid w:val="0080488B"/>
    <w:rsid w:val="00804C0F"/>
    <w:rsid w:val="00806EFA"/>
    <w:rsid w:val="00807112"/>
    <w:rsid w:val="0081036E"/>
    <w:rsid w:val="00813A0C"/>
    <w:rsid w:val="0081764C"/>
    <w:rsid w:val="0082296B"/>
    <w:rsid w:val="00825AC3"/>
    <w:rsid w:val="00826BD3"/>
    <w:rsid w:val="008315E5"/>
    <w:rsid w:val="00832F49"/>
    <w:rsid w:val="008335A2"/>
    <w:rsid w:val="00833F03"/>
    <w:rsid w:val="0084015B"/>
    <w:rsid w:val="00842920"/>
    <w:rsid w:val="00845E7B"/>
    <w:rsid w:val="00845F94"/>
    <w:rsid w:val="008460A8"/>
    <w:rsid w:val="00847F0E"/>
    <w:rsid w:val="00855246"/>
    <w:rsid w:val="00857451"/>
    <w:rsid w:val="00857710"/>
    <w:rsid w:val="008670C9"/>
    <w:rsid w:val="00880008"/>
    <w:rsid w:val="00891062"/>
    <w:rsid w:val="00891E52"/>
    <w:rsid w:val="00893738"/>
    <w:rsid w:val="008A16A9"/>
    <w:rsid w:val="008A2BD4"/>
    <w:rsid w:val="008A3F48"/>
    <w:rsid w:val="008B1748"/>
    <w:rsid w:val="008C13D5"/>
    <w:rsid w:val="008C315E"/>
    <w:rsid w:val="008C7024"/>
    <w:rsid w:val="008D17F6"/>
    <w:rsid w:val="008D3782"/>
    <w:rsid w:val="008D4CD9"/>
    <w:rsid w:val="008D59F9"/>
    <w:rsid w:val="008E5C1F"/>
    <w:rsid w:val="008F29F4"/>
    <w:rsid w:val="009131FD"/>
    <w:rsid w:val="00915A86"/>
    <w:rsid w:val="009161F9"/>
    <w:rsid w:val="00916F46"/>
    <w:rsid w:val="00923C0E"/>
    <w:rsid w:val="0093049B"/>
    <w:rsid w:val="00931FB4"/>
    <w:rsid w:val="00944C4F"/>
    <w:rsid w:val="0094557C"/>
    <w:rsid w:val="00946740"/>
    <w:rsid w:val="009514AA"/>
    <w:rsid w:val="00951A32"/>
    <w:rsid w:val="009524D9"/>
    <w:rsid w:val="00955065"/>
    <w:rsid w:val="00960149"/>
    <w:rsid w:val="00966AF9"/>
    <w:rsid w:val="0097002E"/>
    <w:rsid w:val="00970F4B"/>
    <w:rsid w:val="009727AF"/>
    <w:rsid w:val="00972B08"/>
    <w:rsid w:val="00974162"/>
    <w:rsid w:val="00975D49"/>
    <w:rsid w:val="00980A89"/>
    <w:rsid w:val="009A0C66"/>
    <w:rsid w:val="009A0D1C"/>
    <w:rsid w:val="009A22BE"/>
    <w:rsid w:val="009A3AC9"/>
    <w:rsid w:val="009A4D4B"/>
    <w:rsid w:val="009A6498"/>
    <w:rsid w:val="009B160E"/>
    <w:rsid w:val="009C2EFD"/>
    <w:rsid w:val="009C4326"/>
    <w:rsid w:val="009C4AD8"/>
    <w:rsid w:val="009C5A9E"/>
    <w:rsid w:val="009C6020"/>
    <w:rsid w:val="009C68FB"/>
    <w:rsid w:val="009D39D1"/>
    <w:rsid w:val="009D57AA"/>
    <w:rsid w:val="009D7420"/>
    <w:rsid w:val="009E1F67"/>
    <w:rsid w:val="009E7C9E"/>
    <w:rsid w:val="009F0ED0"/>
    <w:rsid w:val="009F23FC"/>
    <w:rsid w:val="00A018B6"/>
    <w:rsid w:val="00A14435"/>
    <w:rsid w:val="00A15F83"/>
    <w:rsid w:val="00A1754F"/>
    <w:rsid w:val="00A24288"/>
    <w:rsid w:val="00A302AF"/>
    <w:rsid w:val="00A30B6D"/>
    <w:rsid w:val="00A3179D"/>
    <w:rsid w:val="00A332A5"/>
    <w:rsid w:val="00A354F8"/>
    <w:rsid w:val="00A403A6"/>
    <w:rsid w:val="00A42B7C"/>
    <w:rsid w:val="00A46191"/>
    <w:rsid w:val="00A51CD0"/>
    <w:rsid w:val="00A53FE5"/>
    <w:rsid w:val="00A5554B"/>
    <w:rsid w:val="00A63AB4"/>
    <w:rsid w:val="00A76B5E"/>
    <w:rsid w:val="00A77567"/>
    <w:rsid w:val="00A819C3"/>
    <w:rsid w:val="00A82ACD"/>
    <w:rsid w:val="00A836FA"/>
    <w:rsid w:val="00A86C84"/>
    <w:rsid w:val="00A87951"/>
    <w:rsid w:val="00A87DC8"/>
    <w:rsid w:val="00A87F1B"/>
    <w:rsid w:val="00A9637F"/>
    <w:rsid w:val="00AA1713"/>
    <w:rsid w:val="00AA2421"/>
    <w:rsid w:val="00AA6B32"/>
    <w:rsid w:val="00AA6E74"/>
    <w:rsid w:val="00AB1D84"/>
    <w:rsid w:val="00AB27B7"/>
    <w:rsid w:val="00AB7708"/>
    <w:rsid w:val="00AC0A4E"/>
    <w:rsid w:val="00AD3B22"/>
    <w:rsid w:val="00AE76A5"/>
    <w:rsid w:val="00AF25A0"/>
    <w:rsid w:val="00AF54BD"/>
    <w:rsid w:val="00AF5771"/>
    <w:rsid w:val="00AF64B2"/>
    <w:rsid w:val="00B01C1B"/>
    <w:rsid w:val="00B053C0"/>
    <w:rsid w:val="00B05746"/>
    <w:rsid w:val="00B06AF5"/>
    <w:rsid w:val="00B10479"/>
    <w:rsid w:val="00B11A9D"/>
    <w:rsid w:val="00B152A9"/>
    <w:rsid w:val="00B16116"/>
    <w:rsid w:val="00B2283F"/>
    <w:rsid w:val="00B26637"/>
    <w:rsid w:val="00B2666D"/>
    <w:rsid w:val="00B3389E"/>
    <w:rsid w:val="00B33A00"/>
    <w:rsid w:val="00B344C0"/>
    <w:rsid w:val="00B34DD0"/>
    <w:rsid w:val="00B451B8"/>
    <w:rsid w:val="00B46247"/>
    <w:rsid w:val="00B56CAC"/>
    <w:rsid w:val="00B56EB6"/>
    <w:rsid w:val="00B60FFF"/>
    <w:rsid w:val="00B641BA"/>
    <w:rsid w:val="00B658DF"/>
    <w:rsid w:val="00B67E82"/>
    <w:rsid w:val="00B81E14"/>
    <w:rsid w:val="00B81EA8"/>
    <w:rsid w:val="00B848B3"/>
    <w:rsid w:val="00B91238"/>
    <w:rsid w:val="00B92D90"/>
    <w:rsid w:val="00B94AF8"/>
    <w:rsid w:val="00B94C24"/>
    <w:rsid w:val="00B96839"/>
    <w:rsid w:val="00BA368C"/>
    <w:rsid w:val="00BA3974"/>
    <w:rsid w:val="00BA6CE1"/>
    <w:rsid w:val="00BA6E89"/>
    <w:rsid w:val="00BB021E"/>
    <w:rsid w:val="00BB319C"/>
    <w:rsid w:val="00BB3271"/>
    <w:rsid w:val="00BB477D"/>
    <w:rsid w:val="00BB724C"/>
    <w:rsid w:val="00BC0930"/>
    <w:rsid w:val="00BC188D"/>
    <w:rsid w:val="00BC1E08"/>
    <w:rsid w:val="00BC774D"/>
    <w:rsid w:val="00BC7E71"/>
    <w:rsid w:val="00BD153C"/>
    <w:rsid w:val="00BD44C2"/>
    <w:rsid w:val="00BD5E3B"/>
    <w:rsid w:val="00BE6341"/>
    <w:rsid w:val="00C059C8"/>
    <w:rsid w:val="00C116DF"/>
    <w:rsid w:val="00C11CE2"/>
    <w:rsid w:val="00C22F6F"/>
    <w:rsid w:val="00C23581"/>
    <w:rsid w:val="00C26C28"/>
    <w:rsid w:val="00C31D46"/>
    <w:rsid w:val="00C334E0"/>
    <w:rsid w:val="00C36E0E"/>
    <w:rsid w:val="00C419BB"/>
    <w:rsid w:val="00C452F0"/>
    <w:rsid w:val="00C52B93"/>
    <w:rsid w:val="00C53223"/>
    <w:rsid w:val="00C54BD1"/>
    <w:rsid w:val="00C55173"/>
    <w:rsid w:val="00C66301"/>
    <w:rsid w:val="00C757BB"/>
    <w:rsid w:val="00C82069"/>
    <w:rsid w:val="00C82EB9"/>
    <w:rsid w:val="00C85A38"/>
    <w:rsid w:val="00C876E8"/>
    <w:rsid w:val="00C90806"/>
    <w:rsid w:val="00CB0D72"/>
    <w:rsid w:val="00CB1C17"/>
    <w:rsid w:val="00CB7DA8"/>
    <w:rsid w:val="00CC288C"/>
    <w:rsid w:val="00CC28D0"/>
    <w:rsid w:val="00CC3ADA"/>
    <w:rsid w:val="00CC4544"/>
    <w:rsid w:val="00CC4C64"/>
    <w:rsid w:val="00CD4076"/>
    <w:rsid w:val="00CD5C90"/>
    <w:rsid w:val="00CE3927"/>
    <w:rsid w:val="00CE510A"/>
    <w:rsid w:val="00CF1F22"/>
    <w:rsid w:val="00CF371A"/>
    <w:rsid w:val="00CF396C"/>
    <w:rsid w:val="00D01C46"/>
    <w:rsid w:val="00D1177F"/>
    <w:rsid w:val="00D200F4"/>
    <w:rsid w:val="00D268BB"/>
    <w:rsid w:val="00D270F6"/>
    <w:rsid w:val="00D439F3"/>
    <w:rsid w:val="00D44943"/>
    <w:rsid w:val="00D50F42"/>
    <w:rsid w:val="00D62F6D"/>
    <w:rsid w:val="00D63AC1"/>
    <w:rsid w:val="00D657A9"/>
    <w:rsid w:val="00D74278"/>
    <w:rsid w:val="00D75053"/>
    <w:rsid w:val="00D816CB"/>
    <w:rsid w:val="00D81DB7"/>
    <w:rsid w:val="00D82FF2"/>
    <w:rsid w:val="00D83133"/>
    <w:rsid w:val="00D841C5"/>
    <w:rsid w:val="00D95A43"/>
    <w:rsid w:val="00D97324"/>
    <w:rsid w:val="00DA2E14"/>
    <w:rsid w:val="00DA589F"/>
    <w:rsid w:val="00DA6ED0"/>
    <w:rsid w:val="00DB5C92"/>
    <w:rsid w:val="00DB797D"/>
    <w:rsid w:val="00DC0204"/>
    <w:rsid w:val="00DC2AAF"/>
    <w:rsid w:val="00DC4D0E"/>
    <w:rsid w:val="00DD296C"/>
    <w:rsid w:val="00DE13E9"/>
    <w:rsid w:val="00DE3533"/>
    <w:rsid w:val="00DE5EC6"/>
    <w:rsid w:val="00DE69EF"/>
    <w:rsid w:val="00DF0790"/>
    <w:rsid w:val="00DF3FFE"/>
    <w:rsid w:val="00DF518E"/>
    <w:rsid w:val="00DF5C96"/>
    <w:rsid w:val="00DF5F16"/>
    <w:rsid w:val="00DF7542"/>
    <w:rsid w:val="00E0659B"/>
    <w:rsid w:val="00E1370A"/>
    <w:rsid w:val="00E17489"/>
    <w:rsid w:val="00E222C6"/>
    <w:rsid w:val="00E30B2C"/>
    <w:rsid w:val="00E34408"/>
    <w:rsid w:val="00E474AE"/>
    <w:rsid w:val="00E501B5"/>
    <w:rsid w:val="00E56C5D"/>
    <w:rsid w:val="00E67B87"/>
    <w:rsid w:val="00E74487"/>
    <w:rsid w:val="00E766E2"/>
    <w:rsid w:val="00E76D2D"/>
    <w:rsid w:val="00E824EE"/>
    <w:rsid w:val="00E95AF3"/>
    <w:rsid w:val="00EA1A7E"/>
    <w:rsid w:val="00EA2745"/>
    <w:rsid w:val="00EA4222"/>
    <w:rsid w:val="00EA7158"/>
    <w:rsid w:val="00EB38DD"/>
    <w:rsid w:val="00EB3CDF"/>
    <w:rsid w:val="00EB413F"/>
    <w:rsid w:val="00EC0053"/>
    <w:rsid w:val="00EC45AE"/>
    <w:rsid w:val="00EC4C1C"/>
    <w:rsid w:val="00EC7460"/>
    <w:rsid w:val="00EC7903"/>
    <w:rsid w:val="00ED675E"/>
    <w:rsid w:val="00ED74E9"/>
    <w:rsid w:val="00EF47D3"/>
    <w:rsid w:val="00EF4A67"/>
    <w:rsid w:val="00EF59ED"/>
    <w:rsid w:val="00F01AC4"/>
    <w:rsid w:val="00F07B57"/>
    <w:rsid w:val="00F111C5"/>
    <w:rsid w:val="00F114A6"/>
    <w:rsid w:val="00F12FC9"/>
    <w:rsid w:val="00F14165"/>
    <w:rsid w:val="00F16D8B"/>
    <w:rsid w:val="00F17831"/>
    <w:rsid w:val="00F221A7"/>
    <w:rsid w:val="00F22466"/>
    <w:rsid w:val="00F25086"/>
    <w:rsid w:val="00F2591F"/>
    <w:rsid w:val="00F27101"/>
    <w:rsid w:val="00F323D5"/>
    <w:rsid w:val="00F33DCF"/>
    <w:rsid w:val="00F342E2"/>
    <w:rsid w:val="00F34B3D"/>
    <w:rsid w:val="00F371B5"/>
    <w:rsid w:val="00F52FA0"/>
    <w:rsid w:val="00F62C6C"/>
    <w:rsid w:val="00F73138"/>
    <w:rsid w:val="00F744D5"/>
    <w:rsid w:val="00F7512B"/>
    <w:rsid w:val="00F75C6C"/>
    <w:rsid w:val="00F75ED2"/>
    <w:rsid w:val="00F86E44"/>
    <w:rsid w:val="00F87746"/>
    <w:rsid w:val="00FB6F7C"/>
    <w:rsid w:val="00FC45E1"/>
    <w:rsid w:val="00FC65A7"/>
    <w:rsid w:val="00FD1121"/>
    <w:rsid w:val="00FD7539"/>
    <w:rsid w:val="00FE4BB7"/>
    <w:rsid w:val="00FF2E77"/>
    <w:rsid w:val="00FF658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F242B"/>
  <w15:docId w15:val="{124AFECB-C2F6-474B-9060-8E11B9CC8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80B85"/>
    <w:pPr>
      <w:spacing w:line="240" w:lineRule="auto"/>
      <w:jc w:val="both"/>
    </w:pPr>
    <w:rPr>
      <w:rFonts w:ascii="Arial" w:hAnsi="Arial"/>
      <w:sz w:val="24"/>
    </w:rPr>
  </w:style>
  <w:style w:type="paragraph" w:styleId="Nadpis1">
    <w:name w:val="heading 1"/>
    <w:basedOn w:val="Normln"/>
    <w:next w:val="Normln"/>
    <w:link w:val="Nadpis1Char"/>
    <w:uiPriority w:val="9"/>
    <w:qFormat/>
    <w:rsid w:val="00280B85"/>
    <w:pPr>
      <w:keepNext/>
      <w:keepLines/>
      <w:numPr>
        <w:numId w:val="1"/>
      </w:numPr>
      <w:spacing w:before="240" w:after="120" w:line="259" w:lineRule="auto"/>
      <w:ind w:left="0" w:firstLine="0"/>
      <w:outlineLvl w:val="0"/>
    </w:pPr>
    <w:rPr>
      <w:rFonts w:eastAsiaTheme="majorEastAsia" w:cstheme="majorBidi"/>
      <w:b/>
      <w:sz w:val="40"/>
      <w:szCs w:val="32"/>
    </w:rPr>
  </w:style>
  <w:style w:type="paragraph" w:styleId="Nadpis2">
    <w:name w:val="heading 2"/>
    <w:basedOn w:val="Normln"/>
    <w:next w:val="Normln"/>
    <w:link w:val="Nadpis2Char"/>
    <w:autoRedefine/>
    <w:uiPriority w:val="9"/>
    <w:unhideWhenUsed/>
    <w:qFormat/>
    <w:rsid w:val="00280B85"/>
    <w:pPr>
      <w:keepNext/>
      <w:keepLines/>
      <w:numPr>
        <w:ilvl w:val="1"/>
        <w:numId w:val="1"/>
      </w:numPr>
      <w:spacing w:before="240" w:after="120" w:line="259" w:lineRule="auto"/>
      <w:ind w:left="578" w:hanging="578"/>
      <w:outlineLvl w:val="1"/>
    </w:pPr>
    <w:rPr>
      <w:rFonts w:eastAsiaTheme="majorEastAsia" w:cstheme="majorBidi"/>
      <w:b/>
      <w:sz w:val="36"/>
      <w:szCs w:val="26"/>
    </w:rPr>
  </w:style>
  <w:style w:type="paragraph" w:styleId="Nadpis3">
    <w:name w:val="heading 3"/>
    <w:basedOn w:val="Normln"/>
    <w:next w:val="Normln"/>
    <w:link w:val="Nadpis3Char"/>
    <w:autoRedefine/>
    <w:uiPriority w:val="9"/>
    <w:unhideWhenUsed/>
    <w:qFormat/>
    <w:rsid w:val="00280B85"/>
    <w:pPr>
      <w:keepNext/>
      <w:keepLines/>
      <w:numPr>
        <w:ilvl w:val="2"/>
        <w:numId w:val="1"/>
      </w:numPr>
      <w:spacing w:before="240" w:after="120" w:line="259" w:lineRule="auto"/>
      <w:outlineLvl w:val="2"/>
    </w:pPr>
    <w:rPr>
      <w:rFonts w:eastAsiaTheme="majorEastAsia" w:cstheme="majorBidi"/>
      <w:b/>
      <w:sz w:val="32"/>
      <w:szCs w:val="24"/>
    </w:rPr>
  </w:style>
  <w:style w:type="paragraph" w:styleId="Nadpis4">
    <w:name w:val="heading 4"/>
    <w:basedOn w:val="Normln"/>
    <w:next w:val="Normln"/>
    <w:link w:val="Nadpis4Char"/>
    <w:autoRedefine/>
    <w:uiPriority w:val="9"/>
    <w:unhideWhenUsed/>
    <w:qFormat/>
    <w:rsid w:val="00A018B6"/>
    <w:pPr>
      <w:keepNext/>
      <w:keepLines/>
      <w:numPr>
        <w:ilvl w:val="3"/>
        <w:numId w:val="1"/>
      </w:numPr>
      <w:spacing w:before="240" w:after="120"/>
      <w:outlineLvl w:val="3"/>
    </w:pPr>
    <w:rPr>
      <w:rFonts w:eastAsiaTheme="majorEastAsia" w:cstheme="majorBidi"/>
      <w:b/>
      <w:iCs/>
      <w:sz w:val="28"/>
    </w:rPr>
  </w:style>
  <w:style w:type="paragraph" w:styleId="Nadpis5">
    <w:name w:val="heading 5"/>
    <w:basedOn w:val="Normln"/>
    <w:next w:val="Normln"/>
    <w:link w:val="Nadpis5Char"/>
    <w:autoRedefine/>
    <w:uiPriority w:val="9"/>
    <w:unhideWhenUsed/>
    <w:qFormat/>
    <w:rsid w:val="00280B85"/>
    <w:pPr>
      <w:keepNext/>
      <w:keepLines/>
      <w:numPr>
        <w:numId w:val="6"/>
      </w:numPr>
      <w:spacing w:before="240" w:after="120" w:line="259" w:lineRule="auto"/>
      <w:ind w:left="714" w:hanging="357"/>
      <w:outlineLvl w:val="4"/>
    </w:pPr>
    <w:rPr>
      <w:rFonts w:eastAsiaTheme="majorEastAsia" w:cstheme="majorBidi"/>
      <w:b/>
    </w:rPr>
  </w:style>
  <w:style w:type="paragraph" w:styleId="Nadpis6">
    <w:name w:val="heading 6"/>
    <w:basedOn w:val="Normln"/>
    <w:next w:val="Normln"/>
    <w:link w:val="Nadpis6Char"/>
    <w:autoRedefine/>
    <w:uiPriority w:val="9"/>
    <w:unhideWhenUsed/>
    <w:qFormat/>
    <w:rsid w:val="00A15F83"/>
    <w:pPr>
      <w:keepNext/>
      <w:keepLines/>
      <w:numPr>
        <w:numId w:val="3"/>
      </w:numPr>
      <w:spacing w:before="240" w:after="120" w:line="259" w:lineRule="auto"/>
      <w:outlineLvl w:val="5"/>
    </w:pPr>
    <w:rPr>
      <w:rFonts w:eastAsiaTheme="majorEastAsia" w:cstheme="majorBidi"/>
      <w:b/>
    </w:rPr>
  </w:style>
  <w:style w:type="paragraph" w:styleId="Nadpis7">
    <w:name w:val="heading 7"/>
    <w:basedOn w:val="Normln"/>
    <w:next w:val="Normln"/>
    <w:link w:val="Nadpis7Char"/>
    <w:autoRedefine/>
    <w:uiPriority w:val="9"/>
    <w:unhideWhenUsed/>
    <w:qFormat/>
    <w:rsid w:val="00A15F83"/>
    <w:pPr>
      <w:keepNext/>
      <w:keepLines/>
      <w:numPr>
        <w:ilvl w:val="6"/>
        <w:numId w:val="1"/>
      </w:numPr>
      <w:spacing w:before="240" w:after="120" w:line="259" w:lineRule="auto"/>
      <w:ind w:left="0" w:firstLine="0"/>
      <w:outlineLvl w:val="6"/>
    </w:pPr>
    <w:rPr>
      <w:rFonts w:eastAsiaTheme="majorEastAsia" w:cstheme="majorBidi"/>
      <w:iCs/>
      <w:u w:val="single"/>
    </w:rPr>
  </w:style>
  <w:style w:type="paragraph" w:styleId="Nadpis8">
    <w:name w:val="heading 8"/>
    <w:basedOn w:val="Normln"/>
    <w:next w:val="Normln"/>
    <w:link w:val="Nadpis8Char"/>
    <w:autoRedefine/>
    <w:uiPriority w:val="9"/>
    <w:unhideWhenUsed/>
    <w:qFormat/>
    <w:rsid w:val="00280B85"/>
    <w:pPr>
      <w:keepNext/>
      <w:keepLines/>
      <w:numPr>
        <w:ilvl w:val="7"/>
        <w:numId w:val="1"/>
      </w:numPr>
      <w:spacing w:before="240" w:after="120" w:line="259" w:lineRule="auto"/>
      <w:ind w:left="0" w:firstLine="0"/>
      <w:outlineLvl w:val="7"/>
    </w:pPr>
    <w:rPr>
      <w:rFonts w:eastAsiaTheme="majorEastAsia" w:cstheme="majorBidi"/>
      <w:b/>
      <w:color w:val="272727" w:themeColor="text1" w:themeTint="D8"/>
      <w:szCs w:val="21"/>
    </w:rPr>
  </w:style>
  <w:style w:type="paragraph" w:styleId="Nadpis9">
    <w:name w:val="heading 9"/>
    <w:basedOn w:val="Normln"/>
    <w:next w:val="Normln"/>
    <w:link w:val="Nadpis9Char"/>
    <w:uiPriority w:val="9"/>
    <w:semiHidden/>
    <w:unhideWhenUsed/>
    <w:qFormat/>
    <w:rsid w:val="00A018B6"/>
    <w:pPr>
      <w:keepNext/>
      <w:keepLines/>
      <w:numPr>
        <w:ilvl w:val="8"/>
        <w:numId w:val="1"/>
      </w:numPr>
      <w:spacing w:before="240" w:after="120"/>
      <w:ind w:left="1582" w:hanging="1582"/>
      <w:outlineLvl w:val="8"/>
    </w:pPr>
    <w:rPr>
      <w:rFonts w:eastAsiaTheme="majorEastAsia" w:cstheme="majorBidi"/>
      <w:iCs/>
      <w:color w:val="272727" w:themeColor="text1" w:themeTint="D8"/>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80B85"/>
    <w:rPr>
      <w:rFonts w:ascii="Arial" w:eastAsiaTheme="majorEastAsia" w:hAnsi="Arial" w:cstheme="majorBidi"/>
      <w:b/>
      <w:sz w:val="40"/>
      <w:szCs w:val="32"/>
    </w:rPr>
  </w:style>
  <w:style w:type="character" w:customStyle="1" w:styleId="Nadpis2Char">
    <w:name w:val="Nadpis 2 Char"/>
    <w:basedOn w:val="Standardnpsmoodstavce"/>
    <w:link w:val="Nadpis2"/>
    <w:uiPriority w:val="9"/>
    <w:rsid w:val="00280B85"/>
    <w:rPr>
      <w:rFonts w:ascii="Arial" w:eastAsiaTheme="majorEastAsia" w:hAnsi="Arial" w:cstheme="majorBidi"/>
      <w:b/>
      <w:sz w:val="36"/>
      <w:szCs w:val="26"/>
    </w:rPr>
  </w:style>
  <w:style w:type="character" w:customStyle="1" w:styleId="Nadpis3Char">
    <w:name w:val="Nadpis 3 Char"/>
    <w:basedOn w:val="Standardnpsmoodstavce"/>
    <w:link w:val="Nadpis3"/>
    <w:uiPriority w:val="9"/>
    <w:rsid w:val="00280B85"/>
    <w:rPr>
      <w:rFonts w:ascii="Arial" w:eastAsiaTheme="majorEastAsia" w:hAnsi="Arial" w:cstheme="majorBidi"/>
      <w:b/>
      <w:sz w:val="32"/>
      <w:szCs w:val="24"/>
    </w:rPr>
  </w:style>
  <w:style w:type="character" w:customStyle="1" w:styleId="Nadpis4Char">
    <w:name w:val="Nadpis 4 Char"/>
    <w:basedOn w:val="Standardnpsmoodstavce"/>
    <w:link w:val="Nadpis4"/>
    <w:uiPriority w:val="9"/>
    <w:rsid w:val="00A018B6"/>
    <w:rPr>
      <w:rFonts w:ascii="Arial" w:eastAsiaTheme="majorEastAsia" w:hAnsi="Arial" w:cstheme="majorBidi"/>
      <w:b/>
      <w:iCs/>
      <w:sz w:val="28"/>
    </w:rPr>
  </w:style>
  <w:style w:type="character" w:customStyle="1" w:styleId="Nadpis5Char">
    <w:name w:val="Nadpis 5 Char"/>
    <w:basedOn w:val="Standardnpsmoodstavce"/>
    <w:link w:val="Nadpis5"/>
    <w:uiPriority w:val="9"/>
    <w:rsid w:val="00280B85"/>
    <w:rPr>
      <w:rFonts w:ascii="Arial" w:eastAsiaTheme="majorEastAsia" w:hAnsi="Arial" w:cstheme="majorBidi"/>
      <w:b/>
      <w:sz w:val="24"/>
    </w:rPr>
  </w:style>
  <w:style w:type="character" w:customStyle="1" w:styleId="Nadpis6Char">
    <w:name w:val="Nadpis 6 Char"/>
    <w:basedOn w:val="Standardnpsmoodstavce"/>
    <w:link w:val="Nadpis6"/>
    <w:uiPriority w:val="9"/>
    <w:rsid w:val="00A15F83"/>
    <w:rPr>
      <w:rFonts w:ascii="Arial" w:eastAsiaTheme="majorEastAsia" w:hAnsi="Arial" w:cstheme="majorBidi"/>
      <w:b/>
      <w:sz w:val="24"/>
    </w:rPr>
  </w:style>
  <w:style w:type="character" w:customStyle="1" w:styleId="Nadpis7Char">
    <w:name w:val="Nadpis 7 Char"/>
    <w:basedOn w:val="Standardnpsmoodstavce"/>
    <w:link w:val="Nadpis7"/>
    <w:uiPriority w:val="9"/>
    <w:rsid w:val="00A15F83"/>
    <w:rPr>
      <w:rFonts w:ascii="Arial" w:eastAsiaTheme="majorEastAsia" w:hAnsi="Arial" w:cstheme="majorBidi"/>
      <w:iCs/>
      <w:sz w:val="24"/>
      <w:u w:val="single"/>
    </w:rPr>
  </w:style>
  <w:style w:type="character" w:customStyle="1" w:styleId="Nadpis8Char">
    <w:name w:val="Nadpis 8 Char"/>
    <w:basedOn w:val="Standardnpsmoodstavce"/>
    <w:link w:val="Nadpis8"/>
    <w:uiPriority w:val="9"/>
    <w:rsid w:val="00280B85"/>
    <w:rPr>
      <w:rFonts w:ascii="Arial" w:eastAsiaTheme="majorEastAsia" w:hAnsi="Arial" w:cstheme="majorBidi"/>
      <w:b/>
      <w:color w:val="272727" w:themeColor="text1" w:themeTint="D8"/>
      <w:sz w:val="24"/>
      <w:szCs w:val="21"/>
    </w:rPr>
  </w:style>
  <w:style w:type="character" w:customStyle="1" w:styleId="Nadpis9Char">
    <w:name w:val="Nadpis 9 Char"/>
    <w:basedOn w:val="Standardnpsmoodstavce"/>
    <w:link w:val="Nadpis9"/>
    <w:uiPriority w:val="9"/>
    <w:semiHidden/>
    <w:rsid w:val="00A018B6"/>
    <w:rPr>
      <w:rFonts w:ascii="Arial" w:eastAsiaTheme="majorEastAsia" w:hAnsi="Arial" w:cstheme="majorBidi"/>
      <w:iCs/>
      <w:color w:val="272727" w:themeColor="text1" w:themeTint="D8"/>
      <w:sz w:val="24"/>
      <w:szCs w:val="21"/>
    </w:rPr>
  </w:style>
  <w:style w:type="character" w:styleId="Hypertextovodkaz">
    <w:name w:val="Hyperlink"/>
    <w:uiPriority w:val="99"/>
    <w:rsid w:val="006F5B28"/>
    <w:rPr>
      <w:rFonts w:cs="Times New Roman"/>
      <w:color w:val="0000FF"/>
      <w:u w:val="single"/>
    </w:rPr>
  </w:style>
  <w:style w:type="paragraph" w:styleId="Titulek">
    <w:name w:val="caption"/>
    <w:basedOn w:val="Normln"/>
    <w:next w:val="Normln"/>
    <w:uiPriority w:val="35"/>
    <w:unhideWhenUsed/>
    <w:qFormat/>
    <w:rsid w:val="006F5B28"/>
    <w:pPr>
      <w:spacing w:after="200"/>
    </w:pPr>
    <w:rPr>
      <w:i/>
      <w:iCs/>
      <w:szCs w:val="18"/>
    </w:rPr>
  </w:style>
  <w:style w:type="character" w:styleId="Odkaznakoment">
    <w:name w:val="annotation reference"/>
    <w:basedOn w:val="Standardnpsmoodstavce"/>
    <w:uiPriority w:val="99"/>
    <w:semiHidden/>
    <w:unhideWhenUsed/>
    <w:qFormat/>
    <w:rsid w:val="006F5B28"/>
    <w:rPr>
      <w:sz w:val="16"/>
      <w:szCs w:val="16"/>
    </w:rPr>
  </w:style>
  <w:style w:type="paragraph" w:styleId="Textkomente">
    <w:name w:val="annotation text"/>
    <w:basedOn w:val="Normln"/>
    <w:link w:val="TextkomenteChar"/>
    <w:uiPriority w:val="99"/>
    <w:unhideWhenUsed/>
    <w:qFormat/>
    <w:rsid w:val="006F5B28"/>
    <w:rPr>
      <w:sz w:val="20"/>
      <w:szCs w:val="20"/>
    </w:rPr>
  </w:style>
  <w:style w:type="character" w:customStyle="1" w:styleId="TextkomenteChar">
    <w:name w:val="Text komentáře Char"/>
    <w:basedOn w:val="Standardnpsmoodstavce"/>
    <w:link w:val="Textkomente"/>
    <w:uiPriority w:val="99"/>
    <w:rsid w:val="006F5B28"/>
    <w:rPr>
      <w:rFonts w:ascii="Arial" w:hAnsi="Arial"/>
      <w:sz w:val="20"/>
      <w:szCs w:val="20"/>
    </w:rPr>
  </w:style>
  <w:style w:type="paragraph" w:styleId="Odstavecseseznamem">
    <w:name w:val="List Paragraph"/>
    <w:basedOn w:val="Normln"/>
    <w:link w:val="OdstavecseseznamemChar"/>
    <w:uiPriority w:val="34"/>
    <w:qFormat/>
    <w:rsid w:val="006F5B28"/>
    <w:pPr>
      <w:ind w:left="720"/>
      <w:contextualSpacing/>
      <w:jc w:val="left"/>
    </w:pPr>
    <w:rPr>
      <w:rFonts w:ascii="Calibri" w:eastAsia="Calibri" w:hAnsi="Calibri" w:cs="Times New Roman"/>
      <w:sz w:val="22"/>
    </w:rPr>
  </w:style>
  <w:style w:type="character" w:customStyle="1" w:styleId="OdstavecseseznamemChar">
    <w:name w:val="Odstavec se seznamem Char"/>
    <w:basedOn w:val="Standardnpsmoodstavce"/>
    <w:link w:val="Odstavecseseznamem"/>
    <w:uiPriority w:val="99"/>
    <w:locked/>
    <w:rsid w:val="006B3B31"/>
    <w:rPr>
      <w:rFonts w:ascii="Calibri" w:eastAsia="Calibri" w:hAnsi="Calibri" w:cs="Times New Roman"/>
    </w:rPr>
  </w:style>
  <w:style w:type="table" w:styleId="Mkatabulky">
    <w:name w:val="Table Grid"/>
    <w:basedOn w:val="Normlntabulka"/>
    <w:uiPriority w:val="39"/>
    <w:rsid w:val="006F5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6F5B28"/>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5B28"/>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6F5B28"/>
    <w:rPr>
      <w:b/>
      <w:bCs/>
    </w:rPr>
  </w:style>
  <w:style w:type="character" w:customStyle="1" w:styleId="PedmtkomenteChar">
    <w:name w:val="Předmět komentáře Char"/>
    <w:basedOn w:val="TextkomenteChar"/>
    <w:link w:val="Pedmtkomente"/>
    <w:uiPriority w:val="99"/>
    <w:semiHidden/>
    <w:rsid w:val="006F5B28"/>
    <w:rPr>
      <w:rFonts w:ascii="Arial" w:hAnsi="Arial"/>
      <w:b/>
      <w:bCs/>
      <w:sz w:val="20"/>
      <w:szCs w:val="20"/>
    </w:rPr>
  </w:style>
  <w:style w:type="paragraph" w:styleId="Nadpisobsahu">
    <w:name w:val="TOC Heading"/>
    <w:basedOn w:val="Nadpis1"/>
    <w:next w:val="Normln"/>
    <w:uiPriority w:val="39"/>
    <w:unhideWhenUsed/>
    <w:qFormat/>
    <w:rsid w:val="003519E5"/>
    <w:pPr>
      <w:numPr>
        <w:numId w:val="0"/>
      </w:numPr>
      <w:spacing w:before="480" w:after="0" w:line="276" w:lineRule="auto"/>
      <w:jc w:val="left"/>
      <w:outlineLvl w:val="9"/>
    </w:pPr>
    <w:rPr>
      <w:rFonts w:asciiTheme="majorHAnsi" w:hAnsiTheme="majorHAnsi"/>
      <w:bCs/>
      <w:color w:val="2E74B5" w:themeColor="accent1" w:themeShade="BF"/>
      <w:sz w:val="28"/>
      <w:szCs w:val="28"/>
      <w:lang w:eastAsia="cs-CZ"/>
    </w:rPr>
  </w:style>
  <w:style w:type="paragraph" w:styleId="Obsah2">
    <w:name w:val="toc 2"/>
    <w:basedOn w:val="Normln"/>
    <w:next w:val="Normln"/>
    <w:autoRedefine/>
    <w:uiPriority w:val="39"/>
    <w:unhideWhenUsed/>
    <w:rsid w:val="003519E5"/>
    <w:pPr>
      <w:spacing w:after="100"/>
      <w:ind w:left="240"/>
    </w:pPr>
  </w:style>
  <w:style w:type="paragraph" w:styleId="Obsah3">
    <w:name w:val="toc 3"/>
    <w:basedOn w:val="Normln"/>
    <w:next w:val="Normln"/>
    <w:autoRedefine/>
    <w:uiPriority w:val="39"/>
    <w:unhideWhenUsed/>
    <w:rsid w:val="003519E5"/>
    <w:pPr>
      <w:spacing w:after="100"/>
      <w:ind w:left="480"/>
    </w:pPr>
  </w:style>
  <w:style w:type="paragraph" w:styleId="Obsah1">
    <w:name w:val="toc 1"/>
    <w:basedOn w:val="Normln"/>
    <w:next w:val="Normln"/>
    <w:autoRedefine/>
    <w:uiPriority w:val="39"/>
    <w:unhideWhenUsed/>
    <w:rsid w:val="00614A99"/>
    <w:pPr>
      <w:spacing w:after="100"/>
    </w:pPr>
  </w:style>
  <w:style w:type="paragraph" w:styleId="Textpoznpodarou">
    <w:name w:val="footnote text"/>
    <w:basedOn w:val="Normln"/>
    <w:link w:val="TextpoznpodarouChar"/>
    <w:uiPriority w:val="99"/>
    <w:semiHidden/>
    <w:unhideWhenUsed/>
    <w:rsid w:val="000B15C0"/>
    <w:pPr>
      <w:spacing w:after="0"/>
      <w:jc w:val="left"/>
    </w:pPr>
    <w:rPr>
      <w:rFonts w:asciiTheme="minorHAnsi" w:hAnsiTheme="minorHAnsi"/>
      <w:sz w:val="20"/>
      <w:szCs w:val="20"/>
    </w:rPr>
  </w:style>
  <w:style w:type="character" w:customStyle="1" w:styleId="TextpoznpodarouChar">
    <w:name w:val="Text pozn. pod čarou Char"/>
    <w:basedOn w:val="Standardnpsmoodstavce"/>
    <w:link w:val="Textpoznpodarou"/>
    <w:uiPriority w:val="99"/>
    <w:semiHidden/>
    <w:rsid w:val="000B15C0"/>
    <w:rPr>
      <w:sz w:val="20"/>
      <w:szCs w:val="20"/>
    </w:rPr>
  </w:style>
  <w:style w:type="character" w:styleId="Znakapoznpodarou">
    <w:name w:val="footnote reference"/>
    <w:basedOn w:val="Standardnpsmoodstavce"/>
    <w:uiPriority w:val="99"/>
    <w:semiHidden/>
    <w:unhideWhenUsed/>
    <w:rsid w:val="000B15C0"/>
    <w:rPr>
      <w:vertAlign w:val="superscript"/>
    </w:rPr>
  </w:style>
  <w:style w:type="paragraph" w:styleId="Normlnweb">
    <w:name w:val="Normal (Web)"/>
    <w:basedOn w:val="Normln"/>
    <w:uiPriority w:val="99"/>
    <w:unhideWhenUsed/>
    <w:rsid w:val="00CE3927"/>
    <w:pPr>
      <w:spacing w:before="100" w:beforeAutospacing="1" w:after="100" w:afterAutospacing="1"/>
      <w:jc w:val="left"/>
    </w:pPr>
    <w:rPr>
      <w:rFonts w:ascii="Times New Roman" w:eastAsia="Times New Roman" w:hAnsi="Times New Roman" w:cs="Times New Roman"/>
      <w:szCs w:val="24"/>
      <w:lang w:eastAsia="cs-CZ"/>
    </w:rPr>
  </w:style>
  <w:style w:type="character" w:styleId="Siln">
    <w:name w:val="Strong"/>
    <w:basedOn w:val="Standardnpsmoodstavce"/>
    <w:uiPriority w:val="22"/>
    <w:qFormat/>
    <w:rsid w:val="00CE3927"/>
    <w:rPr>
      <w:b/>
      <w:bCs/>
    </w:rPr>
  </w:style>
  <w:style w:type="paragraph" w:styleId="Revize">
    <w:name w:val="Revision"/>
    <w:hidden/>
    <w:uiPriority w:val="99"/>
    <w:semiHidden/>
    <w:rsid w:val="00013073"/>
    <w:pPr>
      <w:spacing w:after="0" w:line="240" w:lineRule="auto"/>
    </w:pPr>
    <w:rPr>
      <w:rFonts w:ascii="Arial" w:hAnsi="Arial"/>
      <w:sz w:val="24"/>
    </w:rPr>
  </w:style>
  <w:style w:type="character" w:customStyle="1" w:styleId="tlid-translation">
    <w:name w:val="tlid-translation"/>
    <w:basedOn w:val="Standardnpsmoodstavce"/>
    <w:rsid w:val="009D57AA"/>
  </w:style>
  <w:style w:type="paragraph" w:customStyle="1" w:styleId="Default">
    <w:name w:val="Default"/>
    <w:rsid w:val="009D57AA"/>
    <w:pPr>
      <w:autoSpaceDE w:val="0"/>
      <w:autoSpaceDN w:val="0"/>
      <w:adjustRightInd w:val="0"/>
      <w:spacing w:after="0" w:line="240" w:lineRule="auto"/>
    </w:pPr>
    <w:rPr>
      <w:rFonts w:ascii="Cambria" w:hAnsi="Cambria" w:cs="Cambria"/>
      <w:color w:val="000000"/>
      <w:sz w:val="24"/>
      <w:szCs w:val="24"/>
    </w:rPr>
  </w:style>
  <w:style w:type="character" w:styleId="Sledovanodkaz">
    <w:name w:val="FollowedHyperlink"/>
    <w:basedOn w:val="Standardnpsmoodstavce"/>
    <w:uiPriority w:val="99"/>
    <w:semiHidden/>
    <w:unhideWhenUsed/>
    <w:rsid w:val="00BB724C"/>
    <w:rPr>
      <w:color w:val="954F72" w:themeColor="followedHyperlink"/>
      <w:u w:val="single"/>
    </w:rPr>
  </w:style>
  <w:style w:type="paragraph" w:styleId="Zhlav">
    <w:name w:val="header"/>
    <w:basedOn w:val="Normln"/>
    <w:link w:val="ZhlavChar"/>
    <w:uiPriority w:val="99"/>
    <w:unhideWhenUsed/>
    <w:rsid w:val="00C116DF"/>
    <w:pPr>
      <w:tabs>
        <w:tab w:val="center" w:pos="4536"/>
        <w:tab w:val="right" w:pos="9072"/>
      </w:tabs>
      <w:spacing w:after="0"/>
    </w:pPr>
  </w:style>
  <w:style w:type="character" w:customStyle="1" w:styleId="ZhlavChar">
    <w:name w:val="Záhlaví Char"/>
    <w:basedOn w:val="Standardnpsmoodstavce"/>
    <w:link w:val="Zhlav"/>
    <w:uiPriority w:val="99"/>
    <w:rsid w:val="00C116DF"/>
    <w:rPr>
      <w:rFonts w:ascii="Arial" w:hAnsi="Arial"/>
      <w:sz w:val="24"/>
    </w:rPr>
  </w:style>
  <w:style w:type="paragraph" w:styleId="Zpat">
    <w:name w:val="footer"/>
    <w:basedOn w:val="Normln"/>
    <w:link w:val="ZpatChar"/>
    <w:uiPriority w:val="99"/>
    <w:unhideWhenUsed/>
    <w:rsid w:val="00C116DF"/>
    <w:pPr>
      <w:tabs>
        <w:tab w:val="center" w:pos="4536"/>
        <w:tab w:val="right" w:pos="9072"/>
      </w:tabs>
      <w:spacing w:after="0"/>
    </w:pPr>
  </w:style>
  <w:style w:type="character" w:customStyle="1" w:styleId="ZpatChar">
    <w:name w:val="Zápatí Char"/>
    <w:basedOn w:val="Standardnpsmoodstavce"/>
    <w:link w:val="Zpat"/>
    <w:uiPriority w:val="99"/>
    <w:rsid w:val="00C116DF"/>
    <w:rPr>
      <w:rFonts w:ascii="Arial" w:hAnsi="Arial"/>
      <w:sz w:val="24"/>
    </w:rPr>
  </w:style>
  <w:style w:type="paragraph" w:customStyle="1" w:styleId="Textdopisu">
    <w:name w:val="Text dopisu"/>
    <w:basedOn w:val="Normln"/>
    <w:qFormat/>
    <w:rsid w:val="002E13BB"/>
    <w:pPr>
      <w:spacing w:after="240"/>
    </w:pPr>
    <w:rPr>
      <w:rFonts w:eastAsia="Times New Roman" w:cs="Arial"/>
      <w:szCs w:val="20"/>
      <w:lang w:eastAsia="cs-CZ"/>
    </w:rPr>
  </w:style>
  <w:style w:type="paragraph" w:customStyle="1" w:styleId="slovanodstavec">
    <w:name w:val="Číslovaný odstavec"/>
    <w:basedOn w:val="Normln"/>
    <w:qFormat/>
    <w:rsid w:val="00B658DF"/>
    <w:pPr>
      <w:numPr>
        <w:numId w:val="8"/>
      </w:numPr>
      <w:ind w:left="0"/>
    </w:pPr>
    <w:rPr>
      <w:rFonts w:asciiTheme="minorHAnsi" w:hAnsiTheme="minorHAnsi"/>
      <w:sz w:val="23"/>
      <w:szCs w:val="23"/>
    </w:rPr>
  </w:style>
  <w:style w:type="character" w:customStyle="1" w:styleId="upd">
    <w:name w:val="upd"/>
    <w:basedOn w:val="Standardnpsmoodstavce"/>
    <w:rsid w:val="00D816CB"/>
  </w:style>
  <w:style w:type="character" w:styleId="Zdraznn">
    <w:name w:val="Emphasis"/>
    <w:basedOn w:val="Standardnpsmoodstavce"/>
    <w:uiPriority w:val="20"/>
    <w:qFormat/>
    <w:rsid w:val="00C23581"/>
    <w:rPr>
      <w:i/>
      <w:iCs/>
    </w:rPr>
  </w:style>
  <w:style w:type="paragraph" w:customStyle="1" w:styleId="Dvodovzprva">
    <w:name w:val="Důvodová zpráva"/>
    <w:basedOn w:val="Normln"/>
    <w:link w:val="DvodovzprvaChar"/>
    <w:uiPriority w:val="99"/>
    <w:qFormat/>
    <w:rsid w:val="00DF0790"/>
    <w:pPr>
      <w:spacing w:before="120" w:after="0"/>
    </w:pPr>
    <w:rPr>
      <w:rFonts w:eastAsia="Times New Roman" w:cs="Times New Roman"/>
      <w:color w:val="0000FF"/>
      <w:szCs w:val="20"/>
      <w:lang w:eastAsia="cs-CZ"/>
    </w:rPr>
  </w:style>
  <w:style w:type="character" w:customStyle="1" w:styleId="DvodovzprvaChar">
    <w:name w:val="Důvodová zpráva Char"/>
    <w:link w:val="Dvodovzprva"/>
    <w:uiPriority w:val="99"/>
    <w:locked/>
    <w:rsid w:val="00DF0790"/>
    <w:rPr>
      <w:rFonts w:ascii="Arial" w:eastAsia="Times New Roman" w:hAnsi="Arial" w:cs="Times New Roman"/>
      <w:color w:val="0000FF"/>
      <w:sz w:val="24"/>
      <w:szCs w:val="20"/>
      <w:lang w:eastAsia="cs-CZ"/>
    </w:rPr>
  </w:style>
  <w:style w:type="paragraph" w:customStyle="1" w:styleId="Dvodovzprvakbodu">
    <w:name w:val="Důvodová zpráva (k bodu)"/>
    <w:basedOn w:val="Dvodovzprva"/>
    <w:next w:val="Dvodovzprva"/>
    <w:qFormat/>
    <w:rsid w:val="00DF0790"/>
    <w:pPr>
      <w:keepNext/>
      <w:numPr>
        <w:numId w:val="19"/>
      </w:numPr>
      <w:tabs>
        <w:tab w:val="num" w:pos="360"/>
      </w:tabs>
      <w:ind w:left="502" w:hanging="360"/>
      <w:outlineLvl w:val="7"/>
    </w:pPr>
    <w:rPr>
      <w:b/>
    </w:rPr>
  </w:style>
  <w:style w:type="paragraph" w:styleId="Seznamobrzk">
    <w:name w:val="table of figures"/>
    <w:basedOn w:val="Normln"/>
    <w:next w:val="Normln"/>
    <w:uiPriority w:val="99"/>
    <w:unhideWhenUsed/>
    <w:rsid w:val="00764ED9"/>
    <w:pPr>
      <w:spacing w:after="0"/>
    </w:pPr>
  </w:style>
  <w:style w:type="paragraph" w:customStyle="1" w:styleId="text">
    <w:name w:val="text"/>
    <w:basedOn w:val="Normln"/>
    <w:rsid w:val="00A14435"/>
    <w:pPr>
      <w:spacing w:before="120" w:after="0"/>
      <w:ind w:firstLine="357"/>
    </w:pPr>
    <w:rPr>
      <w:rFonts w:ascii="Times New Roman" w:eastAsia="Calibri" w:hAnsi="Times New Roman" w:cs="Times New Roman"/>
      <w:szCs w:val="24"/>
      <w:lang w:eastAsia="cs-CZ"/>
    </w:rPr>
  </w:style>
  <w:style w:type="paragraph" w:customStyle="1" w:styleId="zdvodnn">
    <w:name w:val="zdůvodnění"/>
    <w:basedOn w:val="Normln"/>
    <w:rsid w:val="00A14435"/>
    <w:pPr>
      <w:keepNext/>
      <w:spacing w:before="240" w:after="120"/>
    </w:pPr>
    <w:rPr>
      <w:rFonts w:ascii="Times New Roman" w:eastAsia="Calibri" w:hAnsi="Times New Roman" w:cs="Times New Roman"/>
      <w:b/>
      <w:bCs/>
      <w:szCs w:val="24"/>
      <w:lang w:eastAsia="cs-CZ"/>
    </w:rPr>
  </w:style>
  <w:style w:type="character" w:customStyle="1" w:styleId="acopre1">
    <w:name w:val="acopre1"/>
    <w:basedOn w:val="Standardnpsmoodstavce"/>
    <w:rsid w:val="00A14435"/>
  </w:style>
  <w:style w:type="paragraph" w:styleId="Obsah4">
    <w:name w:val="toc 4"/>
    <w:basedOn w:val="Normln"/>
    <w:next w:val="Normln"/>
    <w:autoRedefine/>
    <w:uiPriority w:val="39"/>
    <w:unhideWhenUsed/>
    <w:rsid w:val="0018238D"/>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181939">
      <w:bodyDiv w:val="1"/>
      <w:marLeft w:val="0"/>
      <w:marRight w:val="0"/>
      <w:marTop w:val="0"/>
      <w:marBottom w:val="0"/>
      <w:divBdr>
        <w:top w:val="none" w:sz="0" w:space="0" w:color="auto"/>
        <w:left w:val="none" w:sz="0" w:space="0" w:color="auto"/>
        <w:bottom w:val="none" w:sz="0" w:space="0" w:color="auto"/>
        <w:right w:val="none" w:sz="0" w:space="0" w:color="auto"/>
      </w:divBdr>
    </w:div>
    <w:div w:id="977151306">
      <w:bodyDiv w:val="1"/>
      <w:marLeft w:val="0"/>
      <w:marRight w:val="0"/>
      <w:marTop w:val="0"/>
      <w:marBottom w:val="0"/>
      <w:divBdr>
        <w:top w:val="none" w:sz="0" w:space="0" w:color="auto"/>
        <w:left w:val="none" w:sz="0" w:space="0" w:color="auto"/>
        <w:bottom w:val="none" w:sz="0" w:space="0" w:color="auto"/>
        <w:right w:val="none" w:sz="0" w:space="0" w:color="auto"/>
      </w:divBdr>
    </w:div>
    <w:div w:id="1440444377">
      <w:bodyDiv w:val="1"/>
      <w:marLeft w:val="0"/>
      <w:marRight w:val="0"/>
      <w:marTop w:val="0"/>
      <w:marBottom w:val="0"/>
      <w:divBdr>
        <w:top w:val="none" w:sz="0" w:space="0" w:color="auto"/>
        <w:left w:val="none" w:sz="0" w:space="0" w:color="auto"/>
        <w:bottom w:val="none" w:sz="0" w:space="0" w:color="auto"/>
        <w:right w:val="none" w:sz="0" w:space="0" w:color="auto"/>
      </w:divBdr>
      <w:divsChild>
        <w:div w:id="1205409752">
          <w:marLeft w:val="360"/>
          <w:marRight w:val="0"/>
          <w:marTop w:val="200"/>
          <w:marBottom w:val="0"/>
          <w:divBdr>
            <w:top w:val="none" w:sz="0" w:space="0" w:color="auto"/>
            <w:left w:val="none" w:sz="0" w:space="0" w:color="auto"/>
            <w:bottom w:val="none" w:sz="0" w:space="0" w:color="auto"/>
            <w:right w:val="none" w:sz="0" w:space="0" w:color="auto"/>
          </w:divBdr>
        </w:div>
        <w:div w:id="243758223">
          <w:marLeft w:val="360"/>
          <w:marRight w:val="0"/>
          <w:marTop w:val="200"/>
          <w:marBottom w:val="0"/>
          <w:divBdr>
            <w:top w:val="none" w:sz="0" w:space="0" w:color="auto"/>
            <w:left w:val="none" w:sz="0" w:space="0" w:color="auto"/>
            <w:bottom w:val="none" w:sz="0" w:space="0" w:color="auto"/>
            <w:right w:val="none" w:sz="0" w:space="0" w:color="auto"/>
          </w:divBdr>
        </w:div>
        <w:div w:id="657272405">
          <w:marLeft w:val="360"/>
          <w:marRight w:val="0"/>
          <w:marTop w:val="200"/>
          <w:marBottom w:val="0"/>
          <w:divBdr>
            <w:top w:val="none" w:sz="0" w:space="0" w:color="auto"/>
            <w:left w:val="none" w:sz="0" w:space="0" w:color="auto"/>
            <w:bottom w:val="none" w:sz="0" w:space="0" w:color="auto"/>
            <w:right w:val="none" w:sz="0" w:space="0" w:color="auto"/>
          </w:divBdr>
        </w:div>
        <w:div w:id="866724259">
          <w:marLeft w:val="360"/>
          <w:marRight w:val="0"/>
          <w:marTop w:val="200"/>
          <w:marBottom w:val="0"/>
          <w:divBdr>
            <w:top w:val="none" w:sz="0" w:space="0" w:color="auto"/>
            <w:left w:val="none" w:sz="0" w:space="0" w:color="auto"/>
            <w:bottom w:val="none" w:sz="0" w:space="0" w:color="auto"/>
            <w:right w:val="none" w:sz="0" w:space="0" w:color="auto"/>
          </w:divBdr>
        </w:div>
      </w:divsChild>
    </w:div>
    <w:div w:id="1507743888">
      <w:bodyDiv w:val="1"/>
      <w:marLeft w:val="0"/>
      <w:marRight w:val="0"/>
      <w:marTop w:val="0"/>
      <w:marBottom w:val="0"/>
      <w:divBdr>
        <w:top w:val="none" w:sz="0" w:space="0" w:color="auto"/>
        <w:left w:val="none" w:sz="0" w:space="0" w:color="auto"/>
        <w:bottom w:val="none" w:sz="0" w:space="0" w:color="auto"/>
        <w:right w:val="none" w:sz="0" w:space="0" w:color="auto"/>
      </w:divBdr>
    </w:div>
    <w:div w:id="1922181634">
      <w:bodyDiv w:val="1"/>
      <w:marLeft w:val="0"/>
      <w:marRight w:val="0"/>
      <w:marTop w:val="0"/>
      <w:marBottom w:val="0"/>
      <w:divBdr>
        <w:top w:val="none" w:sz="0" w:space="0" w:color="auto"/>
        <w:left w:val="none" w:sz="0" w:space="0" w:color="auto"/>
        <w:bottom w:val="none" w:sz="0" w:space="0" w:color="auto"/>
        <w:right w:val="none" w:sz="0" w:space="0" w:color="auto"/>
      </w:divBdr>
    </w:div>
    <w:div w:id="1985428752">
      <w:bodyDiv w:val="1"/>
      <w:marLeft w:val="0"/>
      <w:marRight w:val="0"/>
      <w:marTop w:val="0"/>
      <w:marBottom w:val="0"/>
      <w:divBdr>
        <w:top w:val="none" w:sz="0" w:space="0" w:color="auto"/>
        <w:left w:val="none" w:sz="0" w:space="0" w:color="auto"/>
        <w:bottom w:val="none" w:sz="0" w:space="0" w:color="auto"/>
        <w:right w:val="none" w:sz="0" w:space="0" w:color="auto"/>
      </w:divBdr>
    </w:div>
    <w:div w:id="2077123608">
      <w:bodyDiv w:val="1"/>
      <w:marLeft w:val="0"/>
      <w:marRight w:val="0"/>
      <w:marTop w:val="0"/>
      <w:marBottom w:val="0"/>
      <w:divBdr>
        <w:top w:val="none" w:sz="0" w:space="0" w:color="auto"/>
        <w:left w:val="none" w:sz="0" w:space="0" w:color="auto"/>
        <w:bottom w:val="none" w:sz="0" w:space="0" w:color="auto"/>
        <w:right w:val="none" w:sz="0" w:space="0" w:color="auto"/>
      </w:divBdr>
      <w:divsChild>
        <w:div w:id="65256073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6.xml"/><Relationship Id="rId26" Type="http://schemas.openxmlformats.org/officeDocument/2006/relationships/chart" Target="charts/chart12.xml"/><Relationship Id="rId39" Type="http://schemas.openxmlformats.org/officeDocument/2006/relationships/chart" Target="charts/chart18.xml"/><Relationship Id="rId3" Type="http://schemas.openxmlformats.org/officeDocument/2006/relationships/styles" Target="styles.xml"/><Relationship Id="rId21" Type="http://schemas.openxmlformats.org/officeDocument/2006/relationships/image" Target="media/image1.png"/><Relationship Id="rId34" Type="http://schemas.openxmlformats.org/officeDocument/2006/relationships/chart" Target="charts/chart13.xml"/><Relationship Id="rId42" Type="http://schemas.openxmlformats.org/officeDocument/2006/relationships/chart" Target="charts/chart21.xm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5.xml"/><Relationship Id="rId25" Type="http://schemas.openxmlformats.org/officeDocument/2006/relationships/chart" Target="charts/chart11.xml"/><Relationship Id="rId33" Type="http://schemas.openxmlformats.org/officeDocument/2006/relationships/hyperlink" Target="https://www.celnisprava.cz/cz/statistiky/hazard/Stranky/default.aspx" TargetMode="External"/><Relationship Id="rId38" Type="http://schemas.openxmlformats.org/officeDocument/2006/relationships/chart" Target="charts/chart17.xml"/><Relationship Id="rId46" Type="http://schemas.openxmlformats.org/officeDocument/2006/relationships/chart" Target="charts/chart25.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hyperlink" Target="https://www.celnisprava.cz/cz/statistiky/hazard/Stranky/default.aspx" TargetMode="External"/><Relationship Id="rId41" Type="http://schemas.openxmlformats.org/officeDocument/2006/relationships/chart" Target="charts/chart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spi://module='ASPI'&amp;link='634/1992%20Sb.'&amp;ucin-k-dni='30.12.9999'" TargetMode="External"/><Relationship Id="rId24" Type="http://schemas.openxmlformats.org/officeDocument/2006/relationships/chart" Target="charts/chart10.xml"/><Relationship Id="rId32" Type="http://schemas.openxmlformats.org/officeDocument/2006/relationships/image" Target="media/image5.png"/><Relationship Id="rId37" Type="http://schemas.openxmlformats.org/officeDocument/2006/relationships/chart" Target="charts/chart16.xml"/><Relationship Id="rId40" Type="http://schemas.openxmlformats.org/officeDocument/2006/relationships/chart" Target="charts/chart19.xml"/><Relationship Id="rId45" Type="http://schemas.openxmlformats.org/officeDocument/2006/relationships/chart" Target="charts/chart24.xml"/><Relationship Id="rId5" Type="http://schemas.openxmlformats.org/officeDocument/2006/relationships/webSettings" Target="webSettings.xml"/><Relationship Id="rId15" Type="http://schemas.openxmlformats.org/officeDocument/2006/relationships/hyperlink" Target="https://www.celnisprava.cz/cz/dalsi-kompetence/hazard/Stranky/Formul&#225;&#345;e.aspx" TargetMode="External"/><Relationship Id="rId23" Type="http://schemas.openxmlformats.org/officeDocument/2006/relationships/chart" Target="charts/chart9.xml"/><Relationship Id="rId28" Type="http://schemas.openxmlformats.org/officeDocument/2006/relationships/image" Target="media/image3.png"/><Relationship Id="rId36" Type="http://schemas.openxmlformats.org/officeDocument/2006/relationships/chart" Target="charts/chart15.xml"/><Relationship Id="rId49" Type="http://schemas.openxmlformats.org/officeDocument/2006/relationships/fontTable" Target="fontTable.xml"/><Relationship Id="rId10" Type="http://schemas.openxmlformats.org/officeDocument/2006/relationships/hyperlink" Target="aspi://module='ASPI'&amp;link='40/1995%20Sb.'&amp;ucin-k-dni='30.12.9999'" TargetMode="External"/><Relationship Id="rId19" Type="http://schemas.openxmlformats.org/officeDocument/2006/relationships/chart" Target="charts/chart7.xml"/><Relationship Id="rId31" Type="http://schemas.openxmlformats.org/officeDocument/2006/relationships/hyperlink" Target="https://www.celnisprava.cz/cz/statistiky/hazard/Stranky/default.aspx" TargetMode="External"/><Relationship Id="rId44" Type="http://schemas.openxmlformats.org/officeDocument/2006/relationships/chart" Target="charts/chart23.xml"/><Relationship Id="rId4" Type="http://schemas.openxmlformats.org/officeDocument/2006/relationships/settings" Target="settings.xml"/><Relationship Id="rId9" Type="http://schemas.openxmlformats.org/officeDocument/2006/relationships/hyperlink" Target="aspi://module='ASPI'&amp;link='82/1998%20Sb.'&amp;ucin-k-dni='30.12.9999'" TargetMode="External"/><Relationship Id="rId14" Type="http://schemas.openxmlformats.org/officeDocument/2006/relationships/chart" Target="charts/chart3.xml"/><Relationship Id="rId22" Type="http://schemas.openxmlformats.org/officeDocument/2006/relationships/hyperlink" Target="https://www.celnisprava.cz/cz/dalsi-kompetence/hazard/Stranky/default.aspx" TargetMode="External"/><Relationship Id="rId27" Type="http://schemas.openxmlformats.org/officeDocument/2006/relationships/image" Target="media/image2.png"/><Relationship Id="rId30" Type="http://schemas.openxmlformats.org/officeDocument/2006/relationships/image" Target="media/image4.png"/><Relationship Id="rId35" Type="http://schemas.openxmlformats.org/officeDocument/2006/relationships/chart" Target="charts/chart14.xml"/><Relationship Id="rId43" Type="http://schemas.openxmlformats.org/officeDocument/2006/relationships/chart" Target="charts/chart22.xml"/><Relationship Id="rId48" Type="http://schemas.openxmlformats.org/officeDocument/2006/relationships/footer" Target="footer1.xml"/><Relationship Id="rId8" Type="http://schemas.openxmlformats.org/officeDocument/2006/relationships/hyperlink" Target="aspi://module='ASPI'&amp;link='202/1990%20Sb.%2523114'&amp;ucin-k-dni='30.12.999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_29_4_20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3_CS_rok_2020%20kontroln&#237;%20&#269;innost_odbor%20Dohledu.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_29_4_202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_29_4_202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_29_4_202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12410\Desktop\0002_DOZOR%20POST%20RIA%2028_10_2020\00000_Dozor%20-%20&#250;prava%20ze%20dne%2030_4_2021\0_GRAF_1_podklady%20pro%20grafy%20dotazn&#237;k%20za%20CS_DOZOR_29_4_2021.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_29_4_2021.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12410\Desktop\0002_DOZOR%20POST%20RIA%2028_10_2020\00000_Dozor%20-%20&#250;prava%20ze%20dne%2030_4_2021\0_GRAF_1_podklady%20pro%20grafy%20dotazn&#237;k%20za%20CS_DOZOR_29_4_2021.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_29_4_2021.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_29_4_2021.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12410\Desktop\0002_DOZOR%20POST%20RIA%2028_10_2020\00000_Dozor%20-%20&#250;prava%20ze%20dne%2030_4_2021\0_GRAF_1_podklady%20pro%20grafy%20dotazn&#237;k%20za%20CS_DOZOR_29_4_2021.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12410\Desktop\Schillerov&#225;%20-%20efekt%20zaveden&#237;%20z&#225;kona%20o%20HH%2018_2_2021\CELN&#205;%20SPR&#193;VA%20-%20PODKLAD%20PRO%20MAIL_21_2_2021\Celn&#237;ci%20-%20dotazy%20ke%20statistik&#225;m_22_2_2021.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12410\Desktop\Schillerov&#225;%20-%20efekt%20zaveden&#237;%20z&#225;kona%20o%20HH%2018_2_2021\CELN&#205;%20SPR&#193;VA%20-%20PODKLAD%20PRO%20MAIL_21_2_2021\Celn&#237;ci%20-%20dotazy%20ke%20statistik&#225;m_22_2_2021.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12410\Desktop\Schillerov&#225;%20-%20efekt%20zaveden&#237;%20z&#225;kona%20o%20HH%2018_2_2021\CELN&#205;%20SPR&#193;VA%20-%20PODKLAD%20PRO%20MAIL_21_2_2021\Celn&#237;ci%20-%20dotazy%20ke%20statistik&#225;m_22_2_2021.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12410\Desktop\Schillerov&#225;%20-%20efekt%20zaveden&#237;%20z&#225;kona%20o%20HH%2018_2_2021\CELN&#205;%20SPR&#193;VA%20-%20PODKLAD%20PRO%20MAIL_21_2_2021\Celn&#237;ci%20-%20dotazy%20ke%20statistik&#225;m_22_2_2021.xlsx" TargetMode="External"/><Relationship Id="rId2" Type="http://schemas.microsoft.com/office/2011/relationships/chartColorStyle" Target="colors25.xml"/><Relationship Id="rId1" Type="http://schemas.microsoft.com/office/2011/relationships/chartStyle" Target="style2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'DOTAZNÍK CS_DOZOR'!$C$12</c:f>
              <c:strCache>
                <c:ptCount val="1"/>
                <c:pt idx="0">
                  <c:v>Počet kontrol celkem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'DOTAZNÍK CS_DOZOR'!$B$13:$B$16</c:f>
              <c:numCache>
                <c:formatCode>General</c:formatCode>
                <c:ptCount val="4"/>
                <c:pt idx="0">
                  <c:v>2017</c:v>
                </c:pt>
                <c:pt idx="1">
                  <c:v>2018</c:v>
                </c:pt>
                <c:pt idx="2">
                  <c:v>2019</c:v>
                </c:pt>
                <c:pt idx="3">
                  <c:v>2020</c:v>
                </c:pt>
              </c:numCache>
            </c:numRef>
          </c:cat>
          <c:val>
            <c:numRef>
              <c:f>'DOTAZNÍK CS_DOZOR'!$C$13:$C$16</c:f>
              <c:numCache>
                <c:formatCode>General</c:formatCode>
                <c:ptCount val="4"/>
                <c:pt idx="0">
                  <c:v>2060</c:v>
                </c:pt>
                <c:pt idx="1">
                  <c:v>1462</c:v>
                </c:pt>
                <c:pt idx="2">
                  <c:v>1347</c:v>
                </c:pt>
                <c:pt idx="3">
                  <c:v>754</c:v>
                </c:pt>
              </c:numCache>
            </c:numRef>
          </c:val>
          <c:extLst>
            <c:ext xmlns:c16="http://schemas.microsoft.com/office/drawing/2014/chart" uri="{C3380CC4-5D6E-409C-BE32-E72D297353CC}">
              <c16:uniqueId val="{00000000-631F-469F-8FA5-0E1C0FF2C6B4}"/>
            </c:ext>
          </c:extLst>
        </c:ser>
        <c:ser>
          <c:idx val="1"/>
          <c:order val="1"/>
          <c:tx>
            <c:strRef>
              <c:f>'DOTAZNÍK CS_DOZOR'!$D$12</c:f>
              <c:strCache>
                <c:ptCount val="1"/>
                <c:pt idx="0">
                  <c:v>z toho počet kontrol u legálních provozovatelů</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'DOTAZNÍK CS_DOZOR'!$B$13:$B$16</c:f>
              <c:numCache>
                <c:formatCode>General</c:formatCode>
                <c:ptCount val="4"/>
                <c:pt idx="0">
                  <c:v>2017</c:v>
                </c:pt>
                <c:pt idx="1">
                  <c:v>2018</c:v>
                </c:pt>
                <c:pt idx="2">
                  <c:v>2019</c:v>
                </c:pt>
                <c:pt idx="3">
                  <c:v>2020</c:v>
                </c:pt>
              </c:numCache>
            </c:numRef>
          </c:cat>
          <c:val>
            <c:numRef>
              <c:f>'DOTAZNÍK CS_DOZOR'!$D$13:$D$16</c:f>
              <c:numCache>
                <c:formatCode>General</c:formatCode>
                <c:ptCount val="4"/>
                <c:pt idx="0">
                  <c:v>1913</c:v>
                </c:pt>
                <c:pt idx="1">
                  <c:v>1039</c:v>
                </c:pt>
                <c:pt idx="2">
                  <c:v>1115</c:v>
                </c:pt>
                <c:pt idx="3">
                  <c:v>612</c:v>
                </c:pt>
              </c:numCache>
            </c:numRef>
          </c:val>
          <c:extLst>
            <c:ext xmlns:c16="http://schemas.microsoft.com/office/drawing/2014/chart" uri="{C3380CC4-5D6E-409C-BE32-E72D297353CC}">
              <c16:uniqueId val="{00000001-631F-469F-8FA5-0E1C0FF2C6B4}"/>
            </c:ext>
          </c:extLst>
        </c:ser>
        <c:dLbls>
          <c:dLblPos val="outEnd"/>
          <c:showLegendKey val="0"/>
          <c:showVal val="1"/>
          <c:showCatName val="0"/>
          <c:showSerName val="0"/>
          <c:showPercent val="0"/>
          <c:showBubbleSize val="0"/>
        </c:dLbls>
        <c:gapWidth val="219"/>
        <c:overlap val="-27"/>
        <c:axId val="38304000"/>
        <c:axId val="38305152"/>
      </c:barChart>
      <c:catAx>
        <c:axId val="38304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38305152"/>
        <c:crosses val="autoZero"/>
        <c:auto val="1"/>
        <c:lblAlgn val="ctr"/>
        <c:lblOffset val="100"/>
        <c:noMultiLvlLbl val="0"/>
      </c:catAx>
      <c:valAx>
        <c:axId val="38305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83040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'DOTAZNÍK CS_DOZOR'!$C$23</c:f>
              <c:strCache>
                <c:ptCount val="1"/>
                <c:pt idx="0">
                  <c:v>Počet kontrol u legálních provozovatelů v prostředí  land-based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'DOTAZNÍK CS_DOZOR'!$B$24:$B$27</c:f>
              <c:numCache>
                <c:formatCode>General</c:formatCode>
                <c:ptCount val="4"/>
                <c:pt idx="0">
                  <c:v>2017</c:v>
                </c:pt>
                <c:pt idx="1">
                  <c:v>2018</c:v>
                </c:pt>
                <c:pt idx="2">
                  <c:v>2019</c:v>
                </c:pt>
                <c:pt idx="3">
                  <c:v>2020</c:v>
                </c:pt>
              </c:numCache>
            </c:numRef>
          </c:cat>
          <c:val>
            <c:numRef>
              <c:f>'DOTAZNÍK CS_DOZOR'!$C$24:$C$27</c:f>
              <c:numCache>
                <c:formatCode>General</c:formatCode>
                <c:ptCount val="4"/>
                <c:pt idx="0">
                  <c:v>1913</c:v>
                </c:pt>
                <c:pt idx="1">
                  <c:v>1039</c:v>
                </c:pt>
                <c:pt idx="2">
                  <c:v>1115</c:v>
                </c:pt>
                <c:pt idx="3">
                  <c:v>612</c:v>
                </c:pt>
              </c:numCache>
            </c:numRef>
          </c:val>
          <c:extLst>
            <c:ext xmlns:c16="http://schemas.microsoft.com/office/drawing/2014/chart" uri="{C3380CC4-5D6E-409C-BE32-E72D297353CC}">
              <c16:uniqueId val="{00000000-1CE3-41DC-BCDC-4494EB1476D3}"/>
            </c:ext>
          </c:extLst>
        </c:ser>
        <c:ser>
          <c:idx val="1"/>
          <c:order val="1"/>
          <c:tx>
            <c:strRef>
              <c:f>'DOTAZNÍK CS_DOZOR'!$D$23</c:f>
              <c:strCache>
                <c:ptCount val="1"/>
                <c:pt idx="0">
                  <c:v>z toho počet kontrol se zjištěným podezřením na porušení dílčích povinností</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'DOTAZNÍK CS_DOZOR'!$B$24:$B$27</c:f>
              <c:numCache>
                <c:formatCode>General</c:formatCode>
                <c:ptCount val="4"/>
                <c:pt idx="0">
                  <c:v>2017</c:v>
                </c:pt>
                <c:pt idx="1">
                  <c:v>2018</c:v>
                </c:pt>
                <c:pt idx="2">
                  <c:v>2019</c:v>
                </c:pt>
                <c:pt idx="3">
                  <c:v>2020</c:v>
                </c:pt>
              </c:numCache>
            </c:numRef>
          </c:cat>
          <c:val>
            <c:numRef>
              <c:f>'DOTAZNÍK CS_DOZOR'!$D$24:$D$27</c:f>
              <c:numCache>
                <c:formatCode>General</c:formatCode>
                <c:ptCount val="4"/>
                <c:pt idx="0">
                  <c:v>341</c:v>
                </c:pt>
                <c:pt idx="1">
                  <c:v>453</c:v>
                </c:pt>
                <c:pt idx="2">
                  <c:v>630</c:v>
                </c:pt>
                <c:pt idx="3">
                  <c:v>355</c:v>
                </c:pt>
              </c:numCache>
            </c:numRef>
          </c:val>
          <c:extLst>
            <c:ext xmlns:c16="http://schemas.microsoft.com/office/drawing/2014/chart" uri="{C3380CC4-5D6E-409C-BE32-E72D297353CC}">
              <c16:uniqueId val="{00000001-1CE3-41DC-BCDC-4494EB1476D3}"/>
            </c:ext>
          </c:extLst>
        </c:ser>
        <c:dLbls>
          <c:dLblPos val="outEnd"/>
          <c:showLegendKey val="0"/>
          <c:showVal val="1"/>
          <c:showCatName val="0"/>
          <c:showSerName val="0"/>
          <c:showPercent val="0"/>
          <c:showBubbleSize val="0"/>
        </c:dLbls>
        <c:gapWidth val="219"/>
        <c:overlap val="-27"/>
        <c:axId val="38328192"/>
        <c:axId val="38329728"/>
      </c:barChart>
      <c:catAx>
        <c:axId val="38328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38329728"/>
        <c:crosses val="autoZero"/>
        <c:auto val="1"/>
        <c:lblAlgn val="ctr"/>
        <c:lblOffset val="100"/>
        <c:noMultiLvlLbl val="0"/>
      </c:catAx>
      <c:valAx>
        <c:axId val="38329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83281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List4!$B$15:$B$22</c:f>
              <c:strCache>
                <c:ptCount val="8"/>
                <c:pt idx="0">
                  <c:v>Podezření na porušení zákazu účastnit se hazardní hry v herním prostoru osobou, která pro provozovatele vykonává činnost nebo úkol související s provozováním hazardní hry. </c:v>
                </c:pt>
                <c:pt idx="1">
                  <c:v>Podezření na porušení povinosti umístit na viditelném místě v herním prostoru herní plán.</c:v>
                </c:pt>
                <c:pt idx="2">
                  <c:v>Podezření na porušení požadavků na kvalitu kamerového záznamu z monitorovacího zařízení.</c:v>
                </c:pt>
                <c:pt idx="3">
                  <c:v>Podezření na porušení povinnosti provádět identifikaci návštěvníka při jeho vstupu do herního prostoru. </c:v>
                </c:pt>
                <c:pt idx="4">
                  <c:v>Podezření na porušení povinnosti zabezpečit výlohy, okna a vstupy do herního prostoru proti nahlížení do jeho vnitřních prostor. </c:v>
                </c:pt>
                <c:pt idx="5">
                  <c:v>Podezření na porušení povinnosti umožnit hru nejméně u 3 hracích stolů živé hry, a to po celou provozní dobu kasina. </c:v>
                </c:pt>
                <c:pt idx="6">
                  <c:v>Podezření na porušení zákazu umístění reklamy na budově nebo ve veřejně přístupné vnitřní části budovy, ve které se herní prostor nachází. </c:v>
                </c:pt>
                <c:pt idx="7">
                  <c:v>Podezření na porušení podmínek uvedených v základním povolení (nepřítomnost odpovědné osoby v herním prostoru, neplnění informační povinnosti vůči celnímu účadu, nevedení knihy oprav apod.).</c:v>
                </c:pt>
              </c:strCache>
            </c:strRef>
          </c:cat>
          <c:val>
            <c:numRef>
              <c:f>List4!$C$15:$C$22</c:f>
              <c:numCache>
                <c:formatCode>General</c:formatCode>
                <c:ptCount val="8"/>
                <c:pt idx="0">
                  <c:v>9</c:v>
                </c:pt>
                <c:pt idx="1">
                  <c:v>11</c:v>
                </c:pt>
                <c:pt idx="2">
                  <c:v>11</c:v>
                </c:pt>
                <c:pt idx="3">
                  <c:v>19</c:v>
                </c:pt>
                <c:pt idx="4">
                  <c:v>20</c:v>
                </c:pt>
                <c:pt idx="5">
                  <c:v>42</c:v>
                </c:pt>
                <c:pt idx="6">
                  <c:v>44</c:v>
                </c:pt>
                <c:pt idx="7">
                  <c:v>100</c:v>
                </c:pt>
              </c:numCache>
            </c:numRef>
          </c:val>
          <c:extLst>
            <c:ext xmlns:c16="http://schemas.microsoft.com/office/drawing/2014/chart" uri="{C3380CC4-5D6E-409C-BE32-E72D297353CC}">
              <c16:uniqueId val="{00000000-3857-421F-9D2F-C7DB41F59D23}"/>
            </c:ext>
          </c:extLst>
        </c:ser>
        <c:dLbls>
          <c:dLblPos val="outEnd"/>
          <c:showLegendKey val="0"/>
          <c:showVal val="1"/>
          <c:showCatName val="0"/>
          <c:showSerName val="0"/>
          <c:showPercent val="0"/>
          <c:showBubbleSize val="0"/>
        </c:dLbls>
        <c:gapWidth val="182"/>
        <c:axId val="48593152"/>
        <c:axId val="48596096"/>
      </c:barChart>
      <c:catAx>
        <c:axId val="485931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1" i="0" u="none" strike="noStrike" kern="1200" baseline="0">
                <a:solidFill>
                  <a:schemeClr val="tx1"/>
                </a:solidFill>
                <a:latin typeface="+mn-lt"/>
                <a:ea typeface="+mn-ea"/>
                <a:cs typeface="+mn-cs"/>
              </a:defRPr>
            </a:pPr>
            <a:endParaRPr lang="cs-CZ"/>
          </a:p>
        </c:txPr>
        <c:crossAx val="48596096"/>
        <c:crosses val="autoZero"/>
        <c:auto val="1"/>
        <c:lblAlgn val="ctr"/>
        <c:lblOffset val="100"/>
        <c:noMultiLvlLbl val="0"/>
      </c:catAx>
      <c:valAx>
        <c:axId val="485960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cs-CZ"/>
          </a:p>
        </c:txPr>
        <c:crossAx val="485931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'DOTAZNÍK CS_DOZOR'!$C$52</c:f>
              <c:strCache>
                <c:ptCount val="1"/>
                <c:pt idx="0">
                  <c:v>Počet kontrol celkem</c:v>
                </c:pt>
              </c:strCache>
            </c:strRef>
          </c:tx>
          <c:spPr>
            <a:solidFill>
              <a:schemeClr val="accent1"/>
            </a:solidFill>
            <a:ln>
              <a:noFill/>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extLst>
                <c:ext xmlns:c16="http://schemas.microsoft.com/office/drawing/2014/chart" uri="{C3380CC4-5D6E-409C-BE32-E72D297353CC}">
                  <c16:uniqueId val="{00000000-FE10-4532-B468-8BEFD7CF7833}"/>
                </c:ext>
              </c:extLst>
            </c:dLbl>
            <c:dLbl>
              <c:idx val="1"/>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extLst>
                <c:ext xmlns:c16="http://schemas.microsoft.com/office/drawing/2014/chart" uri="{C3380CC4-5D6E-409C-BE32-E72D297353CC}">
                  <c16:uniqueId val="{00000001-FE10-4532-B468-8BEFD7CF7833}"/>
                </c:ext>
              </c:extLst>
            </c:dLbl>
            <c:dLbl>
              <c:idx val="2"/>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extLst>
                <c:ext xmlns:c16="http://schemas.microsoft.com/office/drawing/2014/chart" uri="{C3380CC4-5D6E-409C-BE32-E72D297353CC}">
                  <c16:uniqueId val="{00000002-FE10-4532-B468-8BEFD7CF7833}"/>
                </c:ext>
              </c:extLst>
            </c:dLbl>
            <c:dLbl>
              <c:idx val="3"/>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extLst>
                <c:ext xmlns:c16="http://schemas.microsoft.com/office/drawing/2014/chart" uri="{C3380CC4-5D6E-409C-BE32-E72D297353CC}">
                  <c16:uniqueId val="{00000003-FE10-4532-B468-8BEFD7CF783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'DOTAZNÍK CS_DOZOR'!$B$53:$B$56</c:f>
              <c:numCache>
                <c:formatCode>General</c:formatCode>
                <c:ptCount val="4"/>
                <c:pt idx="0">
                  <c:v>2017</c:v>
                </c:pt>
                <c:pt idx="1">
                  <c:v>2018</c:v>
                </c:pt>
                <c:pt idx="2">
                  <c:v>2019</c:v>
                </c:pt>
                <c:pt idx="3">
                  <c:v>2020</c:v>
                </c:pt>
              </c:numCache>
            </c:numRef>
          </c:cat>
          <c:val>
            <c:numRef>
              <c:f>'DOTAZNÍK CS_DOZOR'!$C$53:$C$56</c:f>
              <c:numCache>
                <c:formatCode>General</c:formatCode>
                <c:ptCount val="4"/>
                <c:pt idx="0">
                  <c:v>2060</c:v>
                </c:pt>
                <c:pt idx="1">
                  <c:v>1462</c:v>
                </c:pt>
                <c:pt idx="2">
                  <c:v>1347</c:v>
                </c:pt>
                <c:pt idx="3">
                  <c:v>754</c:v>
                </c:pt>
              </c:numCache>
            </c:numRef>
          </c:val>
          <c:extLst>
            <c:ext xmlns:c16="http://schemas.microsoft.com/office/drawing/2014/chart" uri="{C3380CC4-5D6E-409C-BE32-E72D297353CC}">
              <c16:uniqueId val="{00000004-CA06-4658-B07F-50AACC0B7B1C}"/>
            </c:ext>
          </c:extLst>
        </c:ser>
        <c:ser>
          <c:idx val="1"/>
          <c:order val="1"/>
          <c:tx>
            <c:strRef>
              <c:f>'DOTAZNÍK CS_DOZOR'!$D$52</c:f>
              <c:strCache>
                <c:ptCount val="1"/>
                <c:pt idx="0">
                  <c:v>z toho počet kontrol u nelegálních provozovatelů</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'DOTAZNÍK CS_DOZOR'!$B$53:$B$56</c:f>
              <c:numCache>
                <c:formatCode>General</c:formatCode>
                <c:ptCount val="4"/>
                <c:pt idx="0">
                  <c:v>2017</c:v>
                </c:pt>
                <c:pt idx="1">
                  <c:v>2018</c:v>
                </c:pt>
                <c:pt idx="2">
                  <c:v>2019</c:v>
                </c:pt>
                <c:pt idx="3">
                  <c:v>2020</c:v>
                </c:pt>
              </c:numCache>
            </c:numRef>
          </c:cat>
          <c:val>
            <c:numRef>
              <c:f>'DOTAZNÍK CS_DOZOR'!$D$53:$D$56</c:f>
              <c:numCache>
                <c:formatCode>General</c:formatCode>
                <c:ptCount val="4"/>
                <c:pt idx="0">
                  <c:v>147</c:v>
                </c:pt>
                <c:pt idx="1">
                  <c:v>423</c:v>
                </c:pt>
                <c:pt idx="2">
                  <c:v>232</c:v>
                </c:pt>
                <c:pt idx="3">
                  <c:v>142</c:v>
                </c:pt>
              </c:numCache>
            </c:numRef>
          </c:val>
          <c:extLst>
            <c:ext xmlns:c16="http://schemas.microsoft.com/office/drawing/2014/chart" uri="{C3380CC4-5D6E-409C-BE32-E72D297353CC}">
              <c16:uniqueId val="{00000005-CA06-4658-B07F-50AACC0B7B1C}"/>
            </c:ext>
          </c:extLst>
        </c:ser>
        <c:dLbls>
          <c:dLblPos val="outEnd"/>
          <c:showLegendKey val="0"/>
          <c:showVal val="1"/>
          <c:showCatName val="0"/>
          <c:showSerName val="0"/>
          <c:showPercent val="0"/>
          <c:showBubbleSize val="0"/>
        </c:dLbls>
        <c:gapWidth val="219"/>
        <c:overlap val="-27"/>
        <c:axId val="50221824"/>
        <c:axId val="50223360"/>
      </c:barChart>
      <c:catAx>
        <c:axId val="50221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50223360"/>
        <c:crosses val="autoZero"/>
        <c:auto val="1"/>
        <c:lblAlgn val="ctr"/>
        <c:lblOffset val="100"/>
        <c:noMultiLvlLbl val="0"/>
      </c:catAx>
      <c:valAx>
        <c:axId val="50223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221824"/>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Entry>
      <c:legendEntry>
        <c:idx val="1"/>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Entry>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'DOTAZNÍK CS_DOZOR'!$C$53</c:f>
              <c:strCache>
                <c:ptCount val="1"/>
                <c:pt idx="0">
                  <c:v>Počet kontrol v tzv. černých hernách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'DOTAZNÍK CS_DOZOR'!$B$54:$B$57</c:f>
              <c:numCache>
                <c:formatCode>General</c:formatCode>
                <c:ptCount val="4"/>
                <c:pt idx="0">
                  <c:v>2017</c:v>
                </c:pt>
                <c:pt idx="1">
                  <c:v>2018</c:v>
                </c:pt>
                <c:pt idx="2">
                  <c:v>2019</c:v>
                </c:pt>
                <c:pt idx="3">
                  <c:v>2020</c:v>
                </c:pt>
              </c:numCache>
            </c:numRef>
          </c:cat>
          <c:val>
            <c:numRef>
              <c:f>'DOTAZNÍK CS_DOZOR'!$C$54:$C$57</c:f>
              <c:numCache>
                <c:formatCode>General</c:formatCode>
                <c:ptCount val="4"/>
                <c:pt idx="0">
                  <c:v>147</c:v>
                </c:pt>
                <c:pt idx="1">
                  <c:v>423</c:v>
                </c:pt>
                <c:pt idx="2">
                  <c:v>232</c:v>
                </c:pt>
                <c:pt idx="3">
                  <c:v>142</c:v>
                </c:pt>
              </c:numCache>
            </c:numRef>
          </c:val>
          <c:extLst>
            <c:ext xmlns:c16="http://schemas.microsoft.com/office/drawing/2014/chart" uri="{C3380CC4-5D6E-409C-BE32-E72D297353CC}">
              <c16:uniqueId val="{00000000-7C69-4577-9F13-51358484D8A8}"/>
            </c:ext>
          </c:extLst>
        </c:ser>
        <c:ser>
          <c:idx val="1"/>
          <c:order val="1"/>
          <c:tx>
            <c:strRef>
              <c:f>'DOTAZNÍK CS_DOZOR'!$D$53</c:f>
              <c:strCache>
                <c:ptCount val="1"/>
                <c:pt idx="0">
                  <c:v>Počet zajištěných technických zařízení v tzv. černých hernách</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'DOTAZNÍK CS_DOZOR'!$B$54:$B$57</c:f>
              <c:numCache>
                <c:formatCode>General</c:formatCode>
                <c:ptCount val="4"/>
                <c:pt idx="0">
                  <c:v>2017</c:v>
                </c:pt>
                <c:pt idx="1">
                  <c:v>2018</c:v>
                </c:pt>
                <c:pt idx="2">
                  <c:v>2019</c:v>
                </c:pt>
                <c:pt idx="3">
                  <c:v>2020</c:v>
                </c:pt>
              </c:numCache>
            </c:numRef>
          </c:cat>
          <c:val>
            <c:numRef>
              <c:f>'DOTAZNÍK CS_DOZOR'!$D$54:$D$57</c:f>
              <c:numCache>
                <c:formatCode>General</c:formatCode>
                <c:ptCount val="4"/>
                <c:pt idx="0">
                  <c:v>956</c:v>
                </c:pt>
                <c:pt idx="1">
                  <c:v>1797</c:v>
                </c:pt>
                <c:pt idx="2">
                  <c:v>862</c:v>
                </c:pt>
                <c:pt idx="3">
                  <c:v>770</c:v>
                </c:pt>
              </c:numCache>
            </c:numRef>
          </c:val>
          <c:extLst>
            <c:ext xmlns:c16="http://schemas.microsoft.com/office/drawing/2014/chart" uri="{C3380CC4-5D6E-409C-BE32-E72D297353CC}">
              <c16:uniqueId val="{00000001-7C69-4577-9F13-51358484D8A8}"/>
            </c:ext>
          </c:extLst>
        </c:ser>
        <c:dLbls>
          <c:dLblPos val="outEnd"/>
          <c:showLegendKey val="0"/>
          <c:showVal val="1"/>
          <c:showCatName val="0"/>
          <c:showSerName val="0"/>
          <c:showPercent val="0"/>
          <c:showBubbleSize val="0"/>
        </c:dLbls>
        <c:gapWidth val="219"/>
        <c:overlap val="-27"/>
        <c:axId val="50275840"/>
        <c:axId val="50277376"/>
      </c:barChart>
      <c:catAx>
        <c:axId val="50275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50277376"/>
        <c:crosses val="autoZero"/>
        <c:auto val="1"/>
        <c:lblAlgn val="ctr"/>
        <c:lblOffset val="100"/>
        <c:noMultiLvlLbl val="0"/>
      </c:catAx>
      <c:valAx>
        <c:axId val="50277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2758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'DOTAZNÍK CS_DOZOR'!$B$67:$B$70</c:f>
              <c:strCache>
                <c:ptCount val="4"/>
                <c:pt idx="0">
                  <c:v>Celkový počet nelegálních provozoven </c:v>
                </c:pt>
                <c:pt idx="1">
                  <c:v>z tohoto provozovatelem shledán pouze provozovatel provozovny</c:v>
                </c:pt>
                <c:pt idx="2">
                  <c:v>z toho provozovatelem shledána pouze osoba odlišná od provozovatele provozovny</c:v>
                </c:pt>
                <c:pt idx="3">
                  <c:v>z toho provozovatelem shledán nejen provozovatel provozovny, ale i osoba odlišná od provozovatele provozovny</c:v>
                </c:pt>
              </c:strCache>
            </c:strRef>
          </c:cat>
          <c:val>
            <c:numRef>
              <c:f>'DOTAZNÍK CS_DOZOR'!$C$67:$C$70</c:f>
              <c:numCache>
                <c:formatCode>General</c:formatCode>
                <c:ptCount val="4"/>
                <c:pt idx="0">
                  <c:v>944</c:v>
                </c:pt>
                <c:pt idx="1">
                  <c:v>714</c:v>
                </c:pt>
                <c:pt idx="2">
                  <c:v>57</c:v>
                </c:pt>
                <c:pt idx="3">
                  <c:v>173</c:v>
                </c:pt>
              </c:numCache>
            </c:numRef>
          </c:val>
          <c:extLst>
            <c:ext xmlns:c16="http://schemas.microsoft.com/office/drawing/2014/chart" uri="{C3380CC4-5D6E-409C-BE32-E72D297353CC}">
              <c16:uniqueId val="{00000000-5DE9-4C75-8989-E6BD0FC47844}"/>
            </c:ext>
          </c:extLst>
        </c:ser>
        <c:dLbls>
          <c:dLblPos val="outEnd"/>
          <c:showLegendKey val="0"/>
          <c:showVal val="1"/>
          <c:showCatName val="0"/>
          <c:showSerName val="0"/>
          <c:showPercent val="0"/>
          <c:showBubbleSize val="0"/>
        </c:dLbls>
        <c:gapWidth val="219"/>
        <c:overlap val="-27"/>
        <c:axId val="50301184"/>
        <c:axId val="50308224"/>
      </c:barChart>
      <c:catAx>
        <c:axId val="50301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50308224"/>
        <c:crosses val="autoZero"/>
        <c:auto val="1"/>
        <c:lblAlgn val="ctr"/>
        <c:lblOffset val="100"/>
        <c:noMultiLvlLbl val="0"/>
      </c:catAx>
      <c:valAx>
        <c:axId val="50308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3011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'DOTAZNÍK CS_DOZOR'!$B$79:$B$80</c:f>
              <c:strCache>
                <c:ptCount val="2"/>
                <c:pt idx="0">
                  <c:v>Celkový počet kontrol </c:v>
                </c:pt>
                <c:pt idx="1">
                  <c:v>z toho počet kontrol, při nichž si Celní správa prostory otevřela nebo jiným způsobem si do nich zjednat přístup za použití síly</c:v>
                </c:pt>
              </c:strCache>
            </c:strRef>
          </c:cat>
          <c:val>
            <c:numRef>
              <c:f>'DOTAZNÍK CS_DOZOR'!$C$79:$C$80</c:f>
              <c:numCache>
                <c:formatCode>General</c:formatCode>
                <c:ptCount val="2"/>
                <c:pt idx="0">
                  <c:v>5623</c:v>
                </c:pt>
                <c:pt idx="1">
                  <c:v>3</c:v>
                </c:pt>
              </c:numCache>
            </c:numRef>
          </c:val>
          <c:extLst>
            <c:ext xmlns:c16="http://schemas.microsoft.com/office/drawing/2014/chart" uri="{C3380CC4-5D6E-409C-BE32-E72D297353CC}">
              <c16:uniqueId val="{00000000-111A-48FB-8055-B102368FA626}"/>
            </c:ext>
          </c:extLst>
        </c:ser>
        <c:dLbls>
          <c:dLblPos val="outEnd"/>
          <c:showLegendKey val="0"/>
          <c:showVal val="1"/>
          <c:showCatName val="0"/>
          <c:showSerName val="0"/>
          <c:showPercent val="0"/>
          <c:showBubbleSize val="0"/>
        </c:dLbls>
        <c:gapWidth val="219"/>
        <c:overlap val="-27"/>
        <c:axId val="84496384"/>
        <c:axId val="84499072"/>
      </c:barChart>
      <c:catAx>
        <c:axId val="84496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84499072"/>
        <c:crosses val="autoZero"/>
        <c:auto val="1"/>
        <c:lblAlgn val="ctr"/>
        <c:lblOffset val="100"/>
        <c:noMultiLvlLbl val="0"/>
      </c:catAx>
      <c:valAx>
        <c:axId val="84499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84496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'DOTAZNÍK CS_DOZOR'!$B$86:$B$88</c:f>
              <c:strCache>
                <c:ptCount val="3"/>
                <c:pt idx="0">
                  <c:v>Celkový počet kontrol </c:v>
                </c:pt>
                <c:pt idx="1">
                  <c:v>z toho počet případů (kontrol), kdy bylo Celní správou přistoupeno k zadržení věci v nelegálně provozovaném herním prostoru</c:v>
                </c:pt>
                <c:pt idx="2">
                  <c:v>z toho počet případů (kontrol), kdy bylo Celní správou přistoupeno k zadržení věci v legálně provozovaném herním prostoru</c:v>
                </c:pt>
              </c:strCache>
            </c:strRef>
          </c:cat>
          <c:val>
            <c:numRef>
              <c:f>'DOTAZNÍK CS_DOZOR'!$C$86:$C$88</c:f>
              <c:numCache>
                <c:formatCode>General</c:formatCode>
                <c:ptCount val="3"/>
                <c:pt idx="0">
                  <c:v>5623</c:v>
                </c:pt>
                <c:pt idx="1">
                  <c:v>944</c:v>
                </c:pt>
                <c:pt idx="2">
                  <c:v>16</c:v>
                </c:pt>
              </c:numCache>
            </c:numRef>
          </c:val>
          <c:extLst>
            <c:ext xmlns:c16="http://schemas.microsoft.com/office/drawing/2014/chart" uri="{C3380CC4-5D6E-409C-BE32-E72D297353CC}">
              <c16:uniqueId val="{00000000-F0C7-493F-A85E-285481385B0F}"/>
            </c:ext>
          </c:extLst>
        </c:ser>
        <c:dLbls>
          <c:dLblPos val="outEnd"/>
          <c:showLegendKey val="0"/>
          <c:showVal val="1"/>
          <c:showCatName val="0"/>
          <c:showSerName val="0"/>
          <c:showPercent val="0"/>
          <c:showBubbleSize val="0"/>
        </c:dLbls>
        <c:gapWidth val="219"/>
        <c:overlap val="-27"/>
        <c:axId val="84510208"/>
        <c:axId val="84619648"/>
      </c:barChart>
      <c:catAx>
        <c:axId val="84510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cs-CZ"/>
          </a:p>
        </c:txPr>
        <c:crossAx val="84619648"/>
        <c:crosses val="autoZero"/>
        <c:auto val="1"/>
        <c:lblAlgn val="ctr"/>
        <c:lblOffset val="100"/>
        <c:noMultiLvlLbl val="0"/>
      </c:catAx>
      <c:valAx>
        <c:axId val="84619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cs-CZ"/>
          </a:p>
        </c:txPr>
        <c:crossAx val="84510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chemeClr val="tx1"/>
          </a:solidFill>
        </a:defRPr>
      </a:pPr>
      <a:endParaRPr lang="cs-CZ"/>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'DOTAZNÍK CS_DOZOR'!$B$5:$C$5</c:f>
              <c:strCache>
                <c:ptCount val="2"/>
                <c:pt idx="0">
                  <c:v>Celkový počet kontrol za období 2017- 2020</c:v>
                </c:pt>
                <c:pt idx="1">
                  <c:v>z toho počet kontrol, v jejichž rámci byly shledány dílčí nedostatky </c:v>
                </c:pt>
              </c:strCache>
            </c:strRef>
          </c:cat>
          <c:val>
            <c:numRef>
              <c:f>'DOTAZNÍK CS_DOZOR'!$B$6:$C$6</c:f>
              <c:numCache>
                <c:formatCode>General</c:formatCode>
                <c:ptCount val="2"/>
                <c:pt idx="0">
                  <c:v>5623</c:v>
                </c:pt>
                <c:pt idx="1">
                  <c:v>2723</c:v>
                </c:pt>
              </c:numCache>
            </c:numRef>
          </c:val>
          <c:extLst>
            <c:ext xmlns:c16="http://schemas.microsoft.com/office/drawing/2014/chart" uri="{C3380CC4-5D6E-409C-BE32-E72D297353CC}">
              <c16:uniqueId val="{00000000-1544-4F4A-9F1B-39B9C05A458D}"/>
            </c:ext>
          </c:extLst>
        </c:ser>
        <c:dLbls>
          <c:dLblPos val="outEnd"/>
          <c:showLegendKey val="0"/>
          <c:showVal val="1"/>
          <c:showCatName val="0"/>
          <c:showSerName val="0"/>
          <c:showPercent val="0"/>
          <c:showBubbleSize val="0"/>
        </c:dLbls>
        <c:gapWidth val="219"/>
        <c:overlap val="-27"/>
        <c:axId val="84630144"/>
        <c:axId val="84645376"/>
      </c:barChart>
      <c:catAx>
        <c:axId val="84630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84645376"/>
        <c:crosses val="autoZero"/>
        <c:auto val="1"/>
        <c:lblAlgn val="ctr"/>
        <c:lblOffset val="100"/>
        <c:noMultiLvlLbl val="0"/>
      </c:catAx>
      <c:valAx>
        <c:axId val="84645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84630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'DOTAZNÍK CS_DOZOR'!$B$112:$B$114</c:f>
              <c:strCache>
                <c:ptCount val="3"/>
                <c:pt idx="0">
                  <c:v>Celkový počet provedených kontrol celkem od 1. 1. 2017 do 31. 12. 2020</c:v>
                </c:pt>
                <c:pt idx="1">
                  <c:v>z toho počet kontrol v legálně provozovaných hernách a kasinech</c:v>
                </c:pt>
                <c:pt idx="2">
                  <c:v>z toho počet kontrol v nelegálně provozovaných provozovnách</c:v>
                </c:pt>
              </c:strCache>
            </c:strRef>
          </c:cat>
          <c:val>
            <c:numRef>
              <c:f>'DOTAZNÍK CS_DOZOR'!$C$112:$C$114</c:f>
              <c:numCache>
                <c:formatCode>General</c:formatCode>
                <c:ptCount val="3"/>
                <c:pt idx="0">
                  <c:v>5623</c:v>
                </c:pt>
                <c:pt idx="1">
                  <c:v>4679</c:v>
                </c:pt>
                <c:pt idx="2">
                  <c:v>944</c:v>
                </c:pt>
              </c:numCache>
            </c:numRef>
          </c:val>
          <c:extLst>
            <c:ext xmlns:c16="http://schemas.microsoft.com/office/drawing/2014/chart" uri="{C3380CC4-5D6E-409C-BE32-E72D297353CC}">
              <c16:uniqueId val="{00000000-5351-4854-B076-B60F9DE8B1BE}"/>
            </c:ext>
          </c:extLst>
        </c:ser>
        <c:dLbls>
          <c:dLblPos val="outEnd"/>
          <c:showLegendKey val="0"/>
          <c:showVal val="1"/>
          <c:showCatName val="0"/>
          <c:showSerName val="0"/>
          <c:showPercent val="0"/>
          <c:showBubbleSize val="0"/>
        </c:dLbls>
        <c:gapWidth val="219"/>
        <c:overlap val="-27"/>
        <c:axId val="84669184"/>
        <c:axId val="84671872"/>
      </c:barChart>
      <c:catAx>
        <c:axId val="84669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84671872"/>
        <c:crosses val="autoZero"/>
        <c:auto val="1"/>
        <c:lblAlgn val="ctr"/>
        <c:lblOffset val="100"/>
        <c:noMultiLvlLbl val="0"/>
      </c:catAx>
      <c:valAx>
        <c:axId val="846718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cs-CZ"/>
          </a:p>
        </c:txPr>
        <c:crossAx val="846691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'DOTAZNÍK CS_DOZOR'!$C$138</c:f>
              <c:strCache>
                <c:ptCount val="1"/>
                <c:pt idx="0">
                  <c:v>Počet kontrol celkem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'DOTAZNÍK CS_DOZOR'!$B$139:$B$142</c:f>
              <c:numCache>
                <c:formatCode>General</c:formatCode>
                <c:ptCount val="4"/>
                <c:pt idx="0">
                  <c:v>2017</c:v>
                </c:pt>
                <c:pt idx="1">
                  <c:v>2018</c:v>
                </c:pt>
                <c:pt idx="2">
                  <c:v>2019</c:v>
                </c:pt>
                <c:pt idx="3">
                  <c:v>2020</c:v>
                </c:pt>
              </c:numCache>
            </c:numRef>
          </c:cat>
          <c:val>
            <c:numRef>
              <c:f>'DOTAZNÍK CS_DOZOR'!$C$139:$C$142</c:f>
              <c:numCache>
                <c:formatCode>General</c:formatCode>
                <c:ptCount val="4"/>
                <c:pt idx="0">
                  <c:v>2060</c:v>
                </c:pt>
                <c:pt idx="1">
                  <c:v>1462</c:v>
                </c:pt>
                <c:pt idx="2">
                  <c:v>1347</c:v>
                </c:pt>
                <c:pt idx="3">
                  <c:v>754</c:v>
                </c:pt>
              </c:numCache>
            </c:numRef>
          </c:val>
          <c:extLst>
            <c:ext xmlns:c16="http://schemas.microsoft.com/office/drawing/2014/chart" uri="{C3380CC4-5D6E-409C-BE32-E72D297353CC}">
              <c16:uniqueId val="{00000000-F018-47CF-9D70-C6D147E32FE4}"/>
            </c:ext>
          </c:extLst>
        </c:ser>
        <c:ser>
          <c:idx val="1"/>
          <c:order val="1"/>
          <c:tx>
            <c:strRef>
              <c:f>'DOTAZNÍK CS_DOZOR'!$D$138</c:f>
              <c:strCache>
                <c:ptCount val="1"/>
                <c:pt idx="0">
                  <c:v>z toho počet kontrol u legálních provozovatelů</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'DOTAZNÍK CS_DOZOR'!$B$139:$B$142</c:f>
              <c:numCache>
                <c:formatCode>General</c:formatCode>
                <c:ptCount val="4"/>
                <c:pt idx="0">
                  <c:v>2017</c:v>
                </c:pt>
                <c:pt idx="1">
                  <c:v>2018</c:v>
                </c:pt>
                <c:pt idx="2">
                  <c:v>2019</c:v>
                </c:pt>
                <c:pt idx="3">
                  <c:v>2020</c:v>
                </c:pt>
              </c:numCache>
            </c:numRef>
          </c:cat>
          <c:val>
            <c:numRef>
              <c:f>'DOTAZNÍK CS_DOZOR'!$D$139:$D$142</c:f>
              <c:numCache>
                <c:formatCode>General</c:formatCode>
                <c:ptCount val="4"/>
                <c:pt idx="0">
                  <c:v>1913</c:v>
                </c:pt>
                <c:pt idx="1">
                  <c:v>1039</c:v>
                </c:pt>
                <c:pt idx="2">
                  <c:v>1115</c:v>
                </c:pt>
                <c:pt idx="3">
                  <c:v>612</c:v>
                </c:pt>
              </c:numCache>
            </c:numRef>
          </c:val>
          <c:extLst>
            <c:ext xmlns:c16="http://schemas.microsoft.com/office/drawing/2014/chart" uri="{C3380CC4-5D6E-409C-BE32-E72D297353CC}">
              <c16:uniqueId val="{00000001-F018-47CF-9D70-C6D147E32FE4}"/>
            </c:ext>
          </c:extLst>
        </c:ser>
        <c:ser>
          <c:idx val="2"/>
          <c:order val="2"/>
          <c:tx>
            <c:strRef>
              <c:f>'DOTAZNÍK CS_DOZOR'!$E$138</c:f>
              <c:strCache>
                <c:ptCount val="1"/>
                <c:pt idx="0">
                  <c:v>z toho počet kontrol u nelegálních provozovatelů</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'DOTAZNÍK CS_DOZOR'!$B$139:$B$142</c:f>
              <c:numCache>
                <c:formatCode>General</c:formatCode>
                <c:ptCount val="4"/>
                <c:pt idx="0">
                  <c:v>2017</c:v>
                </c:pt>
                <c:pt idx="1">
                  <c:v>2018</c:v>
                </c:pt>
                <c:pt idx="2">
                  <c:v>2019</c:v>
                </c:pt>
                <c:pt idx="3">
                  <c:v>2020</c:v>
                </c:pt>
              </c:numCache>
            </c:numRef>
          </c:cat>
          <c:val>
            <c:numRef>
              <c:f>'DOTAZNÍK CS_DOZOR'!$E$139:$E$142</c:f>
              <c:numCache>
                <c:formatCode>General</c:formatCode>
                <c:ptCount val="4"/>
                <c:pt idx="0">
                  <c:v>147</c:v>
                </c:pt>
                <c:pt idx="1">
                  <c:v>423</c:v>
                </c:pt>
                <c:pt idx="2">
                  <c:v>232</c:v>
                </c:pt>
                <c:pt idx="3">
                  <c:v>142</c:v>
                </c:pt>
              </c:numCache>
            </c:numRef>
          </c:val>
          <c:extLst>
            <c:ext xmlns:c16="http://schemas.microsoft.com/office/drawing/2014/chart" uri="{C3380CC4-5D6E-409C-BE32-E72D297353CC}">
              <c16:uniqueId val="{00000002-F018-47CF-9D70-C6D147E32FE4}"/>
            </c:ext>
          </c:extLst>
        </c:ser>
        <c:dLbls>
          <c:dLblPos val="outEnd"/>
          <c:showLegendKey val="0"/>
          <c:showVal val="1"/>
          <c:showCatName val="0"/>
          <c:showSerName val="0"/>
          <c:showPercent val="0"/>
          <c:showBubbleSize val="0"/>
        </c:dLbls>
        <c:gapWidth val="219"/>
        <c:overlap val="-27"/>
        <c:axId val="86019072"/>
        <c:axId val="86041344"/>
      </c:barChart>
      <c:catAx>
        <c:axId val="86019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86041344"/>
        <c:crosses val="autoZero"/>
        <c:auto val="1"/>
        <c:lblAlgn val="ctr"/>
        <c:lblOffset val="100"/>
        <c:noMultiLvlLbl val="0"/>
      </c:catAx>
      <c:valAx>
        <c:axId val="86041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86019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'DOTAZNÍK CS_DOZOR'!$C$152</c:f>
              <c:strCache>
                <c:ptCount val="1"/>
                <c:pt idx="0">
                  <c:v>Celkový počet kontrol se zjištěným podezřením na porušení povinností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'DOTAZNÍK CS_DOZOR'!$B$153:$B$156</c:f>
              <c:numCache>
                <c:formatCode>General</c:formatCode>
                <c:ptCount val="4"/>
                <c:pt idx="0">
                  <c:v>2017</c:v>
                </c:pt>
                <c:pt idx="1">
                  <c:v>2018</c:v>
                </c:pt>
                <c:pt idx="2">
                  <c:v>2019</c:v>
                </c:pt>
                <c:pt idx="3">
                  <c:v>2020</c:v>
                </c:pt>
              </c:numCache>
            </c:numRef>
          </c:cat>
          <c:val>
            <c:numRef>
              <c:f>'DOTAZNÍK CS_DOZOR'!$C$153:$C$156</c:f>
              <c:numCache>
                <c:formatCode>General</c:formatCode>
                <c:ptCount val="4"/>
                <c:pt idx="0">
                  <c:v>488</c:v>
                </c:pt>
                <c:pt idx="1">
                  <c:v>876</c:v>
                </c:pt>
                <c:pt idx="2">
                  <c:v>862</c:v>
                </c:pt>
                <c:pt idx="3">
                  <c:v>497</c:v>
                </c:pt>
              </c:numCache>
            </c:numRef>
          </c:val>
          <c:extLst>
            <c:ext xmlns:c16="http://schemas.microsoft.com/office/drawing/2014/chart" uri="{C3380CC4-5D6E-409C-BE32-E72D297353CC}">
              <c16:uniqueId val="{00000000-4159-4311-9AC8-856D24BD0DF5}"/>
            </c:ext>
          </c:extLst>
        </c:ser>
        <c:ser>
          <c:idx val="1"/>
          <c:order val="1"/>
          <c:tx>
            <c:strRef>
              <c:f>'DOTAZNÍK CS_DOZOR'!$D$152</c:f>
              <c:strCache>
                <c:ptCount val="1"/>
                <c:pt idx="0">
                  <c:v>z toho počet počet kontrol legálních provozovatelů</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'DOTAZNÍK CS_DOZOR'!$B$153:$B$156</c:f>
              <c:numCache>
                <c:formatCode>General</c:formatCode>
                <c:ptCount val="4"/>
                <c:pt idx="0">
                  <c:v>2017</c:v>
                </c:pt>
                <c:pt idx="1">
                  <c:v>2018</c:v>
                </c:pt>
                <c:pt idx="2">
                  <c:v>2019</c:v>
                </c:pt>
                <c:pt idx="3">
                  <c:v>2020</c:v>
                </c:pt>
              </c:numCache>
            </c:numRef>
          </c:cat>
          <c:val>
            <c:numRef>
              <c:f>'DOTAZNÍK CS_DOZOR'!$D$153:$D$156</c:f>
              <c:numCache>
                <c:formatCode>General</c:formatCode>
                <c:ptCount val="4"/>
                <c:pt idx="0">
                  <c:v>341</c:v>
                </c:pt>
                <c:pt idx="1">
                  <c:v>453</c:v>
                </c:pt>
                <c:pt idx="2">
                  <c:v>630</c:v>
                </c:pt>
                <c:pt idx="3">
                  <c:v>355</c:v>
                </c:pt>
              </c:numCache>
            </c:numRef>
          </c:val>
          <c:extLst>
            <c:ext xmlns:c16="http://schemas.microsoft.com/office/drawing/2014/chart" uri="{C3380CC4-5D6E-409C-BE32-E72D297353CC}">
              <c16:uniqueId val="{00000001-4159-4311-9AC8-856D24BD0DF5}"/>
            </c:ext>
          </c:extLst>
        </c:ser>
        <c:ser>
          <c:idx val="2"/>
          <c:order val="2"/>
          <c:tx>
            <c:strRef>
              <c:f>'DOTAZNÍK CS_DOZOR'!$E$152</c:f>
              <c:strCache>
                <c:ptCount val="1"/>
                <c:pt idx="0">
                  <c:v>z toho počet počet kontrol v "černých hernách" se zjištěným podezřením na porušení § 7 odst. 2 písm. b) ZHH</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'DOTAZNÍK CS_DOZOR'!$B$153:$B$156</c:f>
              <c:numCache>
                <c:formatCode>General</c:formatCode>
                <c:ptCount val="4"/>
                <c:pt idx="0">
                  <c:v>2017</c:v>
                </c:pt>
                <c:pt idx="1">
                  <c:v>2018</c:v>
                </c:pt>
                <c:pt idx="2">
                  <c:v>2019</c:v>
                </c:pt>
                <c:pt idx="3">
                  <c:v>2020</c:v>
                </c:pt>
              </c:numCache>
            </c:numRef>
          </c:cat>
          <c:val>
            <c:numRef>
              <c:f>'DOTAZNÍK CS_DOZOR'!$E$153:$E$156</c:f>
              <c:numCache>
                <c:formatCode>General</c:formatCode>
                <c:ptCount val="4"/>
                <c:pt idx="0">
                  <c:v>147</c:v>
                </c:pt>
                <c:pt idx="1">
                  <c:v>423</c:v>
                </c:pt>
                <c:pt idx="2">
                  <c:v>232</c:v>
                </c:pt>
                <c:pt idx="3">
                  <c:v>142</c:v>
                </c:pt>
              </c:numCache>
            </c:numRef>
          </c:val>
          <c:extLst>
            <c:ext xmlns:c16="http://schemas.microsoft.com/office/drawing/2014/chart" uri="{C3380CC4-5D6E-409C-BE32-E72D297353CC}">
              <c16:uniqueId val="{00000002-4159-4311-9AC8-856D24BD0DF5}"/>
            </c:ext>
          </c:extLst>
        </c:ser>
        <c:dLbls>
          <c:dLblPos val="outEnd"/>
          <c:showLegendKey val="0"/>
          <c:showVal val="1"/>
          <c:showCatName val="0"/>
          <c:showSerName val="0"/>
          <c:showPercent val="0"/>
          <c:showBubbleSize val="0"/>
        </c:dLbls>
        <c:gapWidth val="219"/>
        <c:overlap val="-27"/>
        <c:axId val="92889856"/>
        <c:axId val="92891392"/>
      </c:barChart>
      <c:catAx>
        <c:axId val="92889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92891392"/>
        <c:crosses val="autoZero"/>
        <c:auto val="1"/>
        <c:lblAlgn val="ctr"/>
        <c:lblOffset val="100"/>
        <c:noMultiLvlLbl val="0"/>
      </c:catAx>
      <c:valAx>
        <c:axId val="92891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2889856"/>
        <c:crosses val="autoZero"/>
        <c:crossBetween val="between"/>
      </c:valAx>
      <c:spPr>
        <a:noFill/>
        <a:ln>
          <a:noFill/>
        </a:ln>
        <a:effectLst/>
      </c:spPr>
    </c:plotArea>
    <c:legend>
      <c:legendPos val="b"/>
      <c:layout>
        <c:manualLayout>
          <c:xMode val="edge"/>
          <c:yMode val="edge"/>
          <c:x val="5.8991410795872737E-2"/>
          <c:y val="0.76508963686007958"/>
          <c:w val="0.88201700481884204"/>
          <c:h val="0.18573575704945683"/>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'DOTAZNÍK CS_DOZOR'!$B$153:$B$154</c:f>
              <c:strCache>
                <c:ptCount val="2"/>
                <c:pt idx="0">
                  <c:v>Podněty předané Ministerstvem financí Celní správě v souvislosti s podezřením na porušení zákona o hazardních hrách legálními provozovateli provozujícími hazardní hry v on-line prostředí</c:v>
                </c:pt>
                <c:pt idx="1">
                  <c:v>Podněty předané Ministerstvem financí Celní správě v souvislosti s podezřením na nelegální  provozování hazardní hry v on-line prostředí</c:v>
                </c:pt>
              </c:strCache>
            </c:strRef>
          </c:cat>
          <c:val>
            <c:numRef>
              <c:f>'DOTAZNÍK CS_DOZOR'!$C$153:$C$154</c:f>
              <c:numCache>
                <c:formatCode>General</c:formatCode>
                <c:ptCount val="2"/>
                <c:pt idx="0">
                  <c:v>26</c:v>
                </c:pt>
                <c:pt idx="1">
                  <c:v>17</c:v>
                </c:pt>
              </c:numCache>
            </c:numRef>
          </c:val>
          <c:extLst>
            <c:ext xmlns:c16="http://schemas.microsoft.com/office/drawing/2014/chart" uri="{C3380CC4-5D6E-409C-BE32-E72D297353CC}">
              <c16:uniqueId val="{00000000-C3F9-4CB0-BA55-E2E39F6A98AB}"/>
            </c:ext>
          </c:extLst>
        </c:ser>
        <c:dLbls>
          <c:dLblPos val="outEnd"/>
          <c:showLegendKey val="0"/>
          <c:showVal val="1"/>
          <c:showCatName val="0"/>
          <c:showSerName val="0"/>
          <c:showPercent val="0"/>
          <c:showBubbleSize val="0"/>
        </c:dLbls>
        <c:gapWidth val="219"/>
        <c:overlap val="-27"/>
        <c:axId val="92945024"/>
        <c:axId val="92947968"/>
      </c:barChart>
      <c:catAx>
        <c:axId val="92945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cs-CZ"/>
          </a:p>
        </c:txPr>
        <c:crossAx val="92947968"/>
        <c:crosses val="autoZero"/>
        <c:auto val="1"/>
        <c:lblAlgn val="ctr"/>
        <c:lblOffset val="100"/>
        <c:noMultiLvlLbl val="0"/>
      </c:catAx>
      <c:valAx>
        <c:axId val="92947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29450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'DOTAZNÍK CS_DOZOR'!$I$162:$I$170</c:f>
              <c:strCache>
                <c:ptCount val="9"/>
                <c:pt idx="0">
                  <c:v>Podezření na porušení informačních povinností</c:v>
                </c:pt>
                <c:pt idx="1">
                  <c:v>Podezření na neoprávněné poskytování bonusů</c:v>
                </c:pt>
                <c:pt idx="2">
                  <c:v>Podezření na neoprávnění zrušení uživatelského konta</c:v>
                </c:pt>
                <c:pt idx="3">
                  <c:v>Podezření na neoprávněnou limitaci sázejícího</c:v>
                </c:pt>
                <c:pt idx="4">
                  <c:v>Podezření na ovlivnění výsledku sázkové příležitosti</c:v>
                </c:pt>
                <c:pt idx="5">
                  <c:v>Podezření na porušení povinnosti uvedených  herním plánu</c:v>
                </c:pt>
                <c:pt idx="6">
                  <c:v>Podezření na porušení povinnosti vyplatit výhru</c:v>
                </c:pt>
                <c:pt idx="7">
                  <c:v>Podezření na protiprávní vyhodnocení tiketu</c:v>
                </c:pt>
                <c:pt idx="8">
                  <c:v>Porušení podmínek vyhlášeného krizového stavu</c:v>
                </c:pt>
              </c:strCache>
            </c:strRef>
          </c:cat>
          <c:val>
            <c:numRef>
              <c:f>'DOTAZNÍK CS_DOZOR'!$J$162:$J$170</c:f>
              <c:numCache>
                <c:formatCode>General</c:formatCode>
                <c:ptCount val="9"/>
                <c:pt idx="0">
                  <c:v>1</c:v>
                </c:pt>
                <c:pt idx="1">
                  <c:v>4</c:v>
                </c:pt>
                <c:pt idx="2">
                  <c:v>1</c:v>
                </c:pt>
                <c:pt idx="3">
                  <c:v>1</c:v>
                </c:pt>
                <c:pt idx="4">
                  <c:v>3</c:v>
                </c:pt>
                <c:pt idx="5">
                  <c:v>4</c:v>
                </c:pt>
                <c:pt idx="6">
                  <c:v>9</c:v>
                </c:pt>
                <c:pt idx="7">
                  <c:v>2</c:v>
                </c:pt>
                <c:pt idx="8">
                  <c:v>1</c:v>
                </c:pt>
              </c:numCache>
            </c:numRef>
          </c:val>
          <c:extLst>
            <c:ext xmlns:c16="http://schemas.microsoft.com/office/drawing/2014/chart" uri="{C3380CC4-5D6E-409C-BE32-E72D297353CC}">
              <c16:uniqueId val="{00000000-7607-473B-A9D4-3083E0F88CC4}"/>
            </c:ext>
          </c:extLst>
        </c:ser>
        <c:dLbls>
          <c:dLblPos val="outEnd"/>
          <c:showLegendKey val="0"/>
          <c:showVal val="1"/>
          <c:showCatName val="0"/>
          <c:showSerName val="0"/>
          <c:showPercent val="0"/>
          <c:showBubbleSize val="0"/>
        </c:dLbls>
        <c:gapWidth val="182"/>
        <c:axId val="92987392"/>
        <c:axId val="92990080"/>
      </c:barChart>
      <c:catAx>
        <c:axId val="929873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cs-CZ"/>
          </a:p>
        </c:txPr>
        <c:crossAx val="92990080"/>
        <c:crosses val="autoZero"/>
        <c:auto val="1"/>
        <c:lblAlgn val="l"/>
        <c:lblOffset val="100"/>
        <c:noMultiLvlLbl val="0"/>
      </c:catAx>
      <c:valAx>
        <c:axId val="929900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cs-CZ"/>
          </a:p>
        </c:txPr>
        <c:crossAx val="929873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'DOTAZNÍK CS_DOZOR'!$B$107:$B$108</c:f>
              <c:strCache>
                <c:ptCount val="2"/>
                <c:pt idx="0">
                  <c:v>Ministerstvo financí - počet kontrol legálně provozovaných internetových stránek (od 1. 1. 2017 do 30. 10. 2019)</c:v>
                </c:pt>
                <c:pt idx="1">
                  <c:v>Celní správa - počet kontrol legálně provozovaných internetových stránek (od 1. 11. 2019 do 31. 12. 2020)</c:v>
                </c:pt>
              </c:strCache>
            </c:strRef>
          </c:cat>
          <c:val>
            <c:numRef>
              <c:f>'DOTAZNÍK CS_DOZOR'!$C$107:$C$108</c:f>
              <c:numCache>
                <c:formatCode>General</c:formatCode>
                <c:ptCount val="2"/>
                <c:pt idx="0">
                  <c:v>44</c:v>
                </c:pt>
                <c:pt idx="1">
                  <c:v>20</c:v>
                </c:pt>
              </c:numCache>
            </c:numRef>
          </c:val>
          <c:extLst>
            <c:ext xmlns:c16="http://schemas.microsoft.com/office/drawing/2014/chart" uri="{C3380CC4-5D6E-409C-BE32-E72D297353CC}">
              <c16:uniqueId val="{00000000-4C33-4154-9085-299E5800E424}"/>
            </c:ext>
          </c:extLst>
        </c:ser>
        <c:dLbls>
          <c:dLblPos val="outEnd"/>
          <c:showLegendKey val="0"/>
          <c:showVal val="1"/>
          <c:showCatName val="0"/>
          <c:showSerName val="0"/>
          <c:showPercent val="0"/>
          <c:showBubbleSize val="0"/>
        </c:dLbls>
        <c:gapWidth val="219"/>
        <c:overlap val="-27"/>
        <c:axId val="38102528"/>
        <c:axId val="38105472"/>
      </c:barChart>
      <c:catAx>
        <c:axId val="38102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38105472"/>
        <c:crosses val="autoZero"/>
        <c:auto val="1"/>
        <c:lblAlgn val="ctr"/>
        <c:lblOffset val="100"/>
        <c:noMultiLvlLbl val="0"/>
      </c:catAx>
      <c:valAx>
        <c:axId val="38105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81025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2.6523904673382095E-3"/>
          <c:w val="0.82454141506209411"/>
          <c:h val="0.82024152937679651"/>
        </c:manualLayout>
      </c:layout>
      <c:pie3DChart>
        <c:varyColors val="1"/>
        <c:ser>
          <c:idx val="0"/>
          <c:order val="0"/>
          <c:explosion val="14"/>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183-4487-ACCA-DDCFB5D9DEC3}"/>
              </c:ext>
            </c:extLst>
          </c:dPt>
          <c:dPt>
            <c:idx val="1"/>
            <c:bubble3D val="0"/>
            <c:explosion val="1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183-4487-ACCA-DDCFB5D9DEC3}"/>
              </c:ext>
            </c:extLst>
          </c:dPt>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mn-lt"/>
                    <a:ea typeface="+mn-ea"/>
                    <a:cs typeface="+mn-cs"/>
                  </a:defRPr>
                </a:pPr>
                <a:endParaRPr lang="cs-CZ"/>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'DOTAZNÍK CS_DOZOR'!$B$121:$B$122</c:f>
              <c:strCache>
                <c:ptCount val="2"/>
                <c:pt idx="0">
                  <c:v>výzva k ukončení činnosti</c:v>
                </c:pt>
                <c:pt idx="1">
                  <c:v>dobrovolná blokace</c:v>
                </c:pt>
              </c:strCache>
            </c:strRef>
          </c:cat>
          <c:val>
            <c:numRef>
              <c:f>'DOTAZNÍK CS_DOZOR'!$C$121:$C$122</c:f>
              <c:numCache>
                <c:formatCode>General</c:formatCode>
                <c:ptCount val="2"/>
                <c:pt idx="0">
                  <c:v>35</c:v>
                </c:pt>
                <c:pt idx="1">
                  <c:v>20</c:v>
                </c:pt>
              </c:numCache>
            </c:numRef>
          </c:val>
          <c:extLst>
            <c:ext xmlns:c16="http://schemas.microsoft.com/office/drawing/2014/chart" uri="{C3380CC4-5D6E-409C-BE32-E72D297353CC}">
              <c16:uniqueId val="{00000004-B183-4487-ACCA-DDCFB5D9DEC3}"/>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manualLayout>
          <c:xMode val="edge"/>
          <c:yMode val="edge"/>
          <c:x val="9.8774624802297345E-2"/>
          <c:y val="0.8648645260733917"/>
          <c:w val="0.80245057097155326"/>
          <c:h val="0.1351354739266082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5624233980830776E-2"/>
          <c:y val="1.2488588382973938E-3"/>
          <c:w val="0.92263442948966989"/>
          <c:h val="0.6980346528848842"/>
        </c:manualLayout>
      </c:layout>
      <c:pie3DChart>
        <c:varyColors val="1"/>
        <c:ser>
          <c:idx val="0"/>
          <c:order val="0"/>
          <c:dPt>
            <c:idx val="0"/>
            <c:bubble3D val="0"/>
            <c:explosion val="14"/>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6805-4F62-887E-7A50FC3B6E5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6805-4F62-887E-7A50FC3B6E55}"/>
              </c:ext>
            </c:extLst>
          </c:dPt>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mn-lt"/>
                    <a:ea typeface="+mn-ea"/>
                    <a:cs typeface="+mn-cs"/>
                  </a:defRPr>
                </a:pPr>
                <a:endParaRPr lang="cs-CZ"/>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'DOTAZNÍK CS_DOZOR'!$B$130:$B$131</c:f>
              <c:strCache>
                <c:ptCount val="2"/>
                <c:pt idx="0">
                  <c:v>Ukončení nabídky hazardních zaměřené nebo cílící na na osoby s bydlištěm na území České republiky </c:v>
                </c:pt>
                <c:pt idx="1">
                  <c:v>Pokračování nabídky hazardních zaměřené nebo cílící na na osoby s bydlištěm na území České republiky </c:v>
                </c:pt>
              </c:strCache>
            </c:strRef>
          </c:cat>
          <c:val>
            <c:numRef>
              <c:f>'DOTAZNÍK CS_DOZOR'!$C$130:$C$131</c:f>
              <c:numCache>
                <c:formatCode>General</c:formatCode>
                <c:ptCount val="2"/>
                <c:pt idx="0">
                  <c:v>44</c:v>
                </c:pt>
                <c:pt idx="1">
                  <c:v>11</c:v>
                </c:pt>
              </c:numCache>
            </c:numRef>
          </c:val>
          <c:extLst>
            <c:ext xmlns:c16="http://schemas.microsoft.com/office/drawing/2014/chart" uri="{C3380CC4-5D6E-409C-BE32-E72D297353CC}">
              <c16:uniqueId val="{00000004-6805-4F62-887E-7A50FC3B6E55}"/>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manualLayout>
          <c:xMode val="edge"/>
          <c:yMode val="edge"/>
          <c:x val="0"/>
          <c:y val="0.77726420074808766"/>
          <c:w val="0.99899645322418396"/>
          <c:h val="0.1856184078987273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'DOTAZNÍK CS_DOZOR'!$B$223:$B$224</c:f>
              <c:strCache>
                <c:ptCount val="2"/>
                <c:pt idx="0">
                  <c:v>Celkový počet kontrol provedených Ministerstvem financí od 1. 1. 2017 do 31. 10. 2019</c:v>
                </c:pt>
                <c:pt idx="1">
                  <c:v>z toho počet kontrol nelegálních provozovatelů </c:v>
                </c:pt>
              </c:strCache>
            </c:strRef>
          </c:cat>
          <c:val>
            <c:numRef>
              <c:f>'DOTAZNÍK CS_DOZOR'!$C$223:$C$224</c:f>
              <c:numCache>
                <c:formatCode>General</c:formatCode>
                <c:ptCount val="2"/>
                <c:pt idx="0">
                  <c:v>96</c:v>
                </c:pt>
                <c:pt idx="1">
                  <c:v>52</c:v>
                </c:pt>
              </c:numCache>
            </c:numRef>
          </c:val>
          <c:extLst>
            <c:ext xmlns:c16="http://schemas.microsoft.com/office/drawing/2014/chart" uri="{C3380CC4-5D6E-409C-BE32-E72D297353CC}">
              <c16:uniqueId val="{00000000-EC6A-4CE7-A6C1-0A8B1E9F6A32}"/>
            </c:ext>
          </c:extLst>
        </c:ser>
        <c:dLbls>
          <c:dLblPos val="outEnd"/>
          <c:showLegendKey val="0"/>
          <c:showVal val="1"/>
          <c:showCatName val="0"/>
          <c:showSerName val="0"/>
          <c:showPercent val="0"/>
          <c:showBubbleSize val="0"/>
        </c:dLbls>
        <c:gapWidth val="219"/>
        <c:overlap val="-27"/>
        <c:axId val="93302144"/>
        <c:axId val="93317376"/>
      </c:barChart>
      <c:catAx>
        <c:axId val="93302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93317376"/>
        <c:crosses val="autoZero"/>
        <c:auto val="1"/>
        <c:lblAlgn val="ctr"/>
        <c:lblOffset val="100"/>
        <c:noMultiLvlLbl val="0"/>
      </c:catAx>
      <c:valAx>
        <c:axId val="93317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3302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'DOTAZNÍK CS_DOZOR'!$B$234:$B$236</c:f>
              <c:strCache>
                <c:ptCount val="3"/>
                <c:pt idx="0">
                  <c:v>Celkový počet Celní správou provedených kontrol v období od 1. 11. 2019 do 31. 12. 2020</c:v>
                </c:pt>
                <c:pt idx="1">
                  <c:v>z toho počet kontrol legálních provozovatelů </c:v>
                </c:pt>
                <c:pt idx="2">
                  <c:v>z toho počet kontrol nelegálnách provozovatelů (kontrola 151 internetových stránek)</c:v>
                </c:pt>
              </c:strCache>
            </c:strRef>
          </c:cat>
          <c:val>
            <c:numRef>
              <c:f>'DOTAZNÍK CS_DOZOR'!$C$234:$C$236</c:f>
              <c:numCache>
                <c:formatCode>General</c:formatCode>
                <c:ptCount val="3"/>
                <c:pt idx="0">
                  <c:v>45</c:v>
                </c:pt>
                <c:pt idx="1">
                  <c:v>20</c:v>
                </c:pt>
                <c:pt idx="2">
                  <c:v>25</c:v>
                </c:pt>
              </c:numCache>
            </c:numRef>
          </c:val>
          <c:extLst>
            <c:ext xmlns:c16="http://schemas.microsoft.com/office/drawing/2014/chart" uri="{C3380CC4-5D6E-409C-BE32-E72D297353CC}">
              <c16:uniqueId val="{00000000-2285-4412-85C7-2F2FF6B1EA3C}"/>
            </c:ext>
          </c:extLst>
        </c:ser>
        <c:dLbls>
          <c:dLblPos val="outEnd"/>
          <c:showLegendKey val="0"/>
          <c:showVal val="1"/>
          <c:showCatName val="0"/>
          <c:showSerName val="0"/>
          <c:showPercent val="0"/>
          <c:showBubbleSize val="0"/>
        </c:dLbls>
        <c:gapWidth val="219"/>
        <c:overlap val="-27"/>
        <c:axId val="93332992"/>
        <c:axId val="93368704"/>
      </c:barChart>
      <c:catAx>
        <c:axId val="93332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cs-CZ"/>
          </a:p>
        </c:txPr>
        <c:crossAx val="93368704"/>
        <c:crosses val="autoZero"/>
        <c:auto val="1"/>
        <c:lblAlgn val="ctr"/>
        <c:lblOffset val="100"/>
        <c:noMultiLvlLbl val="0"/>
      </c:catAx>
      <c:valAx>
        <c:axId val="93368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3332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'DOTAZNÍK CS_DOZOR'!$B$260:$B$267</c:f>
              <c:strCache>
                <c:ptCount val="8"/>
                <c:pt idx="0">
                  <c:v>Malta</c:v>
                </c:pt>
                <c:pt idx="1">
                  <c:v>Curacao</c:v>
                </c:pt>
                <c:pt idx="2">
                  <c:v>Kypr</c:v>
                </c:pt>
                <c:pt idx="3">
                  <c:v>Isle of Man</c:v>
                </c:pt>
                <c:pt idx="4">
                  <c:v>Gibraltar</c:v>
                </c:pt>
                <c:pt idx="5">
                  <c:v>Belize</c:v>
                </c:pt>
                <c:pt idx="6">
                  <c:v>Kostarika</c:v>
                </c:pt>
                <c:pt idx="7">
                  <c:v>Isle of Man</c:v>
                </c:pt>
              </c:strCache>
            </c:strRef>
          </c:cat>
          <c:val>
            <c:numRef>
              <c:f>'DOTAZNÍK CS_DOZOR'!$C$260:$C$267</c:f>
              <c:numCache>
                <c:formatCode>General</c:formatCode>
                <c:ptCount val="8"/>
                <c:pt idx="0">
                  <c:v>7</c:v>
                </c:pt>
                <c:pt idx="1">
                  <c:v>36</c:v>
                </c:pt>
                <c:pt idx="2">
                  <c:v>5</c:v>
                </c:pt>
                <c:pt idx="3">
                  <c:v>1</c:v>
                </c:pt>
                <c:pt idx="4">
                  <c:v>4</c:v>
                </c:pt>
                <c:pt idx="5">
                  <c:v>2</c:v>
                </c:pt>
                <c:pt idx="6">
                  <c:v>2</c:v>
                </c:pt>
                <c:pt idx="7">
                  <c:v>1</c:v>
                </c:pt>
              </c:numCache>
            </c:numRef>
          </c:val>
          <c:extLst>
            <c:ext xmlns:c16="http://schemas.microsoft.com/office/drawing/2014/chart" uri="{C3380CC4-5D6E-409C-BE32-E72D297353CC}">
              <c16:uniqueId val="{00000000-7911-47A6-B05F-361383ECB341}"/>
            </c:ext>
          </c:extLst>
        </c:ser>
        <c:dLbls>
          <c:dLblPos val="outEnd"/>
          <c:showLegendKey val="0"/>
          <c:showVal val="1"/>
          <c:showCatName val="0"/>
          <c:showSerName val="0"/>
          <c:showPercent val="0"/>
          <c:showBubbleSize val="0"/>
        </c:dLbls>
        <c:gapWidth val="219"/>
        <c:overlap val="-27"/>
        <c:axId val="93379584"/>
        <c:axId val="93456256"/>
      </c:barChart>
      <c:catAx>
        <c:axId val="93379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93456256"/>
        <c:crosses val="autoZero"/>
        <c:auto val="1"/>
        <c:lblAlgn val="ctr"/>
        <c:lblOffset val="100"/>
        <c:noMultiLvlLbl val="0"/>
      </c:catAx>
      <c:valAx>
        <c:axId val="93456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3379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'DOTAZNÍK CS_DOZOR'!$B$275:$B$278</c:f>
              <c:strCache>
                <c:ptCount val="4"/>
                <c:pt idx="0">
                  <c:v>rok 2017</c:v>
                </c:pt>
                <c:pt idx="1">
                  <c:v>rok 2018</c:v>
                </c:pt>
                <c:pt idx="2">
                  <c:v>rok 2019</c:v>
                </c:pt>
                <c:pt idx="3">
                  <c:v>rok 2020</c:v>
                </c:pt>
              </c:strCache>
            </c:strRef>
          </c:cat>
          <c:val>
            <c:numRef>
              <c:f>'DOTAZNÍK CS_DOZOR'!$C$275:$C$278</c:f>
              <c:numCache>
                <c:formatCode>General</c:formatCode>
                <c:ptCount val="4"/>
                <c:pt idx="0">
                  <c:v>40</c:v>
                </c:pt>
                <c:pt idx="1">
                  <c:v>325</c:v>
                </c:pt>
                <c:pt idx="2">
                  <c:v>250</c:v>
                </c:pt>
                <c:pt idx="3">
                  <c:v>197</c:v>
                </c:pt>
              </c:numCache>
            </c:numRef>
          </c:val>
          <c:extLst>
            <c:ext xmlns:c16="http://schemas.microsoft.com/office/drawing/2014/chart" uri="{C3380CC4-5D6E-409C-BE32-E72D297353CC}">
              <c16:uniqueId val="{00000000-3929-4D0F-8703-319F57C70C14}"/>
            </c:ext>
          </c:extLst>
        </c:ser>
        <c:dLbls>
          <c:dLblPos val="outEnd"/>
          <c:showLegendKey val="0"/>
          <c:showVal val="1"/>
          <c:showCatName val="0"/>
          <c:showSerName val="0"/>
          <c:showPercent val="0"/>
          <c:showBubbleSize val="0"/>
        </c:dLbls>
        <c:gapWidth val="219"/>
        <c:overlap val="-27"/>
        <c:axId val="93496448"/>
        <c:axId val="93503488"/>
      </c:barChart>
      <c:catAx>
        <c:axId val="93496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cs-CZ"/>
          </a:p>
        </c:txPr>
        <c:crossAx val="93503488"/>
        <c:crosses val="autoZero"/>
        <c:auto val="1"/>
        <c:lblAlgn val="ctr"/>
        <c:lblOffset val="100"/>
        <c:noMultiLvlLbl val="0"/>
      </c:catAx>
      <c:valAx>
        <c:axId val="93503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3496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List1!$N$36</c:f>
              <c:strCache>
                <c:ptCount val="1"/>
                <c:pt idx="0">
                  <c:v>Celkový počet pravomocně uložených pokut</c:v>
                </c:pt>
              </c:strCache>
            </c:strRef>
          </c:tx>
          <c:spPr>
            <a:solidFill>
              <a:schemeClr val="accent5">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List1!$M$37:$M$40</c:f>
              <c:strCache>
                <c:ptCount val="4"/>
                <c:pt idx="0">
                  <c:v>rok 2017</c:v>
                </c:pt>
                <c:pt idx="1">
                  <c:v>rok 2018</c:v>
                </c:pt>
                <c:pt idx="2">
                  <c:v>rok 2019</c:v>
                </c:pt>
                <c:pt idx="3">
                  <c:v>rok 2020</c:v>
                </c:pt>
              </c:strCache>
            </c:strRef>
          </c:cat>
          <c:val>
            <c:numRef>
              <c:f>List1!$N$37:$N$40</c:f>
              <c:numCache>
                <c:formatCode>General</c:formatCode>
                <c:ptCount val="4"/>
                <c:pt idx="0">
                  <c:v>47</c:v>
                </c:pt>
                <c:pt idx="1">
                  <c:v>135</c:v>
                </c:pt>
                <c:pt idx="2">
                  <c:v>246</c:v>
                </c:pt>
                <c:pt idx="3">
                  <c:v>248</c:v>
                </c:pt>
              </c:numCache>
            </c:numRef>
          </c:val>
          <c:extLst>
            <c:ext xmlns:c16="http://schemas.microsoft.com/office/drawing/2014/chart" uri="{C3380CC4-5D6E-409C-BE32-E72D297353CC}">
              <c16:uniqueId val="{00000000-4F48-492A-B0D9-A0665338AED4}"/>
            </c:ext>
          </c:extLst>
        </c:ser>
        <c:ser>
          <c:idx val="1"/>
          <c:order val="1"/>
          <c:tx>
            <c:strRef>
              <c:f>List1!$O$36</c:f>
              <c:strCache>
                <c:ptCount val="1"/>
                <c:pt idx="0">
                  <c:v>Celková výše pravomocně uložených pokut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List1!$M$37:$M$40</c:f>
              <c:strCache>
                <c:ptCount val="4"/>
                <c:pt idx="0">
                  <c:v>rok 2017</c:v>
                </c:pt>
                <c:pt idx="1">
                  <c:v>rok 2018</c:v>
                </c:pt>
                <c:pt idx="2">
                  <c:v>rok 2019</c:v>
                </c:pt>
                <c:pt idx="3">
                  <c:v>rok 2020</c:v>
                </c:pt>
              </c:strCache>
            </c:strRef>
          </c:cat>
          <c:val>
            <c:numRef>
              <c:f>List1!$O$37:$O$40</c:f>
              <c:numCache>
                <c:formatCode>General</c:formatCode>
                <c:ptCount val="4"/>
                <c:pt idx="0" formatCode="#\ ##0.0">
                  <c:v>0.6</c:v>
                </c:pt>
                <c:pt idx="1">
                  <c:v>19.2</c:v>
                </c:pt>
                <c:pt idx="2">
                  <c:v>22.4</c:v>
                </c:pt>
                <c:pt idx="3">
                  <c:v>37.5</c:v>
                </c:pt>
              </c:numCache>
            </c:numRef>
          </c:val>
          <c:extLst>
            <c:ext xmlns:c16="http://schemas.microsoft.com/office/drawing/2014/chart" uri="{C3380CC4-5D6E-409C-BE32-E72D297353CC}">
              <c16:uniqueId val="{00000001-4F48-492A-B0D9-A0665338AED4}"/>
            </c:ext>
          </c:extLst>
        </c:ser>
        <c:dLbls>
          <c:dLblPos val="outEnd"/>
          <c:showLegendKey val="0"/>
          <c:showVal val="1"/>
          <c:showCatName val="0"/>
          <c:showSerName val="0"/>
          <c:showPercent val="0"/>
          <c:showBubbleSize val="0"/>
        </c:dLbls>
        <c:gapWidth val="219"/>
        <c:overlap val="-27"/>
        <c:axId val="47207552"/>
        <c:axId val="47209088"/>
      </c:barChart>
      <c:catAx>
        <c:axId val="47207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47209088"/>
        <c:crosses val="autoZero"/>
        <c:auto val="1"/>
        <c:lblAlgn val="ctr"/>
        <c:lblOffset val="100"/>
        <c:noMultiLvlLbl val="0"/>
      </c:catAx>
      <c:valAx>
        <c:axId val="47209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7207552"/>
        <c:crosses val="autoZero"/>
        <c:crossBetween val="between"/>
      </c:valAx>
      <c:spPr>
        <a:noFill/>
        <a:ln>
          <a:noFill/>
        </a:ln>
        <a:effectLst/>
      </c:spPr>
    </c:plotArea>
    <c:legend>
      <c:legendPos val="r"/>
      <c:layout>
        <c:manualLayout>
          <c:xMode val="edge"/>
          <c:yMode val="edge"/>
          <c:x val="0.71353112110986128"/>
          <c:y val="0.35100523172858428"/>
          <c:w val="0.27324136566262552"/>
          <c:h val="0.4107407916292343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List1!$N$44</c:f>
              <c:strCache>
                <c:ptCount val="1"/>
                <c:pt idx="0">
                  <c:v>Počet pravomocně uložených pokut za přestupky legálních provozovatelů</c:v>
                </c:pt>
              </c:strCache>
            </c:strRef>
          </c:tx>
          <c:spPr>
            <a:solidFill>
              <a:schemeClr val="accent5">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List1!$M$45:$M$48</c:f>
              <c:strCache>
                <c:ptCount val="4"/>
                <c:pt idx="0">
                  <c:v>rok 2017</c:v>
                </c:pt>
                <c:pt idx="1">
                  <c:v>rok 2018</c:v>
                </c:pt>
                <c:pt idx="2">
                  <c:v>rok 2019</c:v>
                </c:pt>
                <c:pt idx="3">
                  <c:v>rok 2020</c:v>
                </c:pt>
              </c:strCache>
            </c:strRef>
          </c:cat>
          <c:val>
            <c:numRef>
              <c:f>List1!$N$45:$N$48</c:f>
              <c:numCache>
                <c:formatCode>General</c:formatCode>
                <c:ptCount val="4"/>
                <c:pt idx="0">
                  <c:v>45</c:v>
                </c:pt>
                <c:pt idx="1">
                  <c:v>92</c:v>
                </c:pt>
                <c:pt idx="2">
                  <c:v>183</c:v>
                </c:pt>
                <c:pt idx="3">
                  <c:v>167</c:v>
                </c:pt>
              </c:numCache>
            </c:numRef>
          </c:val>
          <c:extLst>
            <c:ext xmlns:c16="http://schemas.microsoft.com/office/drawing/2014/chart" uri="{C3380CC4-5D6E-409C-BE32-E72D297353CC}">
              <c16:uniqueId val="{00000000-74F5-46E0-BACD-B85FE00CF3E9}"/>
            </c:ext>
          </c:extLst>
        </c:ser>
        <c:ser>
          <c:idx val="1"/>
          <c:order val="1"/>
          <c:tx>
            <c:strRef>
              <c:f>List1!$O$44</c:f>
              <c:strCache>
                <c:ptCount val="1"/>
                <c:pt idx="0">
                  <c:v>z toho výše pravomocně uložených pokut za přestupky legálních provozovatelů (v mil. Kč)</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List1!$M$45:$M$48</c:f>
              <c:strCache>
                <c:ptCount val="4"/>
                <c:pt idx="0">
                  <c:v>rok 2017</c:v>
                </c:pt>
                <c:pt idx="1">
                  <c:v>rok 2018</c:v>
                </c:pt>
                <c:pt idx="2">
                  <c:v>rok 2019</c:v>
                </c:pt>
                <c:pt idx="3">
                  <c:v>rok 2020</c:v>
                </c:pt>
              </c:strCache>
            </c:strRef>
          </c:cat>
          <c:val>
            <c:numRef>
              <c:f>List1!$O$45:$O$48</c:f>
              <c:numCache>
                <c:formatCode>General</c:formatCode>
                <c:ptCount val="4"/>
                <c:pt idx="0" formatCode="#\ ##0.0;[Red]#\ ##0.0">
                  <c:v>0.4</c:v>
                </c:pt>
                <c:pt idx="1">
                  <c:v>1.4</c:v>
                </c:pt>
                <c:pt idx="2">
                  <c:v>3.7</c:v>
                </c:pt>
                <c:pt idx="3">
                  <c:v>12.3</c:v>
                </c:pt>
              </c:numCache>
            </c:numRef>
          </c:val>
          <c:extLst>
            <c:ext xmlns:c16="http://schemas.microsoft.com/office/drawing/2014/chart" uri="{C3380CC4-5D6E-409C-BE32-E72D297353CC}">
              <c16:uniqueId val="{00000001-74F5-46E0-BACD-B85FE00CF3E9}"/>
            </c:ext>
          </c:extLst>
        </c:ser>
        <c:dLbls>
          <c:dLblPos val="outEnd"/>
          <c:showLegendKey val="0"/>
          <c:showVal val="1"/>
          <c:showCatName val="0"/>
          <c:showSerName val="0"/>
          <c:showPercent val="0"/>
          <c:showBubbleSize val="0"/>
        </c:dLbls>
        <c:gapWidth val="219"/>
        <c:overlap val="-27"/>
        <c:axId val="93521408"/>
        <c:axId val="93522944"/>
      </c:barChart>
      <c:catAx>
        <c:axId val="93521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93522944"/>
        <c:crosses val="autoZero"/>
        <c:auto val="1"/>
        <c:lblAlgn val="ctr"/>
        <c:lblOffset val="100"/>
        <c:noMultiLvlLbl val="0"/>
      </c:catAx>
      <c:valAx>
        <c:axId val="93522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3521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List1!$N$53</c:f>
              <c:strCache>
                <c:ptCount val="1"/>
                <c:pt idx="0">
                  <c:v>Počet pravomocně uložených pokut  za přestupky nelegálních provozovatelů</c:v>
                </c:pt>
              </c:strCache>
            </c:strRef>
          </c:tx>
          <c:spPr>
            <a:solidFill>
              <a:schemeClr val="accent5">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List1!$M$54:$M$57</c:f>
              <c:strCache>
                <c:ptCount val="4"/>
                <c:pt idx="0">
                  <c:v>rok 2017</c:v>
                </c:pt>
                <c:pt idx="1">
                  <c:v>rok 2018</c:v>
                </c:pt>
                <c:pt idx="2">
                  <c:v>rok 2019</c:v>
                </c:pt>
                <c:pt idx="3">
                  <c:v>rok 2020</c:v>
                </c:pt>
              </c:strCache>
            </c:strRef>
          </c:cat>
          <c:val>
            <c:numRef>
              <c:f>List1!$N$54:$N$57</c:f>
              <c:numCache>
                <c:formatCode>General</c:formatCode>
                <c:ptCount val="4"/>
                <c:pt idx="0">
                  <c:v>2</c:v>
                </c:pt>
                <c:pt idx="1">
                  <c:v>43</c:v>
                </c:pt>
                <c:pt idx="2">
                  <c:v>63</c:v>
                </c:pt>
                <c:pt idx="3">
                  <c:v>81</c:v>
                </c:pt>
              </c:numCache>
            </c:numRef>
          </c:val>
          <c:extLst>
            <c:ext xmlns:c16="http://schemas.microsoft.com/office/drawing/2014/chart" uri="{C3380CC4-5D6E-409C-BE32-E72D297353CC}">
              <c16:uniqueId val="{00000000-1E4F-4E73-BE6B-1456CCDDA837}"/>
            </c:ext>
          </c:extLst>
        </c:ser>
        <c:ser>
          <c:idx val="1"/>
          <c:order val="1"/>
          <c:tx>
            <c:strRef>
              <c:f>List1!$O$53</c:f>
              <c:strCache>
                <c:ptCount val="1"/>
                <c:pt idx="0">
                  <c:v>z toho výše pravomocně uložených pokut za přestupky nelegálních provozovatelů (v mil. Kč)</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List1!$M$54:$M$57</c:f>
              <c:strCache>
                <c:ptCount val="4"/>
                <c:pt idx="0">
                  <c:v>rok 2017</c:v>
                </c:pt>
                <c:pt idx="1">
                  <c:v>rok 2018</c:v>
                </c:pt>
                <c:pt idx="2">
                  <c:v>rok 2019</c:v>
                </c:pt>
                <c:pt idx="3">
                  <c:v>rok 2020</c:v>
                </c:pt>
              </c:strCache>
            </c:strRef>
          </c:cat>
          <c:val>
            <c:numRef>
              <c:f>List1!$O$54:$O$57</c:f>
              <c:numCache>
                <c:formatCode>General</c:formatCode>
                <c:ptCount val="4"/>
                <c:pt idx="0" formatCode="#\ ##0.0">
                  <c:v>0.2</c:v>
                </c:pt>
                <c:pt idx="1">
                  <c:v>17.8</c:v>
                </c:pt>
                <c:pt idx="2">
                  <c:v>18.7</c:v>
                </c:pt>
                <c:pt idx="3">
                  <c:v>25.3</c:v>
                </c:pt>
              </c:numCache>
            </c:numRef>
          </c:val>
          <c:extLst>
            <c:ext xmlns:c16="http://schemas.microsoft.com/office/drawing/2014/chart" uri="{C3380CC4-5D6E-409C-BE32-E72D297353CC}">
              <c16:uniqueId val="{00000001-1E4F-4E73-BE6B-1456CCDDA837}"/>
            </c:ext>
          </c:extLst>
        </c:ser>
        <c:dLbls>
          <c:dLblPos val="outEnd"/>
          <c:showLegendKey val="0"/>
          <c:showVal val="1"/>
          <c:showCatName val="0"/>
          <c:showSerName val="0"/>
          <c:showPercent val="0"/>
          <c:showBubbleSize val="0"/>
        </c:dLbls>
        <c:gapWidth val="219"/>
        <c:overlap val="-27"/>
        <c:axId val="93566464"/>
        <c:axId val="93568000"/>
      </c:barChart>
      <c:catAx>
        <c:axId val="93566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93568000"/>
        <c:crosses val="autoZero"/>
        <c:auto val="1"/>
        <c:lblAlgn val="ctr"/>
        <c:lblOffset val="100"/>
        <c:noMultiLvlLbl val="0"/>
      </c:catAx>
      <c:valAx>
        <c:axId val="93568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3566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List1!$N$62</c:f>
              <c:strCache>
                <c:ptCount val="1"/>
                <c:pt idx="0">
                  <c:v>Výše pravomocně uložených pokut za přestupky legálních provozovatelů (v mil. Kč)</c:v>
                </c:pt>
              </c:strCache>
            </c:strRef>
          </c:tx>
          <c:spPr>
            <a:solidFill>
              <a:schemeClr val="accent5">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List1!$M$63:$M$66</c:f>
              <c:strCache>
                <c:ptCount val="4"/>
                <c:pt idx="0">
                  <c:v>rok 2017</c:v>
                </c:pt>
                <c:pt idx="1">
                  <c:v>rok 2018</c:v>
                </c:pt>
                <c:pt idx="2">
                  <c:v>rok 2019</c:v>
                </c:pt>
                <c:pt idx="3">
                  <c:v>rok 2020</c:v>
                </c:pt>
              </c:strCache>
            </c:strRef>
          </c:cat>
          <c:val>
            <c:numRef>
              <c:f>List1!$N$63:$N$66</c:f>
              <c:numCache>
                <c:formatCode>General</c:formatCode>
                <c:ptCount val="4"/>
                <c:pt idx="0" formatCode="#\ ##0.0">
                  <c:v>0.4</c:v>
                </c:pt>
                <c:pt idx="1">
                  <c:v>1.4</c:v>
                </c:pt>
                <c:pt idx="2">
                  <c:v>3.7</c:v>
                </c:pt>
                <c:pt idx="3">
                  <c:v>12.3</c:v>
                </c:pt>
              </c:numCache>
            </c:numRef>
          </c:val>
          <c:extLst>
            <c:ext xmlns:c16="http://schemas.microsoft.com/office/drawing/2014/chart" uri="{C3380CC4-5D6E-409C-BE32-E72D297353CC}">
              <c16:uniqueId val="{00000000-5FD9-4441-BF9D-FAD3E586C5F1}"/>
            </c:ext>
          </c:extLst>
        </c:ser>
        <c:ser>
          <c:idx val="1"/>
          <c:order val="1"/>
          <c:tx>
            <c:strRef>
              <c:f>List1!$O$62</c:f>
              <c:strCache>
                <c:ptCount val="1"/>
                <c:pt idx="0">
                  <c:v>Výše pravomocně uložených pokut za přestupky nelegálních provozovatelů (v mil. Kč)</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List1!$M$63:$M$66</c:f>
              <c:strCache>
                <c:ptCount val="4"/>
                <c:pt idx="0">
                  <c:v>rok 2017</c:v>
                </c:pt>
                <c:pt idx="1">
                  <c:v>rok 2018</c:v>
                </c:pt>
                <c:pt idx="2">
                  <c:v>rok 2019</c:v>
                </c:pt>
                <c:pt idx="3">
                  <c:v>rok 2020</c:v>
                </c:pt>
              </c:strCache>
            </c:strRef>
          </c:cat>
          <c:val>
            <c:numRef>
              <c:f>List1!$O$63:$O$66</c:f>
              <c:numCache>
                <c:formatCode>General</c:formatCode>
                <c:ptCount val="4"/>
                <c:pt idx="0" formatCode="#\ ##0.0">
                  <c:v>0.2</c:v>
                </c:pt>
                <c:pt idx="1">
                  <c:v>17.8</c:v>
                </c:pt>
                <c:pt idx="2">
                  <c:v>18.7</c:v>
                </c:pt>
                <c:pt idx="3">
                  <c:v>25.3</c:v>
                </c:pt>
              </c:numCache>
            </c:numRef>
          </c:val>
          <c:extLst>
            <c:ext xmlns:c16="http://schemas.microsoft.com/office/drawing/2014/chart" uri="{C3380CC4-5D6E-409C-BE32-E72D297353CC}">
              <c16:uniqueId val="{00000001-5FD9-4441-BF9D-FAD3E586C5F1}"/>
            </c:ext>
          </c:extLst>
        </c:ser>
        <c:dLbls>
          <c:dLblPos val="outEnd"/>
          <c:showLegendKey val="0"/>
          <c:showVal val="1"/>
          <c:showCatName val="0"/>
          <c:showSerName val="0"/>
          <c:showPercent val="0"/>
          <c:showBubbleSize val="0"/>
        </c:dLbls>
        <c:gapWidth val="219"/>
        <c:overlap val="-27"/>
        <c:axId val="93603328"/>
        <c:axId val="93604864"/>
      </c:barChart>
      <c:catAx>
        <c:axId val="93603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93604864"/>
        <c:crosses val="autoZero"/>
        <c:auto val="1"/>
        <c:lblAlgn val="ctr"/>
        <c:lblOffset val="100"/>
        <c:noMultiLvlLbl val="0"/>
      </c:catAx>
      <c:valAx>
        <c:axId val="93604864"/>
        <c:scaling>
          <c:orientation val="minMax"/>
        </c:scaling>
        <c:delete val="0"/>
        <c:axPos val="l"/>
        <c:majorGridlines>
          <c:spPr>
            <a:ln w="9525" cap="flat" cmpd="sng" algn="ctr">
              <a:solidFill>
                <a:schemeClr val="tx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3603328"/>
        <c:crosses val="autoZero"/>
        <c:crossBetween val="between"/>
      </c:valAx>
      <c:spPr>
        <a:noFill/>
        <a:ln>
          <a:noFill/>
        </a:ln>
        <a:effectLst/>
      </c:spPr>
    </c:plotArea>
    <c:legend>
      <c:legendPos val="b"/>
      <c:layout>
        <c:manualLayout>
          <c:xMode val="edge"/>
          <c:yMode val="edge"/>
          <c:x val="5.1951553831718317E-2"/>
          <c:y val="0.81182839949884311"/>
          <c:w val="0.89609689233656331"/>
          <c:h val="0.1324224715812962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45318-3811-4707-8816-C721E5AD7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10557</Words>
  <Characters>62289</Characters>
  <Application>Microsoft Office Word</Application>
  <DocSecurity>0</DocSecurity>
  <Lines>519</Lines>
  <Paragraphs>145</Paragraphs>
  <ScaleCrop>false</ScaleCrop>
  <HeadingPairs>
    <vt:vector size="2" baseType="variant">
      <vt:variant>
        <vt:lpstr>Název</vt:lpstr>
      </vt:variant>
      <vt:variant>
        <vt:i4>1</vt:i4>
      </vt:variant>
    </vt:vector>
  </HeadingPairs>
  <TitlesOfParts>
    <vt:vector size="1" baseType="lpstr">
      <vt:lpstr/>
    </vt:vector>
  </TitlesOfParts>
  <Company>Ministerstvo financí</Company>
  <LinksUpToDate>false</LinksUpToDate>
  <CharactersWithSpaces>72701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Poláková Karolína</dc:creator>
  <cp:lastModifiedBy>Nespěšná Petra Mgr. Bc.</cp:lastModifiedBy>
  <cp:revision>4</cp:revision>
  <dcterms:created xsi:type="dcterms:W3CDTF">2021-06-03T09:34:00Z</dcterms:created>
  <dcterms:modified xsi:type="dcterms:W3CDTF">2021-06-03T09:45:00Z</dcterms:modified>
</cp:coreProperties>
</file>