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E823C" w14:textId="77777777" w:rsidR="002E6EC3" w:rsidRDefault="00BA7C52" w:rsidP="00AB67A6">
      <w:pPr>
        <w:pStyle w:val="Nadpis2"/>
        <w:numPr>
          <w:ilvl w:val="0"/>
          <w:numId w:val="0"/>
        </w:numPr>
        <w:ind w:left="578"/>
      </w:pPr>
      <w:bookmarkStart w:id="0" w:name="_Toc73608285"/>
      <w:r>
        <w:t>Daň z hazardních her</w:t>
      </w:r>
      <w:bookmarkEnd w:id="0"/>
    </w:p>
    <w:p w14:paraId="2B271742" w14:textId="71A6F70F" w:rsidR="004411E4" w:rsidRPr="00675437" w:rsidRDefault="004411E4" w:rsidP="002049A0">
      <w:pPr>
        <w:pStyle w:val="Nadpis3"/>
      </w:pPr>
      <w:bookmarkStart w:id="1" w:name="_Toc73608286"/>
      <w:r w:rsidRPr="00AB67A6">
        <w:t>Konkrétní popis regulace obsažené v zákoně</w:t>
      </w:r>
      <w:r w:rsidRPr="00AB67A6">
        <w:rPr>
          <w:rStyle w:val="Nadpis5Char"/>
        </w:rPr>
        <w:t xml:space="preserve"> </w:t>
      </w:r>
      <w:r w:rsidRPr="00675437">
        <w:t>o</w:t>
      </w:r>
      <w:r w:rsidR="00CF363B">
        <w:t> </w:t>
      </w:r>
      <w:r w:rsidRPr="00675437">
        <w:t>loteriích</w:t>
      </w:r>
      <w:bookmarkEnd w:id="1"/>
    </w:p>
    <w:p w14:paraId="15B40231" w14:textId="460B2D2A" w:rsidR="004A016E" w:rsidRDefault="002807C9" w:rsidP="004A016E">
      <w:pPr>
        <w:rPr>
          <w:rFonts w:cs="Arial"/>
        </w:rPr>
      </w:pPr>
      <w:r>
        <w:t>Zákon o loteriích upravoval kromě regulace</w:t>
      </w:r>
      <w:r w:rsidR="00450191">
        <w:t xml:space="preserve"> hazardních her</w:t>
      </w:r>
      <w:r w:rsidR="00E1189D">
        <w:t xml:space="preserve"> (loterií a jiných podobných her)</w:t>
      </w:r>
      <w:r w:rsidR="00450191">
        <w:t xml:space="preserve"> i jejich zdanění, přičemž </w:t>
      </w:r>
      <w:r w:rsidR="00992246">
        <w:t xml:space="preserve">zde byla použita jiná terminologie, kdy </w:t>
      </w:r>
      <w:r w:rsidR="00E1189D">
        <w:t>daně byly</w:t>
      </w:r>
      <w:r w:rsidR="00992246">
        <w:t xml:space="preserve"> označeny jako odvody.</w:t>
      </w:r>
      <w:r w:rsidR="00E1189D">
        <w:t xml:space="preserve"> </w:t>
      </w:r>
      <w:r w:rsidR="00E1189D" w:rsidRPr="000243CC">
        <w:rPr>
          <w:rFonts w:cs="Arial"/>
          <w:b/>
        </w:rPr>
        <w:t>Předmětem odvodu</w:t>
      </w:r>
      <w:r w:rsidR="00E1189D">
        <w:rPr>
          <w:rFonts w:cs="Arial"/>
        </w:rPr>
        <w:t xml:space="preserve"> (daně) z loterií a jiných podobných her bylo provozování loterie </w:t>
      </w:r>
      <w:bookmarkStart w:id="2" w:name="_GoBack"/>
      <w:bookmarkEnd w:id="2"/>
      <w:r w:rsidR="00E1189D">
        <w:rPr>
          <w:rFonts w:cs="Arial"/>
        </w:rPr>
        <w:t xml:space="preserve">nebo jiné podobné hry. </w:t>
      </w:r>
      <w:r w:rsidR="00E1189D" w:rsidRPr="000243CC">
        <w:rPr>
          <w:rFonts w:cs="Arial"/>
          <w:b/>
        </w:rPr>
        <w:t>Poplatníkem</w:t>
      </w:r>
      <w:r w:rsidR="00E1189D">
        <w:rPr>
          <w:rFonts w:cs="Arial"/>
        </w:rPr>
        <w:t xml:space="preserve"> tohoto odvodu byl provozovate</w:t>
      </w:r>
      <w:r w:rsidR="00C94435">
        <w:rPr>
          <w:rFonts w:cs="Arial"/>
        </w:rPr>
        <w:t>l loterie nebo jiné podobné hry,</w:t>
      </w:r>
      <w:r w:rsidR="00C903DE">
        <w:rPr>
          <w:rFonts w:cs="Arial"/>
        </w:rPr>
        <w:t xml:space="preserve"> a</w:t>
      </w:r>
      <w:r w:rsidR="00C94435">
        <w:rPr>
          <w:rFonts w:cs="Arial"/>
        </w:rPr>
        <w:t xml:space="preserve"> to tedy znamenalo, že odvodům podléhali pouze legální provozovatelé.</w:t>
      </w:r>
      <w:r w:rsidR="001D2E83" w:rsidRPr="001D2E83">
        <w:rPr>
          <w:rFonts w:cs="Arial"/>
        </w:rPr>
        <w:t xml:space="preserve"> </w:t>
      </w:r>
    </w:p>
    <w:p w14:paraId="35C4C2A8" w14:textId="35D07601" w:rsidR="005C3D04" w:rsidRDefault="003A09E4" w:rsidP="005C3D04">
      <w:pPr>
        <w:rPr>
          <w:rFonts w:cs="Arial"/>
        </w:rPr>
      </w:pPr>
      <w:r>
        <w:rPr>
          <w:rFonts w:cs="Arial"/>
        </w:rPr>
        <w:t xml:space="preserve">Dílčí </w:t>
      </w:r>
      <w:r w:rsidR="005C3D04" w:rsidRPr="000243CC">
        <w:rPr>
          <w:rFonts w:cs="Arial"/>
          <w:b/>
        </w:rPr>
        <w:t>základ</w:t>
      </w:r>
      <w:r w:rsidR="00823789" w:rsidRPr="000243CC">
        <w:rPr>
          <w:rFonts w:cs="Arial"/>
          <w:b/>
        </w:rPr>
        <w:t xml:space="preserve"> </w:t>
      </w:r>
      <w:r w:rsidR="003D1E4E">
        <w:rPr>
          <w:rFonts w:cs="Arial"/>
          <w:b/>
        </w:rPr>
        <w:t>odvodu</w:t>
      </w:r>
      <w:r w:rsidR="00823789">
        <w:rPr>
          <w:rFonts w:cs="Arial"/>
        </w:rPr>
        <w:t xml:space="preserve"> podle zákona o loteriích </w:t>
      </w:r>
      <w:r w:rsidR="00E66A39">
        <w:rPr>
          <w:rFonts w:cs="Arial"/>
        </w:rPr>
        <w:t xml:space="preserve">tvořila </w:t>
      </w:r>
      <w:r w:rsidR="00823789">
        <w:rPr>
          <w:rFonts w:cs="Arial"/>
        </w:rPr>
        <w:t>částka, o</w:t>
      </w:r>
      <w:r w:rsidR="00EE5326">
        <w:rPr>
          <w:rFonts w:cs="Arial"/>
        </w:rPr>
        <w:t> </w:t>
      </w:r>
      <w:r w:rsidR="00823789">
        <w:rPr>
          <w:rFonts w:cs="Arial"/>
        </w:rPr>
        <w:t>kterou úhrn vsazených částek převyšoval úhrn vyplacených výher.</w:t>
      </w:r>
      <w:r w:rsidR="005C3D04">
        <w:rPr>
          <w:rFonts w:cs="Arial"/>
        </w:rPr>
        <w:t xml:space="preserve"> </w:t>
      </w:r>
      <w:r w:rsidR="001D2E83">
        <w:rPr>
          <w:rFonts w:cs="Arial"/>
        </w:rPr>
        <w:t>Odvodovým obdobím byl kalendářní rok.</w:t>
      </w:r>
    </w:p>
    <w:p w14:paraId="586C6AFD" w14:textId="27E84B77" w:rsidR="001D2E83" w:rsidRDefault="001D2E83" w:rsidP="005C3D04">
      <w:pPr>
        <w:rPr>
          <w:rFonts w:cs="Arial"/>
        </w:rPr>
      </w:pPr>
      <w:r>
        <w:rPr>
          <w:rFonts w:cs="Arial"/>
        </w:rPr>
        <w:t xml:space="preserve">Zákon o loteriích umožňoval </w:t>
      </w:r>
      <w:r w:rsidRPr="000243CC">
        <w:rPr>
          <w:rFonts w:cs="Arial"/>
          <w:b/>
        </w:rPr>
        <w:t>slevu na dani</w:t>
      </w:r>
      <w:r>
        <w:rPr>
          <w:rFonts w:cs="Arial"/>
        </w:rPr>
        <w:t xml:space="preserve"> z loterií</w:t>
      </w:r>
      <w:r w:rsidR="00C903DE">
        <w:rPr>
          <w:rFonts w:cs="Arial"/>
        </w:rPr>
        <w:t xml:space="preserve"> a jiných podobných her, kterou</w:t>
      </w:r>
      <w:r w:rsidR="00E90850">
        <w:rPr>
          <w:rFonts w:cs="Arial"/>
        </w:rPr>
        <w:t xml:space="preserve"> </w:t>
      </w:r>
      <w:r>
        <w:rPr>
          <w:rFonts w:cs="Arial"/>
        </w:rPr>
        <w:t>bylo možné uplatňovat až do výše 25</w:t>
      </w:r>
      <w:r w:rsidR="000C7EDC">
        <w:rPr>
          <w:rFonts w:cs="Arial"/>
        </w:rPr>
        <w:t> </w:t>
      </w:r>
      <w:r>
        <w:rPr>
          <w:rFonts w:cs="Arial"/>
        </w:rPr>
        <w:t xml:space="preserve">% z dílčího odvodu </w:t>
      </w:r>
      <w:r w:rsidR="003D1E4E">
        <w:rPr>
          <w:rFonts w:cs="Arial"/>
        </w:rPr>
        <w:t xml:space="preserve">z </w:t>
      </w:r>
      <w:r>
        <w:rPr>
          <w:rFonts w:cs="Arial"/>
        </w:rPr>
        <w:t xml:space="preserve">loterií a kursových sázek, pokud provozovatel poskytl odpovídající částku ve formě peněžitých darů </w:t>
      </w:r>
      <w:r w:rsidRPr="00631B96">
        <w:t>Českému olympijskému výboru na účely tělovýchovné a sportovní</w:t>
      </w:r>
      <w:r>
        <w:t>.</w:t>
      </w:r>
    </w:p>
    <w:p w14:paraId="52516272" w14:textId="2EA2D426" w:rsidR="004411E4" w:rsidRDefault="00356E50" w:rsidP="002049A0">
      <w:pPr>
        <w:pStyle w:val="Nadpis3"/>
      </w:pPr>
      <w:bookmarkStart w:id="3" w:name="_Toc73608287"/>
      <w:r>
        <w:t>Konkrétní popis regulace obsažené v zákoně o</w:t>
      </w:r>
      <w:r w:rsidR="00EE5326">
        <w:t> </w:t>
      </w:r>
      <w:r w:rsidR="002807C9">
        <w:t>dani</w:t>
      </w:r>
      <w:r>
        <w:t xml:space="preserve"> </w:t>
      </w:r>
      <w:r w:rsidR="00AB67A6">
        <w:t>z </w:t>
      </w:r>
      <w:r>
        <w:t xml:space="preserve">hazardních </w:t>
      </w:r>
      <w:r w:rsidR="00AE0996">
        <w:t>her</w:t>
      </w:r>
      <w:bookmarkEnd w:id="3"/>
    </w:p>
    <w:p w14:paraId="173A96E5" w14:textId="3523849A" w:rsidR="004A016E" w:rsidRDefault="002807C9" w:rsidP="004A016E">
      <w:pPr>
        <w:rPr>
          <w:rFonts w:cs="Arial"/>
        </w:rPr>
      </w:pPr>
      <w:r w:rsidRPr="00C11ECB">
        <w:rPr>
          <w:rFonts w:cs="Arial"/>
        </w:rPr>
        <w:t xml:space="preserve">Zdanění hazardních her </w:t>
      </w:r>
      <w:r>
        <w:rPr>
          <w:rFonts w:cs="Arial"/>
        </w:rPr>
        <w:t xml:space="preserve">v současnosti </w:t>
      </w:r>
      <w:r w:rsidRPr="00C11ECB">
        <w:rPr>
          <w:rFonts w:cs="Arial"/>
        </w:rPr>
        <w:t>upravuje zákon o</w:t>
      </w:r>
      <w:r w:rsidR="00EE5326">
        <w:rPr>
          <w:rFonts w:cs="Arial"/>
        </w:rPr>
        <w:t> </w:t>
      </w:r>
      <w:r w:rsidRPr="00C11ECB">
        <w:rPr>
          <w:rFonts w:cs="Arial"/>
        </w:rPr>
        <w:t>dani z hazardních her.</w:t>
      </w:r>
      <w:r w:rsidR="00E1189D">
        <w:rPr>
          <w:rFonts w:cs="Arial"/>
        </w:rPr>
        <w:t xml:space="preserve"> V zákoně o dani z hazardních her je s</w:t>
      </w:r>
      <w:r w:rsidR="00E1189D" w:rsidRPr="00C11ECB">
        <w:rPr>
          <w:rFonts w:cs="Arial"/>
        </w:rPr>
        <w:t>ubjekt daně z hazardních her označen</w:t>
      </w:r>
      <w:r w:rsidR="00E1189D">
        <w:rPr>
          <w:rFonts w:cs="Arial"/>
        </w:rPr>
        <w:t xml:space="preserve"> </w:t>
      </w:r>
      <w:r w:rsidR="00E1189D" w:rsidRPr="00C11ECB">
        <w:rPr>
          <w:rFonts w:cs="Arial"/>
        </w:rPr>
        <w:t>jako poplatník</w:t>
      </w:r>
      <w:r w:rsidR="00AE0996">
        <w:rPr>
          <w:rFonts w:cs="Arial"/>
        </w:rPr>
        <w:t xml:space="preserve"> daně</w:t>
      </w:r>
      <w:r w:rsidR="00E1189D" w:rsidRPr="00C11ECB">
        <w:rPr>
          <w:rFonts w:cs="Arial"/>
        </w:rPr>
        <w:t xml:space="preserve">, jelikož daň z hazardních her </w:t>
      </w:r>
      <w:r w:rsidR="00AE0996">
        <w:rPr>
          <w:rFonts w:cs="Arial"/>
        </w:rPr>
        <w:t>má charakter</w:t>
      </w:r>
      <w:r w:rsidR="00AE0996" w:rsidRPr="00C11ECB">
        <w:rPr>
          <w:rFonts w:cs="Arial"/>
        </w:rPr>
        <w:t xml:space="preserve"> </w:t>
      </w:r>
      <w:r w:rsidR="00E1189D" w:rsidRPr="00C11ECB">
        <w:rPr>
          <w:rFonts w:cs="Arial"/>
        </w:rPr>
        <w:t>přím</w:t>
      </w:r>
      <w:r w:rsidR="00AE0996">
        <w:rPr>
          <w:rFonts w:cs="Arial"/>
        </w:rPr>
        <w:t>é</w:t>
      </w:r>
      <w:r w:rsidR="00E1189D" w:rsidRPr="00C11ECB">
        <w:rPr>
          <w:rFonts w:cs="Arial"/>
        </w:rPr>
        <w:t xml:space="preserve"> dan</w:t>
      </w:r>
      <w:r w:rsidR="00AE0996">
        <w:rPr>
          <w:rFonts w:cs="Arial"/>
        </w:rPr>
        <w:t>ě</w:t>
      </w:r>
      <w:r w:rsidR="00E1189D" w:rsidRPr="00C11ECB">
        <w:rPr>
          <w:rFonts w:cs="Arial"/>
        </w:rPr>
        <w:t xml:space="preserve">. </w:t>
      </w:r>
      <w:r w:rsidR="00E1189D" w:rsidRPr="00356808">
        <w:rPr>
          <w:rFonts w:cs="Arial"/>
          <w:b/>
        </w:rPr>
        <w:t>Poplatníkem</w:t>
      </w:r>
      <w:r w:rsidR="00E1189D" w:rsidRPr="00C11ECB">
        <w:rPr>
          <w:rFonts w:cs="Arial"/>
        </w:rPr>
        <w:t xml:space="preserve"> je držitel základního povolení </w:t>
      </w:r>
      <w:r w:rsidR="00C94435">
        <w:rPr>
          <w:rFonts w:cs="Arial"/>
        </w:rPr>
        <w:t>po</w:t>
      </w:r>
      <w:r w:rsidR="00E1189D" w:rsidRPr="00C11ECB">
        <w:rPr>
          <w:rFonts w:cs="Arial"/>
        </w:rPr>
        <w:t>dle §</w:t>
      </w:r>
      <w:r w:rsidR="000C7EDC">
        <w:rPr>
          <w:rFonts w:cs="Arial"/>
        </w:rPr>
        <w:t> </w:t>
      </w:r>
      <w:r w:rsidR="00E1189D" w:rsidRPr="00C11ECB">
        <w:rPr>
          <w:rFonts w:cs="Arial"/>
        </w:rPr>
        <w:t>85 a 86 zákona o</w:t>
      </w:r>
      <w:r w:rsidR="00E1189D">
        <w:rPr>
          <w:rFonts w:cs="Arial"/>
        </w:rPr>
        <w:t> </w:t>
      </w:r>
      <w:r w:rsidR="00E1189D" w:rsidRPr="00C11ECB">
        <w:rPr>
          <w:rFonts w:cs="Arial"/>
        </w:rPr>
        <w:t>hazardních hrách</w:t>
      </w:r>
      <w:r w:rsidR="00353C18">
        <w:rPr>
          <w:rFonts w:cs="Arial"/>
        </w:rPr>
        <w:t xml:space="preserve">, </w:t>
      </w:r>
      <w:r w:rsidR="00E1189D" w:rsidRPr="00C11ECB">
        <w:rPr>
          <w:rFonts w:cs="Arial"/>
        </w:rPr>
        <w:t>nebo ten, kdo provozuje hazardní hru, k jejímuž provozování je takové</w:t>
      </w:r>
      <w:r w:rsidR="008A1383">
        <w:rPr>
          <w:rFonts w:cs="Arial"/>
        </w:rPr>
        <w:t>ho povolení potřeba, či </w:t>
      </w:r>
      <w:r w:rsidR="00E1189D" w:rsidRPr="00C11ECB">
        <w:rPr>
          <w:rFonts w:cs="Arial"/>
        </w:rPr>
        <w:t xml:space="preserve">ohlašovatel hazardní hry </w:t>
      </w:r>
      <w:r w:rsidR="00C94435">
        <w:rPr>
          <w:rFonts w:cs="Arial"/>
        </w:rPr>
        <w:t>po</w:t>
      </w:r>
      <w:r w:rsidR="00E1189D" w:rsidRPr="00C11ECB">
        <w:rPr>
          <w:rFonts w:cs="Arial"/>
        </w:rPr>
        <w:t>dle §</w:t>
      </w:r>
      <w:r w:rsidR="000C7EDC">
        <w:rPr>
          <w:rFonts w:cs="Arial"/>
        </w:rPr>
        <w:t> </w:t>
      </w:r>
      <w:r w:rsidR="00E1189D" w:rsidRPr="00C11ECB">
        <w:rPr>
          <w:rFonts w:cs="Arial"/>
        </w:rPr>
        <w:t>105 a 106 zákona o hazardních hrách</w:t>
      </w:r>
      <w:r w:rsidR="00353C18">
        <w:rPr>
          <w:rFonts w:cs="Arial"/>
        </w:rPr>
        <w:t>,</w:t>
      </w:r>
      <w:r w:rsidR="00E1189D" w:rsidRPr="00C11ECB">
        <w:rPr>
          <w:rFonts w:cs="Arial"/>
        </w:rPr>
        <w:t xml:space="preserve"> nebo ten, kdo provozuje hazardní hru, k jejímuž provozování je potřeba ohlášení.</w:t>
      </w:r>
      <w:r w:rsidR="00E1189D">
        <w:rPr>
          <w:rFonts w:cs="Arial"/>
        </w:rPr>
        <w:t xml:space="preserve"> Dani tak </w:t>
      </w:r>
      <w:r w:rsidR="00E1189D" w:rsidRPr="00356808">
        <w:rPr>
          <w:rFonts w:cs="Arial"/>
          <w:b/>
        </w:rPr>
        <w:t xml:space="preserve">podléhá </w:t>
      </w:r>
      <w:r w:rsidR="00B77446">
        <w:rPr>
          <w:rFonts w:cs="Arial"/>
          <w:b/>
        </w:rPr>
        <w:t xml:space="preserve">vedle </w:t>
      </w:r>
      <w:r w:rsidR="00E1189D" w:rsidRPr="00356808">
        <w:rPr>
          <w:rFonts w:cs="Arial"/>
          <w:b/>
        </w:rPr>
        <w:t>legální</w:t>
      </w:r>
      <w:r w:rsidR="00B77446">
        <w:rPr>
          <w:rFonts w:cs="Arial"/>
          <w:b/>
        </w:rPr>
        <w:t>ho</w:t>
      </w:r>
      <w:r w:rsidR="00E1189D" w:rsidRPr="00356808">
        <w:rPr>
          <w:rFonts w:cs="Arial"/>
          <w:b/>
        </w:rPr>
        <w:t xml:space="preserve"> </w:t>
      </w:r>
      <w:r w:rsidR="00B77446">
        <w:rPr>
          <w:rFonts w:cs="Arial"/>
        </w:rPr>
        <w:t>nově</w:t>
      </w:r>
      <w:r w:rsidR="00B77446" w:rsidRPr="00356808">
        <w:rPr>
          <w:rFonts w:cs="Arial"/>
          <w:b/>
        </w:rPr>
        <w:t xml:space="preserve"> </w:t>
      </w:r>
      <w:r w:rsidR="00E1189D" w:rsidRPr="00356808">
        <w:rPr>
          <w:rFonts w:cs="Arial"/>
          <w:b/>
        </w:rPr>
        <w:t>i nelegální provozování</w:t>
      </w:r>
      <w:r w:rsidR="00E1189D">
        <w:rPr>
          <w:rFonts w:cs="Arial"/>
        </w:rPr>
        <w:t xml:space="preserve"> hazardních her, mezi které patří </w:t>
      </w:r>
      <w:r w:rsidR="00E1189D" w:rsidRPr="009338A1">
        <w:rPr>
          <w:rFonts w:cs="Arial"/>
        </w:rPr>
        <w:t>loterie, kursová sázka, totalizátorová hra, bingo, technická hra, živá hra, turnaj malého rozsahu a tombola, u níž výše herní jistiny činí více než 100 000 Kč.</w:t>
      </w:r>
      <w:r w:rsidR="00E1189D" w:rsidRPr="00C11ECB">
        <w:rPr>
          <w:rFonts w:cs="Arial"/>
        </w:rPr>
        <w:t xml:space="preserve"> </w:t>
      </w:r>
    </w:p>
    <w:p w14:paraId="363095D1" w14:textId="77777777" w:rsidR="000D1C5B" w:rsidRPr="00D10D1B" w:rsidRDefault="000D1C5B" w:rsidP="00687932">
      <w:pPr>
        <w:pStyle w:val="Nadpis5"/>
      </w:pPr>
      <w:bookmarkStart w:id="4" w:name="_Toc73608288"/>
      <w:r>
        <w:t>Daň z hazardních her obecně</w:t>
      </w:r>
      <w:bookmarkEnd w:id="4"/>
    </w:p>
    <w:p w14:paraId="49AD5384" w14:textId="2954C9E4" w:rsidR="000D1C5B" w:rsidRDefault="000D1C5B" w:rsidP="000D1C5B">
      <w:r>
        <w:t xml:space="preserve">Jedním z hlavních cílů zákona o hazardních hrách bylo umožnit legální provozování hazardních her prostřednictvím internetu. V důsledku postupného navyšování podílu provozování hazardních her prostřednictvím internetu se tak od nabytí účinnosti tohoto zákona každoročně </w:t>
      </w:r>
      <w:r w:rsidRPr="004C5187">
        <w:rPr>
          <w:b/>
        </w:rPr>
        <w:t>zvyšují dílčí základy daně z internetových her</w:t>
      </w:r>
      <w:r w:rsidR="008A1383">
        <w:rPr>
          <w:b/>
        </w:rPr>
        <w:t>,</w:t>
      </w:r>
      <w:r>
        <w:t xml:space="preserve"> a tedy i</w:t>
      </w:r>
      <w:r w:rsidR="002E6AC8">
        <w:t> </w:t>
      </w:r>
      <w:r>
        <w:t>výnosy daně z takto provozovaných hazardních her.</w:t>
      </w:r>
      <w:r w:rsidRPr="00964EC8" w:rsidDel="0090592D">
        <w:t xml:space="preserve"> </w:t>
      </w:r>
    </w:p>
    <w:p w14:paraId="1969D263" w14:textId="5FB0462C" w:rsidR="000D1C5B" w:rsidRDefault="000D1C5B" w:rsidP="000D1C5B">
      <w:r>
        <w:t xml:space="preserve">Zákon o dani z hazardních her rozlišuje daňové </w:t>
      </w:r>
      <w:r w:rsidRPr="004C5187">
        <w:rPr>
          <w:b/>
        </w:rPr>
        <w:t>sazby podle jednotlivých druhů hazardních her</w:t>
      </w:r>
      <w:r>
        <w:t xml:space="preserve">, avšak sazby daně se nijak nerozlišují dle způsobu provozování hazardní hry. Kritériem pro určení výše sazby daně je především </w:t>
      </w:r>
      <w:r w:rsidRPr="004C5187">
        <w:rPr>
          <w:b/>
        </w:rPr>
        <w:t>společenská škodlivost a rizikovost</w:t>
      </w:r>
      <w:r>
        <w:t xml:space="preserve"> konkrétního druhu hazardní hry a také jeho </w:t>
      </w:r>
      <w:r w:rsidRPr="004C5187">
        <w:rPr>
          <w:b/>
        </w:rPr>
        <w:t>ziskovost</w:t>
      </w:r>
      <w:r>
        <w:t xml:space="preserve">. Technická hra je považována za nejrizikovější hazardní hru s největšími negativními dopady na společnost, a proto je zatížena nejvyšší daňovou sazbou. Ostatní, méně rizikové, hazardní hry jsou zatíženy nižší daňovou sazbou. </w:t>
      </w:r>
      <w:r w:rsidR="00985328">
        <w:t xml:space="preserve">Mimo rámec rizikovosti je v případě sazby u zdanění loterií zohledněn ještě jeden aspekt, a to ziskovost, což je důvodem pro zahrnutí loterie do vyšší daňové sazby. </w:t>
      </w:r>
    </w:p>
    <w:p w14:paraId="7EF9159F" w14:textId="509626C7" w:rsidR="00A63FFE" w:rsidRDefault="002A4CA5" w:rsidP="000D1C5B">
      <w:r>
        <w:lastRenderedPageBreak/>
        <w:t xml:space="preserve">Smyslem zákona o dani z hazardních her bylo regulovat nabídku hazardních her tím způsobem, aby provozování hazardních her, zejména těch nejvíce rizikových, bylo pro provozovatele méně atraktivní a v případě </w:t>
      </w:r>
      <w:r w:rsidR="00103BB4">
        <w:t xml:space="preserve">jejich </w:t>
      </w:r>
      <w:r>
        <w:t xml:space="preserve">provozování se rovněž podílelo fiskálně více na příjmech veřejných rozpočtů, čímž by se zohledňovaly větší sociální dopady těchto her, které mají naopak vazbu na výdaje či snížení příjmů veřejných rozpočtů z důvodů problémového hráčství. </w:t>
      </w:r>
    </w:p>
    <w:p w14:paraId="0D9340E6" w14:textId="2E83BA43" w:rsidR="00A72DC6" w:rsidRDefault="00A72DC6" w:rsidP="00A72DC6">
      <w:r>
        <w:t>Obecně platí, že s rostoucí daňovou sazbou rostou i daňové výnosy, pokud tedy daňové zatížení nepřekročí určitou úroveň (Lafferův bod), od které by každé další zvýšení daně vyvolalo snížení výnosů daně. P</w:t>
      </w:r>
      <w:r w:rsidR="00804973">
        <w:t>ro běžné daně tedy platí, že za </w:t>
      </w:r>
      <w:r>
        <w:t xml:space="preserve">Lafferovým bodem se nachází tzv. zakázaná zóna, neboť rozpočtový výnos dané daně odpovídá rozpočtovému výnosu, který rovněž odpovídá zdanění na podstatně nižší úrovni daňové sazby. V těchto rozpočtově ekvivalentních variantách pak varianta reprezentovaná nižší daňovou sazbou má však u standardních daní podstatnou výhodu v tom, že je u ní výrazně méně potlačována ekonomická aktivita, proto se u standardních daní volí vždy mezi těmito dvěma variantami rozpočtového výnosu ta, která má nižší dopady do útlumu činnosti, na které je daň uvalena. </w:t>
      </w:r>
    </w:p>
    <w:p w14:paraId="652D5CCB" w14:textId="42BA662D" w:rsidR="00A72DC6" w:rsidRDefault="00A72DC6" w:rsidP="00A72DC6">
      <w:r>
        <w:t>Daň z hazardních her však v této věci není standardní daní. Stejně jako i u jiných daní, které se zaměřují na zdaňování externalit (ať již do životního prostřední nebo na zdraví), není fiskální kritérium jediným kritériem. Druhým</w:t>
      </w:r>
      <w:r w:rsidR="0096135C">
        <w:t xml:space="preserve"> kritériem</w:t>
      </w:r>
      <w:r>
        <w:t xml:space="preserve"> totiž zpravidla bývá i</w:t>
      </w:r>
      <w:r w:rsidR="0096135C">
        <w:t> </w:t>
      </w:r>
      <w:r>
        <w:t>určitá regulatorní funkce limitující spotřebu daného produktu. Z tohoto důvodu není</w:t>
      </w:r>
      <w:r w:rsidR="00B448F6">
        <w:t xml:space="preserve"> přesné</w:t>
      </w:r>
      <w:r>
        <w:t xml:space="preserve"> u těchto daní oblast z</w:t>
      </w:r>
      <w:r w:rsidR="0096135C">
        <w:t>a</w:t>
      </w:r>
      <w:r>
        <w:t xml:space="preserve"> Lafferovým bodem nazývat „zakázanou zónou“, neboť požadavek na prohibitivnost regulatorních opatření může zastínit požadavek na maximalizaci daňového inkasa. V těchto případech je pak vyšší omezení určité aktivity, která produkuje negativní externality, naopak vnímáno jako pozitivum varianty </w:t>
      </w:r>
      <w:r w:rsidR="00DA1BAF">
        <w:t>s relativně vyšší daní</w:t>
      </w:r>
      <w:r>
        <w:t>. Z hlediska daňové analýzy však má Lafferův bod i</w:t>
      </w:r>
      <w:r w:rsidR="0096135C">
        <w:t> </w:t>
      </w:r>
      <w:r>
        <w:t>nadále význam, a to pro očekávaný vývoj inkasa při nastavování daňové sazby.</w:t>
      </w:r>
    </w:p>
    <w:p w14:paraId="4CCB0544" w14:textId="41D4D225" w:rsidR="000D1C5B" w:rsidRDefault="005A4C2F" w:rsidP="00A72DC6">
      <w:r>
        <w:t xml:space="preserve">Ovšem </w:t>
      </w:r>
      <w:r w:rsidR="00A72DC6">
        <w:t xml:space="preserve">dosud </w:t>
      </w:r>
      <w:r>
        <w:t xml:space="preserve">nastavované </w:t>
      </w:r>
      <w:r w:rsidR="00A72DC6">
        <w:t>daňové sazby daně z hazardních her v České republice tento</w:t>
      </w:r>
      <w:r>
        <w:t xml:space="preserve"> Lafferův</w:t>
      </w:r>
      <w:r w:rsidR="00A72DC6">
        <w:t xml:space="preserve"> bod nepřekročil</w:t>
      </w:r>
      <w:r>
        <w:t>y</w:t>
      </w:r>
      <w:r w:rsidR="00A72DC6">
        <w:t>, a to ani v případě výše uvedeného zvýšení daňové sazby u loterie</w:t>
      </w:r>
      <w:r>
        <w:t>,</w:t>
      </w:r>
      <w:r w:rsidR="00A72DC6">
        <w:t xml:space="preserve"> </w:t>
      </w:r>
      <w:r>
        <w:t>u které se</w:t>
      </w:r>
      <w:r w:rsidR="00A72DC6">
        <w:t xml:space="preserve"> za rok 2020 zvýšily nejen daňové výnosy, ale stoupl i její dílčí základ daně.</w:t>
      </w:r>
    </w:p>
    <w:p w14:paraId="372FC0B1" w14:textId="5F1B91EB" w:rsidR="009A52EA" w:rsidRDefault="009A52EA" w:rsidP="009A52EA">
      <w:r>
        <w:t xml:space="preserve">Stanovení daňové sazby u jednotlivých druhů hazardních her je určeno jejich rizikovostí a ziskovostí. Z důvodu stanovení optimální daňové sazby se konstruuje Lafferova křivka, která zobrazuje maximální daňovou sazbu, která může být zvolena za účelem maximalizování výnosů z daně. V souvislosti s přípravou zákona o dani z hazardních her byly zkonstruovány </w:t>
      </w:r>
      <w:r w:rsidRPr="001C5F8D">
        <w:rPr>
          <w:b/>
        </w:rPr>
        <w:t>dvě Lafferovy křivky, jedna pro technickou hru a  druhá pro ostatní hry jako celek</w:t>
      </w:r>
      <w:r>
        <w:t>. Důvodem pro vykonstruování pouze dvou křivek byla skutečnost, že vytvoření spolehlivé Lafferovy křivky pro daný druh hazardní hry vyžaduje značné množství ekonomických dat, které v době přípravy současné právní regulace provozování hazardních her a souvisejícího rámce zdanění byly dostupné pouze pro trh s technickou hrou. Technická hra byla z důvodu její velké rizikovosti také intenzivněji pozorována. Pro ostatní hazardní hry (v tu dobu hodnocené jako méně rizikové) nebylo zapotřebí znát Lafferův bod s přesností na jednotky bodů (a zároveň zde existoval určitý deficit dostupných a důvěryhodných dat pro přesné vyčíslení), jelikož nebylo pochyb o tom, že navrhovaná sazba daně byla stanovena pod úrovní maximální daňové sazby. Proto byla dostačující agregovaná Lafferova křivka společná pro všechny druhy hazardních her kromě technické hry.</w:t>
      </w:r>
      <w:r>
        <w:rPr>
          <w:b/>
          <w:bCs/>
        </w:rPr>
        <w:t xml:space="preserve"> </w:t>
      </w:r>
      <w:r>
        <w:t xml:space="preserve">Za účelem zhodnocení aktuálního stavu zdanění provozování hazardních her, v rámci kterého mohlo dojít v souvislosti s účinností zákona o hazardních hrách k dílčím změnám, </w:t>
      </w:r>
      <w:r>
        <w:lastRenderedPageBreak/>
        <w:t xml:space="preserve">které mohou mít na Lafferovu křivku vliv, by </w:t>
      </w:r>
      <w:r w:rsidRPr="001C5F8D">
        <w:rPr>
          <w:b/>
        </w:rPr>
        <w:t>bylo vhodné aktualizovat Lafferovu křivku</w:t>
      </w:r>
      <w:r>
        <w:t>. Tato aktualizace umožní dosáhnout optimálnějších výnosů výběru daní.</w:t>
      </w:r>
    </w:p>
    <w:p w14:paraId="30E594F0" w14:textId="436CE33B" w:rsidR="009A52EA" w:rsidRDefault="009A52EA" w:rsidP="009A52EA">
      <w:r>
        <w:t>Bylo by vhodné vytvořit</w:t>
      </w:r>
      <w:r w:rsidR="001542CD">
        <w:t xml:space="preserve"> </w:t>
      </w:r>
      <w:r w:rsidR="001542CD" w:rsidRPr="001C5F8D">
        <w:rPr>
          <w:b/>
        </w:rPr>
        <w:t>samostatné</w:t>
      </w:r>
      <w:r w:rsidRPr="001C5F8D">
        <w:rPr>
          <w:b/>
        </w:rPr>
        <w:t xml:space="preserve"> Lafferovy křivky pro jednotlivé druhy hazardních her a zároveň také</w:t>
      </w:r>
      <w:r w:rsidR="001542CD" w:rsidRPr="001C5F8D">
        <w:rPr>
          <w:b/>
        </w:rPr>
        <w:t xml:space="preserve"> i</w:t>
      </w:r>
      <w:r w:rsidRPr="001C5F8D">
        <w:rPr>
          <w:b/>
        </w:rPr>
        <w:t xml:space="preserve"> pro způsoby provozování</w:t>
      </w:r>
      <w:r>
        <w:t xml:space="preserve"> hazardních her formou land-based a prostřednictvím internetu. </w:t>
      </w:r>
      <w:r w:rsidRPr="001C5F8D">
        <w:rPr>
          <w:b/>
        </w:rPr>
        <w:t>Problémem je dostupnost kompletních dat</w:t>
      </w:r>
      <w:r>
        <w:t>, ze kterých by tyto Lafferovy křivky měly vycházet. Pro tuto konstrukci totiž nejsou dostatečná ani v odpovídajícím rozlišení např. data, která jsou sbírána v rámci reportingu či dostupná správci daně z daňových přiznání. Absentuje zde zejména bližší vymezení nákladové strany provozování hazardních her a i celkové odlišení od ostatních aktivit provozovatelů. Ochota poskytnout ze strany provozovatelů interní kalkulace apod. je minimální. U dat získaných od provozovatelů je nutné zohledňovat i riziko kvality a důvěryhodnosti takto získaných dat.</w:t>
      </w:r>
    </w:p>
    <w:p w14:paraId="46C698A9" w14:textId="345062F0" w:rsidR="000D1C5B" w:rsidRDefault="00E65B43" w:rsidP="000D1C5B">
      <w:r>
        <w:t xml:space="preserve">Na daňové inkaso mají vliv i další prvky regulace. </w:t>
      </w:r>
      <w:r w:rsidR="000D1C5B">
        <w:t xml:space="preserve">V případě technické hry bylo cílem zákona o hazardních hrách snížit počet provozovaných herních pozic technické hry, tedy </w:t>
      </w:r>
      <w:r w:rsidR="000D1C5B" w:rsidRPr="00DC4376">
        <w:rPr>
          <w:b/>
        </w:rPr>
        <w:t>snížit</w:t>
      </w:r>
      <w:r w:rsidR="000D1C5B">
        <w:t xml:space="preserve"> její </w:t>
      </w:r>
      <w:r w:rsidR="000D1C5B" w:rsidRPr="00DC4376">
        <w:rPr>
          <w:b/>
        </w:rPr>
        <w:t>dostupnost</w:t>
      </w:r>
      <w:r w:rsidR="000D1C5B">
        <w:t>. V</w:t>
      </w:r>
      <w:r w:rsidR="00C033E2">
        <w:t> </w:t>
      </w:r>
      <w:r w:rsidR="000D1C5B">
        <w:t>roce</w:t>
      </w:r>
      <w:r w:rsidR="00C033E2">
        <w:t> </w:t>
      </w:r>
      <w:r w:rsidR="000D1C5B">
        <w:t>2018</w:t>
      </w:r>
      <w:r w:rsidR="002F28B8">
        <w:t> </w:t>
      </w:r>
      <w:r w:rsidR="000D1C5B">
        <w:t>znatelně poklesl počet povolených technických zařízení, což bylo s největší pravděpodobností zapříčiněno</w:t>
      </w:r>
      <w:r w:rsidR="00AA1E19">
        <w:t xml:space="preserve"> právě</w:t>
      </w:r>
      <w:r w:rsidR="000D1C5B">
        <w:t xml:space="preserve"> postupným uplynutím platnosti těch povolení, která byla vydána podle zákona o</w:t>
      </w:r>
      <w:r w:rsidR="00FB4509">
        <w:t> </w:t>
      </w:r>
      <w:r w:rsidR="000D1C5B">
        <w:t>loteriích.</w:t>
      </w:r>
      <w:r w:rsidR="00AA1E19">
        <w:t xml:space="preserve"> Určitý vliv má také přirozen</w:t>
      </w:r>
      <w:r w:rsidR="001C5F8D">
        <w:t>ý přesun k internetovému sázení</w:t>
      </w:r>
      <w:r w:rsidR="000D1C5B">
        <w:t xml:space="preserve">. </w:t>
      </w:r>
      <w:r w:rsidR="001C5F8D" w:rsidRPr="001C5F8D">
        <w:t xml:space="preserve"> </w:t>
      </w:r>
      <w:r w:rsidR="001C5F8D">
        <w:t>Plnění cíle snížit počet herních pozic s sebou přináší právě vedlejší dopad v podobě snižování daňových výnosů dílčí daně z technické hry, ovšem tyto dopady byly při stanovování cíle zákona o hazardních hrách zohledněny.</w:t>
      </w:r>
    </w:p>
    <w:p w14:paraId="5CAD9602" w14:textId="3599E0FF" w:rsidR="00ED1F73" w:rsidRDefault="00ED1F73" w:rsidP="004A016E">
      <w:pPr>
        <w:rPr>
          <w:rFonts w:cs="Arial"/>
        </w:rPr>
      </w:pPr>
      <w:r w:rsidRPr="00356808">
        <w:rPr>
          <w:rFonts w:cs="Arial"/>
        </w:rPr>
        <w:t>Předmětem daně</w:t>
      </w:r>
      <w:r w:rsidR="003B0BED">
        <w:rPr>
          <w:rFonts w:cs="Arial"/>
        </w:rPr>
        <w:t xml:space="preserve"> z hazardních her</w:t>
      </w:r>
      <w:r w:rsidRPr="00C11ECB">
        <w:rPr>
          <w:rFonts w:cs="Arial"/>
        </w:rPr>
        <w:t xml:space="preserve"> je </w:t>
      </w:r>
      <w:r w:rsidR="003B0BED">
        <w:rPr>
          <w:rFonts w:cs="Arial"/>
        </w:rPr>
        <w:t>po</w:t>
      </w:r>
      <w:r w:rsidR="003B0BED" w:rsidRPr="00C11ECB">
        <w:rPr>
          <w:rFonts w:cs="Arial"/>
        </w:rPr>
        <w:t>dle §</w:t>
      </w:r>
      <w:r w:rsidR="003B0BED">
        <w:rPr>
          <w:rFonts w:cs="Arial"/>
        </w:rPr>
        <w:t> </w:t>
      </w:r>
      <w:r w:rsidR="003B0BED" w:rsidRPr="00C11ECB">
        <w:rPr>
          <w:rFonts w:cs="Arial"/>
        </w:rPr>
        <w:t xml:space="preserve">2 zákona o dani z hazardních her </w:t>
      </w:r>
      <w:r w:rsidRPr="00C11ECB">
        <w:rPr>
          <w:rFonts w:cs="Arial"/>
        </w:rPr>
        <w:t>provozování hazardní hr</w:t>
      </w:r>
      <w:r w:rsidR="003B0BED">
        <w:rPr>
          <w:rFonts w:cs="Arial"/>
        </w:rPr>
        <w:t>y</w:t>
      </w:r>
      <w:r w:rsidRPr="00C11ECB">
        <w:rPr>
          <w:rFonts w:cs="Arial"/>
        </w:rPr>
        <w:t xml:space="preserve"> na území České republiky pro účastníka hazardní hry</w:t>
      </w:r>
      <w:r w:rsidR="00F67EA6">
        <w:rPr>
          <w:rFonts w:cs="Arial"/>
        </w:rPr>
        <w:t>, pokud je k provozování této hry potřeba z</w:t>
      </w:r>
      <w:r w:rsidR="00BF14F6">
        <w:rPr>
          <w:rFonts w:cs="Arial"/>
        </w:rPr>
        <w:t>ákladní povolení podle zákona o </w:t>
      </w:r>
      <w:r w:rsidR="00F67EA6">
        <w:rPr>
          <w:rFonts w:cs="Arial"/>
        </w:rPr>
        <w:t>hazardních hrách, nebo tato hra má být podle zákona o hazardních hrách ohlášena.</w:t>
      </w:r>
      <w:r w:rsidRPr="00C11ECB">
        <w:rPr>
          <w:rFonts w:cs="Arial"/>
        </w:rPr>
        <w:t xml:space="preserve"> </w:t>
      </w:r>
      <w:r w:rsidR="003B0BED">
        <w:rPr>
          <w:rFonts w:cs="Arial"/>
        </w:rPr>
        <w:t>P</w:t>
      </w:r>
      <w:r w:rsidRPr="00C11ECB">
        <w:rPr>
          <w:rFonts w:cs="Arial"/>
        </w:rPr>
        <w:t>romítá se zde princip teritoriality zdanění.</w:t>
      </w:r>
      <w:r>
        <w:rPr>
          <w:rFonts w:cs="Arial"/>
        </w:rPr>
        <w:t xml:space="preserve"> </w:t>
      </w:r>
      <w:r w:rsidR="009B131A" w:rsidRPr="009B131A">
        <w:rPr>
          <w:rFonts w:cs="Arial"/>
        </w:rPr>
        <w:t>Pro hry provozované prostřednictvím internetu se teritoriální princip uplatní v modifikované variantě, protože internet ze své povahy žádné</w:t>
      </w:r>
      <w:r w:rsidR="009B131A">
        <w:rPr>
          <w:rFonts w:cs="Arial"/>
        </w:rPr>
        <w:t xml:space="preserve"> hranice nemá. Proto je nutné v </w:t>
      </w:r>
      <w:r w:rsidR="009B131A" w:rsidRPr="009B131A">
        <w:rPr>
          <w:rFonts w:cs="Arial"/>
        </w:rPr>
        <w:t>případě internetových her zvolit jiné kritérium pro určení, že hra probíhá na území České republiky. Tímto kritériem je bydliště osob, na které se provozovatel hazardní hry alespoň z části při provozování hry zaměřuje nebo na které alespoň z části cílí. Zákon o hazardních hrách, ani zákon o dani z hazardních her pojem bydliště nevymezuje, a tedy se použije úprava zavedená v soukromém právu. Podle § 80 občanského zákoníku je bydlištěm osoby mís</w:t>
      </w:r>
      <w:r w:rsidR="00BF14F6">
        <w:rPr>
          <w:rFonts w:cs="Arial"/>
        </w:rPr>
        <w:t>to, kde se tato osoba zdržuje s </w:t>
      </w:r>
      <w:r w:rsidR="009B131A" w:rsidRPr="009B131A">
        <w:rPr>
          <w:rFonts w:cs="Arial"/>
        </w:rPr>
        <w:t>úmyslem žít tam s výhradou změny okolností trvale.</w:t>
      </w:r>
      <w:r w:rsidR="009B131A">
        <w:rPr>
          <w:rFonts w:cs="Arial"/>
        </w:rPr>
        <w:t xml:space="preserve"> </w:t>
      </w:r>
      <w:r w:rsidR="005723F5">
        <w:rPr>
          <w:rFonts w:cs="Arial"/>
        </w:rPr>
        <w:t xml:space="preserve">Za účastníka hazardní hry je podle </w:t>
      </w:r>
      <w:r w:rsidR="005723F5" w:rsidRPr="00C11ECB">
        <w:rPr>
          <w:rFonts w:cs="Arial"/>
        </w:rPr>
        <w:t>§</w:t>
      </w:r>
      <w:r w:rsidR="005723F5">
        <w:rPr>
          <w:rFonts w:cs="Arial"/>
        </w:rPr>
        <w:t> 4 odst. 1 zákona o hazardních hrách považována taková fyzická osoba, která se k účasti na hazardní hře registrovala</w:t>
      </w:r>
      <w:r w:rsidR="005723F5">
        <w:rPr>
          <w:rStyle w:val="Znakapoznpodarou"/>
          <w:rFonts w:cs="Arial"/>
        </w:rPr>
        <w:footnoteReference w:id="1"/>
      </w:r>
      <w:r w:rsidR="005723F5">
        <w:rPr>
          <w:rFonts w:cs="Arial"/>
        </w:rPr>
        <w:t xml:space="preserve"> nebo zaplatila vklad.</w:t>
      </w:r>
    </w:p>
    <w:p w14:paraId="0A60B6C7" w14:textId="2F0F77A4" w:rsidR="009E45C8" w:rsidRDefault="009E45C8" w:rsidP="004A016E">
      <w:pPr>
        <w:rPr>
          <w:rFonts w:cs="Arial"/>
        </w:rPr>
      </w:pPr>
      <w:r>
        <w:rPr>
          <w:rFonts w:cs="Arial"/>
        </w:rPr>
        <w:t>Speciální předmět daně z hazardních her je podle</w:t>
      </w:r>
      <w:r w:rsidR="00E21104">
        <w:rPr>
          <w:rFonts w:cs="Arial"/>
        </w:rPr>
        <w:t xml:space="preserve"> </w:t>
      </w:r>
      <w:r>
        <w:rPr>
          <w:rFonts w:cs="Arial"/>
        </w:rPr>
        <w:t>§</w:t>
      </w:r>
      <w:r w:rsidR="00E21104">
        <w:rPr>
          <w:rFonts w:cs="Arial"/>
        </w:rPr>
        <w:t> </w:t>
      </w:r>
      <w:r>
        <w:rPr>
          <w:rFonts w:cs="Arial"/>
        </w:rPr>
        <w:t>2</w:t>
      </w:r>
      <w:r w:rsidR="00E21104">
        <w:rPr>
          <w:rFonts w:cs="Arial"/>
        </w:rPr>
        <w:t> </w:t>
      </w:r>
      <w:r>
        <w:rPr>
          <w:rFonts w:cs="Arial"/>
        </w:rPr>
        <w:t>odst.</w:t>
      </w:r>
      <w:r w:rsidR="00E21104">
        <w:rPr>
          <w:rFonts w:cs="Arial"/>
        </w:rPr>
        <w:t> </w:t>
      </w:r>
      <w:r>
        <w:rPr>
          <w:rFonts w:cs="Arial"/>
        </w:rPr>
        <w:t>3 zákona o</w:t>
      </w:r>
      <w:r w:rsidR="00497683">
        <w:rPr>
          <w:rFonts w:cs="Arial"/>
        </w:rPr>
        <w:t> </w:t>
      </w:r>
      <w:r>
        <w:rPr>
          <w:rFonts w:cs="Arial"/>
        </w:rPr>
        <w:t xml:space="preserve">dani z hazardních her </w:t>
      </w:r>
      <w:r w:rsidR="00E21104">
        <w:rPr>
          <w:rFonts w:cs="Arial"/>
        </w:rPr>
        <w:t xml:space="preserve">upraven </w:t>
      </w:r>
      <w:r>
        <w:rPr>
          <w:rFonts w:cs="Arial"/>
        </w:rPr>
        <w:t xml:space="preserve">pro takové hazardní hry, které jsou provozovány prostřednictvím internetu, a při kterých účastník hazardní hry hraje proti jiné osobě, která se k účasti na hazardní hře registrovala nebo zaplatila </w:t>
      </w:r>
      <w:r w:rsidR="00662AA1">
        <w:rPr>
          <w:rFonts w:cs="Arial"/>
        </w:rPr>
        <w:t>vklad, a která</w:t>
      </w:r>
      <w:r>
        <w:rPr>
          <w:rFonts w:cs="Arial"/>
        </w:rPr>
        <w:t xml:space="preserve"> nemá bydliště na území České republiky. Tyto hry nejsou speciálním druhem hazardní hry podle zákona o</w:t>
      </w:r>
      <w:r w:rsidR="00497683">
        <w:rPr>
          <w:rFonts w:cs="Arial"/>
        </w:rPr>
        <w:t> </w:t>
      </w:r>
      <w:r>
        <w:rPr>
          <w:rFonts w:cs="Arial"/>
        </w:rPr>
        <w:t xml:space="preserve"> hazardních hrách, ve většině případů se tak bude jednat o</w:t>
      </w:r>
      <w:r w:rsidR="00497683">
        <w:rPr>
          <w:rFonts w:cs="Arial"/>
        </w:rPr>
        <w:t> </w:t>
      </w:r>
      <w:r>
        <w:rPr>
          <w:rFonts w:cs="Arial"/>
        </w:rPr>
        <w:t>živou hru, zvláště pak pokerové hry.</w:t>
      </w:r>
    </w:p>
    <w:p w14:paraId="3B50A0EC" w14:textId="5AC6DEC1" w:rsidR="00F40CF9" w:rsidRDefault="00F40CF9" w:rsidP="00F40CF9">
      <w:pPr>
        <w:spacing w:after="0"/>
        <w:rPr>
          <w:rFonts w:cs="Arial"/>
        </w:rPr>
      </w:pPr>
      <w:r>
        <w:rPr>
          <w:rFonts w:cs="Arial"/>
        </w:rPr>
        <w:t xml:space="preserve">Základem daně takto provozovaných her bude poměrná část provize, kterou provozovatel za hru získává, připadající na </w:t>
      </w:r>
      <w:r w:rsidR="00992BD5">
        <w:rPr>
          <w:rFonts w:cs="Arial"/>
        </w:rPr>
        <w:t xml:space="preserve">účastníka hazardní hry </w:t>
      </w:r>
      <w:r>
        <w:rPr>
          <w:rFonts w:cs="Arial"/>
        </w:rPr>
        <w:t>s bydlištěm na území České republiky (účastník hazardní hry). Tento dílčí základ daně se vypočte jako součin částky, o kterou úhrn přijatých vkladů převyšuje úhrn vyplacených výher, a poměru úhrnu přijatých vkladů od účastníka hazardní hry a úhrnu všech přijatých vkladů, od</w:t>
      </w:r>
      <w:r w:rsidR="009B131A">
        <w:rPr>
          <w:rFonts w:cs="Arial"/>
        </w:rPr>
        <w:t> </w:t>
      </w:r>
      <w:r>
        <w:rPr>
          <w:rFonts w:cs="Arial"/>
        </w:rPr>
        <w:t>které je odečten úhrn vkladů vrácených účastníkovi hazardní hry. Pro přehlednost lze tento výpočet znázornit následujícím vzorcem:</w:t>
      </w:r>
    </w:p>
    <w:p w14:paraId="1F3A5328" w14:textId="77777777" w:rsidR="00F40CF9" w:rsidRDefault="00F40CF9" w:rsidP="00F40CF9">
      <w:pPr>
        <w:spacing w:after="0"/>
        <w:rPr>
          <w:rFonts w:cs="Arial"/>
        </w:rPr>
      </w:pPr>
    </w:p>
    <w:p w14:paraId="1B94DBB5" w14:textId="77777777" w:rsidR="00F40CF9" w:rsidRDefault="00F40CF9" w:rsidP="00F40CF9">
      <w:pPr>
        <w:rPr>
          <w:rFonts w:ascii="Cambria Math" w:hAnsi="Cambria Math" w:cs="Arial"/>
          <w:i/>
        </w:rPr>
      </w:pPr>
      <w:r w:rsidRPr="00627941">
        <w:rPr>
          <w:rFonts w:ascii="Cambria Math" w:hAnsi="Cambria Math" w:cs="Arial"/>
          <w:i/>
        </w:rPr>
        <w:t xml:space="preserve">DZD = </w:t>
      </w:r>
      <w:r w:rsidRPr="00627941">
        <w:rPr>
          <w:rFonts w:ascii="Cambria Math" w:hAnsi="Cambria Math" w:cs="Arial"/>
          <w:i/>
          <w:sz w:val="28"/>
        </w:rPr>
        <w:t>[</w:t>
      </w:r>
      <w:r w:rsidRPr="00627941">
        <w:rPr>
          <w:rFonts w:ascii="Cambria Math" w:hAnsi="Cambria Math" w:cs="Arial"/>
          <w:i/>
        </w:rPr>
        <w:t>(∑př</w:t>
      </w:r>
      <w:r>
        <w:rPr>
          <w:rFonts w:ascii="Cambria Math" w:hAnsi="Cambria Math" w:cs="Arial"/>
          <w:i/>
        </w:rPr>
        <w:t>ijaté vklady - ∑vyplacené výhry</w:t>
      </w:r>
      <w:r w:rsidRPr="00627941">
        <w:rPr>
          <w:rFonts w:ascii="Cambria Math" w:hAnsi="Cambria Math" w:cs="Arial"/>
          <w:i/>
        </w:rPr>
        <w:t xml:space="preserve">) *  </w:t>
      </w:r>
      <m:oMath>
        <m:f>
          <m:fPr>
            <m:ctrlPr>
              <w:rPr>
                <w:rFonts w:ascii="Cambria Math" w:hAnsi="Cambria Math" w:cs="Arial"/>
                <w:i/>
              </w:rPr>
            </m:ctrlPr>
          </m:fPr>
          <m:num>
            <m:nary>
              <m:naryPr>
                <m:chr m:val="∑"/>
                <m:subHide m:val="1"/>
                <m:supHide m:val="1"/>
                <m:ctrlPr>
                  <w:rPr>
                    <w:rFonts w:ascii="Cambria Math" w:hAnsi="Cambria Math" w:cs="Arial"/>
                    <w:i/>
                  </w:rPr>
                </m:ctrlPr>
              </m:naryPr>
              <m:sub/>
              <m:sup/>
              <m:e>
                <m:r>
                  <w:rPr>
                    <w:rFonts w:ascii="Cambria Math" w:hAnsi="Cambria Math" w:cs="Arial"/>
                  </w:rPr>
                  <m:t xml:space="preserve">přijaté </m:t>
                </m:r>
                <m:r>
                  <w:rPr>
                    <w:rFonts w:ascii="Cambria Math" w:hAnsi="Cambria Math" w:cs="Arial"/>
                    <w:sz w:val="28"/>
                  </w:rPr>
                  <m:t>vklady</m:t>
                </m:r>
                <m:r>
                  <w:rPr>
                    <w:rFonts w:ascii="Cambria Math" w:hAnsi="Cambria Math" w:cs="Arial"/>
                  </w:rPr>
                  <m:t xml:space="preserve"> CZ</m:t>
                </m:r>
              </m:e>
            </m:nary>
          </m:num>
          <m:den>
            <m:nary>
              <m:naryPr>
                <m:chr m:val="∑"/>
                <m:subHide m:val="1"/>
                <m:supHide m:val="1"/>
                <m:ctrlPr>
                  <w:rPr>
                    <w:rFonts w:ascii="Cambria Math" w:hAnsi="Cambria Math" w:cs="Arial"/>
                    <w:i/>
                  </w:rPr>
                </m:ctrlPr>
              </m:naryPr>
              <m:sub/>
              <m:sup/>
              <m:e>
                <m:r>
                  <w:rPr>
                    <w:rFonts w:ascii="Cambria Math" w:hAnsi="Cambria Math" w:cs="Arial"/>
                  </w:rPr>
                  <m:t>přijaté vklady</m:t>
                </m:r>
              </m:e>
            </m:nary>
          </m:den>
        </m:f>
      </m:oMath>
      <w:r w:rsidRPr="00627941">
        <w:rPr>
          <w:rFonts w:ascii="Cambria Math" w:hAnsi="Cambria Math" w:cs="Arial"/>
          <w:i/>
        </w:rPr>
        <w:t xml:space="preserve"> </w:t>
      </w:r>
      <m:oMath>
        <m:r>
          <w:rPr>
            <w:rFonts w:ascii="Cambria Math" w:hAnsi="Cambria Math" w:cs="Arial"/>
          </w:rPr>
          <m:t xml:space="preserve"> </m:t>
        </m:r>
      </m:oMath>
      <w:r w:rsidRPr="00627941">
        <w:rPr>
          <w:rFonts w:ascii="Cambria Math" w:hAnsi="Cambria Math" w:cs="Arial"/>
          <w:i/>
          <w:sz w:val="28"/>
        </w:rPr>
        <w:t>]</w:t>
      </w:r>
      <w:r w:rsidRPr="00627941">
        <w:rPr>
          <w:rFonts w:ascii="Cambria Math" w:hAnsi="Cambria Math" w:cs="Arial"/>
          <w:i/>
        </w:rPr>
        <w:t xml:space="preserve"> - ∑vrácené vklady CZ</w:t>
      </w:r>
    </w:p>
    <w:p w14:paraId="38BD6EBE" w14:textId="14D30205" w:rsidR="00F40CF9" w:rsidRDefault="00F40CF9" w:rsidP="00F40CF9">
      <w:pPr>
        <w:rPr>
          <w:rFonts w:cs="Arial"/>
        </w:rPr>
      </w:pPr>
      <w:r>
        <w:rPr>
          <w:rFonts w:cs="Arial"/>
        </w:rPr>
        <w:t>Dalším speciálním předmětem daně z hazardních he</w:t>
      </w:r>
      <w:r w:rsidR="00662AA1">
        <w:rPr>
          <w:rFonts w:cs="Arial"/>
        </w:rPr>
        <w:t>r je podle §</w:t>
      </w:r>
      <w:r w:rsidR="00CA7E4A">
        <w:rPr>
          <w:rFonts w:cs="Arial"/>
        </w:rPr>
        <w:t> </w:t>
      </w:r>
      <w:r w:rsidR="00662AA1">
        <w:rPr>
          <w:rFonts w:cs="Arial"/>
        </w:rPr>
        <w:t>2</w:t>
      </w:r>
      <w:r w:rsidR="00CA7E4A">
        <w:rPr>
          <w:rFonts w:cs="Arial"/>
        </w:rPr>
        <w:t> </w:t>
      </w:r>
      <w:r w:rsidR="00662AA1">
        <w:rPr>
          <w:rFonts w:cs="Arial"/>
        </w:rPr>
        <w:t>odst.</w:t>
      </w:r>
      <w:r w:rsidR="00CA7E4A">
        <w:rPr>
          <w:rFonts w:cs="Arial"/>
        </w:rPr>
        <w:t> </w:t>
      </w:r>
      <w:r w:rsidR="00662AA1">
        <w:rPr>
          <w:rFonts w:cs="Arial"/>
        </w:rPr>
        <w:t>2 zákona o </w:t>
      </w:r>
      <w:r>
        <w:rPr>
          <w:rFonts w:cs="Arial"/>
        </w:rPr>
        <w:t xml:space="preserve">dani z hazardních her provozování </w:t>
      </w:r>
      <w:r w:rsidRPr="00D10D1B">
        <w:rPr>
          <w:rFonts w:cs="Arial"/>
          <w:b/>
        </w:rPr>
        <w:t>sdílené loterie</w:t>
      </w:r>
      <w:r>
        <w:rPr>
          <w:rFonts w:cs="Arial"/>
        </w:rPr>
        <w:t>,</w:t>
      </w:r>
      <w:r w:rsidR="00662AA1">
        <w:rPr>
          <w:rFonts w:cs="Arial"/>
        </w:rPr>
        <w:t xml:space="preserve"> kterou lze podle §</w:t>
      </w:r>
      <w:r w:rsidR="00CA7E4A">
        <w:rPr>
          <w:rFonts w:cs="Arial"/>
        </w:rPr>
        <w:t> </w:t>
      </w:r>
      <w:r w:rsidR="00662AA1">
        <w:rPr>
          <w:rFonts w:cs="Arial"/>
        </w:rPr>
        <w:t>19</w:t>
      </w:r>
      <w:r w:rsidR="00CA7E4A">
        <w:rPr>
          <w:rFonts w:cs="Arial"/>
        </w:rPr>
        <w:t> </w:t>
      </w:r>
      <w:r w:rsidR="00662AA1">
        <w:rPr>
          <w:rFonts w:cs="Arial"/>
        </w:rPr>
        <w:t>zákona o </w:t>
      </w:r>
      <w:r>
        <w:rPr>
          <w:rFonts w:cs="Arial"/>
        </w:rPr>
        <w:t xml:space="preserve">hazardních hrách provozovat společně s dalšími provozovateli, kteří k tomu mají oprávnění, </w:t>
      </w:r>
      <w:r w:rsidRPr="00437B1F">
        <w:rPr>
          <w:rFonts w:cs="Arial"/>
        </w:rPr>
        <w:t>ať už v podobě základního povolení nebo obdobného oprávnění k</w:t>
      </w:r>
      <w:r w:rsidR="00497683">
        <w:rPr>
          <w:rFonts w:cs="Arial"/>
        </w:rPr>
        <w:t> </w:t>
      </w:r>
      <w:r w:rsidRPr="00437B1F">
        <w:rPr>
          <w:rFonts w:cs="Arial"/>
        </w:rPr>
        <w:t>provozování loterie na území jiného členského státu Evropské unie nebo státu, který tvoří Evropský hospodářský prostor.</w:t>
      </w:r>
      <w:r>
        <w:rPr>
          <w:rFonts w:cs="Arial"/>
        </w:rPr>
        <w:t xml:space="preserve"> Charakteristickým znakem sdílené loterie je sdílená herní jistina a společné slosování. Pokud bude sdílená loterie provozována se zahraničním provozovatelem, který nemá základní povolení, ale je oprávněn provozovat loterii v jiném státě Evropské unie, tak daňová povinnost vzniká pouze tomu provozovateli, který se zaměřuje na osoby, které mají na území České republiky bydliště, a který pro tyto osoby provozuje sdílenou loterii. Bude se tedy jednat o </w:t>
      </w:r>
      <w:r w:rsidR="00662AA1">
        <w:rPr>
          <w:rFonts w:cs="Arial"/>
        </w:rPr>
        <w:t> </w:t>
      </w:r>
      <w:r>
        <w:rPr>
          <w:rFonts w:cs="Arial"/>
        </w:rPr>
        <w:t>provozovatele, který od těchto osob přijímá vklady a také jim vyplácí výhry, jelikož výhru musí vyplácet vždy provozovatel, u něhož byl přijat vklad.</w:t>
      </w:r>
    </w:p>
    <w:p w14:paraId="564E4D82" w14:textId="77777777" w:rsidR="00165930" w:rsidRDefault="00165930" w:rsidP="00F40CF9">
      <w:pPr>
        <w:rPr>
          <w:rFonts w:cs="Arial"/>
        </w:rPr>
      </w:pPr>
      <w:r>
        <w:rPr>
          <w:rFonts w:cs="Arial"/>
        </w:rPr>
        <w:t>Mezi jednotlivými provozovateli sdílené loterie pravidelně dochází k peněžnímu vypořádání. Finanční prostředky, které takto plynou k provozovateli, jsou považovány za vklady přijímané prostřednictvím jiných provozovatelů a naopak na prostředky plynoucí od provozovatele je nahlíženo jako na vyplácené výhry prostřednictvím jiných provozovatelů. Tato úprava způsobuje, že platby mezi provozovateli vstupují do základu daně, a tedy věrněji zachycují hospodaření provozovatele se základním povolením.</w:t>
      </w:r>
    </w:p>
    <w:p w14:paraId="15004FF1" w14:textId="6670ABBD" w:rsidR="00165930" w:rsidRDefault="00992BD5" w:rsidP="00F40CF9">
      <w:pPr>
        <w:rPr>
          <w:rFonts w:cs="Arial"/>
        </w:rPr>
      </w:pPr>
      <w:r>
        <w:rPr>
          <w:rFonts w:cs="Arial"/>
        </w:rPr>
        <w:t>Z</w:t>
      </w:r>
      <w:r w:rsidR="00165930">
        <w:rPr>
          <w:rFonts w:cs="Arial"/>
        </w:rPr>
        <w:t>ákon o dani z hazardních her</w:t>
      </w:r>
      <w:r>
        <w:rPr>
          <w:rFonts w:cs="Arial"/>
        </w:rPr>
        <w:t xml:space="preserve"> v</w:t>
      </w:r>
      <w:r w:rsidR="00165930">
        <w:rPr>
          <w:rFonts w:cs="Arial"/>
        </w:rPr>
        <w:t xml:space="preserve"> </w:t>
      </w:r>
      <w:r>
        <w:rPr>
          <w:rFonts w:cs="Arial"/>
        </w:rPr>
        <w:t>§ 3 odst. 3 </w:t>
      </w:r>
      <w:r w:rsidR="00165930">
        <w:rPr>
          <w:rFonts w:cs="Arial"/>
        </w:rPr>
        <w:t xml:space="preserve">upravuje dílčí základ daně pro </w:t>
      </w:r>
      <w:r w:rsidR="00165930" w:rsidRPr="000243CC">
        <w:rPr>
          <w:rFonts w:cs="Arial"/>
          <w:b/>
        </w:rPr>
        <w:t>turnaj živé hry</w:t>
      </w:r>
      <w:r w:rsidR="00165930">
        <w:rPr>
          <w:rFonts w:cs="Arial"/>
        </w:rPr>
        <w:t xml:space="preserve"> a to tak, že při určení základu daně z hazardních her se zohlední v součtu za všechna zdaňovací období pouze vyplacené výhry do výše 95</w:t>
      </w:r>
      <w:r w:rsidR="006A0D9F">
        <w:rPr>
          <w:rFonts w:cs="Arial"/>
        </w:rPr>
        <w:t> </w:t>
      </w:r>
      <w:r w:rsidR="00165930">
        <w:rPr>
          <w:rFonts w:cs="Arial"/>
        </w:rPr>
        <w:t xml:space="preserve">% přijatých vkladů do tohoto turnaje. </w:t>
      </w:r>
      <w:r w:rsidR="00165930" w:rsidRPr="00214B92">
        <w:rPr>
          <w:rFonts w:cs="Arial"/>
        </w:rPr>
        <w:t xml:space="preserve">Pro účely tohoto ustanovení </w:t>
      </w:r>
      <w:r w:rsidR="00165930">
        <w:rPr>
          <w:rFonts w:cs="Arial"/>
        </w:rPr>
        <w:t>není rozhodné</w:t>
      </w:r>
      <w:r w:rsidR="00165930" w:rsidRPr="00214B92">
        <w:rPr>
          <w:rFonts w:cs="Arial"/>
        </w:rPr>
        <w:t>, v</w:t>
      </w:r>
      <w:r w:rsidR="00165930">
        <w:rPr>
          <w:rFonts w:cs="Arial"/>
        </w:rPr>
        <w:t xml:space="preserve"> kterém </w:t>
      </w:r>
      <w:r w:rsidR="00165930" w:rsidRPr="00214B92">
        <w:rPr>
          <w:rFonts w:cs="Arial"/>
        </w:rPr>
        <w:t>zdaňovacím období se výhry vyplácejí. Limit pro jejich</w:t>
      </w:r>
      <w:r w:rsidR="00165930">
        <w:rPr>
          <w:rFonts w:cs="Arial"/>
        </w:rPr>
        <w:t xml:space="preserve"> </w:t>
      </w:r>
      <w:r w:rsidR="00165930" w:rsidRPr="00214B92">
        <w:rPr>
          <w:rFonts w:cs="Arial"/>
        </w:rPr>
        <w:t>uplatnění se zjistí napříč zdaňovacími obdobími. Pokud</w:t>
      </w:r>
      <w:r w:rsidR="00165930">
        <w:rPr>
          <w:rFonts w:cs="Arial"/>
        </w:rPr>
        <w:t xml:space="preserve"> tedy</w:t>
      </w:r>
      <w:r w:rsidR="00165930" w:rsidRPr="00214B92">
        <w:rPr>
          <w:rFonts w:cs="Arial"/>
        </w:rPr>
        <w:t xml:space="preserve"> budou</w:t>
      </w:r>
      <w:r w:rsidR="00165930">
        <w:rPr>
          <w:rFonts w:cs="Arial"/>
        </w:rPr>
        <w:t xml:space="preserve"> </w:t>
      </w:r>
      <w:r w:rsidR="00165930" w:rsidRPr="00214B92">
        <w:rPr>
          <w:rFonts w:cs="Arial"/>
        </w:rPr>
        <w:t>výhry vyplácené např. ve dvou zdaňovacích obdobích, limit se</w:t>
      </w:r>
      <w:r w:rsidR="00165930">
        <w:rPr>
          <w:rFonts w:cs="Arial"/>
        </w:rPr>
        <w:t xml:space="preserve"> </w:t>
      </w:r>
      <w:r w:rsidR="00165930" w:rsidRPr="00214B92">
        <w:rPr>
          <w:rFonts w:cs="Arial"/>
        </w:rPr>
        <w:t>zjistí souhrnně pro obě</w:t>
      </w:r>
      <w:r w:rsidR="008678D6">
        <w:rPr>
          <w:rFonts w:cs="Arial"/>
        </w:rPr>
        <w:t xml:space="preserve"> ta</w:t>
      </w:r>
      <w:r w:rsidR="00165930">
        <w:rPr>
          <w:rFonts w:cs="Arial"/>
        </w:rPr>
        <w:t>to</w:t>
      </w:r>
      <w:r w:rsidR="00165930" w:rsidRPr="00214B92">
        <w:rPr>
          <w:rFonts w:cs="Arial"/>
        </w:rPr>
        <w:t xml:space="preserve"> období s tím, že</w:t>
      </w:r>
      <w:r w:rsidR="00890E27">
        <w:rPr>
          <w:rFonts w:cs="Arial"/>
        </w:rPr>
        <w:t> </w:t>
      </w:r>
      <w:r w:rsidR="00165930" w:rsidRPr="00214B92">
        <w:rPr>
          <w:rFonts w:cs="Arial"/>
        </w:rPr>
        <w:t>provozovatel po</w:t>
      </w:r>
      <w:r w:rsidR="00165930">
        <w:rPr>
          <w:rFonts w:cs="Arial"/>
        </w:rPr>
        <w:t xml:space="preserve"> </w:t>
      </w:r>
      <w:r w:rsidR="00165930" w:rsidRPr="00214B92">
        <w:rPr>
          <w:rFonts w:cs="Arial"/>
        </w:rPr>
        <w:t>dosažení tohoto limitu již</w:t>
      </w:r>
      <w:r w:rsidR="00165930">
        <w:rPr>
          <w:rFonts w:cs="Arial"/>
        </w:rPr>
        <w:t xml:space="preserve"> nebude moci v základu daně zohlednit</w:t>
      </w:r>
      <w:r w:rsidR="00165930" w:rsidRPr="00214B92">
        <w:rPr>
          <w:rFonts w:cs="Arial"/>
        </w:rPr>
        <w:t xml:space="preserve"> další výhry. </w:t>
      </w:r>
      <w:r w:rsidR="00165930">
        <w:rPr>
          <w:rFonts w:cs="Arial"/>
        </w:rPr>
        <w:t>Tato situace může nastat již</w:t>
      </w:r>
      <w:r w:rsidR="00165930" w:rsidRPr="00214B92">
        <w:rPr>
          <w:rFonts w:cs="Arial"/>
        </w:rPr>
        <w:t xml:space="preserve"> v prvním zdaňovacím</w:t>
      </w:r>
      <w:r w:rsidR="00165930">
        <w:rPr>
          <w:rFonts w:cs="Arial"/>
        </w:rPr>
        <w:t xml:space="preserve"> </w:t>
      </w:r>
      <w:r w:rsidR="00165930" w:rsidRPr="00214B92">
        <w:rPr>
          <w:rFonts w:cs="Arial"/>
        </w:rPr>
        <w:t>období nebo až v</w:t>
      </w:r>
      <w:r w:rsidR="002E6AC8">
        <w:rPr>
          <w:rFonts w:cs="Arial"/>
        </w:rPr>
        <w:t> </w:t>
      </w:r>
      <w:r w:rsidR="00165930" w:rsidRPr="00214B92">
        <w:rPr>
          <w:rFonts w:cs="Arial"/>
        </w:rPr>
        <w:t>dalším zdaňovacím období.</w:t>
      </w:r>
    </w:p>
    <w:p w14:paraId="4807909D" w14:textId="5B4C877D" w:rsidR="00165930" w:rsidRDefault="00165930" w:rsidP="005C3D04">
      <w:r>
        <w:t>Toto ustanovení nemělo bezprostřední dopady na změnu hospodaření provozovatelů, jelikož v souladu s §</w:t>
      </w:r>
      <w:r w:rsidR="006A0D9F">
        <w:t> </w:t>
      </w:r>
      <w:r>
        <w:t>5 zákona o hazardních hrách se provozováním hazardní hry, v tomto případě turnaje živé hry, rozumí vykonávání činností spočívajících v uskutečňování hazardní hry se záměrem dosažení zisku.</w:t>
      </w:r>
      <w:r w:rsidR="005C3D04">
        <w:t xml:space="preserve"> </w:t>
      </w:r>
      <w:r>
        <w:t>Provozovatel turnaje živé hry si tak pro získání zisku musí část vkladů ponechat.</w:t>
      </w:r>
    </w:p>
    <w:p w14:paraId="6543BC7C" w14:textId="351764BA" w:rsidR="005C3D04" w:rsidRDefault="005C3D04" w:rsidP="005C3D04">
      <w:pPr>
        <w:rPr>
          <w:rFonts w:cs="Arial"/>
        </w:rPr>
      </w:pPr>
      <w:r w:rsidRPr="000243CC">
        <w:rPr>
          <w:rFonts w:cs="Arial"/>
          <w:b/>
        </w:rPr>
        <w:t>Základem daně</w:t>
      </w:r>
      <w:r>
        <w:rPr>
          <w:rFonts w:cs="Arial"/>
        </w:rPr>
        <w:t xml:space="preserve"> u hazardních her je součet dílčích základů daně z jednotlivých druhů hazardních her. Dílčí základ je vypočítán </w:t>
      </w:r>
      <w:r w:rsidR="00E66A39">
        <w:rPr>
          <w:rFonts w:cs="Arial"/>
        </w:rPr>
        <w:t xml:space="preserve">jako </w:t>
      </w:r>
      <w:r>
        <w:rPr>
          <w:rFonts w:cs="Arial"/>
        </w:rPr>
        <w:t>rozdíl</w:t>
      </w:r>
      <w:r w:rsidR="003A09E4">
        <w:rPr>
          <w:rFonts w:cs="Arial"/>
        </w:rPr>
        <w:t xml:space="preserve"> mezi úhrnem přijatých vkladů a </w:t>
      </w:r>
      <w:r>
        <w:rPr>
          <w:rFonts w:cs="Arial"/>
        </w:rPr>
        <w:t xml:space="preserve">součtem úhrnu vrácených vkladů a úhrnu vyplacených výher. </w:t>
      </w:r>
    </w:p>
    <w:p w14:paraId="6D51E9CD" w14:textId="50DF7552" w:rsidR="00823789" w:rsidRDefault="00823789" w:rsidP="00857109">
      <w:r>
        <w:t xml:space="preserve">Zákon o dani z hazardních her při výpočtu dílčích základů daně nerozlišuje, zda je hazardní hra provozována prostřednictvím internetu nebo </w:t>
      </w:r>
      <w:r w:rsidR="001B4A9C">
        <w:t xml:space="preserve">formou </w:t>
      </w:r>
      <w:r>
        <w:t>land</w:t>
      </w:r>
      <w:r w:rsidR="00FB1594">
        <w:t>-</w:t>
      </w:r>
      <w:r>
        <w:t>based, neboť internetová hazardní hra není považována za samostatný druh hazardní hry, ale pouze za možný způsob provozování.</w:t>
      </w:r>
    </w:p>
    <w:p w14:paraId="7A833F67" w14:textId="21F6AC9D" w:rsidR="00823789" w:rsidRDefault="00823789" w:rsidP="00857109">
      <w:r>
        <w:t xml:space="preserve">Pro jednotlivé druhy hazardních her jsou nastaveny rozdílné sazby daně. </w:t>
      </w:r>
      <w:r w:rsidRPr="006A76CC">
        <w:t xml:space="preserve">Nejvyšší sazba 35 % je stanovena pro technickou hru a loterii. Na kursovou sázku, totalizátorovou hru, bingo, živou hru, tombolu a turnaj malého rozsahu je </w:t>
      </w:r>
      <w:r w:rsidR="007D1129">
        <w:t xml:space="preserve">uplatněna sazba </w:t>
      </w:r>
      <w:r w:rsidRPr="006A76CC">
        <w:t>ve výši 23</w:t>
      </w:r>
      <w:r w:rsidR="001B4A9C">
        <w:t> </w:t>
      </w:r>
      <w:r w:rsidRPr="006A76CC">
        <w:t>% z dílčího základu.</w:t>
      </w:r>
    </w:p>
    <w:p w14:paraId="18243BD8" w14:textId="6302F1DF" w:rsidR="00431BEF" w:rsidRDefault="00431BEF" w:rsidP="00857109">
      <w:r w:rsidRPr="00C62A51">
        <w:rPr>
          <w:b/>
        </w:rPr>
        <w:t>Zdaňovacím obdobím</w:t>
      </w:r>
      <w:r>
        <w:t xml:space="preserve"> je pro </w:t>
      </w:r>
      <w:r w:rsidR="00CE5FB2">
        <w:t>daň</w:t>
      </w:r>
      <w:r>
        <w:t xml:space="preserve"> z hazardních her kalendářní čtvrtletí. U technické hry je podle </w:t>
      </w:r>
      <w:r w:rsidRPr="00C11ECB">
        <w:t>§</w:t>
      </w:r>
      <w:r w:rsidR="001B4A9C">
        <w:t> </w:t>
      </w:r>
      <w:r>
        <w:t>5</w:t>
      </w:r>
      <w:r w:rsidR="001B4A9C">
        <w:t> </w:t>
      </w:r>
      <w:r>
        <w:t>odst.</w:t>
      </w:r>
      <w:r w:rsidR="001B4A9C">
        <w:t> </w:t>
      </w:r>
      <w:r>
        <w:t>4 zákona o dani z hazardních her stanovena minimální dílčí daň, která se vypočítá jakou součin součtu povolených herních pozic a částky 9</w:t>
      </w:r>
      <w:r w:rsidR="001B4A9C">
        <w:t> </w:t>
      </w:r>
      <w:r>
        <w:t>200</w:t>
      </w:r>
      <w:r w:rsidR="001B4A9C">
        <w:t> </w:t>
      </w:r>
      <w:r>
        <w:t>Kč. Tato minimální hranice dílčí daně se z povahy věci neuplatní u technické hry provozované prostřednictvím internetu.</w:t>
      </w:r>
    </w:p>
    <w:p w14:paraId="411896D3" w14:textId="04C9C138" w:rsidR="00195F3B" w:rsidRDefault="00431BEF" w:rsidP="00857109">
      <w:r>
        <w:t xml:space="preserve">Daň z hazardních her je založena na </w:t>
      </w:r>
      <w:r w:rsidRPr="00C62A51">
        <w:rPr>
          <w:b/>
        </w:rPr>
        <w:t>transakční bázi</w:t>
      </w:r>
      <w:r>
        <w:t>. To znamená, že přijaté vklady a</w:t>
      </w:r>
      <w:r w:rsidR="001B4A9C">
        <w:t> </w:t>
      </w:r>
      <w:r>
        <w:t>vyplacené výhry vstupují do základu daně v tom zdaňovacím období, ve kterém byly přijaty, resp. vyplaceny. Jinak se podle</w:t>
      </w:r>
      <w:r w:rsidRPr="008A0754">
        <w:t xml:space="preserve"> </w:t>
      </w:r>
      <w:r>
        <w:t>zákona o dani z hazardních her ve</w:t>
      </w:r>
      <w:r w:rsidR="003E1F2E">
        <w:t> </w:t>
      </w:r>
      <w:r>
        <w:t xml:space="preserve">svém původním znění nahlíželo na vrácené vklady, jelikož základ daně se vypočítal jako rozdíl mezi úhrnem přijatých a nevrácených vkladů a úhrnem vyplacených výher. Úhrn přijatých a nevrácených vkladů tvořil tedy jednu položku. Pokud se tedy vracel </w:t>
      </w:r>
      <w:r w:rsidR="00992BD5">
        <w:rPr>
          <w:rFonts w:cs="Arial"/>
        </w:rPr>
        <w:t xml:space="preserve">účastníku hazardní hry </w:t>
      </w:r>
      <w:r>
        <w:t>vklad v jiném zdaňovacím období</w:t>
      </w:r>
      <w:r w:rsidR="003E1F2E">
        <w:t>,</w:t>
      </w:r>
      <w:r>
        <w:t xml:space="preserve"> než byl přijat, tak provozovatel musel pro správné vyměření daně podat dodatečné daňové </w:t>
      </w:r>
      <w:r w:rsidR="0030681F">
        <w:t xml:space="preserve">přiznání </w:t>
      </w:r>
      <w:r>
        <w:t>za</w:t>
      </w:r>
      <w:r w:rsidR="003E1F2E">
        <w:t> </w:t>
      </w:r>
      <w:r w:rsidR="0030681F">
        <w:t xml:space="preserve">původní </w:t>
      </w:r>
      <w:r>
        <w:t>zdaňovací období. Zákon č.</w:t>
      </w:r>
      <w:r w:rsidR="000D1D2E">
        <w:t> </w:t>
      </w:r>
      <w:r>
        <w:t>80/2019 Sb., kterým se mění některé zákony v oblasti daní a</w:t>
      </w:r>
      <w:r w:rsidR="002E6AC8">
        <w:t> </w:t>
      </w:r>
      <w:r>
        <w:t>některé další zákony</w:t>
      </w:r>
      <w:r w:rsidR="00CE5FB2">
        <w:t>,</w:t>
      </w:r>
      <w:r>
        <w:t xml:space="preserve"> novelizoval znění zákona o dani z ha</w:t>
      </w:r>
      <w:r w:rsidR="003A09E4">
        <w:t>zardních her, čímž se upravil i </w:t>
      </w:r>
      <w:r>
        <w:t>výpočet dílčího základu daně, takže vrácené vklady jsou již samostatnou položkou. Z tohoto důvodu se vrácené vklady započítávají do toho zdaňovacího období, ve kterém byly vráceny, bez ohledu na to, v jakém zdaňovacím období byly přijaty. Tato novela zákona o dani z hazardních her, účinná od</w:t>
      </w:r>
      <w:r w:rsidR="003E1F2E">
        <w:t> </w:t>
      </w:r>
      <w:r>
        <w:t>1.</w:t>
      </w:r>
      <w:r w:rsidR="001B4A9C">
        <w:t> </w:t>
      </w:r>
      <w:r>
        <w:t>4.</w:t>
      </w:r>
      <w:r w:rsidR="001B4A9C">
        <w:t> </w:t>
      </w:r>
      <w:r>
        <w:t>2019, s sebou přinesla výrazné snížení</w:t>
      </w:r>
      <w:r w:rsidR="000D1D2E">
        <w:t xml:space="preserve"> </w:t>
      </w:r>
      <w:r>
        <w:t>administrativní zátěže nejen na</w:t>
      </w:r>
      <w:r w:rsidR="003E1F2E">
        <w:t> </w:t>
      </w:r>
      <w:r>
        <w:t>straně daňových poplatníků, ale také správce daně, jelikož se z tohoto důvodu již nemusí podávat dodatečné daňové přiznání</w:t>
      </w:r>
      <w:r w:rsidRPr="00D73FF7">
        <w:t xml:space="preserve">. </w:t>
      </w:r>
      <w:r w:rsidRPr="00335A00">
        <w:t>Tabulka</w:t>
      </w:r>
      <w:r w:rsidR="00D55C3D" w:rsidRPr="00335A00">
        <w:t xml:space="preserve"> č. </w:t>
      </w:r>
      <w:r w:rsidRPr="00335A00">
        <w:t>1</w:t>
      </w:r>
      <w:r w:rsidRPr="00D73FF7">
        <w:t xml:space="preserve"> ukazuje</w:t>
      </w:r>
      <w:r>
        <w:t xml:space="preserve"> vývoj počtu podaných dodatečnýc</w:t>
      </w:r>
      <w:r w:rsidR="00773009">
        <w:t>h daňových přiznání od daňových subjektů provozujících hazardní hry na základě vydaného povolení</w:t>
      </w:r>
      <w:r>
        <w:t>. Tento počet se za sledované období snižuje, přičemž data za roky 2019</w:t>
      </w:r>
      <w:r w:rsidR="001B4A9C">
        <w:t> </w:t>
      </w:r>
      <w:r>
        <w:t>a</w:t>
      </w:r>
      <w:r w:rsidR="002E6AC8">
        <w:t> </w:t>
      </w:r>
      <w:r>
        <w:t>2020</w:t>
      </w:r>
      <w:r w:rsidR="001B4A9C">
        <w:t> </w:t>
      </w:r>
      <w:r>
        <w:t xml:space="preserve">jsou ovlivněna zmíněnou novelou </w:t>
      </w:r>
      <w:r w:rsidR="00C62A51">
        <w:t>zákona o dani z hazardních her.</w:t>
      </w:r>
    </w:p>
    <w:p w14:paraId="675EEFD2" w14:textId="6B024F29" w:rsidR="00662AA1" w:rsidRPr="00D55C3D" w:rsidRDefault="00662AA1" w:rsidP="00CF1347">
      <w:pPr>
        <w:keepNext/>
        <w:keepLines/>
        <w:suppressAutoHyphens/>
        <w:rPr>
          <w:rFonts w:cs="Arial"/>
          <w:i/>
        </w:rPr>
      </w:pPr>
      <w:bookmarkStart w:id="5" w:name="_Toc73538646"/>
      <w:r w:rsidRPr="00D55C3D">
        <w:rPr>
          <w:rFonts w:cs="Arial"/>
          <w:i/>
        </w:rPr>
        <w:t xml:space="preserve">Tabulka č. </w:t>
      </w:r>
      <w:r w:rsidRPr="00D55C3D">
        <w:rPr>
          <w:rFonts w:cs="Arial"/>
          <w:i/>
        </w:rPr>
        <w:fldChar w:fldCharType="begin"/>
      </w:r>
      <w:r w:rsidRPr="00D55C3D">
        <w:rPr>
          <w:rFonts w:cs="Arial"/>
          <w:i/>
        </w:rPr>
        <w:instrText xml:space="preserve"> SEQ Tabulka_č. \* ARABIC </w:instrText>
      </w:r>
      <w:r w:rsidRPr="00D55C3D">
        <w:rPr>
          <w:rFonts w:cs="Arial"/>
          <w:i/>
        </w:rPr>
        <w:fldChar w:fldCharType="separate"/>
      </w:r>
      <w:r w:rsidR="00D72064" w:rsidRPr="00D55C3D">
        <w:rPr>
          <w:rFonts w:cs="Arial"/>
          <w:i/>
          <w:noProof/>
        </w:rPr>
        <w:t>1</w:t>
      </w:r>
      <w:r w:rsidRPr="00D55C3D">
        <w:rPr>
          <w:rFonts w:cs="Arial"/>
          <w:i/>
        </w:rPr>
        <w:fldChar w:fldCharType="end"/>
      </w:r>
      <w:r w:rsidRPr="00D55C3D">
        <w:rPr>
          <w:rFonts w:cs="Arial"/>
          <w:i/>
        </w:rPr>
        <w:t xml:space="preserve">: Vývoj počtu podaných dodatečných daňových přiznání od </w:t>
      </w:r>
      <w:r w:rsidR="00773009">
        <w:t>daňových subjektů provozujících hazardní hry na základě vydaného povolení</w:t>
      </w:r>
      <w:r w:rsidRPr="00D55C3D">
        <w:rPr>
          <w:rFonts w:cs="Arial"/>
          <w:i/>
        </w:rPr>
        <w:t xml:space="preserve"> za </w:t>
      </w:r>
      <w:r w:rsidR="003E1F2E">
        <w:rPr>
          <w:rFonts w:cs="Arial"/>
          <w:i/>
        </w:rPr>
        <w:t> </w:t>
      </w:r>
      <w:r w:rsidRPr="00D55C3D">
        <w:rPr>
          <w:rFonts w:cs="Arial"/>
          <w:i/>
        </w:rPr>
        <w:t>období</w:t>
      </w:r>
      <w:r w:rsidR="001B4A9C">
        <w:rPr>
          <w:rFonts w:cs="Arial"/>
          <w:i/>
        </w:rPr>
        <w:t> </w:t>
      </w:r>
      <w:r w:rsidRPr="00D55C3D">
        <w:rPr>
          <w:rFonts w:cs="Arial"/>
          <w:i/>
        </w:rPr>
        <w:t>2017</w:t>
      </w:r>
      <w:r w:rsidR="003E1F2E">
        <w:rPr>
          <w:rFonts w:cs="Arial"/>
          <w:i/>
        </w:rPr>
        <w:t> </w:t>
      </w:r>
      <w:r w:rsidR="003E1F2E">
        <w:rPr>
          <w:rFonts w:cs="Arial"/>
          <w:i/>
        </w:rPr>
        <w:noBreakHyphen/>
        <w:t> </w:t>
      </w:r>
      <w:r w:rsidRPr="00D55C3D">
        <w:rPr>
          <w:rFonts w:cs="Arial"/>
          <w:i/>
        </w:rPr>
        <w:t>2020</w:t>
      </w:r>
      <w:r w:rsidR="001B4A9C">
        <w:rPr>
          <w:rFonts w:cs="Arial"/>
          <w:i/>
        </w:rPr>
        <w:t> </w:t>
      </w:r>
      <w:r w:rsidR="00E04D61" w:rsidRPr="00D55C3D">
        <w:rPr>
          <w:rFonts w:cs="Arial"/>
          <w:i/>
        </w:rPr>
        <w:t>(stav k 9. 2. 2021</w:t>
      </w:r>
      <w:r w:rsidR="00D55C3D" w:rsidRPr="00D55C3D">
        <w:rPr>
          <w:rFonts w:cs="Arial"/>
          <w:i/>
        </w:rPr>
        <w:t>)</w:t>
      </w:r>
      <w:bookmarkEnd w:id="5"/>
    </w:p>
    <w:tbl>
      <w:tblPr>
        <w:tblStyle w:val="Mkatabulky"/>
        <w:tblW w:w="0" w:type="auto"/>
        <w:tblLook w:val="04A0" w:firstRow="1" w:lastRow="0" w:firstColumn="1" w:lastColumn="0" w:noHBand="0" w:noVBand="1"/>
      </w:tblPr>
      <w:tblGrid>
        <w:gridCol w:w="4656"/>
        <w:gridCol w:w="1100"/>
        <w:gridCol w:w="1102"/>
        <w:gridCol w:w="1102"/>
        <w:gridCol w:w="1102"/>
      </w:tblGrid>
      <w:tr w:rsidR="00195F3B" w:rsidRPr="00624CB9" w14:paraId="19A46C8C" w14:textId="77777777" w:rsidTr="00662AA1">
        <w:tc>
          <w:tcPr>
            <w:tcW w:w="4656" w:type="dxa"/>
          </w:tcPr>
          <w:p w14:paraId="40233CF5" w14:textId="77777777" w:rsidR="00195F3B" w:rsidRPr="00195F3B" w:rsidRDefault="00195F3B" w:rsidP="00CF1347">
            <w:pPr>
              <w:keepNext/>
              <w:keepLines/>
              <w:rPr>
                <w:rFonts w:cs="Arial"/>
              </w:rPr>
            </w:pPr>
          </w:p>
        </w:tc>
        <w:tc>
          <w:tcPr>
            <w:tcW w:w="1100" w:type="dxa"/>
          </w:tcPr>
          <w:p w14:paraId="22E64B89" w14:textId="77777777" w:rsidR="00195F3B" w:rsidRPr="00195F3B" w:rsidRDefault="00195F3B" w:rsidP="00CF1347">
            <w:pPr>
              <w:keepNext/>
              <w:keepLines/>
              <w:jc w:val="center"/>
              <w:rPr>
                <w:rFonts w:cs="Arial"/>
                <w:b/>
              </w:rPr>
            </w:pPr>
            <w:r w:rsidRPr="00195F3B">
              <w:rPr>
                <w:rFonts w:cs="Arial"/>
                <w:b/>
              </w:rPr>
              <w:t>2017</w:t>
            </w:r>
          </w:p>
        </w:tc>
        <w:tc>
          <w:tcPr>
            <w:tcW w:w="1102" w:type="dxa"/>
          </w:tcPr>
          <w:p w14:paraId="77EC9A03" w14:textId="77777777" w:rsidR="00195F3B" w:rsidRPr="00195F3B" w:rsidRDefault="00195F3B" w:rsidP="00CF1347">
            <w:pPr>
              <w:keepNext/>
              <w:keepLines/>
              <w:jc w:val="center"/>
              <w:rPr>
                <w:rFonts w:cs="Arial"/>
                <w:b/>
              </w:rPr>
            </w:pPr>
            <w:r w:rsidRPr="00195F3B">
              <w:rPr>
                <w:rFonts w:cs="Arial"/>
                <w:b/>
              </w:rPr>
              <w:t>2018</w:t>
            </w:r>
          </w:p>
        </w:tc>
        <w:tc>
          <w:tcPr>
            <w:tcW w:w="1102" w:type="dxa"/>
          </w:tcPr>
          <w:p w14:paraId="4ADD5DB9" w14:textId="77777777" w:rsidR="00195F3B" w:rsidRPr="00195F3B" w:rsidRDefault="00195F3B" w:rsidP="00CF1347">
            <w:pPr>
              <w:keepNext/>
              <w:keepLines/>
              <w:jc w:val="center"/>
              <w:rPr>
                <w:rFonts w:cs="Arial"/>
                <w:b/>
              </w:rPr>
            </w:pPr>
            <w:r w:rsidRPr="00195F3B">
              <w:rPr>
                <w:rFonts w:cs="Arial"/>
                <w:b/>
              </w:rPr>
              <w:t>2019</w:t>
            </w:r>
          </w:p>
        </w:tc>
        <w:tc>
          <w:tcPr>
            <w:tcW w:w="1102" w:type="dxa"/>
          </w:tcPr>
          <w:p w14:paraId="29616D22" w14:textId="77777777" w:rsidR="00195F3B" w:rsidRPr="00195F3B" w:rsidRDefault="00195F3B" w:rsidP="00CF1347">
            <w:pPr>
              <w:keepNext/>
              <w:keepLines/>
              <w:jc w:val="center"/>
              <w:rPr>
                <w:rFonts w:cs="Arial"/>
                <w:b/>
              </w:rPr>
            </w:pPr>
            <w:r w:rsidRPr="00195F3B">
              <w:rPr>
                <w:rFonts w:cs="Arial"/>
                <w:b/>
              </w:rPr>
              <w:t>2020</w:t>
            </w:r>
          </w:p>
        </w:tc>
      </w:tr>
      <w:tr w:rsidR="00195F3B" w:rsidRPr="00624CB9" w14:paraId="164A70DC" w14:textId="77777777" w:rsidTr="00662AA1">
        <w:tc>
          <w:tcPr>
            <w:tcW w:w="4656" w:type="dxa"/>
          </w:tcPr>
          <w:p w14:paraId="53E4FD5E" w14:textId="77777777" w:rsidR="00195F3B" w:rsidRPr="00195F3B" w:rsidRDefault="00195F3B" w:rsidP="00CF1347">
            <w:pPr>
              <w:keepNext/>
              <w:keepLines/>
              <w:rPr>
                <w:rFonts w:cs="Arial"/>
                <w:b/>
              </w:rPr>
            </w:pPr>
            <w:r w:rsidRPr="00195F3B">
              <w:rPr>
                <w:rFonts w:cs="Arial"/>
                <w:b/>
              </w:rPr>
              <w:t>Počet dodatečných daňových přiznání</w:t>
            </w:r>
          </w:p>
        </w:tc>
        <w:tc>
          <w:tcPr>
            <w:tcW w:w="1100" w:type="dxa"/>
          </w:tcPr>
          <w:p w14:paraId="12D8D611" w14:textId="77777777" w:rsidR="00195F3B" w:rsidRPr="00195F3B" w:rsidRDefault="00195F3B" w:rsidP="00CF1347">
            <w:pPr>
              <w:keepNext/>
              <w:keepLines/>
              <w:jc w:val="center"/>
              <w:rPr>
                <w:rFonts w:cs="Arial"/>
              </w:rPr>
            </w:pPr>
            <w:r w:rsidRPr="00195F3B">
              <w:rPr>
                <w:rFonts w:cs="Arial"/>
              </w:rPr>
              <w:t>116</w:t>
            </w:r>
          </w:p>
        </w:tc>
        <w:tc>
          <w:tcPr>
            <w:tcW w:w="1102" w:type="dxa"/>
          </w:tcPr>
          <w:p w14:paraId="239918A1" w14:textId="77777777" w:rsidR="00195F3B" w:rsidRPr="00195F3B" w:rsidRDefault="00195F3B" w:rsidP="00CF1347">
            <w:pPr>
              <w:keepNext/>
              <w:keepLines/>
              <w:jc w:val="center"/>
              <w:rPr>
                <w:rFonts w:cs="Arial"/>
              </w:rPr>
            </w:pPr>
            <w:r w:rsidRPr="00195F3B">
              <w:rPr>
                <w:rFonts w:cs="Arial"/>
              </w:rPr>
              <w:t>48</w:t>
            </w:r>
          </w:p>
        </w:tc>
        <w:tc>
          <w:tcPr>
            <w:tcW w:w="1102" w:type="dxa"/>
          </w:tcPr>
          <w:p w14:paraId="435292C8" w14:textId="77777777" w:rsidR="00195F3B" w:rsidRPr="00195F3B" w:rsidRDefault="00195F3B" w:rsidP="00CF1347">
            <w:pPr>
              <w:keepNext/>
              <w:keepLines/>
              <w:jc w:val="center"/>
              <w:rPr>
                <w:rFonts w:cs="Arial"/>
              </w:rPr>
            </w:pPr>
            <w:r w:rsidRPr="00195F3B">
              <w:rPr>
                <w:rFonts w:cs="Arial"/>
              </w:rPr>
              <w:t>36</w:t>
            </w:r>
          </w:p>
        </w:tc>
        <w:tc>
          <w:tcPr>
            <w:tcW w:w="1102" w:type="dxa"/>
          </w:tcPr>
          <w:p w14:paraId="51D5E8A2" w14:textId="77777777" w:rsidR="00195F3B" w:rsidRPr="00195F3B" w:rsidRDefault="00195F3B" w:rsidP="00CF1347">
            <w:pPr>
              <w:keepNext/>
              <w:keepLines/>
              <w:jc w:val="center"/>
              <w:rPr>
                <w:rFonts w:cs="Arial"/>
              </w:rPr>
            </w:pPr>
            <w:r w:rsidRPr="00195F3B">
              <w:rPr>
                <w:rFonts w:cs="Arial"/>
              </w:rPr>
              <w:t>20</w:t>
            </w:r>
          </w:p>
        </w:tc>
      </w:tr>
    </w:tbl>
    <w:p w14:paraId="40D871E0" w14:textId="77777777" w:rsidR="00195F3B" w:rsidRPr="00D63CC2" w:rsidRDefault="00195F3B" w:rsidP="00857109">
      <w:pPr>
        <w:rPr>
          <w:i/>
        </w:rPr>
      </w:pPr>
      <w:r w:rsidRPr="00D63CC2">
        <w:rPr>
          <w:i/>
          <w:sz w:val="20"/>
        </w:rPr>
        <w:t>Zdroj: Specializovaný finanční úřad (SFÚ)</w:t>
      </w:r>
      <w:r w:rsidR="00662AA1" w:rsidRPr="00D63CC2">
        <w:rPr>
          <w:i/>
          <w:sz w:val="20"/>
        </w:rPr>
        <w:t>.</w:t>
      </w:r>
    </w:p>
    <w:p w14:paraId="4A9582EE" w14:textId="77777777" w:rsidR="00195F3B" w:rsidRDefault="00195F3B" w:rsidP="00857109">
      <w:r w:rsidRPr="00C95B5A">
        <w:t xml:space="preserve">Daň z hazardních her je </w:t>
      </w:r>
      <w:r w:rsidRPr="00C62A51">
        <w:rPr>
          <w:b/>
        </w:rPr>
        <w:t>sdílenou daní</w:t>
      </w:r>
      <w:r>
        <w:t>.</w:t>
      </w:r>
      <w:r w:rsidRPr="00C95B5A">
        <w:t xml:space="preserve"> </w:t>
      </w:r>
      <w:r>
        <w:t xml:space="preserve">Rozpočtové určení této daně je realizováno skrze rozdělení tzv. celostátního hrubého výnosu daně – peněžní prostředky vybrané v průběhu rozpočtového roku správcem daně, které jsou snížené o vrácené prostředky. </w:t>
      </w:r>
    </w:p>
    <w:p w14:paraId="64CCB528" w14:textId="14C8556E" w:rsidR="00195F3B" w:rsidRDefault="00195F3B" w:rsidP="00857109">
      <w:r>
        <w:t>V případě daně z technických her je 65</w:t>
      </w:r>
      <w:r w:rsidR="001B4A9C">
        <w:t> </w:t>
      </w:r>
      <w:r>
        <w:t>% hrubých výnosů daně příjmem obecních rozpočtů a 35</w:t>
      </w:r>
      <w:r w:rsidR="001B4A9C">
        <w:t> </w:t>
      </w:r>
      <w:r>
        <w:t xml:space="preserve">% příjmem státního rozpočtu. Výše podílu jednotlivé obce je odvozena od počtu herních pozic legálně provozované technické hry na jejím území. Procento z výnosu daně z technické hry, které získá konkrétní obec, se vypočítá </w:t>
      </w:r>
      <w:r w:rsidR="0069690D">
        <w:t>po</w:t>
      </w:r>
      <w:r>
        <w:t xml:space="preserve">dle </w:t>
      </w:r>
      <w:r w:rsidRPr="00C11ECB">
        <w:t>§</w:t>
      </w:r>
      <w:r w:rsidR="001B4A9C">
        <w:t> </w:t>
      </w:r>
      <w:r>
        <w:t>7</w:t>
      </w:r>
      <w:r w:rsidR="001B4A9C">
        <w:t> </w:t>
      </w:r>
      <w:r>
        <w:t>odst.</w:t>
      </w:r>
      <w:r w:rsidR="00B80745">
        <w:t> </w:t>
      </w:r>
      <w:r>
        <w:t>2</w:t>
      </w:r>
      <w:r w:rsidR="001B4A9C">
        <w:t> </w:t>
      </w:r>
      <w:r>
        <w:t xml:space="preserve">zákona o </w:t>
      </w:r>
      <w:r w:rsidR="0030681F">
        <w:t xml:space="preserve">dani z </w:t>
      </w:r>
      <w:r>
        <w:t xml:space="preserve">hazardních </w:t>
      </w:r>
      <w:r w:rsidR="0030681F">
        <w:t xml:space="preserve">her </w:t>
      </w:r>
      <w:r>
        <w:t>jako poměr součtu povolených herních pozic technické</w:t>
      </w:r>
      <w:r w:rsidR="0069690D">
        <w:t xml:space="preserve"> </w:t>
      </w:r>
      <w:r>
        <w:t xml:space="preserve">hry na území dané obce a celkového počtu povolených herních pozic v České republice. </w:t>
      </w:r>
      <w:r w:rsidR="005C1A86">
        <w:t>Pod</w:t>
      </w:r>
      <w:r>
        <w:t xml:space="preserve">le takto získaných koeficientů obcí se rozdělují i daně získané z internetových technických her. </w:t>
      </w:r>
      <w:r w:rsidRPr="00C95B5A">
        <w:t xml:space="preserve">Oproti dani z technických her se výnosy </w:t>
      </w:r>
      <w:r>
        <w:t>daně u</w:t>
      </w:r>
      <w:r w:rsidR="001B4A9C">
        <w:t> </w:t>
      </w:r>
      <w:r>
        <w:t xml:space="preserve"> ostatních hazardních her </w:t>
      </w:r>
      <w:r w:rsidRPr="00C95B5A">
        <w:t>rozdělují v jiném poměru – 30</w:t>
      </w:r>
      <w:r w:rsidR="001B4A9C">
        <w:t> </w:t>
      </w:r>
      <w:r w:rsidRPr="00C95B5A">
        <w:t>% ku 70</w:t>
      </w:r>
      <w:r w:rsidR="001B4A9C">
        <w:t> </w:t>
      </w:r>
      <w:r w:rsidRPr="00C95B5A">
        <w:t>% ve prospěch státního rozpočtu.</w:t>
      </w:r>
      <w:r w:rsidR="00B80745">
        <w:t xml:space="preserve"> </w:t>
      </w:r>
      <w:r w:rsidR="00B80745" w:rsidRPr="00B80745">
        <w:t>Liší se také způsob rozdělení, jelikož výnosy daně z ostatních hazardních her se rozdělují způsobem obdobným rozdělování výnosů daně z příjmů právnických osob</w:t>
      </w:r>
      <w:r w:rsidR="00B80745">
        <w:t xml:space="preserve">, nikoliv </w:t>
      </w:r>
      <w:r w:rsidR="005C1A86">
        <w:t>po</w:t>
      </w:r>
      <w:r w:rsidR="00B80745">
        <w:t>dle výše uvedených</w:t>
      </w:r>
      <w:r w:rsidR="00B80745" w:rsidRPr="00B80745">
        <w:t xml:space="preserve"> koeficient</w:t>
      </w:r>
      <w:r w:rsidR="00B80745">
        <w:t>ů</w:t>
      </w:r>
      <w:r w:rsidR="00B80745" w:rsidRPr="00B80745">
        <w:t>.</w:t>
      </w:r>
    </w:p>
    <w:p w14:paraId="6FCD4997" w14:textId="77777777" w:rsidR="00687932" w:rsidRPr="002B30E8" w:rsidRDefault="00687932" w:rsidP="00335A00">
      <w:pPr>
        <w:pStyle w:val="Nadpis5"/>
      </w:pPr>
      <w:bookmarkStart w:id="6" w:name="_Toc73608289"/>
      <w:r w:rsidRPr="002B30E8">
        <w:t>Rozpočtové určení daně z hazardních her</w:t>
      </w:r>
      <w:bookmarkEnd w:id="6"/>
    </w:p>
    <w:p w14:paraId="318D0FE1" w14:textId="1E13CA1F" w:rsidR="00687932" w:rsidRDefault="00687932" w:rsidP="00687932">
      <w:r>
        <w:t>Do novely zákona o loteriích, která nabyla účinnosti 1. ledna 2016, se výnosy z technické hry dělily v poměru 80:20 ve prospěch obecních rozpočtů. Z daňových výnosů ostatních hazardních her dostávaly obce 30 %, stát pak zbylých 70</w:t>
      </w:r>
      <w:r w:rsidR="00532227">
        <w:t> </w:t>
      </w:r>
      <w:r w:rsidR="003E1F2E">
        <w:t>%. Od </w:t>
      </w:r>
      <w:r>
        <w:t>roku 2016 zůstal poměr u ostatních her nezměněn, ovšem příjmy obcí se snížily v případě výnosů z technické hry, kdy se jejich podíl na rozpočtovém určení daně z technické hry zmenšil na 63 %, zbylých 37 % se odvedlo do státního rozpočtu. Jak už bylo uvedeno výše, zákon o dani z hazardních her tento podíl obcí opět zvýšil, a</w:t>
      </w:r>
      <w:r w:rsidR="00532227">
        <w:t> </w:t>
      </w:r>
      <w:r>
        <w:t>to o 2</w:t>
      </w:r>
      <w:r w:rsidR="00532227">
        <w:t> </w:t>
      </w:r>
      <w:r>
        <w:t>p.</w:t>
      </w:r>
      <w:r w:rsidR="00532227">
        <w:t> </w:t>
      </w:r>
      <w:r>
        <w:t>b. na úroveň 65</w:t>
      </w:r>
      <w:r w:rsidR="00532227">
        <w:t> </w:t>
      </w:r>
      <w:r>
        <w:t>%.</w:t>
      </w:r>
    </w:p>
    <w:p w14:paraId="0BA7057B" w14:textId="42B09627" w:rsidR="00687932" w:rsidRDefault="00687932" w:rsidP="00687932">
      <w:r w:rsidRPr="00335A00">
        <w:t xml:space="preserve">Graf č. </w:t>
      </w:r>
      <w:r w:rsidRPr="002E6AC8">
        <w:t>1</w:t>
      </w:r>
      <w:r>
        <w:t xml:space="preserve"> ukazuje vývoj inkasa daně z hazardních her a jeho rozdělení mezi státní a</w:t>
      </w:r>
      <w:r w:rsidR="00532227">
        <w:t> </w:t>
      </w:r>
      <w:r>
        <w:t xml:space="preserve">obecní rozpočty. Příjmy obcí z daní z hazardních her dosahovaly mezi roky 2018 </w:t>
      </w:r>
      <w:r w:rsidR="00D73FF7">
        <w:t> </w:t>
      </w:r>
      <w:r>
        <w:t>a</w:t>
      </w:r>
      <w:r w:rsidR="00D73FF7">
        <w:t> </w:t>
      </w:r>
      <w:r>
        <w:t>2020 nejnižších hodnot za celé sledované období. Důvodem je nejen snížení podílu obcí z výnosu daně z technické hry, ale také celkové snížení daňových výnosů z technické hry za tyto roky. Z grafu je také patrné, že příjmy státního rozpočtu z daně z hazardních her postupně téměř dorovnaly příjmy obcí,</w:t>
      </w:r>
      <w:r w:rsidRPr="002B7C34">
        <w:t xml:space="preserve"> </w:t>
      </w:r>
      <w:r w:rsidR="00B5761D">
        <w:t>což se ale neděje na </w:t>
      </w:r>
      <w:r>
        <w:t>úkor obcí, jelikož jejich příjmy neklesají. Do konce roku 2015 netvořily výnosy plynoucí státu ani 50</w:t>
      </w:r>
      <w:r w:rsidR="000307C3">
        <w:t> </w:t>
      </w:r>
      <w:r>
        <w:t>% obecních příjmů z hazardních her, ovšem po úpravě poměru rozpočtového určení daní v roce 2016 došlo k velkému nárůstu příjmů státního rozpočtu z hazardních her, který se v následujících letech relativně přibližoval k úrovni příjmů obcí, což bylo způsobeno poklesem podílu technické hry na celkových výnosech daně z technických her.</w:t>
      </w:r>
    </w:p>
    <w:p w14:paraId="2189F1E3" w14:textId="7ACDD963" w:rsidR="00687932" w:rsidRPr="00D9485C" w:rsidRDefault="00687932" w:rsidP="00687932">
      <w:pPr>
        <w:keepNext/>
        <w:rPr>
          <w:i/>
        </w:rPr>
      </w:pPr>
      <w:bookmarkStart w:id="7" w:name="_Toc73538654"/>
      <w:r w:rsidRPr="00D9485C">
        <w:rPr>
          <w:i/>
        </w:rPr>
        <w:t xml:space="preserve">Graf č. </w:t>
      </w:r>
      <w:r w:rsidRPr="00D9485C">
        <w:rPr>
          <w:i/>
        </w:rPr>
        <w:fldChar w:fldCharType="begin"/>
      </w:r>
      <w:r w:rsidRPr="00D9485C">
        <w:rPr>
          <w:i/>
        </w:rPr>
        <w:instrText xml:space="preserve"> SEQ Graf_č. \* ARABIC </w:instrText>
      </w:r>
      <w:r w:rsidRPr="00D9485C">
        <w:rPr>
          <w:i/>
        </w:rPr>
        <w:fldChar w:fldCharType="separate"/>
      </w:r>
      <w:r w:rsidR="002E6AC8">
        <w:rPr>
          <w:i/>
          <w:noProof/>
        </w:rPr>
        <w:t>1</w:t>
      </w:r>
      <w:r w:rsidRPr="00D9485C">
        <w:rPr>
          <w:i/>
          <w:noProof/>
        </w:rPr>
        <w:fldChar w:fldCharType="end"/>
      </w:r>
      <w:r w:rsidRPr="00D9485C">
        <w:rPr>
          <w:i/>
        </w:rPr>
        <w:t>: Rozpočtové určení daní z hazardních her za období 2012–2020 (v</w:t>
      </w:r>
      <w:r w:rsidR="00D73FF7">
        <w:rPr>
          <w:i/>
        </w:rPr>
        <w:t> </w:t>
      </w:r>
      <w:r w:rsidRPr="00D9485C">
        <w:rPr>
          <w:i/>
        </w:rPr>
        <w:t>mld.;</w:t>
      </w:r>
      <w:r w:rsidR="00D73FF7">
        <w:rPr>
          <w:i/>
        </w:rPr>
        <w:t> </w:t>
      </w:r>
      <w:r w:rsidRPr="00D9485C">
        <w:rPr>
          <w:i/>
        </w:rPr>
        <w:t>s</w:t>
      </w:r>
      <w:r>
        <w:rPr>
          <w:i/>
        </w:rPr>
        <w:t>tav k</w:t>
      </w:r>
      <w:r w:rsidRPr="00D9485C">
        <w:rPr>
          <w:i/>
        </w:rPr>
        <w:t xml:space="preserve"> 10. 2. 2021)</w:t>
      </w:r>
      <w:bookmarkEnd w:id="7"/>
    </w:p>
    <w:p w14:paraId="44115FC4" w14:textId="77777777" w:rsidR="00687932" w:rsidRDefault="00687932" w:rsidP="00687932">
      <w:pPr>
        <w:keepNext/>
        <w:spacing w:after="80"/>
      </w:pPr>
      <w:r>
        <w:rPr>
          <w:noProof/>
          <w:lang w:eastAsia="cs-CZ"/>
        </w:rPr>
        <w:drawing>
          <wp:inline distT="0" distB="0" distL="0" distR="0" wp14:anchorId="6290AFF4" wp14:editId="63BB04E5">
            <wp:extent cx="5486400" cy="3200400"/>
            <wp:effectExtent l="0" t="0" r="0"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46DE59C" w14:textId="772F4442" w:rsidR="00687932" w:rsidRDefault="00687932" w:rsidP="00687932">
      <w:r w:rsidRPr="00D63CC2">
        <w:rPr>
          <w:i/>
          <w:sz w:val="20"/>
        </w:rPr>
        <w:t>Zdroj: Ministerstvo financí.</w:t>
      </w:r>
    </w:p>
    <w:p w14:paraId="1C4EB16D" w14:textId="35229C59" w:rsidR="007472C3" w:rsidRPr="00A76DF3" w:rsidRDefault="00374834" w:rsidP="00687932">
      <w:pPr>
        <w:pStyle w:val="Nadpis5"/>
      </w:pPr>
      <w:bookmarkStart w:id="8" w:name="_Toc73608290"/>
      <w:r>
        <w:t>Výše zdanění</w:t>
      </w:r>
      <w:bookmarkEnd w:id="8"/>
    </w:p>
    <w:p w14:paraId="11F959AC" w14:textId="18450103" w:rsidR="007472C3" w:rsidRDefault="007472C3" w:rsidP="00857109">
      <w:r>
        <w:t xml:space="preserve">Pro období let 2012–2015 byla </w:t>
      </w:r>
      <w:r w:rsidR="0094276D">
        <w:t>po</w:t>
      </w:r>
      <w:r>
        <w:t>dle §</w:t>
      </w:r>
      <w:r w:rsidR="00A402CE">
        <w:t> </w:t>
      </w:r>
      <w:r>
        <w:t xml:space="preserve">41c zákona o loteriích stanovena pro každý druh hazardní hry </w:t>
      </w:r>
      <w:r w:rsidR="00CE5FB2">
        <w:t xml:space="preserve">sazba </w:t>
      </w:r>
      <w:r>
        <w:t>20</w:t>
      </w:r>
      <w:r w:rsidR="00A402CE">
        <w:t> </w:t>
      </w:r>
      <w:r>
        <w:t>%, přičemž technická hra byla navíc zatížena pevnou sazbou ve výši 55 Kč za přístroj a za den. S účinností od 1.</w:t>
      </w:r>
      <w:r w:rsidR="00A402CE">
        <w:t> </w:t>
      </w:r>
      <w:r>
        <w:t>1.</w:t>
      </w:r>
      <w:r w:rsidR="00A402CE">
        <w:t> </w:t>
      </w:r>
      <w:r>
        <w:t>2016 se novelou tohoto zákona daňová sazba zvýšila na 28 % u technické hry a na 23</w:t>
      </w:r>
      <w:r w:rsidR="00A402CE">
        <w:t> </w:t>
      </w:r>
      <w:r>
        <w:t>% pro ostatní hry. Zvýšila se také pevná sazba pro technické hry na 80</w:t>
      </w:r>
      <w:r w:rsidR="00A929FD">
        <w:t> </w:t>
      </w:r>
      <w:r>
        <w:t>Kč</w:t>
      </w:r>
      <w:r w:rsidR="00F35FD0">
        <w:t xml:space="preserve"> za přístroj a za den</w:t>
      </w:r>
      <w:r w:rsidR="003A09E4">
        <w:t>. Zákon o </w:t>
      </w:r>
      <w:r>
        <w:t>dani z hazardních her od roku 2017</w:t>
      </w:r>
      <w:r w:rsidR="00A929FD">
        <w:t> </w:t>
      </w:r>
      <w:r>
        <w:t>zvýšil</w:t>
      </w:r>
      <w:r w:rsidR="007B17D2">
        <w:t xml:space="preserve"> dílčí daň z technických her na </w:t>
      </w:r>
      <w:r>
        <w:t>35</w:t>
      </w:r>
      <w:r w:rsidR="00DD06BD">
        <w:t> </w:t>
      </w:r>
      <w:r>
        <w:t>%, daňové sazby u ostatních hazardních her zůstaly nezměněny. V zákoně o</w:t>
      </w:r>
      <w:r w:rsidR="00A929FD">
        <w:t> </w:t>
      </w:r>
      <w:r>
        <w:t>dani z hazardních her je pevná sazba nahrazena minimální dílčí daní z technických her, která činí 9</w:t>
      </w:r>
      <w:r w:rsidR="00A402CE">
        <w:t> </w:t>
      </w:r>
      <w:r>
        <w:t>200</w:t>
      </w:r>
      <w:r w:rsidR="00A402CE">
        <w:t> </w:t>
      </w:r>
      <w:r>
        <w:t>Kč za povolené koncové zařízení za zdaňovací období (bylo-li povolené alespoň jeden den v tomto zdaňovacím období). Po přepočít</w:t>
      </w:r>
      <w:r w:rsidR="002A5078">
        <w:t>ání na den se jedná přibližně o </w:t>
      </w:r>
      <w:r>
        <w:t>částku 100</w:t>
      </w:r>
      <w:r w:rsidR="00A402CE">
        <w:t> </w:t>
      </w:r>
      <w:r>
        <w:t>Kč.</w:t>
      </w:r>
      <w:r w:rsidRPr="007D7195">
        <w:t xml:space="preserve"> </w:t>
      </w:r>
      <w:r>
        <w:t>Od 1.</w:t>
      </w:r>
      <w:r w:rsidR="00A402CE">
        <w:t> </w:t>
      </w:r>
      <w:r>
        <w:t>1.</w:t>
      </w:r>
      <w:r w:rsidR="00A402CE">
        <w:t> </w:t>
      </w:r>
      <w:r>
        <w:t>2020, kdy nabyla účinnosti novela tohoto zákona, se zvýšila daňová sazba u loterií na 35</w:t>
      </w:r>
      <w:r w:rsidR="00A402CE">
        <w:t> </w:t>
      </w:r>
      <w:r>
        <w:t>%, přičemž sazby u ostatních hazardních her (kromě technické hry) zůstaly na 23</w:t>
      </w:r>
      <w:r w:rsidR="00A402CE">
        <w:t> </w:t>
      </w:r>
      <w:r>
        <w:t>%.</w:t>
      </w:r>
    </w:p>
    <w:p w14:paraId="25F1E25E" w14:textId="77777777" w:rsidR="0094276D" w:rsidRPr="0094276D" w:rsidRDefault="0094276D" w:rsidP="0094276D">
      <w:pPr>
        <w:rPr>
          <w:b/>
        </w:rPr>
      </w:pPr>
      <w:r w:rsidRPr="0094276D">
        <w:rPr>
          <w:b/>
        </w:rPr>
        <w:t>Trh hazardních her a daňové výnosy</w:t>
      </w:r>
    </w:p>
    <w:p w14:paraId="4B86038B" w14:textId="2A4483B8" w:rsidR="0094276D" w:rsidRPr="00857109" w:rsidRDefault="0094276D" w:rsidP="00857109">
      <w:pPr>
        <w:rPr>
          <w:rFonts w:eastAsia="Times New Roman"/>
        </w:rPr>
      </w:pPr>
      <w:r w:rsidRPr="00335A00">
        <w:t>Graf</w:t>
      </w:r>
      <w:r w:rsidR="00470B65" w:rsidRPr="00335A00">
        <w:t xml:space="preserve"> č.</w:t>
      </w:r>
      <w:r w:rsidRPr="00335A00">
        <w:t xml:space="preserve"> </w:t>
      </w:r>
      <w:r w:rsidR="00687932" w:rsidRPr="00335A00">
        <w:t>2</w:t>
      </w:r>
      <w:r w:rsidRPr="009F6504">
        <w:t xml:space="preserve"> znázorňuje</w:t>
      </w:r>
      <w:r>
        <w:t xml:space="preserve"> vývoj celkového daňového výnosu z hazardních her za období let 2012</w:t>
      </w:r>
      <w:r>
        <w:rPr>
          <w:rFonts w:eastAsia="Times New Roman"/>
        </w:rPr>
        <w:t xml:space="preserve"> až 2020. Do roku 2016 nedocházelo k žádným výraznějším výkyvům ve výši výnosu daně z hazardních her, ovšem v roce 2016 se daňový výnos zvýšil o více než 3 mld. Kč. Důvodem tohoto nárůstu bylo především zvýšení daňových sazeb u všech druhů hazardních her. Příčinou dalšího navýšení výnosů daně v roce 2017</w:t>
      </w:r>
      <w:r w:rsidR="00A929FD">
        <w:rPr>
          <w:rFonts w:eastAsia="Times New Roman"/>
        </w:rPr>
        <w:t> </w:t>
      </w:r>
      <w:r>
        <w:rPr>
          <w:rFonts w:eastAsia="Times New Roman"/>
        </w:rPr>
        <w:t>bylo povolení internetového způsobu provozování u většiny druhů hazardních her. Následující pokles v roce 2018 byl způsoben poklesem dílčího daňového výnosu daně z technické hry, který pravděpodobně zapříčinilo uplynutí platnosti povolení vydaných podle zákona o loteriích.</w:t>
      </w:r>
    </w:p>
    <w:p w14:paraId="6F42CBB4" w14:textId="217DE317" w:rsidR="00857109" w:rsidRPr="00470B65" w:rsidRDefault="00857109" w:rsidP="00857109">
      <w:pPr>
        <w:rPr>
          <w:rFonts w:eastAsia="Times New Roman"/>
          <w:i/>
        </w:rPr>
      </w:pPr>
      <w:bookmarkStart w:id="9" w:name="_Toc73538655"/>
      <w:r w:rsidRPr="00470B65">
        <w:rPr>
          <w:rFonts w:eastAsia="Times New Roman"/>
          <w:i/>
        </w:rPr>
        <w:t>Graf č.</w:t>
      </w:r>
      <w:r w:rsidR="008F49BA">
        <w:rPr>
          <w:rFonts w:eastAsia="Times New Roman"/>
          <w:i/>
        </w:rPr>
        <w:t xml:space="preserve"> </w:t>
      </w:r>
      <w:r w:rsidRPr="00470B65">
        <w:rPr>
          <w:rFonts w:eastAsia="Times New Roman"/>
          <w:i/>
        </w:rPr>
        <w:fldChar w:fldCharType="begin"/>
      </w:r>
      <w:r w:rsidRPr="00470B65">
        <w:rPr>
          <w:rFonts w:eastAsia="Times New Roman"/>
          <w:i/>
        </w:rPr>
        <w:instrText xml:space="preserve"> SEQ Graf_č. \* ARABIC </w:instrText>
      </w:r>
      <w:r w:rsidRPr="00470B65">
        <w:rPr>
          <w:rFonts w:eastAsia="Times New Roman"/>
          <w:i/>
        </w:rPr>
        <w:fldChar w:fldCharType="separate"/>
      </w:r>
      <w:r w:rsidR="009F6504">
        <w:rPr>
          <w:rFonts w:eastAsia="Times New Roman"/>
          <w:i/>
          <w:noProof/>
        </w:rPr>
        <w:t>2</w:t>
      </w:r>
      <w:r w:rsidRPr="00470B65">
        <w:rPr>
          <w:rFonts w:eastAsia="Times New Roman"/>
          <w:i/>
        </w:rPr>
        <w:fldChar w:fldCharType="end"/>
      </w:r>
      <w:r w:rsidRPr="00470B65">
        <w:rPr>
          <w:rFonts w:eastAsia="Times New Roman"/>
          <w:i/>
        </w:rPr>
        <w:t>: Vývoj daňového výnosu z hazardních her za období 2012–2020</w:t>
      </w:r>
      <w:r w:rsidR="00414450">
        <w:rPr>
          <w:rFonts w:eastAsia="Times New Roman"/>
          <w:i/>
        </w:rPr>
        <w:t xml:space="preserve"> </w:t>
      </w:r>
      <w:r w:rsidR="00A929FD">
        <w:rPr>
          <w:rFonts w:eastAsia="Times New Roman"/>
          <w:i/>
        </w:rPr>
        <w:t> </w:t>
      </w:r>
      <w:r w:rsidR="00414450">
        <w:rPr>
          <w:rFonts w:eastAsia="Times New Roman"/>
          <w:i/>
        </w:rPr>
        <w:t>(stav k 10. 2. 2021)</w:t>
      </w:r>
      <w:bookmarkEnd w:id="9"/>
    </w:p>
    <w:p w14:paraId="708D9AEB" w14:textId="77777777" w:rsidR="0094276D" w:rsidRDefault="0094276D" w:rsidP="0094276D">
      <w:pPr>
        <w:spacing w:after="0"/>
        <w:rPr>
          <w:rFonts w:cs="Arial"/>
        </w:rPr>
      </w:pPr>
      <w:r>
        <w:rPr>
          <w:rFonts w:cs="Arial"/>
          <w:noProof/>
          <w:lang w:eastAsia="cs-CZ"/>
        </w:rPr>
        <w:drawing>
          <wp:inline distT="0" distB="0" distL="0" distR="0" wp14:anchorId="04EE454C" wp14:editId="43E532A6">
            <wp:extent cx="5486400" cy="3228535"/>
            <wp:effectExtent l="0" t="0" r="0" b="1016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37D242F" w14:textId="77777777" w:rsidR="0094276D" w:rsidRPr="00D63CC2" w:rsidRDefault="0094276D" w:rsidP="00857109">
      <w:pPr>
        <w:rPr>
          <w:i/>
          <w:sz w:val="20"/>
        </w:rPr>
      </w:pPr>
      <w:r w:rsidRPr="00D63CC2">
        <w:rPr>
          <w:i/>
          <w:sz w:val="20"/>
        </w:rPr>
        <w:t>Zdroj: Agregovaná data z daňových přizn</w:t>
      </w:r>
      <w:r w:rsidR="00BA7C52" w:rsidRPr="00D63CC2">
        <w:rPr>
          <w:i/>
          <w:sz w:val="20"/>
        </w:rPr>
        <w:t>ání k dani z hazardních her (GFŘ</w:t>
      </w:r>
      <w:r w:rsidRPr="00D63CC2">
        <w:rPr>
          <w:i/>
          <w:sz w:val="20"/>
        </w:rPr>
        <w:t>)</w:t>
      </w:r>
      <w:r w:rsidR="00857109" w:rsidRPr="00D63CC2">
        <w:rPr>
          <w:i/>
          <w:sz w:val="20"/>
        </w:rPr>
        <w:t>.</w:t>
      </w:r>
    </w:p>
    <w:p w14:paraId="3F32E216" w14:textId="6CF2ECEB" w:rsidR="00857109" w:rsidRDefault="0094276D" w:rsidP="00857109">
      <w:r>
        <w:t xml:space="preserve">Jak je </w:t>
      </w:r>
      <w:r w:rsidRPr="009F6504">
        <w:t>vidět z</w:t>
      </w:r>
      <w:r w:rsidR="00D627D6" w:rsidRPr="009F6504">
        <w:t> </w:t>
      </w:r>
      <w:r w:rsidR="00E03965">
        <w:t>g</w:t>
      </w:r>
      <w:r w:rsidRPr="00335A00">
        <w:t>rafu</w:t>
      </w:r>
      <w:r w:rsidR="00D627D6" w:rsidRPr="00335A00">
        <w:t xml:space="preserve"> č.</w:t>
      </w:r>
      <w:r w:rsidRPr="00335A00">
        <w:t xml:space="preserve"> </w:t>
      </w:r>
      <w:r w:rsidR="00687932" w:rsidRPr="00335A00">
        <w:t>3</w:t>
      </w:r>
      <w:r w:rsidRPr="009F6504">
        <w:t>, trh</w:t>
      </w:r>
      <w:r>
        <w:t xml:space="preserve"> hazardních her od roku 2012 nepřetržitě roste, což dokazuje zvětšující se objem </w:t>
      </w:r>
      <w:r w:rsidR="00773009">
        <w:t>přijatých (a nevrácených) vkladů</w:t>
      </w:r>
      <w:r>
        <w:t xml:space="preserve"> a vyplacených </w:t>
      </w:r>
      <w:r w:rsidR="00773009">
        <w:t>výher</w:t>
      </w:r>
      <w:r>
        <w:t>. K přerušení tohoto trendu došlo v roce 2020, kdy byl trh hazardních her zasažen pan</w:t>
      </w:r>
      <w:r w:rsidR="005926FB">
        <w:t>demickou situací související s c</w:t>
      </w:r>
      <w:r>
        <w:t xml:space="preserve">ovidem-19, která společně s vládními nařízeními na zastavení jejího šíření znemožnila provozování </w:t>
      </w:r>
      <w:r w:rsidR="00966B47">
        <w:t xml:space="preserve">formou land-based </w:t>
      </w:r>
      <w:r>
        <w:t xml:space="preserve">po velkou část roku. Přesto se objem vložených a vyplacených finančních prostředků nepatrně zvýšil, důvodem je především přechod </w:t>
      </w:r>
      <w:r w:rsidR="00992BD5">
        <w:rPr>
          <w:rFonts w:cs="Arial"/>
        </w:rPr>
        <w:t xml:space="preserve">účastníků hazardních her </w:t>
      </w:r>
      <w:r>
        <w:t>k internetovým hazardním hrám. V roce 2020</w:t>
      </w:r>
      <w:r w:rsidR="00E90850">
        <w:t xml:space="preserve"> </w:t>
      </w:r>
      <w:r>
        <w:t>dosahoval objem vložených prostředků do hazardních her téměř 400</w:t>
      </w:r>
      <w:r w:rsidR="00A929FD">
        <w:t> </w:t>
      </w:r>
      <w:r>
        <w:t>mld.</w:t>
      </w:r>
      <w:r w:rsidR="00A929FD">
        <w:t> </w:t>
      </w:r>
      <w:r>
        <w:t>Kč.</w:t>
      </w:r>
    </w:p>
    <w:p w14:paraId="1E183FFC" w14:textId="5EC72D44" w:rsidR="00857109" w:rsidRPr="00D627D6" w:rsidRDefault="00857109" w:rsidP="00CF1347">
      <w:pPr>
        <w:keepNext/>
        <w:rPr>
          <w:i/>
        </w:rPr>
      </w:pPr>
      <w:bookmarkStart w:id="10" w:name="_Toc73538656"/>
      <w:r w:rsidRPr="00D627D6">
        <w:rPr>
          <w:i/>
        </w:rPr>
        <w:t xml:space="preserve">Graf č. </w:t>
      </w:r>
      <w:r w:rsidR="00D42E01" w:rsidRPr="00D627D6">
        <w:rPr>
          <w:i/>
        </w:rPr>
        <w:fldChar w:fldCharType="begin"/>
      </w:r>
      <w:r w:rsidR="00D42E01" w:rsidRPr="00D627D6">
        <w:rPr>
          <w:i/>
        </w:rPr>
        <w:instrText xml:space="preserve"> SEQ Graf_č. \* ARABIC </w:instrText>
      </w:r>
      <w:r w:rsidR="00D42E01" w:rsidRPr="00D627D6">
        <w:rPr>
          <w:i/>
        </w:rPr>
        <w:fldChar w:fldCharType="separate"/>
      </w:r>
      <w:r w:rsidR="00687932">
        <w:rPr>
          <w:i/>
          <w:noProof/>
        </w:rPr>
        <w:t>3</w:t>
      </w:r>
      <w:r w:rsidR="00D42E01" w:rsidRPr="00D627D6">
        <w:rPr>
          <w:i/>
          <w:noProof/>
        </w:rPr>
        <w:fldChar w:fldCharType="end"/>
      </w:r>
      <w:r w:rsidRPr="00D627D6">
        <w:rPr>
          <w:i/>
        </w:rPr>
        <w:t xml:space="preserve">: Vývoj </w:t>
      </w:r>
      <w:r w:rsidR="00773009">
        <w:rPr>
          <w:i/>
        </w:rPr>
        <w:t>přijatých (a nevrácených) vkladů a vyplacených výher</w:t>
      </w:r>
      <w:r w:rsidRPr="00D627D6">
        <w:rPr>
          <w:i/>
        </w:rPr>
        <w:t xml:space="preserve"> u hazardních </w:t>
      </w:r>
      <w:r w:rsidR="009F717F">
        <w:rPr>
          <w:i/>
        </w:rPr>
        <w:t>her za období 2012–2020 (v mil.; stav k 10. 2. 2021)</w:t>
      </w:r>
      <w:bookmarkEnd w:id="10"/>
    </w:p>
    <w:p w14:paraId="235B5FCB" w14:textId="77777777" w:rsidR="0094276D" w:rsidRDefault="0094276D" w:rsidP="0094276D">
      <w:pPr>
        <w:spacing w:after="0"/>
        <w:rPr>
          <w:rFonts w:cs="Arial"/>
        </w:rPr>
      </w:pPr>
      <w:r>
        <w:rPr>
          <w:rFonts w:cs="Arial"/>
          <w:noProof/>
          <w:lang w:eastAsia="cs-CZ"/>
        </w:rPr>
        <w:drawing>
          <wp:inline distT="0" distB="0" distL="0" distR="0" wp14:anchorId="4AD4F36E" wp14:editId="668B96BB">
            <wp:extent cx="5486400" cy="3186332"/>
            <wp:effectExtent l="0" t="0" r="0" b="14605"/>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76BFE6" w14:textId="77777777" w:rsidR="0094276D" w:rsidRPr="00D63CC2" w:rsidRDefault="0094276D" w:rsidP="00857109">
      <w:pPr>
        <w:rPr>
          <w:i/>
          <w:sz w:val="20"/>
        </w:rPr>
      </w:pPr>
      <w:r w:rsidRPr="00D63CC2">
        <w:rPr>
          <w:i/>
          <w:sz w:val="20"/>
        </w:rPr>
        <w:t>Zdroj: Agregovaná data z daňových přizn</w:t>
      </w:r>
      <w:r w:rsidR="00BA7C52" w:rsidRPr="00D63CC2">
        <w:rPr>
          <w:i/>
          <w:sz w:val="20"/>
        </w:rPr>
        <w:t>ání k dani z hazardních her (GFŘ</w:t>
      </w:r>
      <w:r w:rsidRPr="00D63CC2">
        <w:rPr>
          <w:i/>
          <w:sz w:val="20"/>
        </w:rPr>
        <w:t>)</w:t>
      </w:r>
      <w:r w:rsidR="00857109" w:rsidRPr="00D63CC2">
        <w:rPr>
          <w:i/>
          <w:sz w:val="20"/>
        </w:rPr>
        <w:t>.</w:t>
      </w:r>
    </w:p>
    <w:p w14:paraId="7DAC832A" w14:textId="7BD1A307" w:rsidR="006F1E96" w:rsidRDefault="006F1E96" w:rsidP="00857109">
      <w:r w:rsidRPr="00335A00">
        <w:t>Graf</w:t>
      </w:r>
      <w:r w:rsidR="00D627D6" w:rsidRPr="00335A00">
        <w:t xml:space="preserve"> č.</w:t>
      </w:r>
      <w:r w:rsidRPr="00335A00">
        <w:t xml:space="preserve"> </w:t>
      </w:r>
      <w:r w:rsidR="00687932" w:rsidRPr="00335A00">
        <w:t>4</w:t>
      </w:r>
      <w:r w:rsidRPr="009F6504">
        <w:t xml:space="preserve"> znázorňuje</w:t>
      </w:r>
      <w:r>
        <w:t xml:space="preserve"> vývoj výnosů dílčích daní jednotlivých druhů hazardních her. Daňové výnosy z kursové sázky a loterie se v pozorovaném období s výjimkou roku 2014 (pro kursovou sázku i roku 2020) navyšovaly, ke skokovému růstu došlo v roce 2017. Podle dostupných informací je výrazný nárůst výnosů v roce 2017 zapříčiněn rozvojem provozování internetových her. Výnos dílčí daně z loterie se v roce 2020 znatelně zvýšil, neboť od tohoto roku došlo ke zvýšení daňové sazby pro loterie o</w:t>
      </w:r>
      <w:r w:rsidR="00A929FD">
        <w:t> </w:t>
      </w:r>
      <w:r>
        <w:t>12</w:t>
      </w:r>
      <w:r w:rsidR="00A929FD">
        <w:t> </w:t>
      </w:r>
      <w:r>
        <w:t>%. Také výnosy z živé hry se dlouhodobě navyšovaly, ovšem v roce 2020 došlo ke značnému poklesu v návaznosti na pandemickou situaci související</w:t>
      </w:r>
      <w:r w:rsidR="00A929FD">
        <w:br/>
      </w:r>
      <w:r w:rsidR="007B17D2">
        <w:t>s c</w:t>
      </w:r>
      <w:r>
        <w:t>ovid</w:t>
      </w:r>
      <w:r w:rsidR="005926FB">
        <w:t>em</w:t>
      </w:r>
      <w:r>
        <w:t>-19.</w:t>
      </w:r>
      <w:r w:rsidR="00A929FD">
        <w:t xml:space="preserve">  </w:t>
      </w:r>
    </w:p>
    <w:p w14:paraId="5E30CD54" w14:textId="34682DA4" w:rsidR="006F1E96" w:rsidRDefault="006F1E96" w:rsidP="00857109">
      <w:r>
        <w:t xml:space="preserve">Příjmy daně z technické hry se do roku 2015 zvyšovaly mírnějším tempem, jelikož dle zákona o loteriích nemohla být provozována prostřednictvím internetu. Navíc v tomto období bylo vydáváno velké množství obecně závazných vyhlášek, které zakazovaly zejména provozování technické hry na území </w:t>
      </w:r>
      <w:r w:rsidRPr="009F6504">
        <w:t>obce (</w:t>
      </w:r>
      <w:r w:rsidRPr="00335A00">
        <w:t xml:space="preserve">viz </w:t>
      </w:r>
      <w:r w:rsidR="00E03965">
        <w:t>g</w:t>
      </w:r>
      <w:r w:rsidRPr="00335A00">
        <w:t>raf</w:t>
      </w:r>
      <w:r w:rsidR="00D627D6" w:rsidRPr="00335A00">
        <w:t xml:space="preserve"> č.</w:t>
      </w:r>
      <w:r w:rsidRPr="00335A00">
        <w:t xml:space="preserve"> </w:t>
      </w:r>
      <w:r w:rsidR="00687932" w:rsidRPr="00335A00">
        <w:t>5</w:t>
      </w:r>
      <w:r w:rsidRPr="009F6504">
        <w:t>). Ovšem</w:t>
      </w:r>
      <w:r>
        <w:t xml:space="preserve"> v roce 2016, kdy se zvýšila poměrná i pevná část dílčí daně z technických her, došlo k velkému nárůstu výnosů z této dílčí daně. Avšak v roce 2018 daňové výnosy z technické hry opět klesly, a to ještě na nižší úroveň než v roce 2013. Tento propad byl s největší pravděpodobností zapříčiněn postupným uplynutím platnosti těch povolení, která byla vydána podle zákona o loteriích. Tento pokles povolení k provozování technické hry nebyl ihned vyrovnán vydáním povolení podle zákona o</w:t>
      </w:r>
      <w:r w:rsidR="009F6504">
        <w:t> </w:t>
      </w:r>
      <w:r>
        <w:t>hazardních hrách, a to mimo jiné i z důvodu regulace obsažené v zákoně o</w:t>
      </w:r>
      <w:r w:rsidR="009F6504">
        <w:t> </w:t>
      </w:r>
      <w:r>
        <w:t xml:space="preserve">hazardních </w:t>
      </w:r>
      <w:r w:rsidRPr="009F6504">
        <w:t xml:space="preserve">hrách (viz </w:t>
      </w:r>
      <w:r w:rsidR="00E03965">
        <w:t>g</w:t>
      </w:r>
      <w:r w:rsidRPr="00335A00">
        <w:t>raf</w:t>
      </w:r>
      <w:r w:rsidR="00D627D6" w:rsidRPr="00335A00">
        <w:t xml:space="preserve"> č.</w:t>
      </w:r>
      <w:r w:rsidRPr="00335A00">
        <w:t xml:space="preserve"> </w:t>
      </w:r>
      <w:r w:rsidR="00687932" w:rsidRPr="00335A00">
        <w:t>7</w:t>
      </w:r>
      <w:r w:rsidRPr="009F6504">
        <w:t>). V roce</w:t>
      </w:r>
      <w:r>
        <w:t xml:space="preserve"> 2020 došlo opět k poklesu výnosu dílčí daně z technické hry, a to zejména z důvodu pandemické situace související s</w:t>
      </w:r>
      <w:r w:rsidR="007B17D2">
        <w:t> c</w:t>
      </w:r>
      <w:r>
        <w:t>ovid</w:t>
      </w:r>
      <w:r w:rsidR="005926FB">
        <w:t>em</w:t>
      </w:r>
      <w:r w:rsidR="007B17D2">
        <w:noBreakHyphen/>
      </w:r>
      <w:r>
        <w:t>19.</w:t>
      </w:r>
    </w:p>
    <w:p w14:paraId="1141FF16" w14:textId="1BABCE36" w:rsidR="006F1E96" w:rsidRDefault="006F1E96" w:rsidP="00857109">
      <w:r>
        <w:t xml:space="preserve">Postupně dochází ke změně struktury trhu hazardních her ve prospěch hazardních </w:t>
      </w:r>
      <w:r w:rsidRPr="009F6504">
        <w:t>her provozovaných prostřednictvím internetu.</w:t>
      </w:r>
      <w:r w:rsidRPr="009F6504">
        <w:rPr>
          <w:i/>
        </w:rPr>
        <w:t xml:space="preserve"> </w:t>
      </w:r>
      <w:r w:rsidR="007B17D2">
        <w:t>Tento trend je zobrazen také na </w:t>
      </w:r>
      <w:r w:rsidR="00E03965">
        <w:t>g</w:t>
      </w:r>
      <w:r w:rsidRPr="00335A00">
        <w:t>rafu</w:t>
      </w:r>
      <w:r w:rsidR="00A929FD">
        <w:t> </w:t>
      </w:r>
      <w:r w:rsidR="009F717F" w:rsidRPr="00335A00">
        <w:t>č.</w:t>
      </w:r>
      <w:r w:rsidRPr="00335A00">
        <w:t xml:space="preserve"> </w:t>
      </w:r>
      <w:r w:rsidR="00687932" w:rsidRPr="00335A00">
        <w:t>4</w:t>
      </w:r>
      <w:r w:rsidRPr="009F6504">
        <w:t>. Do</w:t>
      </w:r>
      <w:r>
        <w:t xml:space="preserve"> nabytí účinnosti zákona o hazardních hrách</w:t>
      </w:r>
      <w:r w:rsidRPr="00103268">
        <w:t xml:space="preserve"> byl poměr mezi </w:t>
      </w:r>
      <w:r>
        <w:t xml:space="preserve">provozováním hazardních her formou </w:t>
      </w:r>
      <w:r w:rsidRPr="00103268">
        <w:t>land</w:t>
      </w:r>
      <w:r>
        <w:t>-</w:t>
      </w:r>
      <w:r w:rsidRPr="00103268">
        <w:t xml:space="preserve">based a </w:t>
      </w:r>
      <w:r>
        <w:t>prostřednictvím internetu</w:t>
      </w:r>
      <w:r w:rsidRPr="00103268">
        <w:t xml:space="preserve"> poměrně stabilní, jelikož </w:t>
      </w:r>
      <w:r>
        <w:t xml:space="preserve">kromě </w:t>
      </w:r>
      <w:r w:rsidRPr="00103268">
        <w:t>kursové sázky a živé hry</w:t>
      </w:r>
      <w:r>
        <w:t xml:space="preserve"> nebyly hazardní hry </w:t>
      </w:r>
      <w:r w:rsidR="005C1A86">
        <w:t>po</w:t>
      </w:r>
      <w:r>
        <w:t>dle nastavené správní praxe Ministerstva financí provozovány prostřednictvím internetu, avšak od roku 2017 se rozlišuje mezi land</w:t>
      </w:r>
      <w:r w:rsidR="00FB2BA2">
        <w:t>-</w:t>
      </w:r>
      <w:r>
        <w:t>based</w:t>
      </w:r>
      <w:r w:rsidR="00A929FD">
        <w:t xml:space="preserve"> prostředím</w:t>
      </w:r>
      <w:r>
        <w:t xml:space="preserve"> a internetem i</w:t>
      </w:r>
      <w:r w:rsidR="00A929FD">
        <w:t> </w:t>
      </w:r>
      <w:r>
        <w:t xml:space="preserve"> u</w:t>
      </w:r>
      <w:r w:rsidR="00A929FD">
        <w:t> </w:t>
      </w:r>
      <w:r>
        <w:t xml:space="preserve"> ostatních druhů hazardních her. V roce 202</w:t>
      </w:r>
      <w:r w:rsidR="007B17D2">
        <w:t>0 se podíl internetových her na </w:t>
      </w:r>
      <w:r>
        <w:t>celkových výnosech daně z hazardních her zvýšil více než v předchozích letech, jelikož pa</w:t>
      </w:r>
      <w:r w:rsidR="007B17D2">
        <w:t>ndemická situace související s c</w:t>
      </w:r>
      <w:r>
        <w:t>ovid</w:t>
      </w:r>
      <w:r w:rsidR="005926FB">
        <w:t>em</w:t>
      </w:r>
      <w:r w:rsidR="007B17D2">
        <w:noBreakHyphen/>
      </w:r>
      <w:r>
        <w:t xml:space="preserve">19 měla menší dopad na </w:t>
      </w:r>
      <w:r w:rsidR="00FB2BA2">
        <w:t>internetové hry</w:t>
      </w:r>
      <w:r>
        <w:t>.</w:t>
      </w:r>
    </w:p>
    <w:p w14:paraId="2BE3B43A" w14:textId="227A8ED4" w:rsidR="00846182" w:rsidRPr="009D6382" w:rsidRDefault="00846182" w:rsidP="00AB67A6">
      <w:pPr>
        <w:keepNext/>
        <w:rPr>
          <w:i/>
        </w:rPr>
      </w:pPr>
      <w:bookmarkStart w:id="11" w:name="_Toc73538657"/>
      <w:r w:rsidRPr="009D6382">
        <w:rPr>
          <w:i/>
        </w:rPr>
        <w:t xml:space="preserve">Graf č. </w:t>
      </w:r>
      <w:r w:rsidR="00D42E01" w:rsidRPr="009D6382">
        <w:rPr>
          <w:i/>
        </w:rPr>
        <w:fldChar w:fldCharType="begin"/>
      </w:r>
      <w:r w:rsidR="00D42E01" w:rsidRPr="009D6382">
        <w:rPr>
          <w:i/>
        </w:rPr>
        <w:instrText xml:space="preserve"> SEQ Graf_č. \* ARABIC </w:instrText>
      </w:r>
      <w:r w:rsidR="00D42E01" w:rsidRPr="009D6382">
        <w:rPr>
          <w:i/>
        </w:rPr>
        <w:fldChar w:fldCharType="separate"/>
      </w:r>
      <w:r w:rsidR="00687932">
        <w:rPr>
          <w:i/>
          <w:noProof/>
        </w:rPr>
        <w:t>4</w:t>
      </w:r>
      <w:r w:rsidR="00D42E01" w:rsidRPr="009D6382">
        <w:rPr>
          <w:i/>
          <w:noProof/>
        </w:rPr>
        <w:fldChar w:fldCharType="end"/>
      </w:r>
      <w:r w:rsidR="003A09E4">
        <w:rPr>
          <w:i/>
        </w:rPr>
        <w:t xml:space="preserve">: </w:t>
      </w:r>
      <w:r w:rsidRPr="009D6382">
        <w:rPr>
          <w:i/>
        </w:rPr>
        <w:t xml:space="preserve">Vývoj výnosu dílčí daně z jednotlivých druhů hazardních her a vývoj podílu </w:t>
      </w:r>
      <w:r w:rsidR="00BF6535">
        <w:rPr>
          <w:i/>
        </w:rPr>
        <w:t xml:space="preserve">provozované v </w:t>
      </w:r>
      <w:r w:rsidRPr="009D6382">
        <w:rPr>
          <w:i/>
        </w:rPr>
        <w:t xml:space="preserve">land-based </w:t>
      </w:r>
      <w:r w:rsidR="00BF6535">
        <w:rPr>
          <w:i/>
        </w:rPr>
        <w:t xml:space="preserve">prostředí </w:t>
      </w:r>
      <w:r w:rsidRPr="009D6382">
        <w:rPr>
          <w:i/>
        </w:rPr>
        <w:t xml:space="preserve">a </w:t>
      </w:r>
      <w:r w:rsidR="00966B47">
        <w:rPr>
          <w:i/>
        </w:rPr>
        <w:t xml:space="preserve">v prostředí </w:t>
      </w:r>
      <w:r w:rsidRPr="009D6382">
        <w:rPr>
          <w:i/>
        </w:rPr>
        <w:t>internetu na tomto výnosu za období 2013–2020</w:t>
      </w:r>
      <w:r w:rsidR="009D6382" w:rsidRPr="009D6382">
        <w:rPr>
          <w:i/>
        </w:rPr>
        <w:t xml:space="preserve"> (stav k 10. 2. 2021)</w:t>
      </w:r>
      <w:bookmarkEnd w:id="11"/>
    </w:p>
    <w:p w14:paraId="5985E89D" w14:textId="77777777" w:rsidR="00BD3C8F" w:rsidRDefault="00BD3C8F" w:rsidP="00BD3C8F">
      <w:pPr>
        <w:keepNext/>
        <w:spacing w:after="80"/>
      </w:pPr>
      <w:r>
        <w:rPr>
          <w:rFonts w:cs="Arial"/>
          <w:noProof/>
          <w:lang w:eastAsia="cs-CZ"/>
        </w:rPr>
        <w:drawing>
          <wp:inline distT="0" distB="0" distL="0" distR="0" wp14:anchorId="1422609F" wp14:editId="05E181B1">
            <wp:extent cx="5486400" cy="320040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139BD2F" w14:textId="77777777" w:rsidR="00BD3C8F" w:rsidRPr="00D63CC2" w:rsidRDefault="00BD3C8F" w:rsidP="00846182">
      <w:pPr>
        <w:rPr>
          <w:i/>
          <w:sz w:val="20"/>
        </w:rPr>
      </w:pPr>
      <w:r w:rsidRPr="00D63CC2">
        <w:rPr>
          <w:i/>
          <w:sz w:val="20"/>
        </w:rPr>
        <w:t>Zdroj: Agregovaná data z daňových přizn</w:t>
      </w:r>
      <w:r w:rsidR="00BA7C52" w:rsidRPr="00D63CC2">
        <w:rPr>
          <w:i/>
          <w:sz w:val="20"/>
        </w:rPr>
        <w:t>ání k dani z hazardních her (GFŘ</w:t>
      </w:r>
      <w:r w:rsidRPr="00D63CC2">
        <w:rPr>
          <w:i/>
          <w:sz w:val="20"/>
        </w:rPr>
        <w:t>)</w:t>
      </w:r>
      <w:r w:rsidR="00846182" w:rsidRPr="00D63CC2">
        <w:rPr>
          <w:i/>
          <w:sz w:val="20"/>
        </w:rPr>
        <w:t>.</w:t>
      </w:r>
    </w:p>
    <w:p w14:paraId="6D449DB3" w14:textId="71D54B7B" w:rsidR="00C80A96" w:rsidRDefault="00BD3C8F" w:rsidP="00BD3C8F">
      <w:pPr>
        <w:rPr>
          <w:rFonts w:cs="Arial"/>
        </w:rPr>
      </w:pPr>
      <w:r w:rsidRPr="009F6504">
        <w:rPr>
          <w:rFonts w:cs="Arial"/>
        </w:rPr>
        <w:t>Z</w:t>
      </w:r>
      <w:r w:rsidR="009D6382" w:rsidRPr="009F6504">
        <w:rPr>
          <w:rFonts w:cs="Arial"/>
        </w:rPr>
        <w:t> </w:t>
      </w:r>
      <w:r w:rsidR="00E03965">
        <w:rPr>
          <w:rFonts w:cs="Arial"/>
        </w:rPr>
        <w:t>g</w:t>
      </w:r>
      <w:r w:rsidRPr="00335A00">
        <w:rPr>
          <w:rFonts w:cs="Arial"/>
        </w:rPr>
        <w:t>rafu</w:t>
      </w:r>
      <w:r w:rsidR="009D6382" w:rsidRPr="00335A00">
        <w:rPr>
          <w:rFonts w:cs="Arial"/>
        </w:rPr>
        <w:t xml:space="preserve"> č.</w:t>
      </w:r>
      <w:r w:rsidRPr="00335A00">
        <w:rPr>
          <w:rFonts w:cs="Arial"/>
        </w:rPr>
        <w:t xml:space="preserve"> </w:t>
      </w:r>
      <w:r w:rsidR="00687932" w:rsidRPr="009F6504">
        <w:rPr>
          <w:rFonts w:cs="Arial"/>
        </w:rPr>
        <w:t>5</w:t>
      </w:r>
      <w:r w:rsidRPr="009F6504">
        <w:rPr>
          <w:rFonts w:cs="Arial"/>
        </w:rPr>
        <w:t xml:space="preserve"> lze</w:t>
      </w:r>
      <w:r>
        <w:rPr>
          <w:rFonts w:cs="Arial"/>
        </w:rPr>
        <w:t xml:space="preserve"> vyvodit, že obecně závazné vyhl</w:t>
      </w:r>
      <w:r w:rsidR="007B17D2">
        <w:rPr>
          <w:rFonts w:cs="Arial"/>
        </w:rPr>
        <w:t>ášky regulující hazardní hry na </w:t>
      </w:r>
      <w:r>
        <w:rPr>
          <w:rFonts w:cs="Arial"/>
        </w:rPr>
        <w:t>území dané obce nemají patrný dopad na celostátní dílčí základ daně z  technické hry</w:t>
      </w:r>
      <w:r w:rsidR="00A929FD" w:rsidRPr="00A929FD">
        <w:rPr>
          <w:rFonts w:cs="Arial"/>
        </w:rPr>
        <w:t xml:space="preserve"> </w:t>
      </w:r>
      <w:r w:rsidR="00A929FD">
        <w:rPr>
          <w:rFonts w:cs="Arial"/>
        </w:rPr>
        <w:t>provozované v land-based prostředí</w:t>
      </w:r>
      <w:r>
        <w:rPr>
          <w:rFonts w:cs="Arial"/>
        </w:rPr>
        <w:t>. Na území obce, která reguluje technickou hru vydáním obecně závazné vyhlášky, dojde ke snížení dílčího základu daně z  technické hry</w:t>
      </w:r>
      <w:r w:rsidR="004F4756" w:rsidRPr="004F4756">
        <w:rPr>
          <w:rFonts w:cs="Arial"/>
        </w:rPr>
        <w:t xml:space="preserve"> </w:t>
      </w:r>
      <w:r w:rsidR="004F4756">
        <w:rPr>
          <w:rFonts w:cs="Arial"/>
        </w:rPr>
        <w:t>provozované</w:t>
      </w:r>
      <w:r w:rsidR="00464D51">
        <w:rPr>
          <w:rFonts w:cs="Arial"/>
        </w:rPr>
        <w:t xml:space="preserve"> formou</w:t>
      </w:r>
      <w:r w:rsidR="004F4756">
        <w:rPr>
          <w:rFonts w:cs="Arial"/>
        </w:rPr>
        <w:t xml:space="preserve"> land-based</w:t>
      </w:r>
      <w:r>
        <w:rPr>
          <w:rFonts w:cs="Arial"/>
        </w:rPr>
        <w:t xml:space="preserve">, a to až na nulovou hodnotu při úplném zákazu, ovšem </w:t>
      </w:r>
      <w:r w:rsidR="009D6382">
        <w:rPr>
          <w:rFonts w:cs="Arial"/>
        </w:rPr>
        <w:t>účastnící hazardních her</w:t>
      </w:r>
      <w:r>
        <w:rPr>
          <w:rFonts w:cs="Arial"/>
        </w:rPr>
        <w:t xml:space="preserve"> se mohou přesunout do heren a</w:t>
      </w:r>
      <w:r w:rsidR="00DF717A">
        <w:rPr>
          <w:rFonts w:cs="Arial"/>
        </w:rPr>
        <w:t> </w:t>
      </w:r>
      <w:r>
        <w:rPr>
          <w:rFonts w:cs="Arial"/>
        </w:rPr>
        <w:t xml:space="preserve"> kasin, které jsou na území obce, která žádným způsobem provozování hazardních her na svém území neomezuje. Dochází k regulaci nabídky, ne poptávky. Dopad obecně závazných </w:t>
      </w:r>
      <w:r w:rsidR="00D645EC">
        <w:rPr>
          <w:rFonts w:cs="Arial"/>
        </w:rPr>
        <w:t>vyhlášek je tedy spíše lokální.</w:t>
      </w:r>
      <w:r w:rsidR="00BC0A1D">
        <w:rPr>
          <w:rFonts w:cs="Arial"/>
        </w:rPr>
        <w:t xml:space="preserve"> Velký propad dílčího základu daně z  technické hry</w:t>
      </w:r>
      <w:r w:rsidR="00BF6535">
        <w:rPr>
          <w:rFonts w:cs="Arial"/>
        </w:rPr>
        <w:t xml:space="preserve"> provozované formou</w:t>
      </w:r>
      <w:r w:rsidR="00BC0A1D">
        <w:rPr>
          <w:rFonts w:cs="Arial"/>
        </w:rPr>
        <w:t xml:space="preserve"> </w:t>
      </w:r>
      <w:r w:rsidR="00BF6535">
        <w:rPr>
          <w:rFonts w:cs="Arial"/>
        </w:rPr>
        <w:t xml:space="preserve">land-based </w:t>
      </w:r>
      <w:r w:rsidR="00BC0A1D">
        <w:rPr>
          <w:rFonts w:cs="Arial"/>
        </w:rPr>
        <w:t>v roce 2018 byl pravděpodobně zapříčiněn postupným uplynutím platnosti povolení vydávanýc</w:t>
      </w:r>
      <w:r w:rsidR="00AB67A6">
        <w:rPr>
          <w:rFonts w:cs="Arial"/>
        </w:rPr>
        <w:t>h podle zákona o</w:t>
      </w:r>
      <w:r w:rsidR="00BF6535">
        <w:rPr>
          <w:rFonts w:cs="Arial"/>
        </w:rPr>
        <w:t> </w:t>
      </w:r>
      <w:r w:rsidR="00AB67A6">
        <w:rPr>
          <w:rFonts w:cs="Arial"/>
        </w:rPr>
        <w:t xml:space="preserve"> loteriích.</w:t>
      </w:r>
    </w:p>
    <w:p w14:paraId="7C62DAF4" w14:textId="78505FDE" w:rsidR="00C80A96" w:rsidRPr="00042874" w:rsidRDefault="00C80A96" w:rsidP="00AB67A6">
      <w:pPr>
        <w:keepNext/>
        <w:rPr>
          <w:i/>
        </w:rPr>
      </w:pPr>
      <w:bookmarkStart w:id="12" w:name="_Toc73538658"/>
      <w:r w:rsidRPr="00042874">
        <w:rPr>
          <w:i/>
        </w:rPr>
        <w:t xml:space="preserve">Graf č. </w:t>
      </w:r>
      <w:r w:rsidR="00D42E01" w:rsidRPr="00042874">
        <w:rPr>
          <w:i/>
        </w:rPr>
        <w:fldChar w:fldCharType="begin"/>
      </w:r>
      <w:r w:rsidR="00D42E01" w:rsidRPr="00042874">
        <w:rPr>
          <w:i/>
        </w:rPr>
        <w:instrText xml:space="preserve"> SEQ Graf_č. \* ARABIC </w:instrText>
      </w:r>
      <w:r w:rsidR="00D42E01" w:rsidRPr="00042874">
        <w:rPr>
          <w:i/>
        </w:rPr>
        <w:fldChar w:fldCharType="separate"/>
      </w:r>
      <w:r w:rsidR="00687932">
        <w:rPr>
          <w:i/>
          <w:noProof/>
        </w:rPr>
        <w:t>5</w:t>
      </w:r>
      <w:r w:rsidR="00D42E01" w:rsidRPr="00042874">
        <w:rPr>
          <w:i/>
          <w:noProof/>
        </w:rPr>
        <w:fldChar w:fldCharType="end"/>
      </w:r>
      <w:r w:rsidRPr="00042874">
        <w:rPr>
          <w:i/>
        </w:rPr>
        <w:t>: Vývoj počtu nově vydaných obecně závazných vyhlášek zakazujících provozování hazardních her na území obce dle zákona o loteriích a dle zákona</w:t>
      </w:r>
      <w:r w:rsidR="00042874" w:rsidRPr="00042874">
        <w:rPr>
          <w:i/>
        </w:rPr>
        <w:t xml:space="preserve"> (stav k 10. 2. 2021)</w:t>
      </w:r>
      <w:bookmarkEnd w:id="12"/>
    </w:p>
    <w:p w14:paraId="7776B773" w14:textId="77777777" w:rsidR="00BD3C8F" w:rsidRDefault="00BD3C8F" w:rsidP="00BD3C8F">
      <w:pPr>
        <w:spacing w:after="80"/>
        <w:rPr>
          <w:rFonts w:cs="Arial"/>
        </w:rPr>
      </w:pPr>
      <w:r>
        <w:rPr>
          <w:rFonts w:cs="Arial"/>
          <w:noProof/>
          <w:lang w:eastAsia="cs-CZ"/>
        </w:rPr>
        <w:drawing>
          <wp:inline distT="0" distB="0" distL="0" distR="0" wp14:anchorId="3739132E" wp14:editId="0BEF0AA5">
            <wp:extent cx="5486400" cy="3200400"/>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68BDE0" w14:textId="77777777" w:rsidR="00BD3C8F" w:rsidRPr="00D63CC2" w:rsidRDefault="00BD3C8F" w:rsidP="00C80A96">
      <w:pPr>
        <w:rPr>
          <w:i/>
          <w:sz w:val="22"/>
        </w:rPr>
      </w:pPr>
      <w:r w:rsidRPr="00D63CC2">
        <w:rPr>
          <w:i/>
          <w:sz w:val="20"/>
        </w:rPr>
        <w:t>Zdroj: Ministerstvo financí</w:t>
      </w:r>
      <w:r w:rsidR="00042874">
        <w:rPr>
          <w:i/>
          <w:sz w:val="20"/>
        </w:rPr>
        <w:t xml:space="preserve">, </w:t>
      </w:r>
      <w:r w:rsidR="00042874" w:rsidRPr="00D63CC2">
        <w:rPr>
          <w:i/>
          <w:sz w:val="20"/>
        </w:rPr>
        <w:t>Agregovaná data z daňových přiznání k dani z hazardních her (GFŘ).</w:t>
      </w:r>
    </w:p>
    <w:p w14:paraId="6D490108" w14:textId="2912BB18" w:rsidR="002808D6" w:rsidRDefault="002808D6" w:rsidP="00C80A96">
      <w:r w:rsidRPr="00335A00">
        <w:t>Graf</w:t>
      </w:r>
      <w:r w:rsidR="007A1728" w:rsidRPr="00335A00">
        <w:t xml:space="preserve"> č.</w:t>
      </w:r>
      <w:r w:rsidRPr="00335A00">
        <w:t xml:space="preserve"> </w:t>
      </w:r>
      <w:r w:rsidR="00687932" w:rsidRPr="00335A00">
        <w:t>6</w:t>
      </w:r>
      <w:r>
        <w:t xml:space="preserve"> znázorňuje vývoj podílu jednotlivých hazardních her provozovaných prostřednictvím internetu na daňových výnosech dané hazardní hry. Podíl kursové sázky provozované prostřednictvím internetu na celkových daňových výnosech z kursové sázky se v posledních osmi letech navýšil o více než 40</w:t>
      </w:r>
      <w:r w:rsidR="008230E3">
        <w:t> </w:t>
      </w:r>
      <w:r>
        <w:t>p.</w:t>
      </w:r>
      <w:r w:rsidR="008230E3">
        <w:t> </w:t>
      </w:r>
      <w:r w:rsidR="007E59D3">
        <w:t>b., a to až na </w:t>
      </w:r>
      <w:r>
        <w:t>úroveň 91</w:t>
      </w:r>
      <w:r w:rsidR="008230E3">
        <w:t> </w:t>
      </w:r>
      <w:r>
        <w:t>%. Důvodem je, že kursová sázka mohla být provozována prostřednictvím internetu již podle zákona o loteriích. Oproti tomu u živé hry byl podíl internetového provozování do nabytí účinnosti zákona o hazardních hrách</w:t>
      </w:r>
      <w:r w:rsidR="009F6504">
        <w:t xml:space="preserve"> </w:t>
      </w:r>
      <w:r>
        <w:t>v</w:t>
      </w:r>
      <w:r w:rsidR="008230E3">
        <w:t> </w:t>
      </w:r>
      <w:r>
        <w:t>roce</w:t>
      </w:r>
      <w:r w:rsidR="008230E3">
        <w:t> </w:t>
      </w:r>
      <w:r>
        <w:t>2017</w:t>
      </w:r>
      <w:r w:rsidR="009F6504">
        <w:t> </w:t>
      </w:r>
      <w:r>
        <w:t>zanedbatelný. Zákon o hazardních hrách umožnil provozování prostřednictvím internetu i pro další hazardní hry, proto se podíly technické hry, loterie a živé hry provozovaných jako internetové hry od roku 2017 navyšují, což odpovídá také zvyš</w:t>
      </w:r>
      <w:r w:rsidR="007A1728">
        <w:t>ujícímu se počtu subjektů, které</w:t>
      </w:r>
      <w:r>
        <w:t xml:space="preserve"> mohou tyto hazardní hry prostřednictvím internetu provozovat. V roce 2020 došlo u všech druhů hazardních her ke značnému navýšení procentuální části, kterou</w:t>
      </w:r>
      <w:r w:rsidR="007E59D3">
        <w:t xml:space="preserve"> se internetové hry podílejí na </w:t>
      </w:r>
      <w:r>
        <w:t>celkových daňových výnosech dané hazardní hry. Největší nárůst je pozorován u</w:t>
      </w:r>
      <w:r w:rsidR="008230E3">
        <w:t> </w:t>
      </w:r>
      <w:r>
        <w:t>technické hry, kdy se 16</w:t>
      </w:r>
      <w:r w:rsidR="008230E3">
        <w:t> </w:t>
      </w:r>
      <w:r>
        <w:t>% podíl internetové technické hry zvýšil na 40</w:t>
      </w:r>
      <w:r w:rsidR="00464D51">
        <w:t> </w:t>
      </w:r>
      <w:r>
        <w:t>%. Důvodem byla především pa</w:t>
      </w:r>
      <w:r w:rsidR="007E59D3">
        <w:t>ndemická situace související s c</w:t>
      </w:r>
      <w:r>
        <w:t>ovid</w:t>
      </w:r>
      <w:r w:rsidR="005926FB">
        <w:t>em</w:t>
      </w:r>
      <w:r w:rsidR="007E59D3">
        <w:noBreakHyphen/>
        <w:t>19, která vedla po </w:t>
      </w:r>
      <w:r>
        <w:t>určitou část roku 2020 mimo jiné k uzavř</w:t>
      </w:r>
      <w:r w:rsidR="00287C4A">
        <w:t>ení heren a </w:t>
      </w:r>
      <w:r>
        <w:t xml:space="preserve">kasin. Do kategorie Ostatní hry patří další hazardní hry, které mohou být provozovány prostřednictvím internetu – </w:t>
      </w:r>
      <w:r w:rsidRPr="005A1BC4">
        <w:t>bingo</w:t>
      </w:r>
      <w:r>
        <w:t xml:space="preserve"> a totalizátorová hra, ovšem tyto hry byly za sledované období legálně provozovány pouze </w:t>
      </w:r>
      <w:r w:rsidR="006B0445">
        <w:t xml:space="preserve">formou </w:t>
      </w:r>
      <w:r>
        <w:t>land-based.</w:t>
      </w:r>
    </w:p>
    <w:p w14:paraId="24B974C3" w14:textId="77777777" w:rsidR="00287C4A" w:rsidRDefault="00287C4A" w:rsidP="00C80A96"/>
    <w:p w14:paraId="79C12332" w14:textId="77777777" w:rsidR="00287C4A" w:rsidRDefault="00287C4A" w:rsidP="00C80A96"/>
    <w:p w14:paraId="01702483" w14:textId="77777777" w:rsidR="00287C4A" w:rsidRDefault="00287C4A" w:rsidP="00C80A96"/>
    <w:p w14:paraId="09998807" w14:textId="77777777" w:rsidR="00287C4A" w:rsidRDefault="00287C4A" w:rsidP="00C80A96"/>
    <w:p w14:paraId="6204180F" w14:textId="1FCD95DB" w:rsidR="00287C4A" w:rsidRPr="00E253F9" w:rsidRDefault="00287C4A" w:rsidP="00287C4A">
      <w:pPr>
        <w:rPr>
          <w:i/>
        </w:rPr>
      </w:pPr>
      <w:bookmarkStart w:id="13" w:name="_Toc73538659"/>
      <w:r w:rsidRPr="00E253F9">
        <w:rPr>
          <w:i/>
        </w:rPr>
        <w:t xml:space="preserve">Graf č. </w:t>
      </w:r>
      <w:r w:rsidR="00D42E01" w:rsidRPr="00E253F9">
        <w:rPr>
          <w:i/>
        </w:rPr>
        <w:fldChar w:fldCharType="begin"/>
      </w:r>
      <w:r w:rsidR="00D42E01" w:rsidRPr="00E253F9">
        <w:rPr>
          <w:i/>
        </w:rPr>
        <w:instrText xml:space="preserve"> SEQ Graf_č. \* ARABIC </w:instrText>
      </w:r>
      <w:r w:rsidR="00D42E01" w:rsidRPr="00E253F9">
        <w:rPr>
          <w:i/>
        </w:rPr>
        <w:fldChar w:fldCharType="separate"/>
      </w:r>
      <w:r w:rsidR="00687932">
        <w:rPr>
          <w:i/>
          <w:noProof/>
        </w:rPr>
        <w:t>6</w:t>
      </w:r>
      <w:r w:rsidR="00D42E01" w:rsidRPr="00E253F9">
        <w:rPr>
          <w:i/>
          <w:noProof/>
        </w:rPr>
        <w:fldChar w:fldCharType="end"/>
      </w:r>
      <w:r w:rsidRPr="00E253F9">
        <w:rPr>
          <w:i/>
        </w:rPr>
        <w:t>: Podíl jednotlivých hazardních her provozovaných prostřednictvím internetu na daňových výnosech dané hazardní hry za období 2012–2020</w:t>
      </w:r>
      <w:r w:rsidR="00E253F9" w:rsidRPr="00E253F9">
        <w:rPr>
          <w:i/>
        </w:rPr>
        <w:t xml:space="preserve"> (stav k 10.</w:t>
      </w:r>
      <w:r w:rsidR="001A2B52">
        <w:rPr>
          <w:i/>
        </w:rPr>
        <w:t> </w:t>
      </w:r>
      <w:r w:rsidR="00E253F9" w:rsidRPr="00E253F9">
        <w:rPr>
          <w:i/>
        </w:rPr>
        <w:t>2.</w:t>
      </w:r>
      <w:r w:rsidR="001A2B52">
        <w:rPr>
          <w:i/>
        </w:rPr>
        <w:t> </w:t>
      </w:r>
      <w:r w:rsidR="00E253F9" w:rsidRPr="00E253F9">
        <w:rPr>
          <w:i/>
        </w:rPr>
        <w:t>2021)</w:t>
      </w:r>
      <w:bookmarkEnd w:id="13"/>
    </w:p>
    <w:p w14:paraId="521BD509" w14:textId="77777777" w:rsidR="002808D6" w:rsidRDefault="002808D6" w:rsidP="002808D6">
      <w:pPr>
        <w:spacing w:after="80"/>
        <w:rPr>
          <w:rFonts w:cs="Arial"/>
        </w:rPr>
      </w:pPr>
      <w:r>
        <w:rPr>
          <w:rFonts w:cs="Arial"/>
          <w:noProof/>
          <w:lang w:eastAsia="cs-CZ"/>
        </w:rPr>
        <w:drawing>
          <wp:inline distT="0" distB="0" distL="0" distR="0" wp14:anchorId="0BBD7F5F" wp14:editId="7FCC1BC0">
            <wp:extent cx="5486400" cy="3200400"/>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C88F17" w14:textId="77777777" w:rsidR="002808D6" w:rsidRPr="00D63CC2" w:rsidRDefault="002808D6" w:rsidP="00287C4A">
      <w:pPr>
        <w:rPr>
          <w:i/>
          <w:sz w:val="20"/>
        </w:rPr>
      </w:pPr>
      <w:r w:rsidRPr="00D63CC2">
        <w:rPr>
          <w:i/>
          <w:sz w:val="20"/>
        </w:rPr>
        <w:t>Zdroj: Agregovaná data z daňových přizn</w:t>
      </w:r>
      <w:r w:rsidR="00BA7C52" w:rsidRPr="00D63CC2">
        <w:rPr>
          <w:i/>
          <w:sz w:val="20"/>
        </w:rPr>
        <w:t>ání k dani z hazardních her (GFŘ</w:t>
      </w:r>
      <w:r w:rsidRPr="00D63CC2">
        <w:rPr>
          <w:i/>
          <w:sz w:val="20"/>
        </w:rPr>
        <w:t>)</w:t>
      </w:r>
      <w:r w:rsidR="00287C4A" w:rsidRPr="00D63CC2">
        <w:rPr>
          <w:i/>
          <w:sz w:val="20"/>
        </w:rPr>
        <w:t>.</w:t>
      </w:r>
    </w:p>
    <w:p w14:paraId="79263081" w14:textId="78BD48C6" w:rsidR="002808D6" w:rsidRDefault="002808D6" w:rsidP="00287C4A">
      <w:r>
        <w:t xml:space="preserve">Jak je </w:t>
      </w:r>
      <w:r w:rsidRPr="00520947">
        <w:t>vidět z</w:t>
      </w:r>
      <w:r w:rsidR="00E253F9" w:rsidRPr="00520947">
        <w:t> </w:t>
      </w:r>
      <w:r w:rsidR="00E03965">
        <w:t>gr</w:t>
      </w:r>
      <w:r w:rsidRPr="00335A00">
        <w:t>afu</w:t>
      </w:r>
      <w:r w:rsidR="00E253F9" w:rsidRPr="00335A00">
        <w:t xml:space="preserve"> č.</w:t>
      </w:r>
      <w:r w:rsidRPr="00335A00">
        <w:t xml:space="preserve"> </w:t>
      </w:r>
      <w:r w:rsidR="00687932" w:rsidRPr="00520947">
        <w:t>7</w:t>
      </w:r>
      <w:r w:rsidRPr="00520947">
        <w:t>, který</w:t>
      </w:r>
      <w:r>
        <w:t xml:space="preserve"> p</w:t>
      </w:r>
      <w:r w:rsidR="009D0A35">
        <w:t>odrobněji ukazuje vývoj výnosu</w:t>
      </w:r>
      <w:r>
        <w:t> daně z technické hry a</w:t>
      </w:r>
      <w:r w:rsidR="00264CF3">
        <w:t> </w:t>
      </w:r>
      <w:r>
        <w:t>jeho vztah k počtu herních pozic, velký propad výnosů z technické hry koreluje s redukcí počtu povolených herních pozic, která byla způsobena postupným uplynutím doby, na kterou byla povolení na technická zařízení vydávána dle zákona o loteriích. Tyto ztráty jsou v průběhu sledovaného období částečně kompenzovány zvyšujícími se příjmy z internetové technické hry, kte</w:t>
      </w:r>
      <w:r w:rsidR="007E59D3">
        <w:t>ré stabilně rostou. V datech za </w:t>
      </w:r>
      <w:r>
        <w:t>rok 2020 se odráží pa</w:t>
      </w:r>
      <w:r w:rsidR="009D0A35">
        <w:t>ndemická situace související s </w:t>
      </w:r>
      <w:r w:rsidR="005926FB">
        <w:t>c</w:t>
      </w:r>
      <w:r>
        <w:t xml:space="preserve">ovidem-19, jelikož dílčí výnos daně z technické hry provozované </w:t>
      </w:r>
      <w:r w:rsidR="001A2B52">
        <w:t xml:space="preserve">formou </w:t>
      </w:r>
      <w:r>
        <w:t>land</w:t>
      </w:r>
      <w:r w:rsidR="009D0A35">
        <w:t>-</w:t>
      </w:r>
      <w:r>
        <w:t>based se snížil z důvodu uzavření heren a kasin, oproti tomu výnos dílčí daně z internetové technické hry se navyšuje.</w:t>
      </w:r>
    </w:p>
    <w:p w14:paraId="4BE2CDE2" w14:textId="77777777" w:rsidR="009D0A35" w:rsidRPr="00D63CC2" w:rsidRDefault="00E253F9" w:rsidP="00287C4A">
      <w:pPr>
        <w:rPr>
          <w:i/>
        </w:rPr>
      </w:pPr>
      <w:r w:rsidRPr="00D63CC2">
        <w:rPr>
          <w:i/>
          <w:noProof/>
          <w:sz w:val="22"/>
          <w:u w:val="single"/>
          <w:lang w:eastAsia="cs-CZ"/>
        </w:rPr>
        <w:drawing>
          <wp:anchor distT="0" distB="0" distL="114300" distR="114300" simplePos="0" relativeHeight="251657216" behindDoc="0" locked="0" layoutInCell="1" allowOverlap="1" wp14:anchorId="54519673" wp14:editId="5905A3CD">
            <wp:simplePos x="0" y="0"/>
            <wp:positionH relativeFrom="margin">
              <wp:align>left</wp:align>
            </wp:positionH>
            <wp:positionV relativeFrom="paragraph">
              <wp:posOffset>427745</wp:posOffset>
            </wp:positionV>
            <wp:extent cx="5486400" cy="3200400"/>
            <wp:effectExtent l="0" t="0" r="0" b="0"/>
            <wp:wrapSquare wrapText="bothSides"/>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r>
        <w:rPr>
          <w:noProof/>
          <w:lang w:eastAsia="cs-CZ"/>
        </w:rPr>
        <mc:AlternateContent>
          <mc:Choice Requires="wps">
            <w:drawing>
              <wp:anchor distT="0" distB="0" distL="114300" distR="114300" simplePos="0" relativeHeight="251660288" behindDoc="0" locked="0" layoutInCell="1" allowOverlap="1" wp14:anchorId="4869CA23" wp14:editId="1D7C7250">
                <wp:simplePos x="0" y="0"/>
                <wp:positionH relativeFrom="margin">
                  <wp:align>left</wp:align>
                </wp:positionH>
                <wp:positionV relativeFrom="paragraph">
                  <wp:posOffset>0</wp:posOffset>
                </wp:positionV>
                <wp:extent cx="5486400" cy="358140"/>
                <wp:effectExtent l="0" t="0" r="0" b="3810"/>
                <wp:wrapSquare wrapText="bothSides"/>
                <wp:docPr id="7" name="Textové pole 7"/>
                <wp:cNvGraphicFramePr/>
                <a:graphic xmlns:a="http://schemas.openxmlformats.org/drawingml/2006/main">
                  <a:graphicData uri="http://schemas.microsoft.com/office/word/2010/wordprocessingShape">
                    <wps:wsp>
                      <wps:cNvSpPr txBox="1"/>
                      <wps:spPr>
                        <a:xfrm>
                          <a:off x="0" y="0"/>
                          <a:ext cx="5486400" cy="358140"/>
                        </a:xfrm>
                        <a:prstGeom prst="rect">
                          <a:avLst/>
                        </a:prstGeom>
                        <a:solidFill>
                          <a:prstClr val="white"/>
                        </a:solidFill>
                        <a:ln>
                          <a:noFill/>
                        </a:ln>
                      </wps:spPr>
                      <wps:txbx>
                        <w:txbxContent>
                          <w:p w14:paraId="6BC0B543" w14:textId="65EE3BF8" w:rsidR="00005493" w:rsidRPr="00E253F9" w:rsidRDefault="00005493" w:rsidP="00287C4A">
                            <w:pPr>
                              <w:pStyle w:val="Titulek"/>
                              <w:rPr>
                                <w:rFonts w:cs="Arial"/>
                                <w:noProof/>
                                <w:sz w:val="28"/>
                                <w:u w:val="single"/>
                              </w:rPr>
                            </w:pPr>
                            <w:bookmarkStart w:id="14" w:name="_Toc73538660"/>
                            <w:r w:rsidRPr="00E253F9">
                              <w:t xml:space="preserve">Graf č. </w:t>
                            </w:r>
                            <w:r>
                              <w:rPr>
                                <w:noProof/>
                              </w:rPr>
                              <w:fldChar w:fldCharType="begin"/>
                            </w:r>
                            <w:r>
                              <w:rPr>
                                <w:noProof/>
                              </w:rPr>
                              <w:instrText xml:space="preserve"> SEQ Graf_č. \* ARABIC </w:instrText>
                            </w:r>
                            <w:r>
                              <w:rPr>
                                <w:noProof/>
                              </w:rPr>
                              <w:fldChar w:fldCharType="separate"/>
                            </w:r>
                            <w:r>
                              <w:rPr>
                                <w:noProof/>
                              </w:rPr>
                              <w:t>7</w:t>
                            </w:r>
                            <w:r>
                              <w:rPr>
                                <w:noProof/>
                              </w:rPr>
                              <w:fldChar w:fldCharType="end"/>
                            </w:r>
                            <w:r w:rsidRPr="00E253F9">
                              <w:t>:</w:t>
                            </w:r>
                            <w:r>
                              <w:t xml:space="preserve"> </w:t>
                            </w:r>
                            <w:r w:rsidRPr="00E253F9">
                              <w:t>Vývoj výnosu daně z technické hry a počtu herních pozic</w:t>
                            </w:r>
                            <w:r>
                              <w:t xml:space="preserve"> (stav k 10. 2  </w:t>
                            </w:r>
                            <w:r w:rsidRPr="00E253F9">
                              <w:t>2021)</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69CA23" id="_x0000_t202" coordsize="21600,21600" o:spt="202" path="m,l,21600r21600,l21600,xe">
                <v:stroke joinstyle="miter"/>
                <v:path gradientshapeok="t" o:connecttype="rect"/>
              </v:shapetype>
              <v:shape id="Textové pole 7" o:spid="_x0000_s1026" type="#_x0000_t202" style="position:absolute;left:0;text-align:left;margin-left:0;margin-top:0;width:6in;height:28.2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" stroked="f">
                <v:textbox inset="0,0,0,0">
                  <w:txbxContent>
                    <w:p w14:paraId="6BC0B543" w14:textId="65EE3BF8" w:rsidR="00005493" w:rsidRPr="00E253F9" w:rsidRDefault="00005493" w:rsidP="00287C4A">
                      <w:pPr>
                        <w:pStyle w:val="Titulek"/>
                        <w:rPr>
                          <w:rFonts w:cs="Arial"/>
                          <w:noProof/>
                          <w:sz w:val="28"/>
                          <w:u w:val="single"/>
                        </w:rPr>
                      </w:pPr>
                      <w:bookmarkStart w:id="15" w:name="_Toc73538660"/>
                      <w:r w:rsidRPr="00E253F9">
                        <w:t xml:space="preserve">Graf č. </w:t>
                      </w:r>
                      <w:r>
                        <w:rPr>
                          <w:noProof/>
                        </w:rPr>
                        <w:fldChar w:fldCharType="begin"/>
                      </w:r>
                      <w:r>
                        <w:rPr>
                          <w:noProof/>
                        </w:rPr>
                        <w:instrText xml:space="preserve"> SEQ Graf_č. \* ARABIC </w:instrText>
                      </w:r>
                      <w:r>
                        <w:rPr>
                          <w:noProof/>
                        </w:rPr>
                        <w:fldChar w:fldCharType="separate"/>
                      </w:r>
                      <w:r>
                        <w:rPr>
                          <w:noProof/>
                        </w:rPr>
                        <w:t>7</w:t>
                      </w:r>
                      <w:r>
                        <w:rPr>
                          <w:noProof/>
                        </w:rPr>
                        <w:fldChar w:fldCharType="end"/>
                      </w:r>
                      <w:r w:rsidRPr="00E253F9">
                        <w:t>:</w:t>
                      </w:r>
                      <w:r>
                        <w:t xml:space="preserve"> </w:t>
                      </w:r>
                      <w:r w:rsidRPr="00E253F9">
                        <w:t>Vývoj výnosu daně z technické hry a počtu herních pozic</w:t>
                      </w:r>
                      <w:r>
                        <w:t xml:space="preserve"> (stav k 10. 2  </w:t>
                      </w:r>
                      <w:r w:rsidRPr="00E253F9">
                        <w:t>2021)</w:t>
                      </w:r>
                      <w:bookmarkEnd w:id="15"/>
                    </w:p>
                  </w:txbxContent>
                </v:textbox>
                <w10:wrap type="square" anchorx="margin"/>
              </v:shape>
            </w:pict>
          </mc:Fallback>
        </mc:AlternateContent>
      </w:r>
      <w:r w:rsidR="009D0A35" w:rsidRPr="00D63CC2">
        <w:rPr>
          <w:i/>
          <w:sz w:val="20"/>
        </w:rPr>
        <w:t>Zdroj: Agregovaná data z daňových přizn</w:t>
      </w:r>
      <w:r w:rsidR="00BA7C52" w:rsidRPr="00D63CC2">
        <w:rPr>
          <w:i/>
          <w:sz w:val="20"/>
        </w:rPr>
        <w:t>ání k dani z hazardních her (GFŘ</w:t>
      </w:r>
      <w:r w:rsidR="009D0A35" w:rsidRPr="00D63CC2">
        <w:rPr>
          <w:i/>
          <w:sz w:val="20"/>
        </w:rPr>
        <w:t>)</w:t>
      </w:r>
      <w:r w:rsidR="00287C4A" w:rsidRPr="00D63CC2">
        <w:rPr>
          <w:i/>
          <w:sz w:val="20"/>
        </w:rPr>
        <w:t>.</w:t>
      </w:r>
    </w:p>
    <w:p w14:paraId="7DAE1742" w14:textId="08421AB1" w:rsidR="00287C4A" w:rsidRDefault="009D0A35" w:rsidP="00287C4A">
      <w:r w:rsidRPr="00335A00">
        <w:t>Graf</w:t>
      </w:r>
      <w:r w:rsidR="000F3BA5" w:rsidRPr="00335A00">
        <w:t xml:space="preserve"> č.</w:t>
      </w:r>
      <w:r w:rsidRPr="00335A00">
        <w:t xml:space="preserve"> </w:t>
      </w:r>
      <w:r w:rsidR="00687932" w:rsidRPr="00335A00">
        <w:t>8</w:t>
      </w:r>
      <w:r>
        <w:t xml:space="preserve"> ukazuje relativní podíly jednotlivých druhů hazardních her na celostátních výnosech daně z hazardních her. V období od roku 2013 se postupně oslabuje dominantní postavení technické hry v rámci daňových příjmů, přesto za rok 2020</w:t>
      </w:r>
      <w:r w:rsidR="00520947">
        <w:t> </w:t>
      </w:r>
      <w:r>
        <w:t>dosáhla přes 50</w:t>
      </w:r>
      <w:r w:rsidR="001A2B52">
        <w:t> </w:t>
      </w:r>
      <w:r>
        <w:t>%. Druhé největší výnosy byly do roku 2019 zaznamenány</w:t>
      </w:r>
      <w:r w:rsidR="001A2B52">
        <w:t xml:space="preserve"> </w:t>
      </w:r>
      <w:r>
        <w:t>u</w:t>
      </w:r>
      <w:r w:rsidR="001A2B52">
        <w:t> </w:t>
      </w:r>
      <w:r>
        <w:t xml:space="preserve"> kursové sázky, ovšem v roce 2020 se daňové výnosy u loterie znatelně zvýšily, což je způsobeno zejména zvýšením daňové sazby na 35</w:t>
      </w:r>
      <w:r w:rsidR="001A2B52">
        <w:t> </w:t>
      </w:r>
      <w:r>
        <w:t>% a rovněž bylo možné pozorovat navýšení základu daně z loterií. Daňo</w:t>
      </w:r>
      <w:r w:rsidR="007E59D3">
        <w:t>vý výnos z loterie vykazoval do </w:t>
      </w:r>
      <w:r>
        <w:t>roku</w:t>
      </w:r>
      <w:r w:rsidR="001A2B52">
        <w:t> </w:t>
      </w:r>
      <w:r>
        <w:t>2019</w:t>
      </w:r>
      <w:r w:rsidR="001A2B52">
        <w:t> </w:t>
      </w:r>
      <w:r>
        <w:t>pouze pomalejší meziroční tempo růstu.</w:t>
      </w:r>
    </w:p>
    <w:p w14:paraId="1ABF3238" w14:textId="79EA639C" w:rsidR="00287C4A" w:rsidRPr="000F3BA5" w:rsidRDefault="00287C4A" w:rsidP="00AB67A6">
      <w:pPr>
        <w:keepNext/>
        <w:rPr>
          <w:i/>
        </w:rPr>
      </w:pPr>
      <w:bookmarkStart w:id="16" w:name="_Toc73538661"/>
      <w:r w:rsidRPr="000F3BA5">
        <w:rPr>
          <w:i/>
        </w:rPr>
        <w:t xml:space="preserve">Graf č. </w:t>
      </w:r>
      <w:r w:rsidR="00D42E01" w:rsidRPr="000F3BA5">
        <w:rPr>
          <w:i/>
        </w:rPr>
        <w:fldChar w:fldCharType="begin"/>
      </w:r>
      <w:r w:rsidR="00D42E01" w:rsidRPr="000F3BA5">
        <w:rPr>
          <w:i/>
        </w:rPr>
        <w:instrText xml:space="preserve"> SEQ Graf_č. \* ARABIC </w:instrText>
      </w:r>
      <w:r w:rsidR="00D42E01" w:rsidRPr="000F3BA5">
        <w:rPr>
          <w:i/>
        </w:rPr>
        <w:fldChar w:fldCharType="separate"/>
      </w:r>
      <w:r w:rsidR="00687932">
        <w:rPr>
          <w:i/>
          <w:noProof/>
        </w:rPr>
        <w:t>8</w:t>
      </w:r>
      <w:r w:rsidR="00D42E01" w:rsidRPr="000F3BA5">
        <w:rPr>
          <w:i/>
          <w:noProof/>
        </w:rPr>
        <w:fldChar w:fldCharType="end"/>
      </w:r>
      <w:r w:rsidRPr="000F3BA5">
        <w:rPr>
          <w:i/>
        </w:rPr>
        <w:t>: Podíl jednotlivých druhů hazardních her na výnosu daně z hazardních her za období 2013–2020</w:t>
      </w:r>
      <w:r w:rsidR="000F3BA5" w:rsidRPr="000F3BA5">
        <w:rPr>
          <w:i/>
        </w:rPr>
        <w:t xml:space="preserve"> (stav k 10.</w:t>
      </w:r>
      <w:r w:rsidR="007C7826">
        <w:rPr>
          <w:i/>
        </w:rPr>
        <w:t> </w:t>
      </w:r>
      <w:r w:rsidR="000F3BA5" w:rsidRPr="000F3BA5">
        <w:rPr>
          <w:i/>
        </w:rPr>
        <w:t>2.</w:t>
      </w:r>
      <w:r w:rsidR="007C7826">
        <w:rPr>
          <w:i/>
        </w:rPr>
        <w:t> </w:t>
      </w:r>
      <w:r w:rsidR="000F3BA5" w:rsidRPr="000F3BA5">
        <w:rPr>
          <w:i/>
        </w:rPr>
        <w:t>2021)</w:t>
      </w:r>
      <w:bookmarkEnd w:id="16"/>
    </w:p>
    <w:p w14:paraId="33F64FE8" w14:textId="77777777" w:rsidR="002B30E8" w:rsidRDefault="002B30E8" w:rsidP="002B30E8">
      <w:pPr>
        <w:keepNext/>
        <w:spacing w:after="80"/>
      </w:pPr>
      <w:r>
        <w:rPr>
          <w:rFonts w:cs="Arial"/>
          <w:noProof/>
          <w:lang w:eastAsia="cs-CZ"/>
        </w:rPr>
        <w:drawing>
          <wp:inline distT="0" distB="0" distL="0" distR="0" wp14:anchorId="4A3A397C" wp14:editId="36BC1C65">
            <wp:extent cx="5486400" cy="3200400"/>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644EA7" w14:textId="77777777" w:rsidR="002B30E8" w:rsidRPr="00D63CC2" w:rsidRDefault="002B30E8" w:rsidP="00287C4A">
      <w:pPr>
        <w:rPr>
          <w:i/>
          <w:sz w:val="20"/>
        </w:rPr>
      </w:pPr>
      <w:r w:rsidRPr="00D63CC2">
        <w:rPr>
          <w:i/>
          <w:sz w:val="20"/>
        </w:rPr>
        <w:t>Zdroj: Agregovaná data z daňových přizn</w:t>
      </w:r>
      <w:r w:rsidR="00BA7C52" w:rsidRPr="00D63CC2">
        <w:rPr>
          <w:i/>
          <w:sz w:val="20"/>
        </w:rPr>
        <w:t>ání k dani z hazardních her (GFŘ</w:t>
      </w:r>
      <w:r w:rsidRPr="00D63CC2">
        <w:rPr>
          <w:i/>
          <w:sz w:val="20"/>
        </w:rPr>
        <w:t>)</w:t>
      </w:r>
      <w:r w:rsidR="00287C4A" w:rsidRPr="00D63CC2">
        <w:rPr>
          <w:i/>
          <w:sz w:val="20"/>
        </w:rPr>
        <w:t>.</w:t>
      </w:r>
    </w:p>
    <w:p w14:paraId="6983FD1F" w14:textId="7C6E0986" w:rsidR="008C2CA7" w:rsidRPr="00D63CC2" w:rsidRDefault="008C2CA7" w:rsidP="00287C4A">
      <w:pPr>
        <w:rPr>
          <w:i/>
          <w:sz w:val="20"/>
        </w:rPr>
      </w:pPr>
    </w:p>
    <w:p w14:paraId="6B74B5C0" w14:textId="77777777" w:rsidR="007521BD" w:rsidRPr="007521BD" w:rsidRDefault="007521BD" w:rsidP="00687932">
      <w:pPr>
        <w:pStyle w:val="Nadpis5"/>
      </w:pPr>
      <w:bookmarkStart w:id="17" w:name="_Toc73608291"/>
      <w:r>
        <w:t>Danění nelegálních provozovatelů hazardních her</w:t>
      </w:r>
      <w:bookmarkEnd w:id="17"/>
    </w:p>
    <w:p w14:paraId="776D6DEC" w14:textId="01069AA5" w:rsidR="00CE50B5" w:rsidRDefault="00CE50B5" w:rsidP="00E74B46">
      <w:r>
        <w:t xml:space="preserve">Zákon o dani z hazardních her umožnil také danění nelegálních provozovatelů. </w:t>
      </w:r>
      <w:r w:rsidR="00736569">
        <w:t>T</w:t>
      </w:r>
      <w:r w:rsidR="00736569" w:rsidRPr="00736569">
        <w:t>ato úprava je uplatňována a její cíl zaměřující se na srovnání podmínek na trhu s</w:t>
      </w:r>
      <w:r w:rsidR="00736569">
        <w:t> </w:t>
      </w:r>
      <w:r w:rsidR="00736569" w:rsidRPr="00736569">
        <w:t>hazardními hrami a učinění nelegálního provozování méně výhodným, je tedy plněn</w:t>
      </w:r>
      <w:r w:rsidR="00736569" w:rsidRPr="00520947">
        <w:t>.</w:t>
      </w:r>
      <w:r w:rsidRPr="00520947">
        <w:t xml:space="preserve"> </w:t>
      </w:r>
      <w:r w:rsidRPr="00335A00">
        <w:t>Tabulka</w:t>
      </w:r>
      <w:r w:rsidR="00F34659" w:rsidRPr="00335A00">
        <w:t xml:space="preserve"> č.</w:t>
      </w:r>
      <w:r w:rsidRPr="00335A00">
        <w:t xml:space="preserve"> 2</w:t>
      </w:r>
      <w:r>
        <w:t xml:space="preserve"> ukazuje mimo jiné částky, které se díky možnosti zdanění nelegálních provozovatelů podařilo státu na dani z hazardních her vybrat. Tyto částky se ve sledovaném období snižují, přestože roste počet výzev k podání dodatečného daňového přiznání. V souvislosti s výzvami roste i počet dodatečných daňových přiznání podaných na základě výzvy a také počet zahájených daňových kontrol. Důvodem rostoucího počtu výzev je především vlastní vyhledávací činnost správců daně </w:t>
      </w:r>
      <w:r w:rsidRPr="00F0750F">
        <w:t>(do 31.</w:t>
      </w:r>
      <w:r w:rsidR="007C7826">
        <w:t> 3. </w:t>
      </w:r>
      <w:r w:rsidRPr="00F0750F">
        <w:t>2019 všechny finanční úřady, od 1.</w:t>
      </w:r>
      <w:r w:rsidR="007C7826">
        <w:t> 4. </w:t>
      </w:r>
      <w:r w:rsidRPr="00F0750F">
        <w:t>2019 Specializovaný finanční úřad)</w:t>
      </w:r>
      <w:r>
        <w:t xml:space="preserve"> zaměřená na nelegálně provozované hazard</w:t>
      </w:r>
      <w:r w:rsidR="00E90850">
        <w:t xml:space="preserve">ní hry tuzemskými subjekty, kdy </w:t>
      </w:r>
      <w:r>
        <w:t>byl zjištěn širší okruh subjektů provozujících hazardní hry, než byl zjištěn dozorujícími orgány.</w:t>
      </w:r>
    </w:p>
    <w:p w14:paraId="067F7E3C" w14:textId="349B6A80" w:rsidR="00D73FF7" w:rsidRDefault="00CE50B5" w:rsidP="00E74B46">
      <w:r>
        <w:t>Daňová přiznání z let 2017 a 2018 jsou podána dobrovolně jedním daňovým subjektem, který provozoval hazardní hry na základě povolení vydaných místními regulátory ve více státech Evropské unie, nicméně bez základního povolení vydaného podle zákona o hazardních hrách. Daňový subjekt mohl mít více důvodů pro dobrovolné podání daňového přiznání, mezi které patří např. zachování dobré pověsti, zamezení vzniku nedoplatku, který by mohl tvořit překážku při případném vydání základního povolení provozovat hazardní hry v České republice, či snaha se vyhnout doměření daně z moci úřední, s níž je spojeno placení úroku za opožděné tvrzení daně.</w:t>
      </w:r>
    </w:p>
    <w:p w14:paraId="0BA65EEB" w14:textId="6207D7A0" w:rsidR="00D72064" w:rsidRPr="00FC572B" w:rsidRDefault="00D72064" w:rsidP="00335A00">
      <w:pPr>
        <w:rPr>
          <w:i/>
        </w:rPr>
      </w:pPr>
      <w:bookmarkStart w:id="18" w:name="_Toc73538647"/>
      <w:r w:rsidRPr="00FC572B">
        <w:rPr>
          <w:i/>
        </w:rPr>
        <w:t xml:space="preserve">Tabulka č. </w:t>
      </w:r>
      <w:r w:rsidR="00D42E01" w:rsidRPr="00FC572B">
        <w:rPr>
          <w:i/>
        </w:rPr>
        <w:fldChar w:fldCharType="begin"/>
      </w:r>
      <w:r w:rsidR="00D42E01" w:rsidRPr="00FC572B">
        <w:rPr>
          <w:i/>
        </w:rPr>
        <w:instrText xml:space="preserve"> SEQ Tabulka_č. \* ARABIC </w:instrText>
      </w:r>
      <w:r w:rsidR="00D42E01" w:rsidRPr="00FC572B">
        <w:rPr>
          <w:i/>
        </w:rPr>
        <w:fldChar w:fldCharType="separate"/>
      </w:r>
      <w:r w:rsidRPr="00FC572B">
        <w:rPr>
          <w:i/>
          <w:noProof/>
        </w:rPr>
        <w:t>2</w:t>
      </w:r>
      <w:r w:rsidR="00D42E01" w:rsidRPr="00FC572B">
        <w:rPr>
          <w:i/>
          <w:noProof/>
        </w:rPr>
        <w:fldChar w:fldCharType="end"/>
      </w:r>
      <w:r w:rsidRPr="00FC572B">
        <w:rPr>
          <w:i/>
        </w:rPr>
        <w:t>: Přehled zdanění nelegálních provozovatelů za období 2017–2020</w:t>
      </w:r>
      <w:r w:rsidR="00FC572B" w:rsidRPr="00FC572B">
        <w:rPr>
          <w:i/>
        </w:rPr>
        <w:t xml:space="preserve"> (stav k 9.</w:t>
      </w:r>
      <w:r w:rsidR="007C7826">
        <w:rPr>
          <w:i/>
        </w:rPr>
        <w:t> </w:t>
      </w:r>
      <w:r w:rsidR="00FC572B" w:rsidRPr="00FC572B">
        <w:rPr>
          <w:i/>
        </w:rPr>
        <w:t>2.</w:t>
      </w:r>
      <w:r w:rsidR="007C7826">
        <w:rPr>
          <w:i/>
        </w:rPr>
        <w:t> </w:t>
      </w:r>
      <w:r w:rsidR="00FC572B" w:rsidRPr="00FC572B">
        <w:rPr>
          <w:i/>
        </w:rPr>
        <w:t>2021)</w:t>
      </w:r>
      <w:bookmarkEnd w:id="18"/>
    </w:p>
    <w:tbl>
      <w:tblPr>
        <w:tblStyle w:val="Mkatabulky"/>
        <w:tblW w:w="0" w:type="auto"/>
        <w:tblLook w:val="04A0" w:firstRow="1" w:lastRow="0" w:firstColumn="1" w:lastColumn="0" w:noHBand="0" w:noVBand="1"/>
      </w:tblPr>
      <w:tblGrid>
        <w:gridCol w:w="3292"/>
        <w:gridCol w:w="1418"/>
        <w:gridCol w:w="1417"/>
        <w:gridCol w:w="1293"/>
        <w:gridCol w:w="1282"/>
      </w:tblGrid>
      <w:tr w:rsidR="00CE50B5" w14:paraId="678F207A" w14:textId="77777777" w:rsidTr="00D72064">
        <w:tc>
          <w:tcPr>
            <w:tcW w:w="3292" w:type="dxa"/>
          </w:tcPr>
          <w:p w14:paraId="08942468" w14:textId="77777777" w:rsidR="00CE50B5" w:rsidRPr="00772E34" w:rsidRDefault="00CE50B5" w:rsidP="006E3832">
            <w:pPr>
              <w:pStyle w:val="Odstavecseseznamem"/>
              <w:spacing w:after="120"/>
              <w:ind w:left="0"/>
              <w:jc w:val="both"/>
              <w:rPr>
                <w:rFonts w:ascii="Arial" w:hAnsi="Arial" w:cs="Arial"/>
              </w:rPr>
            </w:pPr>
          </w:p>
        </w:tc>
        <w:tc>
          <w:tcPr>
            <w:tcW w:w="1418" w:type="dxa"/>
          </w:tcPr>
          <w:p w14:paraId="364564C0" w14:textId="77777777" w:rsidR="00CE50B5" w:rsidRPr="00772E34" w:rsidRDefault="00CE50B5" w:rsidP="006E3832">
            <w:pPr>
              <w:pStyle w:val="Odstavecseseznamem"/>
              <w:spacing w:after="120"/>
              <w:ind w:left="0"/>
              <w:jc w:val="center"/>
              <w:rPr>
                <w:rFonts w:ascii="Arial" w:hAnsi="Arial" w:cs="Arial"/>
                <w:b/>
              </w:rPr>
            </w:pPr>
            <w:r w:rsidRPr="00772E34">
              <w:rPr>
                <w:rFonts w:ascii="Arial" w:hAnsi="Arial" w:cs="Arial"/>
                <w:b/>
              </w:rPr>
              <w:t>2017</w:t>
            </w:r>
          </w:p>
        </w:tc>
        <w:tc>
          <w:tcPr>
            <w:tcW w:w="1417" w:type="dxa"/>
          </w:tcPr>
          <w:p w14:paraId="1F36F1B8" w14:textId="77777777" w:rsidR="00CE50B5" w:rsidRPr="00772E34" w:rsidRDefault="00CE50B5" w:rsidP="006E3832">
            <w:pPr>
              <w:pStyle w:val="Odstavecseseznamem"/>
              <w:spacing w:after="120"/>
              <w:ind w:left="0"/>
              <w:jc w:val="center"/>
              <w:rPr>
                <w:rFonts w:ascii="Arial" w:hAnsi="Arial" w:cs="Arial"/>
                <w:b/>
              </w:rPr>
            </w:pPr>
            <w:r w:rsidRPr="00772E34">
              <w:rPr>
                <w:rFonts w:ascii="Arial" w:hAnsi="Arial" w:cs="Arial"/>
                <w:b/>
              </w:rPr>
              <w:t>2018</w:t>
            </w:r>
          </w:p>
        </w:tc>
        <w:tc>
          <w:tcPr>
            <w:tcW w:w="1293" w:type="dxa"/>
          </w:tcPr>
          <w:p w14:paraId="19E3DCC3" w14:textId="77777777" w:rsidR="00CE50B5" w:rsidRPr="00772E34" w:rsidRDefault="00CE50B5" w:rsidP="006E3832">
            <w:pPr>
              <w:pStyle w:val="Odstavecseseznamem"/>
              <w:spacing w:after="120"/>
              <w:ind w:left="0"/>
              <w:jc w:val="center"/>
              <w:rPr>
                <w:rFonts w:ascii="Arial" w:hAnsi="Arial" w:cs="Arial"/>
                <w:b/>
              </w:rPr>
            </w:pPr>
            <w:r w:rsidRPr="00772E34">
              <w:rPr>
                <w:rFonts w:ascii="Arial" w:hAnsi="Arial" w:cs="Arial"/>
                <w:b/>
              </w:rPr>
              <w:t>2019</w:t>
            </w:r>
          </w:p>
        </w:tc>
        <w:tc>
          <w:tcPr>
            <w:tcW w:w="1282" w:type="dxa"/>
          </w:tcPr>
          <w:p w14:paraId="5598F22A" w14:textId="77777777" w:rsidR="00CE50B5" w:rsidRPr="00772E34" w:rsidRDefault="00CE50B5" w:rsidP="006E3832">
            <w:pPr>
              <w:pStyle w:val="Odstavecseseznamem"/>
              <w:spacing w:after="120"/>
              <w:ind w:left="0"/>
              <w:jc w:val="center"/>
              <w:rPr>
                <w:rFonts w:ascii="Arial" w:hAnsi="Arial" w:cs="Arial"/>
                <w:b/>
              </w:rPr>
            </w:pPr>
            <w:r w:rsidRPr="00772E34">
              <w:rPr>
                <w:rFonts w:ascii="Arial" w:hAnsi="Arial" w:cs="Arial"/>
                <w:b/>
              </w:rPr>
              <w:t>2020</w:t>
            </w:r>
          </w:p>
        </w:tc>
      </w:tr>
      <w:tr w:rsidR="00CE50B5" w14:paraId="456DAF9D" w14:textId="77777777" w:rsidTr="00D72064">
        <w:tc>
          <w:tcPr>
            <w:tcW w:w="3292" w:type="dxa"/>
          </w:tcPr>
          <w:p w14:paraId="78DDE5BF" w14:textId="77777777" w:rsidR="00CE50B5" w:rsidRPr="00772E34" w:rsidRDefault="00CE50B5" w:rsidP="006E3832">
            <w:pPr>
              <w:pStyle w:val="Odstavecseseznamem"/>
              <w:spacing w:after="120"/>
              <w:ind w:left="0"/>
              <w:jc w:val="both"/>
              <w:rPr>
                <w:rFonts w:ascii="Arial" w:hAnsi="Arial" w:cs="Arial"/>
                <w:b/>
              </w:rPr>
            </w:pPr>
            <w:r w:rsidRPr="00772E34">
              <w:rPr>
                <w:rFonts w:ascii="Arial" w:hAnsi="Arial" w:cs="Arial"/>
                <w:b/>
              </w:rPr>
              <w:t>Daňová přiznání (ks)</w:t>
            </w:r>
          </w:p>
        </w:tc>
        <w:tc>
          <w:tcPr>
            <w:tcW w:w="1418" w:type="dxa"/>
          </w:tcPr>
          <w:p w14:paraId="73C3D322"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3</w:t>
            </w:r>
          </w:p>
        </w:tc>
        <w:tc>
          <w:tcPr>
            <w:tcW w:w="1417" w:type="dxa"/>
          </w:tcPr>
          <w:p w14:paraId="3A87BE35"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w:t>
            </w:r>
          </w:p>
        </w:tc>
        <w:tc>
          <w:tcPr>
            <w:tcW w:w="1293" w:type="dxa"/>
          </w:tcPr>
          <w:p w14:paraId="0498BEAA"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0</w:t>
            </w:r>
          </w:p>
        </w:tc>
        <w:tc>
          <w:tcPr>
            <w:tcW w:w="1282" w:type="dxa"/>
          </w:tcPr>
          <w:p w14:paraId="72D73734"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0</w:t>
            </w:r>
          </w:p>
        </w:tc>
      </w:tr>
      <w:tr w:rsidR="00CE50B5" w14:paraId="29525F0D" w14:textId="77777777" w:rsidTr="00D72064">
        <w:tc>
          <w:tcPr>
            <w:tcW w:w="3292" w:type="dxa"/>
          </w:tcPr>
          <w:p w14:paraId="1BF6FF44" w14:textId="77777777" w:rsidR="00CE50B5" w:rsidRPr="00772E34" w:rsidRDefault="00CE50B5" w:rsidP="006E3832">
            <w:pPr>
              <w:pStyle w:val="Odstavecseseznamem"/>
              <w:spacing w:after="120"/>
              <w:ind w:left="0"/>
              <w:rPr>
                <w:rFonts w:ascii="Arial" w:hAnsi="Arial" w:cs="Arial"/>
                <w:b/>
              </w:rPr>
            </w:pPr>
            <w:r w:rsidRPr="00772E34">
              <w:rPr>
                <w:rFonts w:ascii="Arial" w:hAnsi="Arial" w:cs="Arial"/>
                <w:b/>
              </w:rPr>
              <w:t>Výše přiznaných částek za daňová přiznání (Kč)</w:t>
            </w:r>
          </w:p>
        </w:tc>
        <w:tc>
          <w:tcPr>
            <w:tcW w:w="1418" w:type="dxa"/>
          </w:tcPr>
          <w:p w14:paraId="6DAB9663"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1 576 443</w:t>
            </w:r>
          </w:p>
        </w:tc>
        <w:tc>
          <w:tcPr>
            <w:tcW w:w="1417" w:type="dxa"/>
          </w:tcPr>
          <w:p w14:paraId="6AB54721"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810 267</w:t>
            </w:r>
          </w:p>
        </w:tc>
        <w:tc>
          <w:tcPr>
            <w:tcW w:w="1293" w:type="dxa"/>
          </w:tcPr>
          <w:p w14:paraId="47769DDF"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0</w:t>
            </w:r>
          </w:p>
        </w:tc>
        <w:tc>
          <w:tcPr>
            <w:tcW w:w="1282" w:type="dxa"/>
          </w:tcPr>
          <w:p w14:paraId="2C934888"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0</w:t>
            </w:r>
          </w:p>
        </w:tc>
      </w:tr>
      <w:tr w:rsidR="00CE50B5" w14:paraId="7CB2E0E5" w14:textId="77777777" w:rsidTr="00D72064">
        <w:tc>
          <w:tcPr>
            <w:tcW w:w="3292" w:type="dxa"/>
          </w:tcPr>
          <w:p w14:paraId="581540CD" w14:textId="77777777" w:rsidR="00CE50B5" w:rsidRPr="00772E34" w:rsidRDefault="00CE50B5" w:rsidP="006E3832">
            <w:pPr>
              <w:pStyle w:val="Odstavecseseznamem"/>
              <w:spacing w:after="120"/>
              <w:ind w:left="0"/>
              <w:jc w:val="both"/>
              <w:rPr>
                <w:rFonts w:ascii="Arial" w:hAnsi="Arial" w:cs="Arial"/>
                <w:b/>
              </w:rPr>
            </w:pPr>
            <w:r w:rsidRPr="00772E34">
              <w:rPr>
                <w:rFonts w:ascii="Arial" w:hAnsi="Arial" w:cs="Arial"/>
                <w:b/>
              </w:rPr>
              <w:t>Výzvy k podání dodatečného daňového přiznání (ks)</w:t>
            </w:r>
          </w:p>
        </w:tc>
        <w:tc>
          <w:tcPr>
            <w:tcW w:w="1418" w:type="dxa"/>
          </w:tcPr>
          <w:p w14:paraId="4263D276"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50</w:t>
            </w:r>
          </w:p>
        </w:tc>
        <w:tc>
          <w:tcPr>
            <w:tcW w:w="1417" w:type="dxa"/>
          </w:tcPr>
          <w:p w14:paraId="0A8DD87B"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12</w:t>
            </w:r>
          </w:p>
        </w:tc>
        <w:tc>
          <w:tcPr>
            <w:tcW w:w="1293" w:type="dxa"/>
          </w:tcPr>
          <w:p w14:paraId="7EB69177"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291</w:t>
            </w:r>
          </w:p>
        </w:tc>
        <w:tc>
          <w:tcPr>
            <w:tcW w:w="1282" w:type="dxa"/>
          </w:tcPr>
          <w:p w14:paraId="3CF77792"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576</w:t>
            </w:r>
          </w:p>
        </w:tc>
      </w:tr>
      <w:tr w:rsidR="00CE50B5" w14:paraId="3CD4AEE9" w14:textId="77777777" w:rsidTr="00D72064">
        <w:tc>
          <w:tcPr>
            <w:tcW w:w="3292" w:type="dxa"/>
          </w:tcPr>
          <w:p w14:paraId="756AAE9E" w14:textId="77777777" w:rsidR="00CE50B5" w:rsidRPr="00772E34" w:rsidRDefault="00CE50B5" w:rsidP="006E3832">
            <w:pPr>
              <w:pStyle w:val="Odstavecseseznamem"/>
              <w:spacing w:after="120"/>
              <w:ind w:left="0"/>
              <w:jc w:val="both"/>
              <w:rPr>
                <w:rFonts w:ascii="Arial" w:hAnsi="Arial" w:cs="Arial"/>
                <w:b/>
              </w:rPr>
            </w:pPr>
            <w:r w:rsidRPr="00772E34">
              <w:rPr>
                <w:rFonts w:ascii="Arial" w:hAnsi="Arial" w:cs="Arial"/>
                <w:b/>
              </w:rPr>
              <w:t>Dodatečná daňová přiznání na základě výzvy (ks)</w:t>
            </w:r>
          </w:p>
        </w:tc>
        <w:tc>
          <w:tcPr>
            <w:tcW w:w="1418" w:type="dxa"/>
          </w:tcPr>
          <w:p w14:paraId="18B9E64D"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10</w:t>
            </w:r>
          </w:p>
        </w:tc>
        <w:tc>
          <w:tcPr>
            <w:tcW w:w="1417" w:type="dxa"/>
          </w:tcPr>
          <w:p w14:paraId="2EC4D80A"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12</w:t>
            </w:r>
          </w:p>
        </w:tc>
        <w:tc>
          <w:tcPr>
            <w:tcW w:w="1293" w:type="dxa"/>
          </w:tcPr>
          <w:p w14:paraId="50A0B6B9"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136</w:t>
            </w:r>
          </w:p>
        </w:tc>
        <w:tc>
          <w:tcPr>
            <w:tcW w:w="1282" w:type="dxa"/>
          </w:tcPr>
          <w:p w14:paraId="408EAECC"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273</w:t>
            </w:r>
          </w:p>
        </w:tc>
      </w:tr>
      <w:tr w:rsidR="00CE50B5" w14:paraId="547123B2" w14:textId="77777777" w:rsidTr="00D72064">
        <w:tc>
          <w:tcPr>
            <w:tcW w:w="3292" w:type="dxa"/>
          </w:tcPr>
          <w:p w14:paraId="46470293" w14:textId="77777777" w:rsidR="00CE50B5" w:rsidRPr="00772E34" w:rsidRDefault="00CE50B5" w:rsidP="006E3832">
            <w:pPr>
              <w:pStyle w:val="Odstavecseseznamem"/>
              <w:spacing w:after="120"/>
              <w:ind w:left="0"/>
              <w:rPr>
                <w:rFonts w:ascii="Arial" w:hAnsi="Arial" w:cs="Arial"/>
                <w:b/>
              </w:rPr>
            </w:pPr>
            <w:r w:rsidRPr="00772E34">
              <w:rPr>
                <w:rFonts w:ascii="Arial" w:hAnsi="Arial" w:cs="Arial"/>
                <w:b/>
              </w:rPr>
              <w:t>Výše přiznaných částek za dodatečná daňová přiznání (Kč)</w:t>
            </w:r>
          </w:p>
        </w:tc>
        <w:tc>
          <w:tcPr>
            <w:tcW w:w="1418" w:type="dxa"/>
          </w:tcPr>
          <w:p w14:paraId="2D3AAAC1"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20 011 831</w:t>
            </w:r>
          </w:p>
        </w:tc>
        <w:tc>
          <w:tcPr>
            <w:tcW w:w="1417" w:type="dxa"/>
          </w:tcPr>
          <w:p w14:paraId="3EB5706D"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12 226 079</w:t>
            </w:r>
          </w:p>
        </w:tc>
        <w:tc>
          <w:tcPr>
            <w:tcW w:w="1293" w:type="dxa"/>
          </w:tcPr>
          <w:p w14:paraId="51A6D5EC"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715 780</w:t>
            </w:r>
          </w:p>
        </w:tc>
        <w:tc>
          <w:tcPr>
            <w:tcW w:w="1282" w:type="dxa"/>
          </w:tcPr>
          <w:p w14:paraId="08698DCA"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2 501 121</w:t>
            </w:r>
          </w:p>
        </w:tc>
      </w:tr>
      <w:tr w:rsidR="00CE50B5" w14:paraId="3C5DC98A" w14:textId="77777777" w:rsidTr="00D72064">
        <w:tc>
          <w:tcPr>
            <w:tcW w:w="3292" w:type="dxa"/>
          </w:tcPr>
          <w:p w14:paraId="13734F0A" w14:textId="77777777" w:rsidR="00CE50B5" w:rsidRPr="00772E34" w:rsidRDefault="00CE50B5" w:rsidP="006E3832">
            <w:pPr>
              <w:pStyle w:val="Odstavecseseznamem"/>
              <w:spacing w:after="120"/>
              <w:ind w:left="0"/>
              <w:jc w:val="both"/>
              <w:rPr>
                <w:rFonts w:ascii="Arial" w:hAnsi="Arial" w:cs="Arial"/>
                <w:b/>
              </w:rPr>
            </w:pPr>
            <w:r w:rsidRPr="00772E34">
              <w:rPr>
                <w:rFonts w:ascii="Arial" w:hAnsi="Arial" w:cs="Arial"/>
                <w:b/>
              </w:rPr>
              <w:t>Počet zahájených daňových kontrol</w:t>
            </w:r>
          </w:p>
        </w:tc>
        <w:tc>
          <w:tcPr>
            <w:tcW w:w="1418" w:type="dxa"/>
          </w:tcPr>
          <w:p w14:paraId="49ABF146"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0</w:t>
            </w:r>
          </w:p>
        </w:tc>
        <w:tc>
          <w:tcPr>
            <w:tcW w:w="1417" w:type="dxa"/>
          </w:tcPr>
          <w:p w14:paraId="6453DE93"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10</w:t>
            </w:r>
          </w:p>
        </w:tc>
        <w:tc>
          <w:tcPr>
            <w:tcW w:w="1293" w:type="dxa"/>
          </w:tcPr>
          <w:p w14:paraId="008E8692"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12</w:t>
            </w:r>
          </w:p>
        </w:tc>
        <w:tc>
          <w:tcPr>
            <w:tcW w:w="1282" w:type="dxa"/>
          </w:tcPr>
          <w:p w14:paraId="76CD485B" w14:textId="77777777" w:rsidR="00CE50B5" w:rsidRPr="00772E34" w:rsidRDefault="00CE50B5" w:rsidP="006E3832">
            <w:pPr>
              <w:pStyle w:val="Odstavecseseznamem"/>
              <w:spacing w:after="120"/>
              <w:ind w:left="0"/>
              <w:jc w:val="center"/>
              <w:rPr>
                <w:rFonts w:ascii="Arial" w:hAnsi="Arial" w:cs="Arial"/>
              </w:rPr>
            </w:pPr>
            <w:r w:rsidRPr="00772E34">
              <w:rPr>
                <w:rFonts w:ascii="Arial" w:hAnsi="Arial" w:cs="Arial"/>
              </w:rPr>
              <w:t>115</w:t>
            </w:r>
          </w:p>
        </w:tc>
      </w:tr>
    </w:tbl>
    <w:p w14:paraId="75098986" w14:textId="77777777" w:rsidR="002808D6" w:rsidRPr="00D63CC2" w:rsidRDefault="00CE50B5" w:rsidP="00D72064">
      <w:pPr>
        <w:rPr>
          <w:i/>
          <w:sz w:val="20"/>
        </w:rPr>
      </w:pPr>
      <w:r w:rsidRPr="00D63CC2">
        <w:rPr>
          <w:i/>
          <w:sz w:val="20"/>
        </w:rPr>
        <w:t>Zdroj: Specializovaný finanční úřad</w:t>
      </w:r>
      <w:r w:rsidR="00D72064" w:rsidRPr="00D63CC2">
        <w:rPr>
          <w:i/>
          <w:sz w:val="20"/>
        </w:rPr>
        <w:t>.</w:t>
      </w:r>
    </w:p>
    <w:p w14:paraId="09EDC415" w14:textId="3679840C" w:rsidR="004A016E" w:rsidRPr="004A016E" w:rsidRDefault="00E03CE9" w:rsidP="002049A0">
      <w:pPr>
        <w:pStyle w:val="Nadpis3"/>
      </w:pPr>
      <w:bookmarkStart w:id="19" w:name="_Toc73608292"/>
      <w:r>
        <w:t>Konkrétní popis nástrojů, včetně oblastí, na které by</w:t>
      </w:r>
      <w:r w:rsidR="00AB67A6">
        <w:t xml:space="preserve"> bylo vhodné</w:t>
      </w:r>
      <w:r>
        <w:t xml:space="preserve"> </w:t>
      </w:r>
      <w:r w:rsidR="00290BE4">
        <w:t xml:space="preserve">se </w:t>
      </w:r>
      <w:r>
        <w:t>v budoucnu zaměřit, a návrh</w:t>
      </w:r>
      <w:r w:rsidR="00290BE4">
        <w:t xml:space="preserve"> doporučení či</w:t>
      </w:r>
      <w:r>
        <w:t xml:space="preserve"> možných variant řešení</w:t>
      </w:r>
      <w:bookmarkEnd w:id="19"/>
    </w:p>
    <w:p w14:paraId="2CD939DF" w14:textId="520BC420" w:rsidR="000D1C5B" w:rsidRDefault="000D1C5B" w:rsidP="00687932">
      <w:pPr>
        <w:pStyle w:val="Nadpis5"/>
        <w:numPr>
          <w:ilvl w:val="0"/>
          <w:numId w:val="16"/>
        </w:numPr>
      </w:pPr>
      <w:bookmarkStart w:id="20" w:name="_Toc73608293"/>
      <w:r>
        <w:t>Daň z hazardních her obecně</w:t>
      </w:r>
      <w:bookmarkEnd w:id="20"/>
    </w:p>
    <w:p w14:paraId="2A7B7447" w14:textId="77777777" w:rsidR="00A95FCD" w:rsidRPr="002170C6" w:rsidRDefault="00A95FCD" w:rsidP="0039571C">
      <w:pPr>
        <w:pStyle w:val="Nadpis6"/>
      </w:pPr>
      <w:bookmarkStart w:id="21" w:name="_Toc73608294"/>
      <w:r w:rsidRPr="002170C6">
        <w:t>Zhodnocení institutu minimální dílčí daně z technických her</w:t>
      </w:r>
      <w:bookmarkEnd w:id="21"/>
    </w:p>
    <w:p w14:paraId="5D288442" w14:textId="0E0BAE1F" w:rsidR="00A95FCD" w:rsidRDefault="00A95FCD" w:rsidP="00A95FCD">
      <w:r>
        <w:t>Provozovatelé technické hry</w:t>
      </w:r>
      <w:r w:rsidR="00947301">
        <w:t xml:space="preserve"> formou</w:t>
      </w:r>
      <w:r>
        <w:t xml:space="preserve"> </w:t>
      </w:r>
      <w:r w:rsidR="00947301">
        <w:t xml:space="preserve">land-based </w:t>
      </w:r>
      <w:r>
        <w:t>mají povinnost odvádět minimální dílčí daň z technických her, která je stanovena</w:t>
      </w:r>
      <w:r w:rsidRPr="006938E9">
        <w:t xml:space="preserve"> </w:t>
      </w:r>
      <w:r>
        <w:t>podle §</w:t>
      </w:r>
      <w:r w:rsidR="007C7826">
        <w:t> </w:t>
      </w:r>
      <w:r>
        <w:t>5</w:t>
      </w:r>
      <w:r w:rsidR="007C7826">
        <w:t> </w:t>
      </w:r>
      <w:r>
        <w:t>odst.</w:t>
      </w:r>
      <w:r w:rsidR="007C7826">
        <w:t> </w:t>
      </w:r>
      <w:r>
        <w:t>4 zákona o dani z hazardních her. Její výše se vypočítá jako součin součtu provozovateli povolených herních pozic a částky 9</w:t>
      </w:r>
      <w:r w:rsidR="007C7826">
        <w:t> </w:t>
      </w:r>
      <w:r>
        <w:t>200</w:t>
      </w:r>
      <w:r w:rsidR="007C7826">
        <w:t> </w:t>
      </w:r>
      <w:r>
        <w:t>Kč, přičemž postačuje, aby herní pozice byla povolena alespoň jeden den zdaňovacího období. Z povahy věci se tato minimální hranice dílčí daně neuplatňuje u technické hry provozované prostřednictvím internetu. Také v případě ostatních druhů hazardních her není stanovena žádná minimální daň.</w:t>
      </w:r>
    </w:p>
    <w:p w14:paraId="7666C837" w14:textId="2A0B3DB8" w:rsidR="00A95FCD" w:rsidRDefault="00A95FCD" w:rsidP="00A95FCD">
      <w:r w:rsidRPr="008A2C71">
        <w:t xml:space="preserve">Minimální dílčí daň z technické </w:t>
      </w:r>
      <w:r>
        <w:t>hry má plnit tři funkce – funkci</w:t>
      </w:r>
      <w:r w:rsidRPr="008A2C71">
        <w:t xml:space="preserve"> preventivní, koncentrační a fiskální. První dvě zmíněné představují hlavní funkci, fiskální funkce je minoritní. Preventivní funkce funguje takovým způsobem, kdy jsou provozovatelé minimální dílčí daní motivováni k tomu, aby se nevyhýbali zdanění dílčí daně z</w:t>
      </w:r>
      <w:r w:rsidR="00680966">
        <w:t> </w:t>
      </w:r>
      <w:r w:rsidRPr="008A2C71">
        <w:t>technické hry tím, že by prováděl</w:t>
      </w:r>
      <w:r>
        <w:t>i</w:t>
      </w:r>
      <w:r w:rsidRPr="008A2C71">
        <w:t xml:space="preserve"> manipulaci s výší dílčího základu daně z</w:t>
      </w:r>
      <w:r w:rsidR="00680966">
        <w:t> </w:t>
      </w:r>
      <w:r w:rsidRPr="008A2C71">
        <w:t>technické hry. Minimální dílčí daň zvyšuje provozovateli náklady na těch herních pozicích, které vykazují za zdaňovací období dílčí základ daně nižší než je částka 9</w:t>
      </w:r>
      <w:r w:rsidR="00680966">
        <w:t> </w:t>
      </w:r>
      <w:r w:rsidRPr="008A2C71">
        <w:t>200</w:t>
      </w:r>
      <w:r w:rsidR="007C7826">
        <w:t> </w:t>
      </w:r>
      <w:r w:rsidRPr="008A2C71">
        <w:t>Kč. Z tohoto důvodu by provozovatel měl být motivován provozovat jen více výdělečná koncová zařízení a</w:t>
      </w:r>
      <w:r>
        <w:t> </w:t>
      </w:r>
      <w:r w:rsidRPr="008A2C71">
        <w:t>koncentrovat je do takových míst, kde by dosahovala lepších finančních výsledků. Koncentrační funkce minimální dílčí daně by tak měla způsobovat snížení dostupnosti technické hry. Tento záměr je však částečně narušován tím, že minimální dílčí daň z</w:t>
      </w:r>
      <w:r>
        <w:t> </w:t>
      </w:r>
      <w:r w:rsidRPr="008A2C71">
        <w:t>tech</w:t>
      </w:r>
      <w:r>
        <w:t>nických her</w:t>
      </w:r>
      <w:r w:rsidRPr="008A2C71">
        <w:t xml:space="preserve"> není konstruována na každou herní pozici zvlášť, ale </w:t>
      </w:r>
      <w:r>
        <w:t xml:space="preserve">vypočte se dle počtu povolených herních pozic koncových zařízení </w:t>
      </w:r>
      <w:r w:rsidRPr="008A2C71">
        <w:t>na poplatníka. Provozovatel tedy může své méně výdělečné herní pozice kompenzovat výdělečnějšími herními pozicemi či provozováním internetové technické hry. Minimální dílčí daň zajišťuje garanci minimálních výnosů daně, které se vyberou za každou herní pozici, ovšem od určité úrovně dílčího základu daně z technické hry (9</w:t>
      </w:r>
      <w:r w:rsidR="00D61CA6">
        <w:t> </w:t>
      </w:r>
      <w:r w:rsidRPr="008A2C71">
        <w:t>200</w:t>
      </w:r>
      <w:r w:rsidR="00D61CA6">
        <w:t> </w:t>
      </w:r>
      <w:r w:rsidRPr="008A2C71">
        <w:t>Kč) už nijak neovlivňuje celkové daňové výnosy z technické hry. Proto je fiskální funkce pouze minoritní funkcí, a tímto se t</w:t>
      </w:r>
      <w:r>
        <w:t xml:space="preserve">aké liší od pevné sazby daně. </w:t>
      </w:r>
    </w:p>
    <w:p w14:paraId="601BE9ED" w14:textId="109DD76F" w:rsidR="00A95FCD" w:rsidRDefault="00A95FCD" w:rsidP="00A95FCD">
      <w:r w:rsidRPr="00335A00">
        <w:t>Graf č. 9</w:t>
      </w:r>
      <w:r w:rsidRPr="00680966">
        <w:t xml:space="preserve"> znázorňuje</w:t>
      </w:r>
      <w:r>
        <w:t xml:space="preserve"> podíl, kterým se minimální dílčí daň z technických her uplatňovala na dílčí dani z technické hry v jednotlivých čtvrtletích. Kromě 4.</w:t>
      </w:r>
      <w:r w:rsidR="00780D95">
        <w:t> </w:t>
      </w:r>
      <w:r>
        <w:t>čtvrtletí roku 2019 a 3. čtvrtletí 2020 se tento institut využil v každém sledovaném čtvrtletí. Nejvíce se minimální dílčí daň podílela na dílčí dani z technické hry ve 4.</w:t>
      </w:r>
      <w:r w:rsidR="00780D95">
        <w:t> </w:t>
      </w:r>
      <w:r>
        <w:t>čtvrtletí roku 2020, a to necelými 7 %. Důvodem bylo před</w:t>
      </w:r>
      <w:r w:rsidR="005926FB">
        <w:t>evším uzavření heren a kasin po </w:t>
      </w:r>
      <w:r>
        <w:t>část tohoto čtvrtletí, ke kterému se přistoupilo v návaznosti na pandemickou situaci související s </w:t>
      </w:r>
      <w:r w:rsidR="005926FB">
        <w:t>c</w:t>
      </w:r>
      <w:r>
        <w:t>ovid</w:t>
      </w:r>
      <w:r w:rsidR="005926FB">
        <w:t>em</w:t>
      </w:r>
      <w:r>
        <w:t>-19. Ve většině čtvrtletí se jednalo o velmi nízké hodnoty do 0,5 %.</w:t>
      </w:r>
    </w:p>
    <w:p w14:paraId="29EA245B" w14:textId="4408AA73" w:rsidR="00A95FCD" w:rsidRPr="001901AF" w:rsidRDefault="00A95FCD" w:rsidP="00A95FCD">
      <w:pPr>
        <w:rPr>
          <w:i/>
        </w:rPr>
      </w:pPr>
      <w:bookmarkStart w:id="22" w:name="_Toc73538662"/>
      <w:r w:rsidRPr="001901AF">
        <w:rPr>
          <w:i/>
        </w:rPr>
        <w:t xml:space="preserve">Graf č. </w:t>
      </w:r>
      <w:r w:rsidRPr="001901AF">
        <w:rPr>
          <w:i/>
        </w:rPr>
        <w:fldChar w:fldCharType="begin"/>
      </w:r>
      <w:r w:rsidRPr="001901AF">
        <w:rPr>
          <w:i/>
        </w:rPr>
        <w:instrText xml:space="preserve"> SEQ Graf_č. \* ARABIC </w:instrText>
      </w:r>
      <w:r w:rsidRPr="001901AF">
        <w:rPr>
          <w:i/>
        </w:rPr>
        <w:fldChar w:fldCharType="separate"/>
      </w:r>
      <w:r w:rsidRPr="001901AF">
        <w:rPr>
          <w:i/>
          <w:noProof/>
        </w:rPr>
        <w:t>9</w:t>
      </w:r>
      <w:r w:rsidRPr="001901AF">
        <w:rPr>
          <w:i/>
          <w:noProof/>
        </w:rPr>
        <w:fldChar w:fldCharType="end"/>
      </w:r>
      <w:r w:rsidRPr="001901AF">
        <w:rPr>
          <w:i/>
        </w:rPr>
        <w:t>: Vývoj dílčí daně z technické hry rozdělené na její procentuální část a na část připadající na minimální dílčí daň (stav k 10.</w:t>
      </w:r>
      <w:r w:rsidR="00780D95">
        <w:rPr>
          <w:i/>
        </w:rPr>
        <w:t> </w:t>
      </w:r>
      <w:r w:rsidRPr="001901AF">
        <w:rPr>
          <w:i/>
        </w:rPr>
        <w:t>2.</w:t>
      </w:r>
      <w:r w:rsidR="00780D95">
        <w:rPr>
          <w:i/>
        </w:rPr>
        <w:t> </w:t>
      </w:r>
      <w:r w:rsidRPr="001901AF">
        <w:rPr>
          <w:i/>
        </w:rPr>
        <w:t>2021)</w:t>
      </w:r>
      <w:bookmarkEnd w:id="22"/>
    </w:p>
    <w:p w14:paraId="1681892F" w14:textId="77777777" w:rsidR="00A95FCD" w:rsidRPr="001F3157" w:rsidRDefault="00A95FCD" w:rsidP="00A95FCD">
      <w:r w:rsidRPr="001F3157">
        <w:rPr>
          <w:noProof/>
          <w:lang w:eastAsia="cs-CZ"/>
        </w:rPr>
        <w:drawing>
          <wp:inline distT="0" distB="0" distL="0" distR="0" wp14:anchorId="5ABA6F7F" wp14:editId="3D54337A">
            <wp:extent cx="5486400" cy="3200400"/>
            <wp:effectExtent l="0" t="0" r="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78868D" w14:textId="77777777" w:rsidR="00A95FCD" w:rsidRPr="00D63CC2" w:rsidRDefault="00A95FCD" w:rsidP="00A95FCD">
      <w:pPr>
        <w:rPr>
          <w:i/>
          <w:sz w:val="20"/>
        </w:rPr>
      </w:pPr>
      <w:r w:rsidRPr="00D63CC2">
        <w:rPr>
          <w:i/>
          <w:sz w:val="20"/>
        </w:rPr>
        <w:t>Zdroj: Agregovaná data z daňových přiznání k dani z hazardních her (GFŘ).</w:t>
      </w:r>
    </w:p>
    <w:p w14:paraId="64CE84B8" w14:textId="45F87887" w:rsidR="00A95FCD" w:rsidRDefault="00A95FCD" w:rsidP="00A95FCD">
      <w:pPr>
        <w:rPr>
          <w:rFonts w:cs="Arial"/>
        </w:rPr>
      </w:pPr>
      <w:r>
        <w:rPr>
          <w:rFonts w:cs="Arial"/>
        </w:rPr>
        <w:t>Minimální dílčí daň z technických her musí provozovatelé odvádět i přesto, že je jim znemožněno tuto hazardní hru tímto způsobem provozovat, a to např. z důvodu krizových opatření vlády, která nařizují uzavření všech heren a kasin. Tato skutečnost nastala v souvislosti s pandemickou situací související s </w:t>
      </w:r>
      <w:r w:rsidR="005926FB">
        <w:rPr>
          <w:rFonts w:cs="Arial"/>
        </w:rPr>
        <w:t>c</w:t>
      </w:r>
      <w:r>
        <w:rPr>
          <w:rFonts w:cs="Arial"/>
        </w:rPr>
        <w:t>ovidem-19, nicméně nelze vyloučit, že obdobná situace nemůže nastat i v budoucnu. Přesto se ale jednalo o bezprecedentní a mimořádnou situaci.</w:t>
      </w:r>
    </w:p>
    <w:p w14:paraId="61C67B35" w14:textId="77777777" w:rsidR="00A95FCD" w:rsidRDefault="00A95FCD" w:rsidP="00A95FCD">
      <w:pPr>
        <w:pStyle w:val="Nadpis7"/>
      </w:pPr>
      <w:r>
        <w:t>Varianta I. – Zachování současného stavu</w:t>
      </w:r>
    </w:p>
    <w:p w14:paraId="16719478" w14:textId="1DB980E6" w:rsidR="00A95FCD" w:rsidRDefault="00A95FCD" w:rsidP="00A95FCD">
      <w:r>
        <w:t>Ze sníženého počtu zařízení technické hry lze vyvozovat, že institut minimální dílčí daně z technických her plní svou hlavní funkci, kterou je snížení dostupnosti technické hry</w:t>
      </w:r>
      <w:r w:rsidR="00A037BA" w:rsidRPr="00A037BA">
        <w:t xml:space="preserve"> </w:t>
      </w:r>
      <w:r w:rsidR="000F1AA5">
        <w:t>provozované formou</w:t>
      </w:r>
      <w:r w:rsidR="00A037BA">
        <w:t xml:space="preserve"> land-based</w:t>
      </w:r>
      <w:r>
        <w:t>. I v případě, kdyby nebyla minimální dílčí daň z technických her dlouhodobě využívána, tedy dílčí základy daně z technické hry jednotlivých provozovatelů by byly vyšší než částka 9</w:t>
      </w:r>
      <w:r w:rsidR="00A037BA">
        <w:t> </w:t>
      </w:r>
      <w:r>
        <w:t>200</w:t>
      </w:r>
      <w:r w:rsidR="00A037BA">
        <w:t> </w:t>
      </w:r>
      <w:r>
        <w:t>Kč, nelze jednoznačně tvrdit, že se jedná o nefungující institut, jelikož minimální dílčí daň může mít odrazující vliv, v jehož důsledku se neprovozují méně výdělečné herní pozice.</w:t>
      </w:r>
    </w:p>
    <w:p w14:paraId="1E598EDF" w14:textId="77777777" w:rsidR="00A95FCD" w:rsidRDefault="00A95FCD" w:rsidP="00A95FCD">
      <w:r>
        <w:t>Výhody:</w:t>
      </w:r>
    </w:p>
    <w:p w14:paraId="6CCABB3B" w14:textId="423F35A6" w:rsidR="00A95FCD" w:rsidRDefault="00A95FCD" w:rsidP="00A95FCD">
      <w:r>
        <w:t>Výhodou je snížení dostupnosti technické hry.</w:t>
      </w:r>
    </w:p>
    <w:p w14:paraId="387DA572" w14:textId="77777777" w:rsidR="00A95FCD" w:rsidRDefault="00A95FCD" w:rsidP="00A95FCD">
      <w:r>
        <w:t>Nevýhody:</w:t>
      </w:r>
    </w:p>
    <w:p w14:paraId="4740C62E" w14:textId="4B9380D0" w:rsidR="00A95FCD" w:rsidRDefault="00A95FCD" w:rsidP="00A95FCD">
      <w:r>
        <w:t>Efekt, který z trhu vytlačuje méně výdělečné herní pozice, není úplný, jelikož je narušován možností kompenzovat méně výnosné hern</w:t>
      </w:r>
      <w:r w:rsidR="005926FB">
        <w:t xml:space="preserve">í pozice těmi </w:t>
      </w:r>
      <w:r w:rsidR="002B1BB4">
        <w:t xml:space="preserve">výdělečnějšími </w:t>
      </w:r>
      <w:r w:rsidR="00920CD9">
        <w:t>(</w:t>
      </w:r>
      <w:r w:rsidR="002B1BB4">
        <w:t>u větších provozovatelů disponující více provozovnami dochází k</w:t>
      </w:r>
      <w:r w:rsidR="00920CD9">
        <w:t xml:space="preserve"> těmto</w:t>
      </w:r>
      <w:r w:rsidR="002B1BB4">
        <w:t xml:space="preserve"> </w:t>
      </w:r>
      <w:r w:rsidR="00920CD9">
        <w:t>kompenzacím</w:t>
      </w:r>
      <w:r w:rsidR="002B1BB4">
        <w:t xml:space="preserve"> a dané opatření </w:t>
      </w:r>
      <w:r w:rsidR="00891AD4">
        <w:t>tedy nemusí mít významný dopad</w:t>
      </w:r>
      <w:r w:rsidR="00920CD9">
        <w:t>)</w:t>
      </w:r>
      <w:r w:rsidR="002B1BB4">
        <w:t xml:space="preserve"> </w:t>
      </w:r>
      <w:r w:rsidR="005926FB">
        <w:t>či </w:t>
      </w:r>
      <w:r>
        <w:t>provozováním technické hry prostřednictvím in</w:t>
      </w:r>
      <w:r w:rsidR="005926FB">
        <w:t>ternetu. Další nevýhodou je, že </w:t>
      </w:r>
      <w:r>
        <w:t xml:space="preserve">minimální dílčí daň zavádí nestandardní prvek, který při propadu hospodářské činnosti daného provozovatele technické hry, který </w:t>
      </w:r>
      <w:r w:rsidR="00D5132E">
        <w:t>může být způsobe</w:t>
      </w:r>
      <w:r w:rsidR="00804973">
        <w:t>m různými faktory jako je např. </w:t>
      </w:r>
      <w:r>
        <w:t>pokles ekonomiky či lokální ekonomick</w:t>
      </w:r>
      <w:r w:rsidR="00D5132E">
        <w:t>á</w:t>
      </w:r>
      <w:r>
        <w:t xml:space="preserve"> situací provozovatele, může znamenat poměrně nekoncepční daňové břemeno, které je jinak odvozené pouze od rozdílu úhrnu přijatých vkladů a součtu úhrnů vyplacených výher a</w:t>
      </w:r>
      <w:r w:rsidR="00680966">
        <w:t> </w:t>
      </w:r>
      <w:r>
        <w:t>nevrácených vkladů.</w:t>
      </w:r>
    </w:p>
    <w:p w14:paraId="1AFF9C4B" w14:textId="77777777" w:rsidR="00A95FCD" w:rsidRDefault="00A95FCD" w:rsidP="00A95FCD">
      <w:pPr>
        <w:pStyle w:val="Nadpis7"/>
      </w:pPr>
      <w:r>
        <w:t>Varianta II. – Zrušení minimální dílčí daně z technických her</w:t>
      </w:r>
    </w:p>
    <w:p w14:paraId="5B1BAAF5" w14:textId="77777777" w:rsidR="00A95FCD" w:rsidRDefault="00A95FCD" w:rsidP="00A95FCD">
      <w:r>
        <w:t>Tato varianta navrhuje takovou úpravu zákona o dani z hazardních her, která by zrušila institut minimální dílčí daně z technických her.</w:t>
      </w:r>
    </w:p>
    <w:p w14:paraId="4F7A5E4E" w14:textId="77777777" w:rsidR="00A95FCD" w:rsidRDefault="00A95FCD" w:rsidP="00A95FCD">
      <w:r>
        <w:t>Výhody:</w:t>
      </w:r>
    </w:p>
    <w:p w14:paraId="2480C65B" w14:textId="41EBC1B3" w:rsidR="00A95FCD" w:rsidRDefault="00A95FCD" w:rsidP="00A95FCD">
      <w:pPr>
        <w:rPr>
          <w:rFonts w:cs="Arial"/>
        </w:rPr>
      </w:pPr>
      <w:r>
        <w:rPr>
          <w:rFonts w:cs="Arial"/>
        </w:rPr>
        <w:t>V případě mimořádných situací, kdy je znemožněno provozovat technickou hru</w:t>
      </w:r>
      <w:r w:rsidR="001341FE" w:rsidRPr="001341FE">
        <w:rPr>
          <w:rFonts w:cs="Arial"/>
        </w:rPr>
        <w:t xml:space="preserve"> </w:t>
      </w:r>
      <w:r w:rsidR="001341FE">
        <w:rPr>
          <w:rFonts w:cs="Arial"/>
        </w:rPr>
        <w:t>formou land-based</w:t>
      </w:r>
      <w:r>
        <w:rPr>
          <w:rFonts w:cs="Arial"/>
        </w:rPr>
        <w:t xml:space="preserve"> či při propadu hospodářské činnosti</w:t>
      </w:r>
      <w:r w:rsidR="005926FB">
        <w:rPr>
          <w:rFonts w:cs="Arial"/>
        </w:rPr>
        <w:t>,</w:t>
      </w:r>
      <w:r>
        <w:rPr>
          <w:rFonts w:cs="Arial"/>
        </w:rPr>
        <w:t xml:space="preserve"> by provozovatelé neměli povinnost odvádět minimální dílčí daň z technických her.</w:t>
      </w:r>
      <w:r w:rsidR="007673F2">
        <w:rPr>
          <w:rFonts w:cs="Arial"/>
        </w:rPr>
        <w:t xml:space="preserve"> Nutno poznamenat, že ve standardní situaci (tj. mimo období pandemick</w:t>
      </w:r>
      <w:r w:rsidR="001F07FD">
        <w:rPr>
          <w:rFonts w:cs="Arial"/>
        </w:rPr>
        <w:t>é situace</w:t>
      </w:r>
      <w:r w:rsidR="007673F2">
        <w:rPr>
          <w:rFonts w:cs="Arial"/>
        </w:rPr>
        <w:t xml:space="preserve"> související s </w:t>
      </w:r>
      <w:r w:rsidR="00CF0A60">
        <w:rPr>
          <w:rFonts w:cs="Arial"/>
        </w:rPr>
        <w:t>c</w:t>
      </w:r>
      <w:r w:rsidR="007673F2">
        <w:rPr>
          <w:rFonts w:cs="Arial"/>
        </w:rPr>
        <w:t>ovid</w:t>
      </w:r>
      <w:r w:rsidR="00CF0A60">
        <w:rPr>
          <w:rFonts w:cs="Arial"/>
        </w:rPr>
        <w:t>em</w:t>
      </w:r>
      <w:r w:rsidR="007673F2">
        <w:rPr>
          <w:rFonts w:cs="Arial"/>
        </w:rPr>
        <w:t>-19) provozovatelé až na naprosté výjimky odváděli daň z technických her ve vyšší výši než je minimální daň. V tomto kontextu tedy minimální daň dopadala toliko na případy, kdy docházelo k mimořádným situacím buď individuálně u provozovatele nebo celoekonomicky.</w:t>
      </w:r>
    </w:p>
    <w:p w14:paraId="7B4659BC" w14:textId="77777777" w:rsidR="00A95FCD" w:rsidRDefault="00A95FCD" w:rsidP="00A95FCD">
      <w:pPr>
        <w:rPr>
          <w:rFonts w:cs="Arial"/>
        </w:rPr>
      </w:pPr>
      <w:r>
        <w:rPr>
          <w:rFonts w:cs="Arial"/>
        </w:rPr>
        <w:t>Nevýhody:</w:t>
      </w:r>
    </w:p>
    <w:p w14:paraId="54ED88D7" w14:textId="4A2ACC97" w:rsidR="00A95FCD" w:rsidRDefault="00A95FCD" w:rsidP="00A95FCD">
      <w:pPr>
        <w:rPr>
          <w:rFonts w:cs="Arial"/>
        </w:rPr>
      </w:pPr>
      <w:r>
        <w:rPr>
          <w:rFonts w:cs="Arial"/>
        </w:rPr>
        <w:t xml:space="preserve">Došlo by ke zrušení jednoho z nástrojů na snižování dostupnosti technické hry. </w:t>
      </w:r>
      <w:r w:rsidR="00D5132E">
        <w:rPr>
          <w:rFonts w:cs="Arial"/>
        </w:rPr>
        <w:t>Lze předpokládat</w:t>
      </w:r>
      <w:r>
        <w:rPr>
          <w:rFonts w:cs="Arial"/>
        </w:rPr>
        <w:t>, že by došlo k navýšení počtu méně výdělečných herních pozic, a</w:t>
      </w:r>
      <w:r w:rsidR="00680966">
        <w:rPr>
          <w:rFonts w:cs="Arial"/>
        </w:rPr>
        <w:t> </w:t>
      </w:r>
      <w:r>
        <w:rPr>
          <w:rFonts w:cs="Arial"/>
        </w:rPr>
        <w:t xml:space="preserve">tím by se zvýšila i celková dostupnost technické hry, jelikož by provozování technické hry v méně navštěvovaných provozovnách nebylo již tak nákladné. Z důvodu zachování stejného daňového zatížení provozovatelů technické hry jako v současnosti by bylo potřeba </w:t>
      </w:r>
      <w:r w:rsidR="00D5132E">
        <w:rPr>
          <w:rFonts w:cs="Arial"/>
        </w:rPr>
        <w:t xml:space="preserve">při </w:t>
      </w:r>
      <w:r>
        <w:rPr>
          <w:rFonts w:cs="Arial"/>
        </w:rPr>
        <w:t xml:space="preserve">zrušení minimální dílčí daně z technických her </w:t>
      </w:r>
      <w:r w:rsidR="00D5132E">
        <w:rPr>
          <w:rFonts w:cs="Arial"/>
        </w:rPr>
        <w:t xml:space="preserve">zvážit </w:t>
      </w:r>
      <w:r>
        <w:rPr>
          <w:rFonts w:cs="Arial"/>
        </w:rPr>
        <w:t>odpovídající zvýšení daňové sazby u technické hry, a to především z důvodu zachování inkasa daně z technické hry, které je využíváno na sanaci společenských nákladů spojených s tímto druhem hazardní hry. Vzhledem k podílu dílčí daně z technické hry, který připadá na minimální dílčí daň za období, která nebyla postižena pandemickou situací související s </w:t>
      </w:r>
      <w:r w:rsidR="005926FB">
        <w:rPr>
          <w:rFonts w:cs="Arial"/>
        </w:rPr>
        <w:t>c</w:t>
      </w:r>
      <w:r>
        <w:rPr>
          <w:rFonts w:cs="Arial"/>
        </w:rPr>
        <w:t>ovid</w:t>
      </w:r>
      <w:r w:rsidR="005926FB">
        <w:rPr>
          <w:rFonts w:cs="Arial"/>
        </w:rPr>
        <w:t>em</w:t>
      </w:r>
      <w:r>
        <w:rPr>
          <w:rFonts w:cs="Arial"/>
        </w:rPr>
        <w:t xml:space="preserve">-19, lze vyvodit, že by se </w:t>
      </w:r>
      <w:r w:rsidR="00D5132E">
        <w:rPr>
          <w:rFonts w:cs="Arial"/>
        </w:rPr>
        <w:t>pravděpodobně</w:t>
      </w:r>
      <w:r>
        <w:rPr>
          <w:rFonts w:cs="Arial"/>
        </w:rPr>
        <w:t xml:space="preserve"> jednalo o minimální zvýšení sazby daně či žádné, a to i s ohledem na skutečnost, že zdanění technické hry je již nyní nastaveno na hranici Lafferova bodu.</w:t>
      </w:r>
      <w:r w:rsidR="00D5132E">
        <w:rPr>
          <w:rFonts w:cs="Arial"/>
        </w:rPr>
        <w:t xml:space="preserve"> </w:t>
      </w:r>
    </w:p>
    <w:p w14:paraId="37A79093" w14:textId="0EA20B84" w:rsidR="00A95FCD" w:rsidRDefault="00A95FCD" w:rsidP="00A95FCD">
      <w:pPr>
        <w:pStyle w:val="Nadpis7"/>
        <w:rPr>
          <w:rFonts w:cs="Arial"/>
        </w:rPr>
      </w:pPr>
      <w:r>
        <w:t xml:space="preserve">Varianta III. – Uplatnění </w:t>
      </w:r>
      <w:r>
        <w:rPr>
          <w:rFonts w:cs="Arial"/>
        </w:rPr>
        <w:t xml:space="preserve">minimální dílčí </w:t>
      </w:r>
      <w:r w:rsidR="00E71527">
        <w:rPr>
          <w:rFonts w:cs="Arial"/>
        </w:rPr>
        <w:t>daně z technických her pouze na </w:t>
      </w:r>
      <w:r>
        <w:rPr>
          <w:rFonts w:cs="Arial"/>
        </w:rPr>
        <w:t>dílčí základ daně z  technické hry</w:t>
      </w:r>
      <w:r w:rsidR="000F1AA5">
        <w:rPr>
          <w:rFonts w:cs="Arial"/>
        </w:rPr>
        <w:t xml:space="preserve"> provozované formou</w:t>
      </w:r>
      <w:r w:rsidR="000F1AA5" w:rsidRPr="000F1AA5">
        <w:rPr>
          <w:rFonts w:cs="Arial"/>
        </w:rPr>
        <w:t xml:space="preserve"> </w:t>
      </w:r>
      <w:r w:rsidR="000F1AA5">
        <w:rPr>
          <w:rFonts w:cs="Arial"/>
        </w:rPr>
        <w:t>land-based</w:t>
      </w:r>
    </w:p>
    <w:p w14:paraId="6B2D62F8" w14:textId="7F82717B" w:rsidR="00680966" w:rsidRDefault="00A95FCD" w:rsidP="00A95FCD">
      <w:r>
        <w:t xml:space="preserve">Vhodným řešením by mohla být změna zákona o dani z hazardních her, která by rozdělila dílčí základ daně z technických her na dvě části </w:t>
      </w:r>
      <w:r w:rsidR="005C1A86">
        <w:t>po</w:t>
      </w:r>
      <w:r>
        <w:t>dle způsobu provozování. Tato úprava by způsobila posílení koncentrační funkce institutu minimální dílčí daně z technických her, jelikož by již nemohly být méně výdělečné herní pozice kompenzovány</w:t>
      </w:r>
      <w:r w:rsidR="0098523B">
        <w:t xml:space="preserve"> internetovou technickou hrou. </w:t>
      </w:r>
    </w:p>
    <w:p w14:paraId="79F9E0DC" w14:textId="3098A637" w:rsidR="00A95FCD" w:rsidRDefault="00A95FCD" w:rsidP="00A95FCD">
      <w:r>
        <w:t>Výhody:</w:t>
      </w:r>
    </w:p>
    <w:p w14:paraId="02344A91" w14:textId="4D9CDAB6" w:rsidR="00A95FCD" w:rsidRDefault="00A95FCD" w:rsidP="00A95FCD">
      <w:r>
        <w:t xml:space="preserve">Pravděpodobně by došlo k dalšímu snížení dostupnosti technické hry, jelikož provozovatelé, kteří provozují technickou hru </w:t>
      </w:r>
      <w:r w:rsidR="00E71527">
        <w:t>nejen</w:t>
      </w:r>
      <w:r>
        <w:t xml:space="preserve"> </w:t>
      </w:r>
      <w:r w:rsidR="006A1ABF">
        <w:t>form</w:t>
      </w:r>
      <w:r w:rsidR="00E71527">
        <w:t>ou</w:t>
      </w:r>
      <w:r w:rsidR="006A1ABF">
        <w:t xml:space="preserve"> </w:t>
      </w:r>
      <w:r>
        <w:t>land-based</w:t>
      </w:r>
      <w:r w:rsidR="00E71527">
        <w:t>, ale</w:t>
      </w:r>
      <w:r>
        <w:t xml:space="preserve"> i</w:t>
      </w:r>
      <w:r w:rsidR="00680966">
        <w:t> </w:t>
      </w:r>
      <w:r>
        <w:t xml:space="preserve">prostřednictvím internetu, by nadále nemohli kompenzovat méně výdělečné herní pozice internetovou technickou hrou. </w:t>
      </w:r>
    </w:p>
    <w:p w14:paraId="2B1D4CDB" w14:textId="77777777" w:rsidR="00A95FCD" w:rsidRDefault="00A95FCD" w:rsidP="00A95FCD">
      <w:r>
        <w:t>Nevýhody:</w:t>
      </w:r>
    </w:p>
    <w:p w14:paraId="70042A4E" w14:textId="0A1AE3EE" w:rsidR="00A95FCD" w:rsidRDefault="00AE7B38" w:rsidP="00A95FCD">
      <w:pPr>
        <w:rPr>
          <w:rFonts w:cs="Arial"/>
        </w:rPr>
      </w:pPr>
      <w:r>
        <w:t>Na institut minimální dílčí daně lze pohlížet jako na relativně nekoncepční prvek</w:t>
      </w:r>
      <w:r w:rsidR="00F92164">
        <w:t xml:space="preserve"> v rámci systém</w:t>
      </w:r>
      <w:r w:rsidR="00304183">
        <w:t>u</w:t>
      </w:r>
      <w:r w:rsidR="00F92164">
        <w:t xml:space="preserve"> zdanění</w:t>
      </w:r>
      <w:r>
        <w:t>, který má potenciál ovlivnit rozhodnutí pro</w:t>
      </w:r>
      <w:r w:rsidR="00F92164">
        <w:t>vozovatele o </w:t>
      </w:r>
      <w:r>
        <w:t xml:space="preserve">provozování či umístění hazardní hry. </w:t>
      </w:r>
      <w:r w:rsidR="00A95FCD">
        <w:t xml:space="preserve">Možnou nevýhodou by byla stejně jako při současném stavu skutečnost, že v případě propadu hospodářské činnosti daného provozovatele by mohlo dojít k poměrně nekoncepčnímu daňovému zatížení tohoto provozovatele. </w:t>
      </w:r>
    </w:p>
    <w:p w14:paraId="0D4B44AD" w14:textId="1C926048" w:rsidR="00A95FCD" w:rsidRDefault="00A95FCD" w:rsidP="002F701A">
      <w:pPr>
        <w:pStyle w:val="Nadpis7"/>
      </w:pPr>
      <w:r>
        <w:t xml:space="preserve">Varianta </w:t>
      </w:r>
      <w:r w:rsidR="002F701A">
        <w:t>I</w:t>
      </w:r>
      <w:r>
        <w:t>V. – Nahrazení minimální dílčí daně z technických her místním poplatkem</w:t>
      </w:r>
    </w:p>
    <w:p w14:paraId="1B9651EE" w14:textId="157F59E7" w:rsidR="00A95FCD" w:rsidRDefault="00A95FCD" w:rsidP="00A95FCD">
      <w:r>
        <w:t>Tato varianta navrhuje takovou úpravu zákona, která by zrušila institut minimální dílčí daně z technických her a zároveň by zavedla místní poplatek pro technickou hru</w:t>
      </w:r>
      <w:r w:rsidR="00970994">
        <w:t xml:space="preserve"> provozovanou formou</w:t>
      </w:r>
      <w:r w:rsidR="00970994" w:rsidRPr="00970994">
        <w:t xml:space="preserve"> </w:t>
      </w:r>
      <w:r w:rsidR="00970994">
        <w:t>land-based</w:t>
      </w:r>
      <w:r>
        <w:t>.</w:t>
      </w:r>
    </w:p>
    <w:p w14:paraId="70D1C9F6" w14:textId="77777777" w:rsidR="00A95FCD" w:rsidRDefault="00A95FCD" w:rsidP="00A95FCD">
      <w:r>
        <w:t>Výhody:</w:t>
      </w:r>
    </w:p>
    <w:p w14:paraId="3B3DCC8B" w14:textId="7EB9A98A" w:rsidR="00A95FCD" w:rsidRDefault="00A95FCD" w:rsidP="00A95FCD">
      <w:r>
        <w:t>Fiskální funkce místního poplatku by m</w:t>
      </w:r>
      <w:r w:rsidR="00261689">
        <w:t>ohla mít</w:t>
      </w:r>
      <w:r>
        <w:t xml:space="preserve"> větší roli než v případě minimální dílčí daně z technických her, jelikož </w:t>
      </w:r>
      <w:r w:rsidR="0028061D">
        <w:t xml:space="preserve">by byl vždy </w:t>
      </w:r>
      <w:r w:rsidR="00261689">
        <w:t xml:space="preserve">garantován výnos z </w:t>
      </w:r>
      <w:r>
        <w:t>místní</w:t>
      </w:r>
      <w:r w:rsidR="00261689">
        <w:t>ho</w:t>
      </w:r>
      <w:r>
        <w:t xml:space="preserve"> poplatk</w:t>
      </w:r>
      <w:r w:rsidR="00261689">
        <w:t>u</w:t>
      </w:r>
      <w:r w:rsidR="0028061D">
        <w:t xml:space="preserve">, který by neodrážel výnos z jednotlivé herní pozice v porovnání s minimální dílčí daní. </w:t>
      </w:r>
      <w:r>
        <w:t xml:space="preserve">Navíc </w:t>
      </w:r>
      <w:r w:rsidR="0028061D">
        <w:t xml:space="preserve">by </w:t>
      </w:r>
      <w:r>
        <w:t>celý místní poplatek byl příjmem obecních rozpočtů, kde by mohl být využit pro sanaci nákladů souvisejících s provozováním technické hry</w:t>
      </w:r>
      <w:r w:rsidR="00970994">
        <w:t xml:space="preserve"> v</w:t>
      </w:r>
      <w:r w:rsidR="00E71527">
        <w:t> land</w:t>
      </w:r>
      <w:r w:rsidR="00E71527">
        <w:noBreakHyphen/>
      </w:r>
      <w:r w:rsidR="00970994">
        <w:t>based prostředí</w:t>
      </w:r>
      <w:r>
        <w:t>. Rovněž by se narovnala současná situace, kdy mohou být méně výdělečné herní pozice kompenzovány internetovou technickou hrou.</w:t>
      </w:r>
    </w:p>
    <w:p w14:paraId="4CDCB2CF" w14:textId="77777777" w:rsidR="00A95FCD" w:rsidRDefault="00A95FCD" w:rsidP="00A95FCD">
      <w:r>
        <w:t>Nevýhody:</w:t>
      </w:r>
    </w:p>
    <w:p w14:paraId="49C47F86" w14:textId="26EFB665" w:rsidR="00A95FCD" w:rsidRPr="006F6E2B" w:rsidRDefault="00A95FCD" w:rsidP="00A95FCD">
      <w:r>
        <w:t xml:space="preserve">Jednalo by se o nekoncepční řešení, jelikož stanovení místního poplatku by </w:t>
      </w:r>
      <w:r w:rsidR="00567A74">
        <w:t xml:space="preserve">mohlo </w:t>
      </w:r>
      <w:r>
        <w:t>znamena</w:t>
      </w:r>
      <w:r w:rsidR="00567A74">
        <w:t>t</w:t>
      </w:r>
      <w:r>
        <w:t xml:space="preserve"> nejednotné zatížení provozovatelů technické hry</w:t>
      </w:r>
      <w:r w:rsidR="00970994">
        <w:t xml:space="preserve"> </w:t>
      </w:r>
      <w:r w:rsidR="002E240E">
        <w:t>formou</w:t>
      </w:r>
      <w:r>
        <w:t xml:space="preserve"> </w:t>
      </w:r>
      <w:r w:rsidR="00970994">
        <w:t xml:space="preserve">land-based </w:t>
      </w:r>
      <w:r>
        <w:t xml:space="preserve">napříč Českou republikou. Navíc by zde bylo riziko dvojího zdanění, jelikož by provozování technické hry </w:t>
      </w:r>
      <w:r w:rsidR="002E240E">
        <w:t xml:space="preserve">formou land-based </w:t>
      </w:r>
      <w:r>
        <w:t>bylo zatíženo kromě místního poplatku i daní z hazardních her.</w:t>
      </w:r>
      <w:r w:rsidR="00F92164">
        <w:t xml:space="preserve"> Uvedené řešení by rovněž nevedlo k řešení </w:t>
      </w:r>
      <w:r w:rsidR="00A95D28">
        <w:t xml:space="preserve">situace, kdy některé </w:t>
      </w:r>
      <w:r w:rsidR="0028061D">
        <w:t>malé</w:t>
      </w:r>
      <w:r w:rsidR="00A95D28">
        <w:t xml:space="preserve"> obce významně profitují z daně z hazardních her v návaznosti na rozpočtové určení daní pro technickou hru, </w:t>
      </w:r>
      <w:r w:rsidR="00E71527">
        <w:t>neboť</w:t>
      </w:r>
      <w:r w:rsidR="00A95D28">
        <w:t xml:space="preserve"> výnos z této dílčí daně je odvozován od počtu povolených herních pozic technické hry na území obce</w:t>
      </w:r>
      <w:r w:rsidR="0028061D">
        <w:t xml:space="preserve"> (blíže viz níže)</w:t>
      </w:r>
      <w:r w:rsidR="00A95D28">
        <w:t>.</w:t>
      </w:r>
    </w:p>
    <w:p w14:paraId="125D06BB" w14:textId="77777777" w:rsidR="00A95FCD" w:rsidRDefault="00A95FCD" w:rsidP="00A95FCD">
      <w:pPr>
        <w:pStyle w:val="Nadpis7"/>
      </w:pPr>
      <w:r>
        <w:t>Hodnocení variant</w:t>
      </w:r>
    </w:p>
    <w:p w14:paraId="15D7FF9D" w14:textId="66C21CA2" w:rsidR="00A95FCD" w:rsidRDefault="00A95FCD" w:rsidP="00A95FCD">
      <w:r>
        <w:t xml:space="preserve">Jako reálně aplikovatelné varianty řešení se jeví </w:t>
      </w:r>
      <w:r w:rsidR="00680966">
        <w:t>v</w:t>
      </w:r>
      <w:r>
        <w:t xml:space="preserve">arianta II. a </w:t>
      </w:r>
      <w:r w:rsidR="00680966">
        <w:t>v</w:t>
      </w:r>
      <w:r w:rsidR="00E71527">
        <w:t>arianta III. Ve variantě </w:t>
      </w:r>
      <w:r>
        <w:t xml:space="preserve">II. je navrhováno zrušení institutu minimální dílčí daně z technických her, čímž by došlo k odstranění nestandardního prvku, který </w:t>
      </w:r>
      <w:r w:rsidR="00A95D28">
        <w:t xml:space="preserve">např. </w:t>
      </w:r>
      <w:r>
        <w:t>při propadu hospodářské činnosti provozovatele technické hry může znamenat poměrně nekoncepční daňové zatížení tohoto provozovatele, které je u ostatních hazardních her odvozeno od rozdílu úhrnu přijatých vkladů a s</w:t>
      </w:r>
      <w:r w:rsidR="00E71527">
        <w:t>oučtu úhrnů vyplacených výher a </w:t>
      </w:r>
      <w:r>
        <w:t>nevrácených vkladů. Došlo by ovšem i k o</w:t>
      </w:r>
      <w:r w:rsidR="00E71527">
        <w:t>dstranění jednoho z nástrojů na </w:t>
      </w:r>
      <w:r>
        <w:t>snižování dostupnosti technické hry</w:t>
      </w:r>
      <w:r w:rsidR="002E240E" w:rsidRPr="002E240E">
        <w:t xml:space="preserve"> </w:t>
      </w:r>
      <w:r w:rsidR="002E240E">
        <w:t>provozované formou land-based</w:t>
      </w:r>
      <w:r>
        <w:t xml:space="preserve">. Ve </w:t>
      </w:r>
      <w:r w:rsidR="00F67354">
        <w:t>v</w:t>
      </w:r>
      <w:r w:rsidR="00E71527">
        <w:t>ariantě </w:t>
      </w:r>
      <w:r>
        <w:t>III. by došlo k takové změně zákona o dani z hazardních her,</w:t>
      </w:r>
      <w:r w:rsidRPr="00193815">
        <w:t xml:space="preserve"> </w:t>
      </w:r>
      <w:r>
        <w:t>která by rozdělila dílčí základ daně z technických her na dvě části dle způsobu provozování. Touto úpravou by pravděpodobně došlo k dalšímu snížení dostupnosti technické hry</w:t>
      </w:r>
      <w:r w:rsidR="002E240E" w:rsidRPr="002E240E">
        <w:t xml:space="preserve"> </w:t>
      </w:r>
      <w:r w:rsidR="002E240E">
        <w:t>formou land-based</w:t>
      </w:r>
      <w:r>
        <w:t>, jelikož provozovatelé by již nemohli méně výdělečné herní pozice kompenzovat internetovou technickou hrou. Stále by ovšem přetrvával současný stav, že při propadu hospodářské činnosti provozovatele technické hry může docházet k poměrně nekoncepčnímu daňovému zatížení tohoto provozovatele. V</w:t>
      </w:r>
      <w:r w:rsidR="00A95D28">
        <w:t> </w:t>
      </w:r>
      <w:r>
        <w:t>zemích Evropské unie jsou běžné oba dva tyto přístupy, tedy jak zachování určité minimální daně, tak i její absence.</w:t>
      </w:r>
    </w:p>
    <w:p w14:paraId="1A75EF0C" w14:textId="60033993" w:rsidR="00A95FCD" w:rsidRDefault="006B16B7" w:rsidP="0039571C">
      <w:pPr>
        <w:pStyle w:val="Nadpis6"/>
      </w:pPr>
      <w:bookmarkStart w:id="23" w:name="_Toc73608295"/>
      <w:r w:rsidRPr="009E65E1">
        <w:t xml:space="preserve">Rozdílné zdanění hazardních her </w:t>
      </w:r>
      <w:r w:rsidR="00A95FCD" w:rsidRPr="009E65E1">
        <w:t>dle způsobu provozování</w:t>
      </w:r>
      <w:bookmarkEnd w:id="23"/>
    </w:p>
    <w:p w14:paraId="39605E00" w14:textId="7E5E9EF9" w:rsidR="00A95FCD" w:rsidRDefault="00A95FCD" w:rsidP="00A95FCD">
      <w:r>
        <w:t>Jednotlivé druhy hazardních her jsou zatíženy různou daňovou sazbou, která odráží jejich rizikovost a ziskovost. Koncepce zdanění odlišnou sazbou daně dle způsobu provozování hazardní hry nebyla v době přípravy zákona o hazardních hrách</w:t>
      </w:r>
      <w:r w:rsidR="00E71527" w:rsidRPr="00E71527">
        <w:t xml:space="preserve"> </w:t>
      </w:r>
      <w:r w:rsidR="00E71527">
        <w:t>zvažována</w:t>
      </w:r>
      <w:r w:rsidR="00077BBB">
        <w:t>;</w:t>
      </w:r>
      <w:r>
        <w:t xml:space="preserve"> internetová hra je považována za odlišný způsob provozování, nikoli za samostatný druh</w:t>
      </w:r>
      <w:r w:rsidR="00077BBB">
        <w:t>.</w:t>
      </w:r>
      <w:r>
        <w:t xml:space="preserve"> </w:t>
      </w:r>
      <w:r w:rsidR="00077BBB">
        <w:t xml:space="preserve">V </w:t>
      </w:r>
      <w:r>
        <w:t xml:space="preserve">době přípravy zákona o dani z hazardních her bylo provozování </w:t>
      </w:r>
      <w:r w:rsidR="00077BBB">
        <w:t xml:space="preserve">hazardních her prostřednictvím internetu </w:t>
      </w:r>
      <w:r>
        <w:t xml:space="preserve">povoleno pouze u kursové sázky a živé hry. Na základě provedené analýzy </w:t>
      </w:r>
      <w:r w:rsidRPr="002E0ACD">
        <w:t>(viz část Vyhodnocení rizikovosti hazardních her)</w:t>
      </w:r>
      <w:r>
        <w:t xml:space="preserve"> </w:t>
      </w:r>
      <w:r w:rsidRPr="00814388">
        <w:t>je však rizikov</w:t>
      </w:r>
      <w:r>
        <w:t>o</w:t>
      </w:r>
      <w:r w:rsidRPr="00814388">
        <w:t>st internetových her vyšší než rizikovost hazardních her provozovaných</w:t>
      </w:r>
      <w:r>
        <w:t xml:space="preserve"> formou</w:t>
      </w:r>
      <w:r w:rsidRPr="00814388">
        <w:t xml:space="preserve"> land</w:t>
      </w:r>
      <w:r w:rsidR="00E71527">
        <w:noBreakHyphen/>
      </w:r>
      <w:r w:rsidRPr="00814388">
        <w:t>based, a to navzdory skutečnosti, že se jedná o totožný druh hazardní hry.</w:t>
      </w:r>
      <w:r>
        <w:t xml:space="preserve"> Obecně lze říci, že každá z  her </w:t>
      </w:r>
      <w:r w:rsidR="00077BBB">
        <w:t xml:space="preserve">povolených </w:t>
      </w:r>
      <w:r>
        <w:t>dle zákona o hazardních hrách je více riziková, pokud je provozovaná prostřednictvím internetu, což je způsobeno zejména větší dostupností.</w:t>
      </w:r>
      <w:r>
        <w:rPr>
          <w:rStyle w:val="Znakapoznpodarou"/>
          <w:rFonts w:cs="Arial"/>
        </w:rPr>
        <w:footnoteReference w:id="2"/>
      </w:r>
      <w:r>
        <w:t xml:space="preserve"> </w:t>
      </w:r>
    </w:p>
    <w:p w14:paraId="4102FA25" w14:textId="13625A5B" w:rsidR="00A95FCD" w:rsidRDefault="00A95FCD" w:rsidP="00A95FCD">
      <w:r>
        <w:t>Příkladem takovéto úpravy sazby daně dle způsobu provozování hazardní hry je dánská regulace, která pro hry v  kasinech</w:t>
      </w:r>
      <w:r>
        <w:rPr>
          <w:rStyle w:val="Znakapoznpodarou"/>
          <w:rFonts w:cs="Arial"/>
        </w:rPr>
        <w:footnoteReference w:id="3"/>
      </w:r>
      <w:r>
        <w:t xml:space="preserve"> </w:t>
      </w:r>
      <w:r w:rsidR="00970994">
        <w:t xml:space="preserve">provozovaných formou land-based </w:t>
      </w:r>
      <w:r>
        <w:t>stanovuje základní sazbu 45</w:t>
      </w:r>
      <w:r w:rsidR="00970994">
        <w:t> </w:t>
      </w:r>
      <w:r>
        <w:t>% z hrubého zisku (+ dalších 30</w:t>
      </w:r>
      <w:r w:rsidR="002E240E">
        <w:t> </w:t>
      </w:r>
      <w:r>
        <w:t>% z částky, která překročí 4</w:t>
      </w:r>
      <w:r w:rsidR="00970994">
        <w:t> </w:t>
      </w:r>
      <w:r>
        <w:t>mil.</w:t>
      </w:r>
      <w:r w:rsidR="00970994">
        <w:t> </w:t>
      </w:r>
      <w:r>
        <w:t>dánských korun), zatímco sazba pro hazardní hry v internetových kasinech činí 20</w:t>
      </w:r>
      <w:r w:rsidR="00970994">
        <w:t> </w:t>
      </w:r>
      <w:r>
        <w:t>% hrubého zisku. Tímto způsobem zdanění se nicméně zabývala Evropská komise, a to z toho důvodu, že by se mohlo jednat o státní podporu ve smyslu čl. 107 odst. 1 Smlouvy o</w:t>
      </w:r>
      <w:r w:rsidR="00970994">
        <w:t> </w:t>
      </w:r>
      <w:r>
        <w:t xml:space="preserve"> fungování Evropské unie. Evropská komise v rozhodnutí 2012/140/EU ze dne 20.</w:t>
      </w:r>
      <w:r w:rsidR="00970994">
        <w:t> 9. </w:t>
      </w:r>
      <w:r>
        <w:t>2011</w:t>
      </w:r>
      <w:r w:rsidR="00970994">
        <w:t> </w:t>
      </w:r>
      <w:r>
        <w:t xml:space="preserve"> uvedla, že rozdílné nastavení daňových sazeb pro land-based</w:t>
      </w:r>
      <w:r w:rsidR="00970994">
        <w:t xml:space="preserve"> prostředí</w:t>
      </w:r>
      <w:r>
        <w:t xml:space="preserve"> a</w:t>
      </w:r>
      <w:r w:rsidR="00970994">
        <w:t> </w:t>
      </w:r>
      <w:r>
        <w:t xml:space="preserve"> internetové provozování představuje státní podporu provozovatelům internetových kasin. Toto opatření se považuje za selektivní, jelikož rozlišuje mezi</w:t>
      </w:r>
      <w:r w:rsidR="00970994">
        <w:t xml:space="preserve"> hrou provozovanou v</w:t>
      </w:r>
      <w:r>
        <w:t xml:space="preserve"> land-based</w:t>
      </w:r>
      <w:r w:rsidR="00970994">
        <w:t xml:space="preserve"> prostředí</w:t>
      </w:r>
      <w:r>
        <w:t xml:space="preserve"> a</w:t>
      </w:r>
      <w:r w:rsidR="00970994">
        <w:t> </w:t>
      </w:r>
      <w:r>
        <w:t xml:space="preserve"> internetovou hrou, kdy tyto způsoby provozování se nacházejí ve srovnatelné skutkové a právní situaci. Navzdory tomuto závěru Evropská komise rozhodla, že tato státní podpora splňuje podmínky nutné k to</w:t>
      </w:r>
      <w:r w:rsidR="00424150">
        <w:t>mu, aby mohla být považována za </w:t>
      </w:r>
      <w:r>
        <w:t>slučitelnou s vnitřním trhem podle čl.</w:t>
      </w:r>
      <w:r w:rsidR="002E240E">
        <w:t> </w:t>
      </w:r>
      <w:r>
        <w:t>107</w:t>
      </w:r>
      <w:r w:rsidR="002E240E">
        <w:t> </w:t>
      </w:r>
      <w:r>
        <w:t>odst.</w:t>
      </w:r>
      <w:r w:rsidR="002E240E">
        <w:t> </w:t>
      </w:r>
      <w:r>
        <w:t>3</w:t>
      </w:r>
      <w:r w:rsidR="002E240E">
        <w:t> </w:t>
      </w:r>
      <w:r>
        <w:t>písm.</w:t>
      </w:r>
      <w:r w:rsidR="002E240E">
        <w:t> </w:t>
      </w:r>
      <w:r>
        <w:t xml:space="preserve">c) Smlouvy o fungování Evropské unie. Jedná se o takovou podporu, která má usnadnit rozvoj určité hospodářské činnosti nebo hospodářské oblasti, pokud nemění podmínky obchodu v takové míře, jež by byla v rozporu s vnitřním trhem. </w:t>
      </w:r>
      <w:r w:rsidRPr="00EF1129">
        <w:t xml:space="preserve">Při posuzování slučitelnosti opatření s vnitřním trhem </w:t>
      </w:r>
      <w:r>
        <w:t>Evropská komise</w:t>
      </w:r>
      <w:r w:rsidRPr="00EF1129">
        <w:t xml:space="preserve"> </w:t>
      </w:r>
      <w:r>
        <w:t>zvažovala</w:t>
      </w:r>
      <w:r w:rsidRPr="00EF1129">
        <w:t xml:space="preserve"> jeho pozitivní dopad z hlediska dosažení cíle společného zájmu </w:t>
      </w:r>
      <w:r>
        <w:t>společně s</w:t>
      </w:r>
      <w:r w:rsidRPr="00EF1129">
        <w:t xml:space="preserve"> jeho potenciálně negativním</w:t>
      </w:r>
      <w:r>
        <w:t>i</w:t>
      </w:r>
      <w:r w:rsidRPr="00EF1129">
        <w:t xml:space="preserve"> vedlejším</w:t>
      </w:r>
      <w:r>
        <w:t>i účinky</w:t>
      </w:r>
      <w:r w:rsidRPr="00EF1129">
        <w:t>, jako je například narušení obchodu a hospodářské soutěže.</w:t>
      </w:r>
      <w:r>
        <w:t xml:space="preserve"> Společným zájmem byla v tomto případě ochrana spotřebitelů, kteří mohli být nejúčinněji chráněni na regulovaném a kontrolovaném trhu hazardních her. K vytvoření tohoto trhu byla zapotřebí liberalizace, která by umožnila dánským a zahraničním provozovatelům internetových her získat licenci v Dánsku. Vyšší sazba daně pro internetové provozování hazardních her by odrazovala provozovatele od získání této licence, což by narušovalo liberalizační cíle právních předpisů. Navíc by to bylo v rozporu s obecným zájmem ochrany spotřebitelů, neboť by nebyla možná žádná účinná kontrola internetových her, pokud by byly provozovány nelegálními zahraničními provozovateli. Rovněž stanovení stejně nízké daňové sazby i</w:t>
      </w:r>
      <w:r w:rsidR="00854BFF">
        <w:t> </w:t>
      </w:r>
      <w:r>
        <w:t xml:space="preserve">pro hazardní hry </w:t>
      </w:r>
      <w:r w:rsidR="00A00C8D">
        <w:t xml:space="preserve">provozované formou land-based </w:t>
      </w:r>
      <w:r>
        <w:t xml:space="preserve">by výrazně zvýšilo motivaci provozovat v  </w:t>
      </w:r>
      <w:r w:rsidR="00A00C8D">
        <w:t>land-based prostředí</w:t>
      </w:r>
      <w:r>
        <w:t>, což by bylo také v rozporu s obecným zájmem ochrany spotřebitele. Stanovení 20% daňové sazby pro internetová kasina shledala Evropská komise jako přiměřenou podporu, jelikož vyšší sazba by odrazovala provozovatele od vstupu na trh. V rámci obchodu mezi členskými státy EU se neočekával žádný negativní dopad. V případě narušení hospodářské soutěže v Dánsku shledala Evropská komise celkové účinky tohoto opatření jako pozitivní. Přestože opatření představovalo státní podporu a mohlo negativně dopadat na provozovatele hazardních her</w:t>
      </w:r>
      <w:r w:rsidR="00A00C8D" w:rsidRPr="00A00C8D">
        <w:t xml:space="preserve"> </w:t>
      </w:r>
      <w:r w:rsidR="00A00C8D">
        <w:t>v land-based prostředí</w:t>
      </w:r>
      <w:r>
        <w:t>, mohlo také být potenciálně přínosné pro značný počet dánských a zahraničních provozovatelů internetových her, kteří do té doby v Dánsku nesměli provozovat. Vzhledem ke skutečnosti, že před tímto opatřením bylo provozování internetových her státním monopolem, došlo liberalizací trhu ke zvýšení hospodářské soutěže. Slučitelnost</w:t>
      </w:r>
      <w:r w:rsidR="00077BBB">
        <w:t xml:space="preserve"> s vnitřním trhem ve smyslu čl. </w:t>
      </w:r>
      <w:r>
        <w:t>107</w:t>
      </w:r>
      <w:r w:rsidR="009D39F8">
        <w:t> </w:t>
      </w:r>
      <w:r>
        <w:t>odst.</w:t>
      </w:r>
      <w:r w:rsidR="009D39F8">
        <w:t> </w:t>
      </w:r>
      <w:r>
        <w:t>3 písm.</w:t>
      </w:r>
      <w:r w:rsidR="009D39F8">
        <w:t> </w:t>
      </w:r>
      <w:r>
        <w:t xml:space="preserve">c) Smlouvy o fungování Evropské unie byla potvrzena </w:t>
      </w:r>
      <w:r w:rsidRPr="00352278">
        <w:t>rozsudkem Tribunálu ze dne 26. září</w:t>
      </w:r>
      <w:r w:rsidR="00680966">
        <w:t xml:space="preserve"> </w:t>
      </w:r>
      <w:r w:rsidRPr="00352278">
        <w:t>2014</w:t>
      </w:r>
      <w:r w:rsidR="00680966">
        <w:t> </w:t>
      </w:r>
      <w:r w:rsidRPr="00352278">
        <w:t>ve</w:t>
      </w:r>
      <w:r w:rsidR="00680966">
        <w:t> </w:t>
      </w:r>
      <w:r w:rsidRPr="00352278">
        <w:t>věci</w:t>
      </w:r>
      <w:r w:rsidR="00680966">
        <w:t> </w:t>
      </w:r>
      <w:r w:rsidRPr="00352278">
        <w:t>T</w:t>
      </w:r>
      <w:r w:rsidR="00680966">
        <w:t>-</w:t>
      </w:r>
      <w:r w:rsidRPr="00352278">
        <w:t xml:space="preserve">601/11. </w:t>
      </w:r>
      <w:r>
        <w:t xml:space="preserve"> </w:t>
      </w:r>
    </w:p>
    <w:p w14:paraId="2A43369C" w14:textId="73EC9594" w:rsidR="00A95FCD" w:rsidRDefault="00A95FCD" w:rsidP="00A95FCD">
      <w:r>
        <w:t xml:space="preserve">Hazardní hry provozované formou land-based a prostřednictvím internetu se liší kromě </w:t>
      </w:r>
      <w:r w:rsidRPr="00DC4376">
        <w:rPr>
          <w:b/>
        </w:rPr>
        <w:t>rizikovosti</w:t>
      </w:r>
      <w:r>
        <w:t xml:space="preserve">, která je </w:t>
      </w:r>
      <w:r w:rsidRPr="00DC4376">
        <w:rPr>
          <w:b/>
        </w:rPr>
        <w:t xml:space="preserve">dána </w:t>
      </w:r>
      <w:r w:rsidR="002538BE">
        <w:rPr>
          <w:b/>
        </w:rPr>
        <w:t xml:space="preserve">zejména </w:t>
      </w:r>
      <w:r w:rsidRPr="00DC4376">
        <w:rPr>
          <w:b/>
        </w:rPr>
        <w:t>větší dostupností</w:t>
      </w:r>
      <w:r>
        <w:t xml:space="preserve"> internetových her, také </w:t>
      </w:r>
      <w:r w:rsidRPr="00DC4376">
        <w:rPr>
          <w:b/>
        </w:rPr>
        <w:t>ziskovostí</w:t>
      </w:r>
      <w:r>
        <w:t xml:space="preserve">, jelikož náklady spojené s provozováním se liší dle způsobu provozování hazardní hry. V internetovém prostředí také vznikají takové hry, jejichž charakteristika je na pomezí více druhů hazardních her. V takovýchto případech je pak obtížné posoudit, ke kterému druhu má být taková hazardní hra </w:t>
      </w:r>
      <w:r w:rsidRPr="00004AC8">
        <w:t>přiřazena</w:t>
      </w:r>
      <w:r w:rsidR="00381DF9">
        <w:t>. Daň z hazardních her není jediným zamýšleným nástrojem, který má zohledňovat</w:t>
      </w:r>
      <w:r w:rsidR="0099529D">
        <w:t xml:space="preserve"> rizikovost internetových her. </w:t>
      </w:r>
      <w:r w:rsidR="00381DF9">
        <w:t xml:space="preserve">Navrhované jsou i další </w:t>
      </w:r>
      <w:r w:rsidR="0099529D">
        <w:t>způsoby regulace podle zákona o hazardních hrách</w:t>
      </w:r>
      <w:r w:rsidRPr="00004AC8">
        <w:t xml:space="preserve"> (viz </w:t>
      </w:r>
      <w:r w:rsidR="00891AD4">
        <w:t>např. Příloha č.</w:t>
      </w:r>
      <w:r w:rsidRPr="00004AC8">
        <w:t xml:space="preserve"> </w:t>
      </w:r>
      <w:r w:rsidR="00424150">
        <w:t>7</w:t>
      </w:r>
      <w:r w:rsidR="00891AD4">
        <w:t xml:space="preserve"> </w:t>
      </w:r>
      <w:r w:rsidRPr="00004AC8">
        <w:t>Internetová hra</w:t>
      </w:r>
      <w:r w:rsidR="006B40F9">
        <w:t xml:space="preserve"> a </w:t>
      </w:r>
      <w:r w:rsidR="00424150">
        <w:t>Příloha č. 4</w:t>
      </w:r>
      <w:r w:rsidR="00891AD4">
        <w:t xml:space="preserve"> </w:t>
      </w:r>
      <w:r w:rsidR="006B40F9">
        <w:t>Registrace</w:t>
      </w:r>
      <w:r w:rsidR="00424150">
        <w:t xml:space="preserve"> a </w:t>
      </w:r>
      <w:r w:rsidR="00891AD4">
        <w:t>uživatelské konto</w:t>
      </w:r>
      <w:r w:rsidRPr="00004AC8">
        <w:t>).</w:t>
      </w:r>
      <w:r>
        <w:t xml:space="preserve"> </w:t>
      </w:r>
    </w:p>
    <w:p w14:paraId="6F92B7FD" w14:textId="77777777" w:rsidR="00A95FCD" w:rsidRDefault="00A95FCD" w:rsidP="00A95FCD">
      <w:pPr>
        <w:pStyle w:val="Nadpis7"/>
      </w:pPr>
      <w:r>
        <w:t>Varianta I. – Zachování současného stavu</w:t>
      </w:r>
    </w:p>
    <w:p w14:paraId="6AA96363" w14:textId="77777777" w:rsidR="00A95FCD" w:rsidRDefault="00A95FCD" w:rsidP="00A95FCD">
      <w:r>
        <w:t>Současný stav zachovává koncepci druhu hazardní hry, jelikož provozování hazardní hry prostřednictvím internetu je pouze jiný způsob provozu dané hry. Nejedná se tak o jiný druh hazardní hry, jelikož charakteristické znaky daného druhu hry se nemění v závislosti na způsobu provozování, ale zůstávají stejné.</w:t>
      </w:r>
    </w:p>
    <w:p w14:paraId="7F56BE2E" w14:textId="77777777" w:rsidR="00A95FCD" w:rsidRDefault="00A95FCD" w:rsidP="00A95FCD">
      <w:r>
        <w:t>Výhody:</w:t>
      </w:r>
    </w:p>
    <w:p w14:paraId="3DCAD629" w14:textId="77777777" w:rsidR="00A95FCD" w:rsidRDefault="00A95FCD" w:rsidP="00A95FCD">
      <w:r>
        <w:t>Zachování koncepce zákona o dani z hazardních her, jelikož stejný druh hazardní hry je daněn stejnou sazbou daně.</w:t>
      </w:r>
    </w:p>
    <w:p w14:paraId="2986A8A8" w14:textId="77777777" w:rsidR="00A95FCD" w:rsidRDefault="00A95FCD" w:rsidP="00A95FCD">
      <w:r>
        <w:t>Nevýhody:</w:t>
      </w:r>
    </w:p>
    <w:p w14:paraId="2E00ECA1" w14:textId="220D9E71" w:rsidR="00A95FCD" w:rsidRDefault="00A95FCD" w:rsidP="00A95FCD">
      <w:r>
        <w:t xml:space="preserve">Nadále by se konkrétní druh hazardní hry provozovaný </w:t>
      </w:r>
      <w:r w:rsidR="009D39F8">
        <w:t xml:space="preserve">formou </w:t>
      </w:r>
      <w:r>
        <w:t>land-based a</w:t>
      </w:r>
      <w:r w:rsidR="009D39F8">
        <w:t> </w:t>
      </w:r>
      <w:r>
        <w:t xml:space="preserve"> prostřednictvím internetu danil stejnou sazbou, která by však zcela neodpovídala rizikovosti konkrétního druhu hazardní hry ve vazbě na způsob jeho provozování.</w:t>
      </w:r>
    </w:p>
    <w:p w14:paraId="7482ADC8" w14:textId="7F8426DE" w:rsidR="00A95FCD" w:rsidRDefault="00A95FCD" w:rsidP="00A95FCD">
      <w:pPr>
        <w:pStyle w:val="Nadpis7"/>
        <w:rPr>
          <w:rFonts w:cs="Arial"/>
        </w:rPr>
      </w:pPr>
      <w:r>
        <w:t xml:space="preserve">Varianta II. – </w:t>
      </w:r>
      <w:r>
        <w:rPr>
          <w:rFonts w:cs="Arial"/>
        </w:rPr>
        <w:t>Odlišná výše zdanění provozování hazardních her dle způsobu jejich provozování</w:t>
      </w:r>
    </w:p>
    <w:p w14:paraId="5451D4EE" w14:textId="79195E3E" w:rsidR="00A95FCD" w:rsidRDefault="00A95FCD" w:rsidP="00A95FCD">
      <w:r>
        <w:t>Zákon o hazardních hrách nepovažuje internetovou hru za samostatný druh</w:t>
      </w:r>
      <w:r w:rsidR="0014434A">
        <w:t xml:space="preserve"> hazardní hry</w:t>
      </w:r>
      <w:r>
        <w:t xml:space="preserve">, ale pouze za jiný způsob provozování. </w:t>
      </w:r>
      <w:r w:rsidR="0014434A">
        <w:t>T</w:t>
      </w:r>
      <w:r>
        <w:t xml:space="preserve">rh s hazardními hrami provozovanými prostřednictvím internetu </w:t>
      </w:r>
      <w:r w:rsidR="002538BE">
        <w:t>roste a</w:t>
      </w:r>
      <w:r>
        <w:t xml:space="preserve"> neustále </w:t>
      </w:r>
      <w:r w:rsidR="002538BE">
        <w:t xml:space="preserve">se </w:t>
      </w:r>
      <w:r>
        <w:t>vyvíjí a vznikají tak i nové hry, jejichž herní principy přesahují do více druhů hazardních her. Navíc</w:t>
      </w:r>
      <w:r w:rsidR="0014434A">
        <w:t xml:space="preserve"> se</w:t>
      </w:r>
      <w:r>
        <w:t xml:space="preserve"> rizikovost a ziskovost takto provozovaných her liší v porovnání s  hazardními hrami</w:t>
      </w:r>
      <w:r w:rsidR="00D865BE">
        <w:t xml:space="preserve"> provozované formou</w:t>
      </w:r>
      <w:r w:rsidR="00D865BE" w:rsidRPr="00D865BE">
        <w:t xml:space="preserve"> </w:t>
      </w:r>
      <w:r w:rsidR="00D865BE">
        <w:t>land-based</w:t>
      </w:r>
      <w:r>
        <w:t>.</w:t>
      </w:r>
    </w:p>
    <w:p w14:paraId="6262914A" w14:textId="6148B881" w:rsidR="00A95FCD" w:rsidRDefault="00A95FCD" w:rsidP="00A95FCD">
      <w:r>
        <w:t xml:space="preserve">Přestože by stanovení rozdílných daňových sazeb </w:t>
      </w:r>
      <w:r w:rsidR="005C1A86">
        <w:t>po</w:t>
      </w:r>
      <w:r>
        <w:t xml:space="preserve">dle způsobu provozování dané hazardní hry znamenalo změnu stávajícího konceptu zákona o dani z hazardních her, jelikož by pro stejný druh hazardní hry mohly být určeny dvě sazby daně, je nutné uvést, že již v současnosti zákon o hazardních hrách stanovuje pro internetové hry mnoho speciálních podmínek provozování, čímž </w:t>
      </w:r>
      <w:r w:rsidR="0014434A">
        <w:t>j</w:t>
      </w:r>
      <w:r>
        <w:t xml:space="preserve">e odlišuje od druhů hazardních her provozovaných formou land-based. </w:t>
      </w:r>
    </w:p>
    <w:p w14:paraId="7A6CB41F" w14:textId="30370C2C" w:rsidR="00A95FCD" w:rsidRDefault="00A95FCD" w:rsidP="00A95FCD">
      <w:r>
        <w:t xml:space="preserve">Vhodným řešením by mohla být taková změna zákona o dani z hazardních her, která by rozlišovala sazby daně nejen dle druhů hazardních her, ale také podle způsobu provozování. </w:t>
      </w:r>
    </w:p>
    <w:p w14:paraId="37470D36" w14:textId="77777777" w:rsidR="00A95FCD" w:rsidRPr="007853A9" w:rsidRDefault="00A95FCD" w:rsidP="00A95FCD">
      <w:r>
        <w:t>Výhody:</w:t>
      </w:r>
    </w:p>
    <w:p w14:paraId="3BD2A583" w14:textId="4793928B" w:rsidR="00A95FCD" w:rsidRDefault="00A95FCD" w:rsidP="00A95FCD">
      <w:r>
        <w:t>Stanovení rozdílných sazeb pro</w:t>
      </w:r>
      <w:r w:rsidR="0014434A">
        <w:t xml:space="preserve"> hazardní hry provozované v</w:t>
      </w:r>
      <w:r>
        <w:t xml:space="preserve"> land-based </w:t>
      </w:r>
      <w:r w:rsidR="003A2E96">
        <w:t xml:space="preserve">prostředí </w:t>
      </w:r>
      <w:r>
        <w:t>a</w:t>
      </w:r>
      <w:r w:rsidR="00891AD4">
        <w:t> </w:t>
      </w:r>
      <w:r>
        <w:t>internet</w:t>
      </w:r>
      <w:r w:rsidR="0014434A">
        <w:t>ové hry</w:t>
      </w:r>
      <w:r>
        <w:t xml:space="preserve"> by umožnilo vyšší zdanění rizikovějšího způsobu provozování hazardní hry.</w:t>
      </w:r>
      <w:r w:rsidR="00D822B3">
        <w:t xml:space="preserve"> </w:t>
      </w:r>
      <w:r>
        <w:t>Toto by odpovídalo koncepci zákona o dani z hazardních her, neboť rizikovější hazardní hry by měly být zdaněny ve větší míře a snižovat tak nabídku těchto hazardních her. V důsledku zvýšení sazeb by se navýšily i příjmy veřejných rozpočtů.</w:t>
      </w:r>
    </w:p>
    <w:p w14:paraId="1B2464B7" w14:textId="77777777" w:rsidR="00A95FCD" w:rsidRDefault="00A95FCD" w:rsidP="00A95FCD">
      <w:r>
        <w:t>Nevýhody:</w:t>
      </w:r>
    </w:p>
    <w:p w14:paraId="5E3876F4" w14:textId="5ECC5379" w:rsidR="00A95FCD" w:rsidRDefault="00A95FCD" w:rsidP="00A95FCD">
      <w:r>
        <w:t>Tato úprava by v případě podání stížnosti provozovateli internetové hry musela obstát i před Evropskou komisí, která mimo jiné posuzuje, jak bylo pozorováno na příkladu Dánska, zda tato právní úprava nezakládá</w:t>
      </w:r>
      <w:r w:rsidRPr="005F5A39">
        <w:t xml:space="preserve"> státní podpor</w:t>
      </w:r>
      <w:r>
        <w:t>u, která by nebyla slučitelná s </w:t>
      </w:r>
      <w:r w:rsidRPr="005F5A39">
        <w:t xml:space="preserve">vnitřním trhem. </w:t>
      </w:r>
      <w:r w:rsidR="004E6558">
        <w:t>Mohlo</w:t>
      </w:r>
      <w:r w:rsidR="004E6558" w:rsidRPr="005F5A39">
        <w:t xml:space="preserve"> </w:t>
      </w:r>
      <w:r w:rsidRPr="005F5A39">
        <w:t xml:space="preserve">by také </w:t>
      </w:r>
      <w:r w:rsidR="004E6558">
        <w:t>dojít k relativní změně</w:t>
      </w:r>
      <w:r w:rsidRPr="005F5A39">
        <w:t xml:space="preserve"> konceptu zákona o</w:t>
      </w:r>
      <w:r w:rsidR="00680966">
        <w:t> </w:t>
      </w:r>
      <w:r w:rsidRPr="005F5A39">
        <w:t xml:space="preserve">hazardních hrách, jelikož provozování dané hazardní hry prostřednictvím internetu není považováno za jiný druh hazardní hry než provozování </w:t>
      </w:r>
      <w:r w:rsidR="003A2E96">
        <w:t>formou</w:t>
      </w:r>
      <w:r w:rsidR="003A2E96" w:rsidRPr="005F5A39">
        <w:t xml:space="preserve"> </w:t>
      </w:r>
      <w:r w:rsidRPr="005F5A39">
        <w:t>land</w:t>
      </w:r>
      <w:r>
        <w:t>-</w:t>
      </w:r>
      <w:r w:rsidRPr="005F5A39">
        <w:t>based.</w:t>
      </w:r>
      <w:r w:rsidR="004E6558">
        <w:t xml:space="preserve"> </w:t>
      </w:r>
    </w:p>
    <w:p w14:paraId="37384A81" w14:textId="77777777" w:rsidR="00A95FCD" w:rsidRDefault="00A95FCD" w:rsidP="00A95FCD">
      <w:pPr>
        <w:pStyle w:val="Nadpis7"/>
      </w:pPr>
      <w:r>
        <w:t>Hodnocení variant</w:t>
      </w:r>
    </w:p>
    <w:p w14:paraId="058F04DE" w14:textId="177F4C99" w:rsidR="00A95FCD" w:rsidRDefault="00A95FCD" w:rsidP="00A95FCD">
      <w:r>
        <w:t xml:space="preserve">Za předpokladu, že by měl být důsledně využit princip vyššího zdanění v případě více rizikové či více ziskové hazardní hry, bylo by vhodné přijmout </w:t>
      </w:r>
      <w:r w:rsidR="00680966">
        <w:t>v</w:t>
      </w:r>
      <w:r>
        <w:t>ariantu II. a</w:t>
      </w:r>
      <w:r w:rsidR="001222EE">
        <w:t> </w:t>
      </w:r>
      <w:r>
        <w:t>stanovit odlišnou daňovou sazbu pro jednotlivé způsoby provozování</w:t>
      </w:r>
      <w:r w:rsidR="0014434A">
        <w:t xml:space="preserve"> hazardních her</w:t>
      </w:r>
      <w:r>
        <w:t>, což ukazují výsledky hodnocení rizikovosti hazardní hry. Druhotným efektem, nad rámec regulace nabídky více rizikových hazardních her (resp. způsobů provozování)</w:t>
      </w:r>
      <w:r w:rsidR="0014434A">
        <w:t>,</w:t>
      </w:r>
      <w:r>
        <w:t xml:space="preserve"> by bylo i navýšení příjmů do státního a obecních rozpočtů. Lze předpokládat, že by nedošlo k většímu administrativ</w:t>
      </w:r>
      <w:r w:rsidR="0014434A">
        <w:t>nímu zatížení na straně orgánu F</w:t>
      </w:r>
      <w:r>
        <w:t xml:space="preserve">inanční správy. Došlo by </w:t>
      </w:r>
      <w:r w:rsidR="0014434A">
        <w:t xml:space="preserve">však </w:t>
      </w:r>
      <w:r>
        <w:t xml:space="preserve">ke změně stávající koncepce zákona o dani </w:t>
      </w:r>
      <w:r w:rsidR="00F50299">
        <w:t xml:space="preserve">z hazardních her, neboť </w:t>
      </w:r>
      <w:r>
        <w:t>by shodný druh hazardní hry</w:t>
      </w:r>
      <w:r w:rsidR="004E6558">
        <w:t>, byť provozovaný jiným způsobem,</w:t>
      </w:r>
      <w:r>
        <w:t xml:space="preserve"> byl zdaněn odlišnou daňovou s</w:t>
      </w:r>
      <w:r w:rsidR="00F50299">
        <w:t xml:space="preserve">azbou. Na druhé straně, </w:t>
      </w:r>
      <w:r w:rsidR="001025D6">
        <w:t>zákon o </w:t>
      </w:r>
      <w:r>
        <w:t>hazardních hrách stanoví internetovým hrám natolik specifické podmínky provozování, že</w:t>
      </w:r>
      <w:r w:rsidR="0014434A">
        <w:t xml:space="preserve"> se </w:t>
      </w:r>
      <w:r>
        <w:t xml:space="preserve">internetová hazardní hra stává jakýmsi kvazidruhem hazardních </w:t>
      </w:r>
      <w:r w:rsidRPr="00E031DE">
        <w:t>her. K tomuto dále i</w:t>
      </w:r>
      <w:r w:rsidR="001222EE">
        <w:t> </w:t>
      </w:r>
      <w:r w:rsidRPr="00E031DE">
        <w:t>část Internetová hra</w:t>
      </w:r>
      <w:r>
        <w:t>.</w:t>
      </w:r>
    </w:p>
    <w:p w14:paraId="4C201183" w14:textId="77777777" w:rsidR="000D1C5B" w:rsidRDefault="000D1C5B" w:rsidP="0039571C">
      <w:pPr>
        <w:pStyle w:val="Nadpis6"/>
      </w:pPr>
      <w:bookmarkStart w:id="24" w:name="_Toc73608296"/>
      <w:r w:rsidRPr="00E64371">
        <w:t>Daňové přiznání k dani z hazardních her</w:t>
      </w:r>
      <w:bookmarkEnd w:id="24"/>
    </w:p>
    <w:p w14:paraId="054CA9B5" w14:textId="11CED168" w:rsidR="000D1C5B" w:rsidRPr="00196C94" w:rsidRDefault="000D1C5B" w:rsidP="000D1C5B">
      <w:r w:rsidRPr="00196C94">
        <w:t>Povinnost poplatníka podat daňové přiznání k dani z hazardních her je dána §</w:t>
      </w:r>
      <w:r w:rsidR="00B22D0E">
        <w:t> </w:t>
      </w:r>
      <w:r w:rsidRPr="00196C94">
        <w:t>9</w:t>
      </w:r>
      <w:r w:rsidR="00B22D0E">
        <w:t> </w:t>
      </w:r>
      <w:r w:rsidRPr="00196C94">
        <w:t>zákona o dani z hazardních her. Jelikož je zdaňovacím obdobím daně z hazardních her kalendářní čtvrtletí, je lhůta pro podání daňového přiznání podle §</w:t>
      </w:r>
      <w:r w:rsidR="00B22D0E">
        <w:t> </w:t>
      </w:r>
      <w:r w:rsidRPr="00196C94">
        <w:t>136</w:t>
      </w:r>
      <w:r w:rsidR="00B22D0E">
        <w:t> </w:t>
      </w:r>
      <w:r w:rsidRPr="00196C94">
        <w:t>odst.</w:t>
      </w:r>
      <w:r w:rsidR="00B22D0E">
        <w:t> </w:t>
      </w:r>
      <w:r w:rsidRPr="00196C94">
        <w:t xml:space="preserve">4 </w:t>
      </w:r>
      <w:r>
        <w:t>daňového řádu</w:t>
      </w:r>
      <w:r w:rsidRPr="00196C94">
        <w:t xml:space="preserve"> stanovena na 25</w:t>
      </w:r>
      <w:r w:rsidR="00B22D0E">
        <w:t> </w:t>
      </w:r>
      <w:r w:rsidRPr="00196C94">
        <w:t>dní po uplynutí zdaňovacího období</w:t>
      </w:r>
      <w:r>
        <w:t>.</w:t>
      </w:r>
    </w:p>
    <w:p w14:paraId="6917336F" w14:textId="2DEAF84C" w:rsidR="000D1C5B" w:rsidRPr="00196C94" w:rsidRDefault="000D1C5B" w:rsidP="000D1C5B">
      <w:r w:rsidRPr="00196C94">
        <w:t>Daňové přiznání se podává elektronicky, což je v souladu s digitalizací správy daní a</w:t>
      </w:r>
      <w:r w:rsidR="00B22D0E">
        <w:t> </w:t>
      </w:r>
      <w:r w:rsidRPr="00196C94">
        <w:t>snižováním administrativních nákladů</w:t>
      </w:r>
      <w:r w:rsidR="001D1CE5">
        <w:t>.</w:t>
      </w:r>
      <w:r w:rsidRPr="00196C94">
        <w:t xml:space="preserve"> </w:t>
      </w:r>
      <w:r w:rsidR="001D1CE5">
        <w:t xml:space="preserve">Daňové přiznání lze podat </w:t>
      </w:r>
      <w:r w:rsidRPr="00196C94">
        <w:t>pouze datovou zprávou ve formátu a</w:t>
      </w:r>
      <w:r w:rsidR="00B22D0E">
        <w:t> </w:t>
      </w:r>
      <w:r w:rsidRPr="00196C94">
        <w:t>struktuře zveřejněné správcem daně. Jedná se o takovou datovou zprávu, která je podepsána způsobem, se kterými jiný právní předpis spojuje účinky vlastnoručního podpisu (uznaný elektronický podpis), nebo je ověřena identitou podatele způsobem, kterým se lze přihlásit do jeho datové schránky. Ustanovení §</w:t>
      </w:r>
      <w:r w:rsidR="00B22D0E">
        <w:t> </w:t>
      </w:r>
      <w:r w:rsidRPr="00196C94">
        <w:t>9</w:t>
      </w:r>
      <w:r w:rsidR="00B22D0E">
        <w:t> </w:t>
      </w:r>
      <w:r w:rsidRPr="00196C94">
        <w:t>odst.</w:t>
      </w:r>
      <w:r w:rsidR="00B22D0E">
        <w:t> </w:t>
      </w:r>
      <w:r w:rsidRPr="00196C94">
        <w:t>2</w:t>
      </w:r>
      <w:r w:rsidR="00B22D0E">
        <w:t> </w:t>
      </w:r>
      <w:r w:rsidRPr="00196C94">
        <w:t xml:space="preserve"> zákona o</w:t>
      </w:r>
      <w:r w:rsidR="00B22D0E">
        <w:t> </w:t>
      </w:r>
      <w:r w:rsidRPr="00196C94">
        <w:t>dani z hazardních her je speciální k §</w:t>
      </w:r>
      <w:r w:rsidR="00B22D0E">
        <w:t> </w:t>
      </w:r>
      <w:r w:rsidRPr="00196C94">
        <w:t>71 daňového řádu a</w:t>
      </w:r>
      <w:r w:rsidR="00CF0A60">
        <w:t> </w:t>
      </w:r>
      <w:r w:rsidRPr="00196C94">
        <w:t xml:space="preserve">nahrazuje ho v plném rozsahu. </w:t>
      </w:r>
      <w:r>
        <w:t xml:space="preserve">Zákon o dani z hazardních her výslovně nepřipouští podání daňového přiznání </w:t>
      </w:r>
      <w:r w:rsidRPr="00196C94">
        <w:t>v listinné formě nebo ústně do protokolu. Tyto závěry se vztahují i</w:t>
      </w:r>
      <w:r w:rsidR="00B22D0E">
        <w:t> </w:t>
      </w:r>
      <w:r w:rsidRPr="00196C94">
        <w:t>na dodatečné daňové přiznání a opravné daňové přiznání.</w:t>
      </w:r>
    </w:p>
    <w:p w14:paraId="3A1D0962" w14:textId="6F1EBAC6" w:rsidR="000D1C5B" w:rsidRDefault="000D1C5B" w:rsidP="000D1C5B">
      <w:r w:rsidRPr="00196C94">
        <w:t xml:space="preserve">Od </w:t>
      </w:r>
      <w:r>
        <w:t>1.</w:t>
      </w:r>
      <w:r w:rsidR="00B22D0E">
        <w:t> </w:t>
      </w:r>
      <w:r>
        <w:t>1.</w:t>
      </w:r>
      <w:r w:rsidR="00B22D0E">
        <w:t> </w:t>
      </w:r>
      <w:r>
        <w:t>2021 vstoupila v účinnost</w:t>
      </w:r>
      <w:r w:rsidRPr="00196C94">
        <w:t xml:space="preserve"> novela daňového řádu, </w:t>
      </w:r>
      <w:r>
        <w:t xml:space="preserve">která rozšířila způsoby </w:t>
      </w:r>
      <w:r w:rsidRPr="001D1CE5">
        <w:t>uvedené v §</w:t>
      </w:r>
      <w:r w:rsidR="00B22D0E" w:rsidRPr="001D1CE5">
        <w:t> </w:t>
      </w:r>
      <w:r w:rsidRPr="001D1CE5">
        <w:t>71</w:t>
      </w:r>
      <w:r w:rsidR="00B22D0E" w:rsidRPr="001D1CE5">
        <w:t> </w:t>
      </w:r>
      <w:r w:rsidRPr="001D1CE5">
        <w:t>odst.</w:t>
      </w:r>
      <w:r w:rsidR="00B22D0E" w:rsidRPr="001D1CE5">
        <w:t> </w:t>
      </w:r>
      <w:r w:rsidRPr="001D1CE5">
        <w:t>1 daňového řádu, kterými mohou osoby podat v elektronické podobě daňové přiznání. Daňové přiznání se tak může podat datovou schránkou (a)</w:t>
      </w:r>
      <w:r w:rsidR="00B22D0E" w:rsidRPr="001D1CE5">
        <w:t> </w:t>
      </w:r>
      <w:r w:rsidRPr="001D1CE5">
        <w:t>podepsanou způsobem, se kterým jiný právní předpis spojuje účinky vlastnoručního podpisu, (b)</w:t>
      </w:r>
      <w:r w:rsidR="00B22D0E" w:rsidRPr="001D1CE5">
        <w:t> </w:t>
      </w:r>
      <w:r w:rsidRPr="001D1CE5">
        <w:t>s ověřenou identitou podatele způsobem, kterým se lze přihlásit do jeho datové schránky, (c)</w:t>
      </w:r>
      <w:r w:rsidR="00B22D0E" w:rsidRPr="001D1CE5">
        <w:t> </w:t>
      </w:r>
      <w:r w:rsidRPr="001D1CE5">
        <w:t>s využitím přístupu se zaručenou identitou, nebo (d)</w:t>
      </w:r>
      <w:r w:rsidR="00B22D0E" w:rsidRPr="001D1CE5">
        <w:t> </w:t>
      </w:r>
      <w:r w:rsidRPr="001D1CE5">
        <w:t>prostřednictvím daňové informační schránky.</w:t>
      </w:r>
    </w:p>
    <w:p w14:paraId="06FDC933" w14:textId="6B85A640" w:rsidR="000D1C5B" w:rsidRDefault="000D1C5B" w:rsidP="000D1C5B">
      <w:r>
        <w:t xml:space="preserve">V případě zákona o dani z hazardních her k obdobné novele nedošlo, a proto lze </w:t>
      </w:r>
      <w:r w:rsidRPr="001D1CE5">
        <w:t>podle §</w:t>
      </w:r>
      <w:r w:rsidR="00B22D0E" w:rsidRPr="001D1CE5">
        <w:t> </w:t>
      </w:r>
      <w:r w:rsidRPr="001D1CE5">
        <w:t>9</w:t>
      </w:r>
      <w:r w:rsidR="00B22D0E" w:rsidRPr="001D1CE5">
        <w:t> </w:t>
      </w:r>
      <w:r w:rsidRPr="001D1CE5">
        <w:t>odst.</w:t>
      </w:r>
      <w:r w:rsidR="00B22D0E" w:rsidRPr="001D1CE5">
        <w:t> </w:t>
      </w:r>
      <w:r w:rsidRPr="001D1CE5">
        <w:t>2 zákona o dani z hazardních her podat daňové přiznání pouze datovou zprávou (a)</w:t>
      </w:r>
      <w:r w:rsidR="00B22D0E" w:rsidRPr="001D1CE5">
        <w:t> </w:t>
      </w:r>
      <w:r w:rsidRPr="001D1CE5">
        <w:t>podepsanou způsobem, se kterým jiný právní předpis spojuje účinky vlastnoručního podpisu, nebo (b)</w:t>
      </w:r>
      <w:r w:rsidR="00B22D0E" w:rsidRPr="001D1CE5">
        <w:t> </w:t>
      </w:r>
      <w:r w:rsidRPr="001D1CE5">
        <w:t>s ověřenou identitou podatele způsobem, kterým se lze přihlásit do jeho datové schránky. Možnosti uvedené v</w:t>
      </w:r>
      <w:r w:rsidR="00DE2920" w:rsidRPr="001D1CE5">
        <w:t> </w:t>
      </w:r>
      <w:r w:rsidRPr="001D1CE5">
        <w:t>§</w:t>
      </w:r>
      <w:r w:rsidR="00B22D0E" w:rsidRPr="001D1CE5">
        <w:t> </w:t>
      </w:r>
      <w:r w:rsidRPr="001D1CE5">
        <w:t>71</w:t>
      </w:r>
      <w:r w:rsidR="00B22D0E" w:rsidRPr="001D1CE5">
        <w:t> </w:t>
      </w:r>
      <w:r w:rsidRPr="001D1CE5">
        <w:t>odst.</w:t>
      </w:r>
      <w:r w:rsidR="00B22D0E" w:rsidRPr="001D1CE5">
        <w:t> </w:t>
      </w:r>
      <w:r w:rsidRPr="001D1CE5">
        <w:t>1</w:t>
      </w:r>
      <w:r w:rsidR="00B22D0E" w:rsidRPr="001D1CE5">
        <w:t> </w:t>
      </w:r>
      <w:r w:rsidRPr="001D1CE5">
        <w:t>písm.</w:t>
      </w:r>
      <w:r w:rsidR="00B22D0E" w:rsidRPr="001D1CE5">
        <w:t> </w:t>
      </w:r>
      <w:r w:rsidRPr="001D1CE5">
        <w:t>c)</w:t>
      </w:r>
      <w:r w:rsidR="00B22D0E" w:rsidRPr="001D1CE5">
        <w:t> </w:t>
      </w:r>
      <w:r w:rsidRPr="001D1CE5">
        <w:t>a</w:t>
      </w:r>
      <w:r w:rsidR="00B22D0E" w:rsidRPr="001D1CE5">
        <w:t> </w:t>
      </w:r>
      <w:r w:rsidRPr="001D1CE5">
        <w:t>d) nejsou dle zákona o dani z hazardních her připuštěny, což může určitým způsobem omezovat daňové subjekty.</w:t>
      </w:r>
    </w:p>
    <w:p w14:paraId="511C5FC6" w14:textId="3C8FC805" w:rsidR="000D1C5B" w:rsidRDefault="000D1C5B" w:rsidP="000D1C5B">
      <w:pPr>
        <w:pStyle w:val="Nadpis7"/>
        <w:rPr>
          <w:rFonts w:cs="Arial"/>
        </w:rPr>
      </w:pPr>
      <w:r>
        <w:t xml:space="preserve">Varianta I. – </w:t>
      </w:r>
      <w:r>
        <w:rPr>
          <w:rFonts w:cs="Arial"/>
        </w:rPr>
        <w:t>Rozšíření způsobů podání daňového přiznání k dani z hazardních her</w:t>
      </w:r>
    </w:p>
    <w:p w14:paraId="48931C40" w14:textId="555D03A5" w:rsidR="000D1C5B" w:rsidRDefault="000D1C5B" w:rsidP="000D1C5B">
      <w:r>
        <w:t>Vhodným řešením by mohla být taková změna zákona o dani z hazardních her, která by do §</w:t>
      </w:r>
      <w:r w:rsidR="00B41BCA">
        <w:t> </w:t>
      </w:r>
      <w:r>
        <w:t>9</w:t>
      </w:r>
      <w:r w:rsidR="00B41BCA">
        <w:t> </w:t>
      </w:r>
      <w:r>
        <w:t>odst.</w:t>
      </w:r>
      <w:r w:rsidR="00B41BCA">
        <w:t> </w:t>
      </w:r>
      <w:r>
        <w:t xml:space="preserve">2 </w:t>
      </w:r>
      <w:r w:rsidR="001D1CE5">
        <w:t xml:space="preserve">zákona o dani z hazardních her </w:t>
      </w:r>
      <w:r>
        <w:t>přidala další možnosti podání daňového přiznání datovou zprávou, které jsou obdobné s</w:t>
      </w:r>
      <w:r w:rsidR="00B41BCA">
        <w:t> </w:t>
      </w:r>
      <w:r>
        <w:t>§</w:t>
      </w:r>
      <w:r w:rsidR="00B41BCA">
        <w:t> </w:t>
      </w:r>
      <w:r>
        <w:t>71</w:t>
      </w:r>
      <w:r w:rsidR="00B41BCA">
        <w:t> </w:t>
      </w:r>
      <w:r>
        <w:t>odst.</w:t>
      </w:r>
      <w:r w:rsidR="00B41BCA">
        <w:t> </w:t>
      </w:r>
      <w:r>
        <w:t>1</w:t>
      </w:r>
      <w:r w:rsidR="00B41BCA">
        <w:t> </w:t>
      </w:r>
      <w:r>
        <w:t>písm.</w:t>
      </w:r>
      <w:r w:rsidR="00B41BCA">
        <w:t> </w:t>
      </w:r>
      <w:r>
        <w:t>c)</w:t>
      </w:r>
      <w:r w:rsidR="00B41BCA">
        <w:t> </w:t>
      </w:r>
      <w:r>
        <w:t>a</w:t>
      </w:r>
      <w:r w:rsidR="00B41BCA">
        <w:t> </w:t>
      </w:r>
      <w:r>
        <w:t xml:space="preserve">d) </w:t>
      </w:r>
      <w:r w:rsidRPr="002A0F2C">
        <w:t>daňového řádu, tedy (c)</w:t>
      </w:r>
      <w:r w:rsidR="00B41BCA">
        <w:t> </w:t>
      </w:r>
      <w:r w:rsidRPr="002A0F2C">
        <w:t>s</w:t>
      </w:r>
      <w:r w:rsidR="00B41BCA">
        <w:t> </w:t>
      </w:r>
      <w:r w:rsidRPr="002A0F2C">
        <w:t>využitím přístupu se zaručenou identitou, nebo (d)</w:t>
      </w:r>
      <w:r w:rsidR="00B41BCA">
        <w:t> </w:t>
      </w:r>
      <w:r w:rsidRPr="002A0F2C">
        <w:t>prostřednictvím</w:t>
      </w:r>
      <w:r w:rsidRPr="00671F86">
        <w:t xml:space="preserve"> daňové informační schránky.</w:t>
      </w:r>
    </w:p>
    <w:p w14:paraId="4EAF9D9D" w14:textId="77777777" w:rsidR="000D1C5B" w:rsidRDefault="000D1C5B" w:rsidP="000D1C5B">
      <w:pPr>
        <w:keepNext/>
      </w:pPr>
      <w:r>
        <w:t>Výhody:</w:t>
      </w:r>
    </w:p>
    <w:p w14:paraId="423E6C1F" w14:textId="36094A4F" w:rsidR="000D1C5B" w:rsidRDefault="000D1C5B" w:rsidP="000D1C5B">
      <w:r>
        <w:t>Daňové subjekty budou mít více možností při podání daňového přiznání datovou zprávou. Navíc se sjednotí možnosti podání daňového přiznání z daně z hazardních her datovou zprávou s ostatními daňovými přiznáními. Nejednalo by se tedy o úplné sjednocení možností, neboť §</w:t>
      </w:r>
      <w:r w:rsidR="00B41BCA">
        <w:t> </w:t>
      </w:r>
      <w:r>
        <w:t>71</w:t>
      </w:r>
      <w:r w:rsidR="00B41BCA">
        <w:t> </w:t>
      </w:r>
      <w:r>
        <w:t>odst.</w:t>
      </w:r>
      <w:r w:rsidR="00B41BCA">
        <w:t> </w:t>
      </w:r>
      <w:r>
        <w:t>1 daňového řádu umožňuje podání učinit i</w:t>
      </w:r>
      <w:r w:rsidR="00B41BCA">
        <w:t> </w:t>
      </w:r>
      <w:r>
        <w:t xml:space="preserve"> písemně v listinné formě nebo ústně do protokolu, ovšem nebylo zaznamenáno, že by provozovatelé hazardních her disponující základním povolením vyžadovali podávat přiznání k dani z hazardních her jiným způsobem než elektronicky datovou zprávou. Hlavním důvodem této změny je podpora elektronizace. </w:t>
      </w:r>
      <w:r w:rsidRPr="00076458">
        <w:t xml:space="preserve">Možnost podávat </w:t>
      </w:r>
      <w:r w:rsidR="00B41BCA">
        <w:t xml:space="preserve">daňové přiznání </w:t>
      </w:r>
      <w:r w:rsidRPr="00076458">
        <w:t>datovou zprávou se</w:t>
      </w:r>
      <w:r>
        <w:t xml:space="preserve"> zaručenou identitou je významná</w:t>
      </w:r>
      <w:r w:rsidRPr="00076458">
        <w:t xml:space="preserve"> zejména pro následující horizont několika let, kdy bude prostředkem pro tento způsob identifikace disponovat majorita fyzických osob (zejména ve formě občanského průkazu). Využije se tedy již stávajícím právem z</w:t>
      </w:r>
      <w:r>
        <w:t>akotvená možnost e-identifikace.</w:t>
      </w:r>
    </w:p>
    <w:p w14:paraId="6FC6C42A" w14:textId="77777777" w:rsidR="000D1C5B" w:rsidRDefault="000D1C5B" w:rsidP="000D1C5B">
      <w:r w:rsidRPr="00076458">
        <w:t>Daňová informační schránka, platforma pro komunikaci správce daně s daňovým subjektem, má snižovat administrativní zátěž daňového subjektu, a to předvyplněným podáním, poskytováním aktuálních údajů či upozorněním na zákonné povinnosti daňového subjektu. V souhrnu tak podporuje správné a snadné placení daní.</w:t>
      </w:r>
    </w:p>
    <w:p w14:paraId="37607678" w14:textId="77777777" w:rsidR="000D1C5B" w:rsidRDefault="000D1C5B" w:rsidP="000D1C5B">
      <w:r>
        <w:t>Nevýhody:</w:t>
      </w:r>
    </w:p>
    <w:p w14:paraId="0AADB323" w14:textId="2122423B" w:rsidR="000D1C5B" w:rsidRDefault="00FF57A2" w:rsidP="000D1C5B">
      <w:r>
        <w:t>Žádné zásadní nevýhody nebyly identifikovány.</w:t>
      </w:r>
    </w:p>
    <w:p w14:paraId="44BDFB83" w14:textId="77777777" w:rsidR="000D1C5B" w:rsidRDefault="000D1C5B" w:rsidP="000D1C5B">
      <w:pPr>
        <w:pStyle w:val="Nadpis7"/>
      </w:pPr>
      <w:r>
        <w:t>Hodnocení variant</w:t>
      </w:r>
    </w:p>
    <w:p w14:paraId="356FBA79" w14:textId="28BD1DE2" w:rsidR="000D1C5B" w:rsidRPr="000D1C5B" w:rsidRDefault="000D1C5B" w:rsidP="000D1C5B">
      <w:r>
        <w:t xml:space="preserve">Vzhledem ke skutečnosti, že byla navrhnuta pouze </w:t>
      </w:r>
      <w:r w:rsidR="00D822B3">
        <w:t>va</w:t>
      </w:r>
      <w:r>
        <w:t xml:space="preserve">rianta I., tak se také stává doporučeným řešením. Důvodem je přidání daňovým subjektům možností </w:t>
      </w:r>
      <w:r>
        <w:rPr>
          <w:rFonts w:cs="Arial"/>
        </w:rPr>
        <w:t>při podání daňového přiznání datovou zprávou. Navíc se sjednotí možnosti podání daňového přiznání z daně z hazardních her datovou zprávou s ostatními daňovými přiznáními. Hlavní benefit této změny je spatřován v podpoře elektronizace.</w:t>
      </w:r>
    </w:p>
    <w:p w14:paraId="08416EB5" w14:textId="1EFB3A11" w:rsidR="00966AD5" w:rsidRDefault="00374834" w:rsidP="00DC4376">
      <w:pPr>
        <w:pStyle w:val="Nadpis6"/>
      </w:pPr>
      <w:bookmarkStart w:id="25" w:name="_Toc73608297"/>
      <w:r>
        <w:t>Výše zdanění</w:t>
      </w:r>
      <w:r w:rsidR="00966AD5" w:rsidRPr="0023778D">
        <w:t xml:space="preserve"> u </w:t>
      </w:r>
      <w:r w:rsidR="009A1710">
        <w:t>„karetních“/“pokerových“</w:t>
      </w:r>
      <w:r w:rsidR="009A1710" w:rsidRPr="0023778D">
        <w:t xml:space="preserve"> her</w:t>
      </w:r>
      <w:bookmarkEnd w:id="25"/>
    </w:p>
    <w:p w14:paraId="5140C94E" w14:textId="60B17E9C" w:rsidR="00966AD5" w:rsidRDefault="00966AD5" w:rsidP="00966AD5">
      <w:r>
        <w:t>Hazardní hra poker se řadí do druhu hazardní hry živá hra, která je zatížena daňovou sazbou 23</w:t>
      </w:r>
      <w:r w:rsidR="008D0A4F">
        <w:t> </w:t>
      </w:r>
      <w:r>
        <w:t>%. Na základě podnětů k úpravě zákona o dani z hazardních her je zvažováno, zda se v případě tzv.</w:t>
      </w:r>
      <w:r w:rsidR="008D0A4F">
        <w:t> </w:t>
      </w:r>
      <w:r>
        <w:t>pokerových her jedná o</w:t>
      </w:r>
      <w:r w:rsidR="008D0A4F">
        <w:t> </w:t>
      </w:r>
      <w:r>
        <w:t>hazardní hru natolik odlišnou od ostatních hazardních her, aby bylo možné odůvodnit možné snížení daňové sazby. Navrhovatelé vychází z předpokladu, že poker je na rozdíl od jiných živých her do velké míry závislý na dovednosti účastníka hazardní hry, čímž je rovněž odůvodňováno navržení nižší daňové sazby.</w:t>
      </w:r>
    </w:p>
    <w:p w14:paraId="1A213D99" w14:textId="765B85C1" w:rsidR="009A1710" w:rsidRDefault="009A1710" w:rsidP="009A1710">
      <w:r>
        <w:t xml:space="preserve">Na tomto místě je zapotřebí kromě daňové sazby uvažovat i odlišnosti v daňovém základu, který je zpravidla dán metodou provozování dané hazardní hry. U her, kde protistranou </w:t>
      </w:r>
      <w:r w:rsidR="00904C76">
        <w:t xml:space="preserve">účastníka hazardní hry </w:t>
      </w:r>
      <w:r>
        <w:t xml:space="preserve">je krupiér, je totiž </w:t>
      </w:r>
      <w:r w:rsidR="00193DC3">
        <w:t>základem daně</w:t>
      </w:r>
      <w:r>
        <w:t xml:space="preserve"> vše, co krupiér na </w:t>
      </w:r>
      <w:r w:rsidR="00904C76">
        <w:t xml:space="preserve">účastníkovi hazardní hry </w:t>
      </w:r>
      <w:r>
        <w:t xml:space="preserve">vyhraje (tj. rozdíl </w:t>
      </w:r>
      <w:r w:rsidR="007318CF">
        <w:rPr>
          <w:rFonts w:cs="Arial"/>
        </w:rPr>
        <w:t>mezi úhrnem přijatých vkladů a součtem úhrnů vrácených vkladů a vyplacených výher</w:t>
      </w:r>
      <w:r>
        <w:t>), což je často částka, která je do velké míry statisticky a</w:t>
      </w:r>
      <w:r w:rsidR="00904C76">
        <w:t> </w:t>
      </w:r>
      <w:r>
        <w:t>pravděpodobnostně dána nastavením dané hazardní hry (u rulety číslem nula, u</w:t>
      </w:r>
      <w:r w:rsidR="00904C76">
        <w:t> </w:t>
      </w:r>
      <w:r>
        <w:t xml:space="preserve">automatů nastavením </w:t>
      </w:r>
      <w:r w:rsidR="00904C76">
        <w:t>výherního podílu</w:t>
      </w:r>
      <w:r>
        <w:t>, atd.).</w:t>
      </w:r>
    </w:p>
    <w:p w14:paraId="1453084E" w14:textId="4BBB0F28" w:rsidR="009A1710" w:rsidRDefault="009A1710" w:rsidP="009A1710">
      <w:r>
        <w:t xml:space="preserve">V případě, kdy je provozovatel organizátorem hry – tj. toliko vybírá servisní poplatek za to, aby si </w:t>
      </w:r>
      <w:r w:rsidR="00904C76">
        <w:t xml:space="preserve">účastníci hazardní hry </w:t>
      </w:r>
      <w:r>
        <w:t xml:space="preserve">mohli zahrát mezi sebou, bývá </w:t>
      </w:r>
      <w:r w:rsidR="00BC5FAE">
        <w:t>základ daně</w:t>
      </w:r>
      <w:r>
        <w:t xml:space="preserve"> menší. Teprve </w:t>
      </w:r>
      <w:r w:rsidR="00BC5FAE">
        <w:t>tento základ</w:t>
      </w:r>
      <w:r>
        <w:t xml:space="preserve"> následně podléhá daňové sazbě.</w:t>
      </w:r>
    </w:p>
    <w:p w14:paraId="3D77997A" w14:textId="77777777" w:rsidR="00966AD5" w:rsidRDefault="00966AD5" w:rsidP="00966AD5">
      <w:pPr>
        <w:pStyle w:val="Nadpis7"/>
      </w:pPr>
      <w:r>
        <w:t>Varianta I. – Zachování současného stavu</w:t>
      </w:r>
    </w:p>
    <w:p w14:paraId="3047C147" w14:textId="3E73C807" w:rsidR="00966AD5" w:rsidRDefault="00966AD5" w:rsidP="00966AD5">
      <w:pPr>
        <w:rPr>
          <w:rFonts w:cs="Arial"/>
        </w:rPr>
      </w:pPr>
      <w:r>
        <w:rPr>
          <w:rFonts w:cs="Arial"/>
        </w:rPr>
        <w:t>Zákon o hazardních hrách stanovuje, že hazardní hra musí být částečně závislá na náhodě/neznámé skutečnosti. Není tedy nutné, aby o výsledku rozhodovala pouze náhoda. Z tohoto posouzení je zcela jasné, že dle české legislativy se o hazard jedná. Zároveň je nutné zdůraznit, že i jiné hazardní hry v sobě mohou částečně obsahovat prvek dovednosti, přičemž tato skutečnost nezakládá důvod pro snížení daňové sazby. Jedná se např. o kursovou sázku či jiné karetní hry (např. black jack).</w:t>
      </w:r>
    </w:p>
    <w:p w14:paraId="4BCE801B" w14:textId="77777777" w:rsidR="00966AD5" w:rsidRDefault="00966AD5" w:rsidP="00424150">
      <w:pPr>
        <w:keepNext/>
        <w:rPr>
          <w:rFonts w:cs="Arial"/>
        </w:rPr>
      </w:pPr>
      <w:r>
        <w:rPr>
          <w:rFonts w:cs="Arial"/>
        </w:rPr>
        <w:t>Výhody:</w:t>
      </w:r>
    </w:p>
    <w:p w14:paraId="4C15784E" w14:textId="77777777" w:rsidR="00966AD5" w:rsidRDefault="00966AD5" w:rsidP="00966AD5">
      <w:pPr>
        <w:rPr>
          <w:rFonts w:cs="Arial"/>
        </w:rPr>
      </w:pPr>
      <w:r>
        <w:rPr>
          <w:rFonts w:cs="Arial"/>
        </w:rPr>
        <w:t>Je naplňován koncept zákona o dani z hazardních her, kdy pro jeden druh hazardní hry je stanovena jedna daňová sazba.</w:t>
      </w:r>
    </w:p>
    <w:p w14:paraId="6EB522C6" w14:textId="77777777" w:rsidR="00966AD5" w:rsidRDefault="00966AD5" w:rsidP="00966AD5">
      <w:pPr>
        <w:keepNext/>
        <w:rPr>
          <w:rFonts w:cs="Arial"/>
        </w:rPr>
      </w:pPr>
      <w:r>
        <w:rPr>
          <w:rFonts w:cs="Arial"/>
        </w:rPr>
        <w:t>Nevýhody:</w:t>
      </w:r>
    </w:p>
    <w:p w14:paraId="3603E8FC" w14:textId="77777777" w:rsidR="00966AD5" w:rsidRDefault="00966AD5" w:rsidP="00966AD5">
      <w:pPr>
        <w:rPr>
          <w:rFonts w:cs="Arial"/>
        </w:rPr>
      </w:pPr>
      <w:r>
        <w:rPr>
          <w:rFonts w:cs="Arial"/>
        </w:rPr>
        <w:t>Nevýhodou současné právní úpravy je, že se některé hry v rámci živých her mezi sebou výrazným způsobem liší, a to i v rizikovosti. Příkladem může být porovnání pokeru např.</w:t>
      </w:r>
      <w:r w:rsidRPr="008010B8">
        <w:rPr>
          <w:rFonts w:cs="Arial"/>
        </w:rPr>
        <w:t xml:space="preserve"> </w:t>
      </w:r>
      <w:r>
        <w:rPr>
          <w:rFonts w:cs="Arial"/>
        </w:rPr>
        <w:t>s ruletou.</w:t>
      </w:r>
    </w:p>
    <w:p w14:paraId="4F0DEA7B" w14:textId="77777777" w:rsidR="00966AD5" w:rsidRDefault="00966AD5" w:rsidP="00966AD5">
      <w:pPr>
        <w:pStyle w:val="Nadpis7"/>
        <w:rPr>
          <w:rFonts w:cs="Arial"/>
        </w:rPr>
      </w:pPr>
      <w:r>
        <w:t xml:space="preserve">Varianta II. – </w:t>
      </w:r>
      <w:r>
        <w:rPr>
          <w:rFonts w:cs="Arial"/>
        </w:rPr>
        <w:t>Stanovení samostatné daňové sazby pro poker</w:t>
      </w:r>
    </w:p>
    <w:p w14:paraId="63E94FD7" w14:textId="6DD557B0" w:rsidR="00966AD5" w:rsidRDefault="00966AD5" w:rsidP="00966AD5">
      <w:r>
        <w:t xml:space="preserve">Poker jako hra, jejíž výsledek lze částečně ovlivnit schopnostmi </w:t>
      </w:r>
      <w:r w:rsidR="00992BD5">
        <w:t>účastníka hazardní hry</w:t>
      </w:r>
      <w:r>
        <w:t>, by byl daněn nižší sazbou daně než např. ruleta, u které záleží pouze na náhodě.</w:t>
      </w:r>
    </w:p>
    <w:p w14:paraId="08A8DF2C" w14:textId="77777777" w:rsidR="00966AD5" w:rsidRDefault="00966AD5" w:rsidP="00966AD5">
      <w:r>
        <w:t>Výhody:</w:t>
      </w:r>
    </w:p>
    <w:p w14:paraId="51865C52" w14:textId="072E661D" w:rsidR="00966AD5" w:rsidRDefault="00966AD5" w:rsidP="00966AD5">
      <w:r>
        <w:t>Méně riziková karetní hra poker by byla daněna nižší daňovou sazbou, než např.</w:t>
      </w:r>
      <w:r w:rsidR="008D0A4F">
        <w:t> </w:t>
      </w:r>
      <w:r>
        <w:t>více riziková ruleta.</w:t>
      </w:r>
    </w:p>
    <w:p w14:paraId="2A909E9E" w14:textId="77777777" w:rsidR="00966AD5" w:rsidRDefault="00966AD5" w:rsidP="00966AD5">
      <w:r>
        <w:t>Nevýhody:</w:t>
      </w:r>
    </w:p>
    <w:p w14:paraId="0921CB4C" w14:textId="56454A4C" w:rsidR="00966AD5" w:rsidRDefault="00966AD5" w:rsidP="00966AD5">
      <w:r>
        <w:t xml:space="preserve">Zákon o hazardních hrách nemá zvláštní úpravu pro </w:t>
      </w:r>
      <w:r w:rsidR="00424150">
        <w:t>poker, proto by provozovatel či </w:t>
      </w:r>
      <w:r>
        <w:t xml:space="preserve">správce daně musel posuzovat, zda daná živá hra je </w:t>
      </w:r>
      <w:r w:rsidR="006F7EE8">
        <w:t xml:space="preserve">či není </w:t>
      </w:r>
      <w:r>
        <w:t>pokerem a</w:t>
      </w:r>
      <w:r w:rsidR="008D0A4F">
        <w:t xml:space="preserve"> tedy se </w:t>
      </w:r>
      <w:r>
        <w:t>jedná o jinou karetní hru, u které by byla stanovena rozdílná sazba daně.</w:t>
      </w:r>
      <w:r w:rsidR="00903141">
        <w:t xml:space="preserve"> </w:t>
      </w:r>
      <w:r>
        <w:t xml:space="preserve">Problémové by </w:t>
      </w:r>
      <w:r w:rsidR="00903141">
        <w:t>v tomto kontextu mohlo být</w:t>
      </w:r>
      <w:r>
        <w:t xml:space="preserve"> vymezení charakteristických znaků pokeru. </w:t>
      </w:r>
      <w:r w:rsidR="008D0A4F">
        <w:t>Jelikož z</w:t>
      </w:r>
      <w:r>
        <w:t>ákon o</w:t>
      </w:r>
      <w:r w:rsidR="000F25F1">
        <w:t> </w:t>
      </w:r>
      <w:r>
        <w:t>hazardních hrách nestanovuje pravidla pro názvy hazardních her, mohlo by docházet k tomu, že kterákoliv hazardní hra se slovem „poker“ v názvu, by za poker mohla být skutečně považována. Existovalo by riziko, že některé hry, které nelze považovat za poker, by byly zařazeny do nižší daňové sazby, ačkoli jejich povaha, včetně míry rizikovosti, by pokeru neodpovídala. Tato úprava je také nekoncepční, jelikož pro jeden druh hazardní hry by bylo stanoveno více daňových sazeb.</w:t>
      </w:r>
      <w:r w:rsidR="00903141">
        <w:t xml:space="preserve"> Aby bylo možno na požadovanou úpravu alespoň částečně nahlížet jako na koncepční, tak by musela být zvážena rovněž úprava zákona o</w:t>
      </w:r>
      <w:r w:rsidR="008D0A4F">
        <w:t> </w:t>
      </w:r>
      <w:r w:rsidR="00903141">
        <w:t>hazardních hrách, která by vyčlenila poker do samostatného druhu hazardní hry.</w:t>
      </w:r>
      <w:r>
        <w:t xml:space="preserve"> Další</w:t>
      </w:r>
      <w:r w:rsidR="00903141">
        <w:t>m</w:t>
      </w:r>
      <w:r>
        <w:t xml:space="preserve"> negativním dopadem této úpravy by bylo předpokládané snížení daňového výnosu, pokud by u</w:t>
      </w:r>
      <w:r w:rsidR="000F25F1">
        <w:t> </w:t>
      </w:r>
      <w:r>
        <w:t>části živých her došlo k</w:t>
      </w:r>
      <w:r w:rsidR="0007682D">
        <w:t>e</w:t>
      </w:r>
      <w:r>
        <w:t xml:space="preserve"> snížení</w:t>
      </w:r>
      <w:r w:rsidR="00903141">
        <w:t xml:space="preserve"> daňové sazby</w:t>
      </w:r>
      <w:r>
        <w:t>. Současně pokud by měla být změna provedena koncepčně, tak by muselo být obdobným způsobem přistoupeno rovněž k obdobné úpravě u turnaje malého rozsahu, což by mohlo současnou stabilní právní úpravu velmi roztříštit.</w:t>
      </w:r>
    </w:p>
    <w:p w14:paraId="7080E96A" w14:textId="77777777" w:rsidR="00966AD5" w:rsidRPr="006C0DF8" w:rsidRDefault="00966AD5" w:rsidP="00966AD5">
      <w:pPr>
        <w:pStyle w:val="Nadpis7"/>
      </w:pPr>
      <w:r w:rsidRPr="006C0DF8">
        <w:t>Varianta III. – Snížení daňové sazby u karetních her provozovaných formou turnaje</w:t>
      </w:r>
    </w:p>
    <w:p w14:paraId="1C877A4D" w14:textId="23D0FFAF" w:rsidR="00966AD5" w:rsidRDefault="00966AD5" w:rsidP="00966AD5">
      <w:r>
        <w:t>Tato varianta zohledňuje nižší zdanění živé hry provozované formou turnaje, kdy účastníc</w:t>
      </w:r>
      <w:r w:rsidR="00903141">
        <w:t>i</w:t>
      </w:r>
      <w:r>
        <w:t xml:space="preserve"> hazardní hry nehrají proti krupiérovi, ale mezi sebou navzájem, role krupiéra</w:t>
      </w:r>
      <w:r w:rsidR="006F7EE8">
        <w:t xml:space="preserve"> je</w:t>
      </w:r>
      <w:r>
        <w:t xml:space="preserve"> pouze doprovodná. Formou turnaje lze provozovat pouze karetní hry. Tato forma živé hry vykazuje nižší rizikovost především s ohledem na délku turnaje.</w:t>
      </w:r>
    </w:p>
    <w:p w14:paraId="146B99F1" w14:textId="77777777" w:rsidR="00966AD5" w:rsidRDefault="00966AD5" w:rsidP="00966AD5">
      <w:r>
        <w:t>Výhody:</w:t>
      </w:r>
    </w:p>
    <w:p w14:paraId="7EFD6E57" w14:textId="747C1AE8" w:rsidR="00966AD5" w:rsidRDefault="00966AD5" w:rsidP="00966AD5">
      <w:r>
        <w:t>Méně rizikové turnaje živých her by byly daněny nižší daňovou sazbou než např.</w:t>
      </w:r>
      <w:r w:rsidR="00FA16B6">
        <w:t> </w:t>
      </w:r>
      <w:r>
        <w:t xml:space="preserve"> ruleta, ve které hry probíhají mnohem rychleji.</w:t>
      </w:r>
    </w:p>
    <w:p w14:paraId="5B7EFDDC" w14:textId="77777777" w:rsidR="00966AD5" w:rsidRDefault="00966AD5" w:rsidP="00966AD5">
      <w:r>
        <w:t>Nevýhody:</w:t>
      </w:r>
    </w:p>
    <w:p w14:paraId="31DDBD4F" w14:textId="36A8182F" w:rsidR="00966AD5" w:rsidRPr="0001521A" w:rsidRDefault="00966AD5" w:rsidP="00966AD5">
      <w:r>
        <w:t>Tato úprava je nekoncepční, jelikož pro jeden druh hazardní hry by bylo stanoveno více daňových sazeb.</w:t>
      </w:r>
      <w:r w:rsidR="00903141">
        <w:t xml:space="preserve"> Aby bylo možno na požadovanou úpravu alespoň částečně nahlížet jako na koncepční, tak by musela být zvážena rovněž úprava zákona o</w:t>
      </w:r>
      <w:r w:rsidR="000F25F1">
        <w:t> </w:t>
      </w:r>
      <w:r w:rsidR="00903141">
        <w:t xml:space="preserve">hazardních hrách, která by vyčlenila </w:t>
      </w:r>
      <w:r w:rsidR="004F4A2B">
        <w:t xml:space="preserve">karetní hry provozované formou turnaje </w:t>
      </w:r>
      <w:r w:rsidR="00903141">
        <w:t>do samostatného druhu hazardní hry.</w:t>
      </w:r>
      <w:r>
        <w:t xml:space="preserve"> Lze také předpokládat, že by došlo ke snížení daňového výnosu, pokud by u</w:t>
      </w:r>
      <w:r w:rsidR="00FA16B6">
        <w:t> </w:t>
      </w:r>
      <w:r>
        <w:t>části živých her došlo k snížení daňové sazby.</w:t>
      </w:r>
    </w:p>
    <w:p w14:paraId="22B4581E" w14:textId="77777777" w:rsidR="00966AD5" w:rsidRDefault="00966AD5" w:rsidP="00966AD5">
      <w:pPr>
        <w:pStyle w:val="Nadpis7"/>
      </w:pPr>
      <w:r>
        <w:t>Hodnocení variant</w:t>
      </w:r>
    </w:p>
    <w:p w14:paraId="6441773D" w14:textId="3F08A62F" w:rsidR="00903141" w:rsidRPr="00CB1CA9" w:rsidRDefault="00903141" w:rsidP="00966AD5">
      <w:r>
        <w:t>Všechny výše uvedené varianty</w:t>
      </w:r>
      <w:r w:rsidR="0007682D">
        <w:t>, vyjma varianty I. představující zachování současného stavu,</w:t>
      </w:r>
      <w:r>
        <w:t xml:space="preserve"> představují podstatný zásah do právní úpravy zdanění hazardní</w:t>
      </w:r>
      <w:r w:rsidR="0007682D">
        <w:t xml:space="preserve">ch her a nesou </w:t>
      </w:r>
      <w:r>
        <w:t xml:space="preserve">s sebou </w:t>
      </w:r>
      <w:r w:rsidR="0007682D">
        <w:t>nutnost podstatné úpravy zákona o </w:t>
      </w:r>
      <w:r>
        <w:t>hazardních hrách</w:t>
      </w:r>
      <w:r w:rsidR="0007682D">
        <w:t xml:space="preserve">, </w:t>
      </w:r>
      <w:r w:rsidR="006F7EE8">
        <w:t xml:space="preserve">spočívající </w:t>
      </w:r>
      <w:r w:rsidR="0007682D">
        <w:t>především v potřebě</w:t>
      </w:r>
      <w:r>
        <w:t xml:space="preserve"> zasáhnout do definice živé hry, případně živou hru rozčlenit na více druhů hazardních her. </w:t>
      </w:r>
    </w:p>
    <w:p w14:paraId="3FC33498" w14:textId="11A15F1E" w:rsidR="00966AD5" w:rsidRDefault="00966AD5" w:rsidP="00687932">
      <w:pPr>
        <w:pStyle w:val="Nadpis5"/>
      </w:pPr>
      <w:bookmarkStart w:id="26" w:name="_Toc73608298"/>
      <w:r>
        <w:t>Rozpočtové určení daně</w:t>
      </w:r>
      <w:bookmarkEnd w:id="26"/>
      <w:r>
        <w:t xml:space="preserve"> </w:t>
      </w:r>
    </w:p>
    <w:p w14:paraId="7A29AC08" w14:textId="1AD385DD" w:rsidR="006E42EB" w:rsidRDefault="006E42EB" w:rsidP="0039571C">
      <w:pPr>
        <w:pStyle w:val="Nadpis6"/>
        <w:numPr>
          <w:ilvl w:val="0"/>
          <w:numId w:val="18"/>
        </w:numPr>
      </w:pPr>
      <w:bookmarkStart w:id="27" w:name="_Toc73608299"/>
      <w:r w:rsidRPr="006E42EB">
        <w:t>Rozpočtové určení daně v případě technických her</w:t>
      </w:r>
      <w:bookmarkEnd w:id="27"/>
    </w:p>
    <w:p w14:paraId="2BB99F86" w14:textId="2E4E7824" w:rsidR="006E42EB" w:rsidRPr="00A95787" w:rsidRDefault="006E42EB" w:rsidP="00364C01">
      <w:pPr>
        <w:rPr>
          <w:b/>
        </w:rPr>
      </w:pPr>
      <w:r w:rsidRPr="004D1EE3">
        <w:t xml:space="preserve">Zákon o dani z hazardních her stanoví, že 65 % celostátních hrubých výnosů dílčí daně z technických her je rozdělováno mezi obce dle koeficientu, který zohledňuje počet </w:t>
      </w:r>
      <w:r>
        <w:t xml:space="preserve">herních pozic </w:t>
      </w:r>
      <w:r w:rsidRPr="004D1EE3">
        <w:t xml:space="preserve">koncových zařízení technické hry na území dané obce. </w:t>
      </w:r>
      <w:r w:rsidR="00424150">
        <w:t>Dle </w:t>
      </w:r>
      <w:r>
        <w:t xml:space="preserve">tohoto vzorce se nicméně </w:t>
      </w:r>
      <w:r w:rsidRPr="004D1EE3">
        <w:t xml:space="preserve">rozdělují </w:t>
      </w:r>
      <w:r>
        <w:t>také hrubé výnosy</w:t>
      </w:r>
      <w:r w:rsidRPr="00E668F9">
        <w:t xml:space="preserve"> dílčí daně z </w:t>
      </w:r>
      <w:r w:rsidRPr="004D1EE3">
        <w:t>internetových technických her</w:t>
      </w:r>
      <w:r>
        <w:t>, nikoli pouze technických her provozovaných</w:t>
      </w:r>
      <w:r w:rsidR="004444E7">
        <w:t xml:space="preserve"> formou</w:t>
      </w:r>
      <w:r>
        <w:t xml:space="preserve"> land-based.</w:t>
      </w:r>
      <w:r w:rsidRPr="00A95787">
        <w:rPr>
          <w:b/>
        </w:rPr>
        <w:t xml:space="preserve"> </w:t>
      </w:r>
    </w:p>
    <w:p w14:paraId="0B29B1D2" w14:textId="0C589D8F" w:rsidR="006E42EB" w:rsidRDefault="006E42EB" w:rsidP="00364C01">
      <w:r w:rsidRPr="00A95787">
        <w:t xml:space="preserve">Počet </w:t>
      </w:r>
      <w:r w:rsidR="00992BD5">
        <w:t>účastníků</w:t>
      </w:r>
      <w:r w:rsidR="00992BD5" w:rsidRPr="00A95787">
        <w:t xml:space="preserve"> </w:t>
      </w:r>
      <w:r w:rsidRPr="00A95787">
        <w:t>internetové technické hry</w:t>
      </w:r>
      <w:r>
        <w:t>, resp. rozsah provozování, na kterém výše výnosů z internetové technické hry závisí,</w:t>
      </w:r>
      <w:r w:rsidRPr="00A95787">
        <w:t xml:space="preserve"> nemá žádnou souvislost s počtem </w:t>
      </w:r>
      <w:r>
        <w:t>herních pozic</w:t>
      </w:r>
      <w:r w:rsidRPr="00A95787">
        <w:t xml:space="preserve"> technické hry. </w:t>
      </w:r>
      <w:r>
        <w:t>Internetové provozování je z povahy věci na lokalitě nezávislé</w:t>
      </w:r>
      <w:r w:rsidR="006F7EE8">
        <w:t xml:space="preserve">, </w:t>
      </w:r>
      <w:r>
        <w:t xml:space="preserve">případná regulace či naopak benevolence provozování technické hry </w:t>
      </w:r>
      <w:r w:rsidR="00966B47">
        <w:t xml:space="preserve">formou </w:t>
      </w:r>
      <w:r w:rsidR="006F7EE8">
        <w:t>land</w:t>
      </w:r>
      <w:r w:rsidR="006F7EE8">
        <w:noBreakHyphen/>
      </w:r>
      <w:r>
        <w:t>based nemá na dostupnost internetové hry, a tedy i jejích negativních dopadů, žádný vliv.</w:t>
      </w:r>
      <w:r w:rsidR="00D822B3">
        <w:t xml:space="preserve"> </w:t>
      </w:r>
      <w:r>
        <w:t>Taktéž zařízení, kterým se účastníci připojují k serveru internetové technické hry, je nezávislé, a</w:t>
      </w:r>
      <w:r w:rsidR="00733D7A">
        <w:t> </w:t>
      </w:r>
      <w:r>
        <w:t>tudíž netvoří se serverem nedělitelný celek.</w:t>
      </w:r>
      <w:r w:rsidRPr="00A95787">
        <w:t xml:space="preserve"> Dochází tak k navyšování příjmů rozpočtů těch obcí, které na svém území tolerují technickou hru, jelikož dostávají podíl výnosu daně z</w:t>
      </w:r>
      <w:r w:rsidR="00EF2471">
        <w:t> </w:t>
      </w:r>
      <w:r w:rsidRPr="00A95787">
        <w:t xml:space="preserve"> technické hry</w:t>
      </w:r>
      <w:r w:rsidR="00733D7A">
        <w:t xml:space="preserve"> provozované formou</w:t>
      </w:r>
      <w:r w:rsidR="00733D7A" w:rsidRPr="00733D7A">
        <w:t xml:space="preserve"> </w:t>
      </w:r>
      <w:r w:rsidR="00733D7A" w:rsidRPr="00A95787">
        <w:t>land</w:t>
      </w:r>
      <w:r w:rsidR="00424150">
        <w:t>-</w:t>
      </w:r>
      <w:r w:rsidR="00733D7A" w:rsidRPr="00A95787">
        <w:t>based</w:t>
      </w:r>
      <w:r w:rsidRPr="00A95787">
        <w:t xml:space="preserve">, ale také i z technické hry provozované prostřednictvím internetu, a to i přesto, že na území těchto obcí nemusí být jediný účastník internetové technické hry. </w:t>
      </w:r>
      <w:r>
        <w:t xml:space="preserve">Zároveň obce, na jejichž území technické hry provozovány </w:t>
      </w:r>
      <w:r w:rsidR="00733D7A">
        <w:t xml:space="preserve">formou land-based </w:t>
      </w:r>
      <w:r>
        <w:t>nejsou, nemají z výnosů daně z technických her žádný příjem.</w:t>
      </w:r>
    </w:p>
    <w:p w14:paraId="39622FC5" w14:textId="4D893422" w:rsidR="009A4E24" w:rsidRDefault="00F40146" w:rsidP="00364C01">
      <w:r>
        <w:t>V </w:t>
      </w:r>
      <w:r w:rsidR="000472B2">
        <w:t>současnosti</w:t>
      </w:r>
      <w:r>
        <w:t xml:space="preserve"> se</w:t>
      </w:r>
      <w:r w:rsidR="000472B2">
        <w:t xml:space="preserve"> vyskytují případy obcí, které dosahují výrazně nadprůměrných příjmů ze sdílených daní, včetně daně z hazardních her, v přepočtu na jednoho obyvatele. U pěti obcí s nejvyšším příjmem sdílených daní v přepočtu na obyvatele dosahuje tento příjem 477–1</w:t>
      </w:r>
      <w:r w:rsidR="00733D7A">
        <w:t> </w:t>
      </w:r>
      <w:r w:rsidR="000472B2">
        <w:t>429</w:t>
      </w:r>
      <w:r w:rsidR="00733D7A">
        <w:t> </w:t>
      </w:r>
      <w:r w:rsidR="000472B2">
        <w:t>% celorepublikového průměru, který činí 13</w:t>
      </w:r>
      <w:r w:rsidR="00733D7A">
        <w:t> </w:t>
      </w:r>
      <w:r w:rsidR="000472B2">
        <w:t>800</w:t>
      </w:r>
      <w:r w:rsidR="00733D7A">
        <w:t> </w:t>
      </w:r>
      <w:r w:rsidR="000472B2">
        <w:t>Kč</w:t>
      </w:r>
      <w:r w:rsidR="000472B2">
        <w:rPr>
          <w:rStyle w:val="Znakapoznpodarou"/>
        </w:rPr>
        <w:footnoteReference w:id="4"/>
      </w:r>
      <w:r w:rsidR="000472B2">
        <w:t>.</w:t>
      </w:r>
      <w:r w:rsidR="00D822B3">
        <w:t xml:space="preserve"> </w:t>
      </w:r>
      <w:r w:rsidR="000472B2">
        <w:t>Jedná se obce s nízkým počtem obyvatel (do 1</w:t>
      </w:r>
      <w:r w:rsidR="00733D7A">
        <w:t> </w:t>
      </w:r>
      <w:r w:rsidR="000472B2">
        <w:t>000</w:t>
      </w:r>
      <w:r w:rsidR="00733D7A">
        <w:t> </w:t>
      </w:r>
      <w:r w:rsidR="000472B2">
        <w:t xml:space="preserve">ob.), na jejichž území se ve větším rozsahu provozuje technická hra </w:t>
      </w:r>
      <w:r w:rsidR="00733D7A">
        <w:t xml:space="preserve">formou land-based, </w:t>
      </w:r>
      <w:r w:rsidR="000472B2">
        <w:t>a které se většinou nacházejí u státních hranic či sousedí s většími obcemi. Lze tedy předpokládat, že majoritní část účastníků hazardní</w:t>
      </w:r>
      <w:r w:rsidR="00C132D0">
        <w:t xml:space="preserve"> hry </w:t>
      </w:r>
      <w:r w:rsidR="000472B2">
        <w:t>do těchto malých obcí dojíždí ze zahraničí či z okolních obcí.</w:t>
      </w:r>
      <w:r w:rsidR="00FA4C60">
        <w:t xml:space="preserve"> Nadprůměrné příjmy, které tyto obce dostávají, nelze tedy efektivně využít na sanaci nákladů spojených s provozováním technické hry, jelikož většina účastníků hazardní</w:t>
      </w:r>
      <w:r w:rsidR="00B85C3B">
        <w:t xml:space="preserve"> hry </w:t>
      </w:r>
      <w:r w:rsidR="00FA4C60">
        <w:t xml:space="preserve">má bydliště mimo tyto malé </w:t>
      </w:r>
      <w:r w:rsidR="00FA4C60" w:rsidRPr="000F25F1">
        <w:t>obce.</w:t>
      </w:r>
      <w:r w:rsidR="00791478" w:rsidRPr="000F25F1">
        <w:t xml:space="preserve"> </w:t>
      </w:r>
      <w:r w:rsidR="00791478" w:rsidRPr="00EB634B">
        <w:t>Graf č. 10</w:t>
      </w:r>
      <w:r w:rsidR="00791478" w:rsidRPr="000F25F1">
        <w:t xml:space="preserve"> zobrazuje konkrétní obce s nadprůměrnými příjmy.</w:t>
      </w:r>
    </w:p>
    <w:p w14:paraId="692F7C9F" w14:textId="57833FF4" w:rsidR="00BE23FA" w:rsidRDefault="00BE23FA" w:rsidP="00BE23FA">
      <w:pPr>
        <w:pStyle w:val="Titulek"/>
        <w:keepNext/>
      </w:pPr>
      <w:bookmarkStart w:id="28" w:name="_Toc73538663"/>
      <w:r w:rsidRPr="001901AF">
        <w:t xml:space="preserve">Graf č. </w:t>
      </w:r>
      <w:r w:rsidR="00E77446">
        <w:fldChar w:fldCharType="begin"/>
      </w:r>
      <w:r w:rsidR="00E77446">
        <w:instrText xml:space="preserve"> SEQ Graf_č. \* ARABIC </w:instrText>
      </w:r>
      <w:r w:rsidR="00E77446">
        <w:fldChar w:fldCharType="separate"/>
      </w:r>
      <w:r w:rsidR="0030528B">
        <w:rPr>
          <w:noProof/>
        </w:rPr>
        <w:t>10</w:t>
      </w:r>
      <w:r w:rsidR="00E77446">
        <w:rPr>
          <w:noProof/>
        </w:rPr>
        <w:fldChar w:fldCharType="end"/>
      </w:r>
      <w:r w:rsidRPr="001901AF">
        <w:t>:</w:t>
      </w:r>
      <w:r>
        <w:t xml:space="preserve"> </w:t>
      </w:r>
      <w:r w:rsidRPr="00A46C65">
        <w:t>Příjem vybraných obcí z</w:t>
      </w:r>
      <w:r w:rsidR="00C05D1A">
        <w:t> RUD</w:t>
      </w:r>
      <w:r w:rsidRPr="00A46C65">
        <w:t xml:space="preserve"> a z daně z</w:t>
      </w:r>
      <w:r>
        <w:t> hazardních her</w:t>
      </w:r>
      <w:r w:rsidRPr="00A46C65">
        <w:t xml:space="preserve"> na 1</w:t>
      </w:r>
      <w:r w:rsidR="00733D7A">
        <w:t> </w:t>
      </w:r>
      <w:r w:rsidRPr="00A46C65">
        <w:t xml:space="preserve">obyvatele </w:t>
      </w:r>
      <w:r>
        <w:t xml:space="preserve">za rok 2020 </w:t>
      </w:r>
      <w:r w:rsidRPr="00A46C65">
        <w:t>(tis. Kč</w:t>
      </w:r>
      <w:r>
        <w:t>; stav k 31.</w:t>
      </w:r>
      <w:r w:rsidR="00733D7A">
        <w:t> </w:t>
      </w:r>
      <w:r>
        <w:t>12.</w:t>
      </w:r>
      <w:r w:rsidR="00733D7A">
        <w:t> </w:t>
      </w:r>
      <w:r>
        <w:t>2020</w:t>
      </w:r>
      <w:r w:rsidRPr="00A46C65">
        <w:t>)</w:t>
      </w:r>
      <w:bookmarkEnd w:id="28"/>
    </w:p>
    <w:p w14:paraId="185A002A" w14:textId="27DC84EB" w:rsidR="009A4E24" w:rsidRDefault="009A4E24" w:rsidP="00364C01">
      <w:r w:rsidRPr="009A4E24">
        <w:rPr>
          <w:noProof/>
          <w:lang w:eastAsia="cs-CZ"/>
        </w:rPr>
        <w:drawing>
          <wp:inline distT="0" distB="0" distL="0" distR="0" wp14:anchorId="160EAAC8" wp14:editId="2C162857">
            <wp:extent cx="5760720" cy="2526726"/>
            <wp:effectExtent l="0" t="0" r="0" b="698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526726"/>
                    </a:xfrm>
                    <a:prstGeom prst="rect">
                      <a:avLst/>
                    </a:prstGeom>
                    <a:noFill/>
                    <a:ln>
                      <a:noFill/>
                    </a:ln>
                  </pic:spPr>
                </pic:pic>
              </a:graphicData>
            </a:graphic>
          </wp:inline>
        </w:drawing>
      </w:r>
    </w:p>
    <w:p w14:paraId="45CC6BC5" w14:textId="55F61665" w:rsidR="00E20786" w:rsidRDefault="00BE23FA" w:rsidP="00BE37EC">
      <w:pPr>
        <w:rPr>
          <w:i/>
          <w:sz w:val="20"/>
        </w:rPr>
      </w:pPr>
      <w:r w:rsidRPr="00C05D1A">
        <w:rPr>
          <w:i/>
          <w:sz w:val="20"/>
        </w:rPr>
        <w:t>Zdroj:</w:t>
      </w:r>
      <w:r>
        <w:rPr>
          <w:i/>
          <w:sz w:val="20"/>
        </w:rPr>
        <w:t xml:space="preserve"> Návrh státního závěrečného účtu České republiky za rok 2020</w:t>
      </w:r>
      <w:r w:rsidR="00BE37EC">
        <w:rPr>
          <w:i/>
          <w:sz w:val="20"/>
        </w:rPr>
        <w:t>, Sešit F.</w:t>
      </w:r>
    </w:p>
    <w:p w14:paraId="5CC60611" w14:textId="6C77A83F" w:rsidR="00E20786" w:rsidRDefault="00E20786" w:rsidP="00E20786">
      <w:pPr>
        <w:pStyle w:val="Nadpis7"/>
      </w:pPr>
      <w:r>
        <w:t>Varianta I. – Zachování současného stavu</w:t>
      </w:r>
    </w:p>
    <w:p w14:paraId="457E5CC4" w14:textId="133C51A5" w:rsidR="00E20786" w:rsidRDefault="00E20786" w:rsidP="00C05D1A">
      <w:r>
        <w:t>Výhody:</w:t>
      </w:r>
    </w:p>
    <w:p w14:paraId="0C14D420" w14:textId="1A10087B" w:rsidR="00E20786" w:rsidRDefault="00E20786" w:rsidP="00C05D1A">
      <w:r>
        <w:t>Za výhodu by se z pohledu obcí, na jejichž území se provozuje technická hra</w:t>
      </w:r>
      <w:r w:rsidR="009819F8" w:rsidRPr="009819F8">
        <w:t xml:space="preserve"> </w:t>
      </w:r>
      <w:r w:rsidR="009819F8">
        <w:t>formou land-based</w:t>
      </w:r>
      <w:r>
        <w:t>, dal považovat větší objem finančních prostředků</w:t>
      </w:r>
      <w:r w:rsidR="0041024F">
        <w:t>, který tyto obce v současnosti mají na pokrytí nákladů spojených s provozováním technické hry.</w:t>
      </w:r>
    </w:p>
    <w:p w14:paraId="42C34DC5" w14:textId="4C3BED59" w:rsidR="0041024F" w:rsidRDefault="0041024F" w:rsidP="00C05D1A">
      <w:r>
        <w:t>Nevýhody:</w:t>
      </w:r>
    </w:p>
    <w:p w14:paraId="50ADE01B" w14:textId="5122F731" w:rsidR="0041024F" w:rsidRPr="00E20786" w:rsidRDefault="0041024F" w:rsidP="00C05D1A">
      <w:r>
        <w:t>Jak již bylo zmíněno výše, při současném stavu se výnosy dílčí daně z internetových her rozdělují pouze mezi obce, které povolují technickou hru</w:t>
      </w:r>
      <w:r w:rsidR="009819F8">
        <w:t xml:space="preserve"> provozovanou formou</w:t>
      </w:r>
      <w:r w:rsidR="009819F8" w:rsidRPr="009819F8">
        <w:t xml:space="preserve"> </w:t>
      </w:r>
      <w:r w:rsidR="009819F8">
        <w:t>land-based</w:t>
      </w:r>
      <w:r w:rsidR="009D6941">
        <w:t>, a to i</w:t>
      </w:r>
      <w:r w:rsidR="000F25F1">
        <w:t> </w:t>
      </w:r>
      <w:r w:rsidR="009D6941">
        <w:t xml:space="preserve">přesto, že rozsah provozování internetové technické hry </w:t>
      </w:r>
      <w:r w:rsidR="009D6941" w:rsidRPr="00A95787">
        <w:t xml:space="preserve">nemá žádnou souvislost s počtem </w:t>
      </w:r>
      <w:r w:rsidR="009D6941">
        <w:t>herních pozic</w:t>
      </w:r>
      <w:r w:rsidR="009D6941" w:rsidRPr="00A95787">
        <w:t xml:space="preserve"> technické hry</w:t>
      </w:r>
      <w:r w:rsidR="009D6941">
        <w:t xml:space="preserve">. Rovněž bude dále přetrvávat situace, kdy vybrané obce </w:t>
      </w:r>
      <w:r w:rsidR="003A23BB">
        <w:t xml:space="preserve">i </w:t>
      </w:r>
      <w:r w:rsidR="009D6941">
        <w:t>s nízkým počtem obyvatel, na jejichž území je ve větším rozsahu provozována technická hra</w:t>
      </w:r>
      <w:r w:rsidR="009819F8" w:rsidRPr="009819F8">
        <w:t xml:space="preserve"> </w:t>
      </w:r>
      <w:r w:rsidR="009819F8">
        <w:t>formou land-based</w:t>
      </w:r>
      <w:r w:rsidR="009D6941">
        <w:t xml:space="preserve">, budou dostávat </w:t>
      </w:r>
      <w:r w:rsidR="003A23BB">
        <w:t xml:space="preserve">mnohdy extrémně </w:t>
      </w:r>
      <w:r w:rsidR="009D6941">
        <w:t xml:space="preserve">nadprůměrné příjmy </w:t>
      </w:r>
      <w:r w:rsidR="00437C72">
        <w:t>z výnosu ze sdílených daní.</w:t>
      </w:r>
    </w:p>
    <w:p w14:paraId="59978C78" w14:textId="63EFE50B" w:rsidR="006E3832" w:rsidRDefault="00B00FAF" w:rsidP="006E3832">
      <w:pPr>
        <w:pStyle w:val="Nadpis7"/>
        <w:rPr>
          <w:rFonts w:cs="Arial"/>
        </w:rPr>
      </w:pPr>
      <w:r>
        <w:t xml:space="preserve">Varianta </w:t>
      </w:r>
      <w:r w:rsidR="00E95197">
        <w:t>I</w:t>
      </w:r>
      <w:r>
        <w:t>I</w:t>
      </w:r>
      <w:r w:rsidR="006E3832">
        <w:t>. –</w:t>
      </w:r>
      <w:r w:rsidR="004321BB">
        <w:t xml:space="preserve"> Zrušení rozdělování daňových výnosů z internetové technické hry v závislosti na počtu herních pozic technické hry povolených na území obce</w:t>
      </w:r>
    </w:p>
    <w:p w14:paraId="0C0C2F39" w14:textId="35585FF1" w:rsidR="00524840" w:rsidRDefault="006E3832" w:rsidP="009413E3">
      <w:r>
        <w:t xml:space="preserve">Vhodným řešením by mohla být změna zákona o dani z hazardních her, která by upravila rozpočtové určení daně z technické hry. Část daňových výnosů z technické hry provozované </w:t>
      </w:r>
      <w:r w:rsidR="00006A15">
        <w:t xml:space="preserve">formou </w:t>
      </w:r>
      <w:r>
        <w:t xml:space="preserve">land-based by se </w:t>
      </w:r>
      <w:r w:rsidR="003A23BB">
        <w:t>na</w:t>
      </w:r>
      <w:r>
        <w:t>dále rozdělovala</w:t>
      </w:r>
      <w:r w:rsidR="00144F25">
        <w:t xml:space="preserve"> pouze</w:t>
      </w:r>
      <w:r>
        <w:t xml:space="preserve"> mezi obce, které na svém území povolují technickou hru, dle výpočtu za pomoci koeficientu.</w:t>
      </w:r>
      <w:r w:rsidR="006823F7">
        <w:t xml:space="preserve"> Daňové výnosy z internetové technické hry by se dále nerozdělovaly pouze mezi pár vybraných obcí, </w:t>
      </w:r>
      <w:r w:rsidR="00856C4F">
        <w:t>na jejichž území je provozována land-based technická hra, neboť toto umístění land-based her nemá žádnou vazbu na to, odkud po</w:t>
      </w:r>
      <w:r w:rsidR="001025D6">
        <w:t>chází účastník internetové hry.</w:t>
      </w:r>
    </w:p>
    <w:p w14:paraId="3A7DDC02" w14:textId="1EB3A7F7" w:rsidR="006E3832" w:rsidRPr="007D2CCD" w:rsidRDefault="006E3832" w:rsidP="009413E3">
      <w:r>
        <w:t>Výhody:</w:t>
      </w:r>
    </w:p>
    <w:p w14:paraId="096E1CC2" w14:textId="21873629" w:rsidR="006E3832" w:rsidRDefault="006E3832" w:rsidP="009413E3">
      <w:r>
        <w:t xml:space="preserve">Výraznou výhodou by bylo zohlednění skutečnosti, že </w:t>
      </w:r>
      <w:r w:rsidR="00F40146">
        <w:t xml:space="preserve">je </w:t>
      </w:r>
      <w:r>
        <w:t>provozování internetové technické hry na lokalitě nezávislé a současné rozdělení příjmů mezi obce na základě koeficientu neodpovídá koncepci zákona o hazardních hrách.</w:t>
      </w:r>
      <w:r w:rsidR="00D647F5">
        <w:t xml:space="preserve"> Rovněž by došlo k</w:t>
      </w:r>
      <w:r w:rsidR="00C05D1A">
        <w:t> narovnání situace, kdy vybrané obce s nízkým počtem obyvatel, na jej</w:t>
      </w:r>
      <w:r w:rsidR="003D3FCA">
        <w:t>i</w:t>
      </w:r>
      <w:r w:rsidR="00C05D1A">
        <w:t>chž území je ve větším rozsahu provozována technická hra</w:t>
      </w:r>
      <w:r w:rsidR="00006A15">
        <w:t xml:space="preserve"> formou</w:t>
      </w:r>
      <w:r w:rsidR="00006A15" w:rsidRPr="00006A15">
        <w:t xml:space="preserve"> </w:t>
      </w:r>
      <w:r w:rsidR="00006A15">
        <w:t>land-based</w:t>
      </w:r>
      <w:r w:rsidR="00520A32">
        <w:t>,</w:t>
      </w:r>
      <w:r w:rsidR="00C05D1A">
        <w:t xml:space="preserve"> dosahují nadprůměrných příjmů</w:t>
      </w:r>
      <w:r w:rsidR="00CB79E0">
        <w:t>.</w:t>
      </w:r>
      <w:r w:rsidR="00D822B3">
        <w:t xml:space="preserve"> </w:t>
      </w:r>
      <w:r>
        <w:t>Není spojeno s </w:t>
      </w:r>
      <w:r w:rsidR="00520A32">
        <w:t>významnými</w:t>
      </w:r>
      <w:r>
        <w:t xml:space="preserve"> administrativními náklady, jelikož navazuje již na stávající rozdělování u ostatních druhů hazardních her</w:t>
      </w:r>
      <w:r w:rsidR="00520A32">
        <w:t xml:space="preserve">, lze však předpokládat vznik </w:t>
      </w:r>
      <w:r w:rsidR="00524840">
        <w:t xml:space="preserve">nižších </w:t>
      </w:r>
      <w:r w:rsidR="00520A32">
        <w:t>nákladů na úpravu informačních systému, změnu prostředí pro elektronické podání a změnu daňového přiznání</w:t>
      </w:r>
      <w:r>
        <w:t>.</w:t>
      </w:r>
    </w:p>
    <w:p w14:paraId="605204C2" w14:textId="77777777" w:rsidR="006E3832" w:rsidRDefault="006E3832" w:rsidP="00E031DE">
      <w:pPr>
        <w:keepNext/>
      </w:pPr>
      <w:r>
        <w:t>Nevýhody:</w:t>
      </w:r>
    </w:p>
    <w:p w14:paraId="3A470C16" w14:textId="599D01D9" w:rsidR="00994B53" w:rsidRPr="00994B53" w:rsidRDefault="006F6D97" w:rsidP="00994B53">
      <w:pPr>
        <w:pStyle w:val="Bezmezer"/>
        <w:rPr>
          <w:rFonts w:cs="Arial"/>
        </w:rPr>
      </w:pPr>
      <w:r>
        <w:t>Náklady transformace na nové rozdělení.</w:t>
      </w:r>
    </w:p>
    <w:p w14:paraId="32A31E35" w14:textId="038C5936" w:rsidR="00F017EB" w:rsidRDefault="00E95197" w:rsidP="00F017EB">
      <w:pPr>
        <w:pStyle w:val="Nadpis7"/>
        <w:rPr>
          <w:rFonts w:cs="Arial"/>
        </w:rPr>
      </w:pPr>
      <w:r>
        <w:t xml:space="preserve">Varianta </w:t>
      </w:r>
      <w:r w:rsidR="0001153C">
        <w:t>III</w:t>
      </w:r>
      <w:r w:rsidR="00F017EB">
        <w:t xml:space="preserve">. – </w:t>
      </w:r>
      <w:r w:rsidR="00F017EB">
        <w:rPr>
          <w:rFonts w:cs="Arial"/>
        </w:rPr>
        <w:t>Zrušení rozdělování daňových výnosů z technické hry v závislosti na koeficientu</w:t>
      </w:r>
      <w:r w:rsidR="004D570D">
        <w:rPr>
          <w:rFonts w:cs="Arial"/>
        </w:rPr>
        <w:t xml:space="preserve"> určeném podle počtu herních pozic v obci</w:t>
      </w:r>
    </w:p>
    <w:p w14:paraId="6FC10186" w14:textId="1325945F" w:rsidR="000F25F1" w:rsidRDefault="00F017EB" w:rsidP="009413E3">
      <w:r>
        <w:t xml:space="preserve">Dalším vhodným řešením by mohla být změna zákona o dani z hazardních her v tom smyslu, že by bylo upuštěno od dosavadního výpočtu, kterým se určuje procento, jímž se část celostátního hrubého výnosu daně z technické hry rozděluje mezi jednotlivé obce. Toto procento (koeficient) je udáváno v závislosti na počtu povolených herních pozic koncových zařízení na území dané obce. </w:t>
      </w:r>
      <w:r w:rsidR="00151C06">
        <w:t>Zrušením tohoto způsobu výpočtu by se daňové výnosy z technické hry rozdělovaly na stejném principu jako v případě ostatních hazardních her. Část výnosů dílčí daně z technické hry by se tedy rozdělovala rovnoměrně mezi všechny obce bez ohledu na to, zda obce na svém území povolují technickou hru či nikoliv.</w:t>
      </w:r>
    </w:p>
    <w:p w14:paraId="1968D259" w14:textId="7A2B71FD" w:rsidR="00F017EB" w:rsidRDefault="00F017EB" w:rsidP="009413E3">
      <w:r>
        <w:t>Výhody:</w:t>
      </w:r>
    </w:p>
    <w:p w14:paraId="0C39F3F7" w14:textId="7800082F" w:rsidR="006D37FD" w:rsidRDefault="00F017EB" w:rsidP="006D37FD">
      <w:r>
        <w:t xml:space="preserve">Touto změnou zákona by byla upravena současná </w:t>
      </w:r>
      <w:r w:rsidR="00524840">
        <w:t xml:space="preserve">relativní </w:t>
      </w:r>
      <w:r>
        <w:t xml:space="preserve">nekoncepčnost právní úpravy, kdy je část výnosů daně z technické hry, tj. internetové technické hry, rozdělována pouze mezi obce, které tolerují technickou hru </w:t>
      </w:r>
      <w:r w:rsidR="00116E7E">
        <w:t xml:space="preserve">provozovanou </w:t>
      </w:r>
      <w:r>
        <w:t>na svém území</w:t>
      </w:r>
      <w:r w:rsidR="00116E7E" w:rsidRPr="00116E7E">
        <w:t xml:space="preserve"> </w:t>
      </w:r>
      <w:r w:rsidR="00116E7E">
        <w:t>formou land-based</w:t>
      </w:r>
      <w:r>
        <w:t xml:space="preserve">. </w:t>
      </w:r>
      <w:r w:rsidR="006D37FD">
        <w:t>Tato varianta také zohledňuje tu skutečnost, že dopad negativních externalit není jen lokální – reálné totiž hernu či kasino</w:t>
      </w:r>
      <w:r w:rsidR="00DB44C8">
        <w:t xml:space="preserve"> navštěvují i </w:t>
      </w:r>
      <w:r w:rsidR="006D37FD">
        <w:t xml:space="preserve">rezidenti jiných obcí, které potom </w:t>
      </w:r>
      <w:r w:rsidR="00C20F0B">
        <w:t>čelí</w:t>
      </w:r>
      <w:r w:rsidR="006D37FD">
        <w:t xml:space="preserve"> sociální</w:t>
      </w:r>
      <w:r w:rsidR="00C20F0B">
        <w:t>m</w:t>
      </w:r>
      <w:r w:rsidR="006D37FD">
        <w:t xml:space="preserve"> a </w:t>
      </w:r>
      <w:r w:rsidR="00C20F0B">
        <w:t xml:space="preserve">společenským </w:t>
      </w:r>
      <w:r w:rsidR="006D37FD">
        <w:t>dopad</w:t>
      </w:r>
      <w:r w:rsidR="00C20F0B">
        <w:t>ům způsobených provozováním hazardních her,</w:t>
      </w:r>
      <w:r w:rsidR="006D37FD">
        <w:t xml:space="preserve"> i když na inkasu neparticipují. Dochází tak reálně k „vývozu“ negativní externality do jiných obcí,</w:t>
      </w:r>
      <w:r w:rsidR="00B51C56">
        <w:t xml:space="preserve"> které nepovolují technickou hru </w:t>
      </w:r>
      <w:r w:rsidR="00DB44C8">
        <w:t xml:space="preserve">provozovanou land-based způsobem </w:t>
      </w:r>
      <w:r w:rsidR="00B51C56">
        <w:t>a které</w:t>
      </w:r>
      <w:r w:rsidR="006D37FD">
        <w:t xml:space="preserve"> se</w:t>
      </w:r>
      <w:r w:rsidR="00B51C56">
        <w:t xml:space="preserve"> tak</w:t>
      </w:r>
      <w:r w:rsidR="006D37FD">
        <w:t xml:space="preserve"> paradoxně nijak nepodílí na inkasu dané daně, tj. případné dopady např. patologického hráčství u svých občanů musí odstraňovat z jiných svých zdrojů. </w:t>
      </w:r>
    </w:p>
    <w:p w14:paraId="655A7274" w14:textId="31972259" w:rsidR="00F017EB" w:rsidRDefault="006D37FD" w:rsidP="006D37FD">
      <w:r>
        <w:t xml:space="preserve">Rozpočtově významný příjem také pochází z hraní cizích státních příslušníků, kdy daná obec toliko těží ze své polohy, typicky blízko hraničních přechodů. Zde taktéž adekvátnost vazby inkasa na nutnosti odstraňovat společenské dopady na území obce nemusí být případná. </w:t>
      </w:r>
    </w:p>
    <w:p w14:paraId="59E5A8FA" w14:textId="77777777" w:rsidR="00F017EB" w:rsidRDefault="00F017EB" w:rsidP="009413E3">
      <w:r>
        <w:t>Nevýhody:</w:t>
      </w:r>
    </w:p>
    <w:p w14:paraId="6548E49E" w14:textId="77777777" w:rsidR="00DB44C8" w:rsidRPr="00994B53" w:rsidRDefault="00DB44C8" w:rsidP="00DB44C8">
      <w:pPr>
        <w:pStyle w:val="Bezmezer"/>
        <w:rPr>
          <w:rFonts w:cs="Arial"/>
        </w:rPr>
      </w:pPr>
      <w:r>
        <w:t>Náklady transformace na nové rozdělení.</w:t>
      </w:r>
    </w:p>
    <w:p w14:paraId="6EF3B992" w14:textId="49878C95" w:rsidR="00495719" w:rsidRDefault="00E95197" w:rsidP="00495719">
      <w:pPr>
        <w:pStyle w:val="Nadpis7"/>
        <w:rPr>
          <w:rFonts w:cs="Arial"/>
        </w:rPr>
      </w:pPr>
      <w:r>
        <w:t xml:space="preserve">Varianta </w:t>
      </w:r>
      <w:r w:rsidR="00C22597">
        <w:t>IV</w:t>
      </w:r>
      <w:r w:rsidR="00495719">
        <w:t xml:space="preserve">. – </w:t>
      </w:r>
      <w:r w:rsidR="00495719">
        <w:rPr>
          <w:rFonts w:cs="Arial"/>
        </w:rPr>
        <w:t xml:space="preserve">Zrušení rozdělování daňových výnosů z technické hry v závislosti na koeficientu, zavedení </w:t>
      </w:r>
      <w:r w:rsidR="00721086" w:rsidRPr="000A3DF0">
        <w:rPr>
          <w:rFonts w:cs="Arial"/>
        </w:rPr>
        <w:t xml:space="preserve">místního </w:t>
      </w:r>
      <w:r w:rsidR="00495719" w:rsidRPr="000A3DF0">
        <w:rPr>
          <w:rFonts w:cs="Arial"/>
        </w:rPr>
        <w:t>poplatku</w:t>
      </w:r>
      <w:r w:rsidR="00495719">
        <w:rPr>
          <w:rFonts w:cs="Arial"/>
        </w:rPr>
        <w:t xml:space="preserve"> pro provozovatele technické hry</w:t>
      </w:r>
      <w:r w:rsidR="00C82DA8">
        <w:rPr>
          <w:rFonts w:cs="Arial"/>
        </w:rPr>
        <w:t xml:space="preserve"> provozované formou</w:t>
      </w:r>
      <w:r w:rsidR="00C82DA8" w:rsidRPr="00C82DA8">
        <w:rPr>
          <w:rFonts w:cs="Arial"/>
        </w:rPr>
        <w:t xml:space="preserve"> </w:t>
      </w:r>
      <w:r w:rsidR="00C82DA8">
        <w:rPr>
          <w:rFonts w:cs="Arial"/>
        </w:rPr>
        <w:t>land-based</w:t>
      </w:r>
    </w:p>
    <w:p w14:paraId="1723199E" w14:textId="5657848D" w:rsidR="00495719" w:rsidRDefault="00495719" w:rsidP="009413E3">
      <w:r>
        <w:t>Dalším vhodným řešením by mohla být změna zákona o dani z hazardních her,</w:t>
      </w:r>
      <w:r w:rsidR="00D822B3">
        <w:t xml:space="preserve"> </w:t>
      </w:r>
      <w:r>
        <w:t>která</w:t>
      </w:r>
      <w:r w:rsidR="00D822B3">
        <w:t xml:space="preserve"> </w:t>
      </w:r>
      <w:r>
        <w:t xml:space="preserve">by obdobně jako </w:t>
      </w:r>
      <w:r w:rsidR="00D822B3">
        <w:t xml:space="preserve">varianta </w:t>
      </w:r>
      <w:r w:rsidR="001B7FC0">
        <w:t>III.</w:t>
      </w:r>
      <w:r>
        <w:t xml:space="preserve"> upustila od rozdělování příjmu na základě současného způsobu výpočtu procenta (koeficientu), kterým se obce tolerující technickou hru </w:t>
      </w:r>
      <w:r w:rsidR="00C82DA8">
        <w:t xml:space="preserve">provozovanou formou land-based </w:t>
      </w:r>
      <w:r>
        <w:t>podílí na části celostátního výnosu z technické hry, a zavedení rovnoměrného rozdělen</w:t>
      </w:r>
      <w:r w:rsidR="001B7FC0">
        <w:t>í výnosů z této daně mezi obce.</w:t>
      </w:r>
      <w:r>
        <w:t xml:space="preserve"> Rozdíl ve srovnání s </w:t>
      </w:r>
      <w:r w:rsidR="00D822B3">
        <w:t xml:space="preserve">variantou </w:t>
      </w:r>
      <w:r w:rsidR="001B7FC0">
        <w:t>III.</w:t>
      </w:r>
      <w:r>
        <w:t xml:space="preserve"> </w:t>
      </w:r>
      <w:r w:rsidR="0000774D">
        <w:t>spočívá v možnosti</w:t>
      </w:r>
      <w:r>
        <w:t xml:space="preserve"> obc</w:t>
      </w:r>
      <w:r w:rsidR="0000774D">
        <w:t>í</w:t>
      </w:r>
      <w:r>
        <w:t xml:space="preserve">, na jejichž území je technická hra provozována, </w:t>
      </w:r>
      <w:r w:rsidR="0000774D">
        <w:t xml:space="preserve">zatížit </w:t>
      </w:r>
      <w:r>
        <w:t xml:space="preserve">herní pozice nad rámec daně </w:t>
      </w:r>
      <w:r w:rsidR="0000774D">
        <w:t xml:space="preserve">z hazardních her i </w:t>
      </w:r>
      <w:r w:rsidR="00721086">
        <w:t xml:space="preserve">místním </w:t>
      </w:r>
      <w:r>
        <w:t>poplatkem.</w:t>
      </w:r>
    </w:p>
    <w:p w14:paraId="389A7460" w14:textId="77777777" w:rsidR="003B6520" w:rsidRDefault="003B6520" w:rsidP="009413E3">
      <w:r>
        <w:t>Výhody:</w:t>
      </w:r>
    </w:p>
    <w:p w14:paraId="186F66A3" w14:textId="6FA79512" w:rsidR="003B6520" w:rsidRDefault="003B6520" w:rsidP="009413E3">
      <w:r w:rsidRPr="006726BE">
        <w:t xml:space="preserve">Za </w:t>
      </w:r>
      <w:r>
        <w:t>výhodu</w:t>
      </w:r>
      <w:r w:rsidRPr="006726BE">
        <w:t xml:space="preserve"> lze považovat</w:t>
      </w:r>
      <w:r>
        <w:t>, že</w:t>
      </w:r>
      <w:r w:rsidRPr="006726BE">
        <w:t xml:space="preserve"> </w:t>
      </w:r>
      <w:r w:rsidRPr="009C7BA1">
        <w:t xml:space="preserve">část daňových výnosů z technické hry, tj. internetové technické hry, nebude dále rozdělována pouze mezi obce, které na svém území </w:t>
      </w:r>
      <w:r w:rsidR="00DD41E1">
        <w:t>povolují</w:t>
      </w:r>
      <w:r w:rsidR="00DD41E1" w:rsidRPr="009C7BA1">
        <w:t xml:space="preserve"> </w:t>
      </w:r>
      <w:r w:rsidRPr="009C7BA1">
        <w:t xml:space="preserve">technickou hru. </w:t>
      </w:r>
    </w:p>
    <w:p w14:paraId="291FF8A6" w14:textId="3903195D" w:rsidR="00DD41E1" w:rsidRDefault="00DD41E1" w:rsidP="009413E3">
      <w:r>
        <w:t>Akcentuje se zvýšená fiskální autonomie obcí – posílí se pravomoc a působnost tím, že se svěří do jejich působnosti dodatečný ekonomický nástroj.</w:t>
      </w:r>
    </w:p>
    <w:p w14:paraId="04C133F1" w14:textId="77777777" w:rsidR="003B6520" w:rsidRDefault="003B6520" w:rsidP="00E031DE">
      <w:pPr>
        <w:keepNext/>
      </w:pPr>
      <w:r>
        <w:t>Nevýhody:</w:t>
      </w:r>
    </w:p>
    <w:p w14:paraId="4997B8BA" w14:textId="3AE9B0FE" w:rsidR="00DD41E1" w:rsidRDefault="00BB36D4" w:rsidP="00DD41E1">
      <w:r>
        <w:t>D</w:t>
      </w:r>
      <w:r w:rsidR="00DD41E1">
        <w:t>ůsledkem této varianty je rozdílná politika ohledně povolování na území jednotlivých obcí, která spolu s variabilitou ekonomického nástroje přináší problém spojený s větší komplikovaností regulace jako celku.</w:t>
      </w:r>
    </w:p>
    <w:p w14:paraId="5C968F9C" w14:textId="2CE30B0B" w:rsidR="00DD41E1" w:rsidRDefault="00DD41E1" w:rsidP="00DD41E1">
      <w:r>
        <w:t xml:space="preserve">Dalším problém místního poplatku je </w:t>
      </w:r>
      <w:r w:rsidR="00D01A3F">
        <w:t>skutečnost</w:t>
      </w:r>
      <w:r>
        <w:t>, že je z povahy věci fixní povahy, tj.</w:t>
      </w:r>
      <w:r w:rsidR="00D01A3F">
        <w:t xml:space="preserve"> všechny nevýhody popsané </w:t>
      </w:r>
      <w:r>
        <w:t>ve variantách spojených s existencí minimální daně jsou v případě místního poplatku ještě intenzivnější (i</w:t>
      </w:r>
      <w:r w:rsidR="00D01A3F">
        <w:t> </w:t>
      </w:r>
      <w:r>
        <w:t>proto se v minulosti pevná část daně z herní pozice transformovala nejprve do minimální</w:t>
      </w:r>
      <w:r w:rsidR="00D01A3F">
        <w:t xml:space="preserve"> dílčí</w:t>
      </w:r>
      <w:r>
        <w:t xml:space="preserve"> daně</w:t>
      </w:r>
      <w:r w:rsidR="00D01A3F">
        <w:t xml:space="preserve"> z technických her</w:t>
      </w:r>
      <w:r>
        <w:t xml:space="preserve"> a nyní se výše zvažuje opuštění tohoto konceptu). </w:t>
      </w:r>
    </w:p>
    <w:p w14:paraId="68C58407" w14:textId="34371A06" w:rsidR="00C42D25" w:rsidRDefault="00DD41E1" w:rsidP="00DD41E1">
      <w:r>
        <w:t>Rovněž by se nevyřešil problém daný exteritorialitou dopadů externalit.</w:t>
      </w:r>
    </w:p>
    <w:p w14:paraId="438CEB94" w14:textId="77777777" w:rsidR="00B00FAF" w:rsidRPr="00562655" w:rsidRDefault="00B00FAF" w:rsidP="00D63CC2">
      <w:pPr>
        <w:pStyle w:val="Nadpis7"/>
      </w:pPr>
      <w:r w:rsidRPr="00562655">
        <w:t>Hodnocení variant</w:t>
      </w:r>
    </w:p>
    <w:p w14:paraId="329EA572" w14:textId="46F9AAE7" w:rsidR="000F25F1" w:rsidRPr="00A0643B" w:rsidRDefault="00B00FAF" w:rsidP="006C7B67">
      <w:r w:rsidRPr="00C44BE9">
        <w:t>Vhodnějším řešením oproti současné právní úpravě v zákoně o</w:t>
      </w:r>
      <w:r w:rsidR="001E2D26">
        <w:t> </w:t>
      </w:r>
      <w:r w:rsidRPr="00C44BE9">
        <w:t>dani z hazardních her, kterou lze považovat za nekoncepční v souvislosti s právní úpravou obsaženou v zákoně o hazardních hrách a povahou internetového provozování, se jeví</w:t>
      </w:r>
      <w:r w:rsidR="00AE5BEE">
        <w:t xml:space="preserve"> minimálně</w:t>
      </w:r>
      <w:r w:rsidRPr="00C44BE9">
        <w:t xml:space="preserve"> </w:t>
      </w:r>
      <w:r w:rsidR="00A0643B">
        <w:t>v</w:t>
      </w:r>
      <w:r w:rsidRPr="00C44BE9">
        <w:t>arianta</w:t>
      </w:r>
      <w:r w:rsidR="007D6C30">
        <w:t> </w:t>
      </w:r>
      <w:r>
        <w:t>I</w:t>
      </w:r>
      <w:r w:rsidR="00903337">
        <w:t>I</w:t>
      </w:r>
      <w:r>
        <w:t>.</w:t>
      </w:r>
      <w:r w:rsidRPr="00C44BE9">
        <w:t xml:space="preserve">, </w:t>
      </w:r>
      <w:r w:rsidR="0000774D">
        <w:t>kterou</w:t>
      </w:r>
      <w:r w:rsidRPr="00C44BE9">
        <w:t xml:space="preserve"> se navrhuje změna zákona o</w:t>
      </w:r>
      <w:r w:rsidR="001E2D26">
        <w:t> </w:t>
      </w:r>
      <w:r w:rsidRPr="00C44BE9">
        <w:t>dani z hazardních her, která by umožnila</w:t>
      </w:r>
      <w:r w:rsidR="004C0B71">
        <w:t xml:space="preserve">, aby část </w:t>
      </w:r>
      <w:r w:rsidRPr="00C44BE9">
        <w:t>daňových výnosů z internetové technické hry</w:t>
      </w:r>
      <w:r w:rsidR="004C0B71">
        <w:t xml:space="preserve"> nebyla rozdělována pouze mezi malé množství obcí, na jejichž území je provozována technická hra</w:t>
      </w:r>
      <w:r w:rsidR="001E2D26" w:rsidRPr="001E2D26">
        <w:t xml:space="preserve"> </w:t>
      </w:r>
      <w:r w:rsidR="001E2D26">
        <w:t>formou land-based</w:t>
      </w:r>
      <w:r w:rsidR="004C0B71">
        <w:t xml:space="preserve">, ale </w:t>
      </w:r>
      <w:r w:rsidR="0000774D">
        <w:t>mezi všechny obce</w:t>
      </w:r>
      <w:r w:rsidR="00A8012E">
        <w:t xml:space="preserve"> bez ohledu na skutečnost, zda daná obec na svém území povoluje technickou hru</w:t>
      </w:r>
      <w:r w:rsidR="001E2D26" w:rsidRPr="001E2D26">
        <w:t xml:space="preserve"> </w:t>
      </w:r>
      <w:r w:rsidR="001E2D26">
        <w:t>formou land-based či nikoliv</w:t>
      </w:r>
      <w:r w:rsidRPr="00C44BE9">
        <w:t xml:space="preserve">. </w:t>
      </w:r>
    </w:p>
    <w:p w14:paraId="29F7A4F0" w14:textId="2AED918C" w:rsidR="002049A0" w:rsidRPr="00A0643B" w:rsidRDefault="002049A0" w:rsidP="002049A0">
      <w:pPr>
        <w:pStyle w:val="Nadpis3"/>
      </w:pPr>
      <w:bookmarkStart w:id="29" w:name="_Toc71631362"/>
      <w:bookmarkStart w:id="30" w:name="_Toc73608300"/>
      <w:r w:rsidRPr="00A0643B">
        <w:t xml:space="preserve">Seznam tabulek, </w:t>
      </w:r>
      <w:bookmarkEnd w:id="29"/>
      <w:r w:rsidR="00931E4D">
        <w:t>obrázků a graf</w:t>
      </w:r>
      <w:r w:rsidR="00F6287F">
        <w:t>ů</w:t>
      </w:r>
      <w:bookmarkEnd w:id="30"/>
    </w:p>
    <w:p w14:paraId="0C3D2242" w14:textId="0804A34A" w:rsidR="000F25F1" w:rsidRPr="00A0643B" w:rsidRDefault="000F25F1" w:rsidP="00A0643B">
      <w:pPr>
        <w:pStyle w:val="Nadpis4"/>
      </w:pPr>
      <w:bookmarkStart w:id="31" w:name="_Toc73608301"/>
      <w:r w:rsidRPr="00A0643B">
        <w:t>Tabulky</w:t>
      </w:r>
      <w:bookmarkEnd w:id="31"/>
    </w:p>
    <w:p w14:paraId="00A6E684" w14:textId="0BB0F65F" w:rsidR="00931E4D" w:rsidRPr="00931E4D" w:rsidRDefault="000F25F1">
      <w:pPr>
        <w:pStyle w:val="Seznamobrzk"/>
        <w:tabs>
          <w:tab w:val="right" w:leader="dot" w:pos="9062"/>
        </w:tabs>
        <w:rPr>
          <w:rFonts w:asciiTheme="minorHAnsi" w:eastAsiaTheme="minorEastAsia" w:hAnsiTheme="minorHAnsi"/>
          <w:noProof/>
          <w:sz w:val="22"/>
          <w:lang w:eastAsia="cs-CZ"/>
        </w:rPr>
      </w:pPr>
      <w:r w:rsidRPr="00A0643B">
        <w:rPr>
          <w:rFonts w:cs="Arial"/>
          <w:szCs w:val="24"/>
        </w:rPr>
        <w:fldChar w:fldCharType="begin"/>
      </w:r>
      <w:r w:rsidRPr="00A0643B">
        <w:rPr>
          <w:rFonts w:cs="Arial"/>
          <w:szCs w:val="24"/>
        </w:rPr>
        <w:instrText xml:space="preserve"> TOC \h \z \c "Tabulka č." </w:instrText>
      </w:r>
      <w:r w:rsidRPr="00A0643B">
        <w:rPr>
          <w:rFonts w:cs="Arial"/>
          <w:szCs w:val="24"/>
        </w:rPr>
        <w:fldChar w:fldCharType="separate"/>
      </w:r>
      <w:hyperlink w:anchor="_Toc73538646" w:history="1">
        <w:r w:rsidR="00931E4D" w:rsidRPr="00931E4D">
          <w:rPr>
            <w:rStyle w:val="Hypertextovodkaz"/>
            <w:rFonts w:cs="Arial"/>
            <w:noProof/>
          </w:rPr>
          <w:t xml:space="preserve">Tabulka č. 1: Vývoj počtu podaných dodatečných daňových přiznání od </w:t>
        </w:r>
        <w:r w:rsidR="00931E4D" w:rsidRPr="00931E4D">
          <w:rPr>
            <w:rStyle w:val="Hypertextovodkaz"/>
            <w:noProof/>
          </w:rPr>
          <w:t>daňových subjektů provozujících hazardní hry na základě vydaného povolení</w:t>
        </w:r>
        <w:r w:rsidR="00931E4D" w:rsidRPr="00931E4D">
          <w:rPr>
            <w:rStyle w:val="Hypertextovodkaz"/>
            <w:rFonts w:cs="Arial"/>
            <w:noProof/>
          </w:rPr>
          <w:t xml:space="preserve"> za  období 2017 </w:t>
        </w:r>
        <w:r w:rsidR="00931E4D" w:rsidRPr="00931E4D">
          <w:rPr>
            <w:rStyle w:val="Hypertextovodkaz"/>
            <w:rFonts w:cs="Arial"/>
            <w:noProof/>
          </w:rPr>
          <w:noBreakHyphen/>
          <w:t> 2020 (stav k 9.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_Toc73538646 \h </w:instrText>
        </w:r>
        <w:r w:rsidR="00931E4D" w:rsidRPr="00931E4D">
          <w:rPr>
            <w:noProof/>
            <w:webHidden/>
          </w:rPr>
        </w:r>
        <w:r w:rsidR="00931E4D" w:rsidRPr="00931E4D">
          <w:rPr>
            <w:noProof/>
            <w:webHidden/>
          </w:rPr>
          <w:fldChar w:fldCharType="separate"/>
        </w:r>
        <w:r w:rsidR="00931E4D" w:rsidRPr="00931E4D">
          <w:rPr>
            <w:noProof/>
            <w:webHidden/>
          </w:rPr>
          <w:t>5</w:t>
        </w:r>
        <w:r w:rsidR="00931E4D" w:rsidRPr="00931E4D">
          <w:rPr>
            <w:noProof/>
            <w:webHidden/>
          </w:rPr>
          <w:fldChar w:fldCharType="end"/>
        </w:r>
      </w:hyperlink>
    </w:p>
    <w:p w14:paraId="1DE60563" w14:textId="1EEA136A"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47" w:history="1">
        <w:r w:rsidR="00931E4D" w:rsidRPr="00931E4D">
          <w:rPr>
            <w:rStyle w:val="Hypertextovodkaz"/>
            <w:noProof/>
          </w:rPr>
          <w:t>Tabulka č. 2: Přehled zdanění nelegálních provozovatelů za období 2017–2020 (stav k 9.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_Toc73538647 \h </w:instrText>
        </w:r>
        <w:r w:rsidR="00931E4D" w:rsidRPr="00931E4D">
          <w:rPr>
            <w:noProof/>
            <w:webHidden/>
          </w:rPr>
        </w:r>
        <w:r w:rsidR="00931E4D" w:rsidRPr="00931E4D">
          <w:rPr>
            <w:noProof/>
            <w:webHidden/>
          </w:rPr>
          <w:fldChar w:fldCharType="separate"/>
        </w:r>
        <w:r w:rsidR="00931E4D" w:rsidRPr="00931E4D">
          <w:rPr>
            <w:noProof/>
            <w:webHidden/>
          </w:rPr>
          <w:t>15</w:t>
        </w:r>
        <w:r w:rsidR="00931E4D" w:rsidRPr="00931E4D">
          <w:rPr>
            <w:noProof/>
            <w:webHidden/>
          </w:rPr>
          <w:fldChar w:fldCharType="end"/>
        </w:r>
      </w:hyperlink>
    </w:p>
    <w:p w14:paraId="7BD83F6B" w14:textId="2E8D5FF4" w:rsidR="000F25F1" w:rsidRPr="00A0643B" w:rsidRDefault="000F25F1" w:rsidP="00A0643B">
      <w:pPr>
        <w:pStyle w:val="Nadpis4"/>
      </w:pPr>
      <w:r w:rsidRPr="00A0643B">
        <w:rPr>
          <w:b w:val="0"/>
          <w:sz w:val="24"/>
          <w:szCs w:val="24"/>
        </w:rPr>
        <w:fldChar w:fldCharType="end"/>
      </w:r>
      <w:bookmarkStart w:id="32" w:name="_Toc73608302"/>
      <w:r w:rsidRPr="00A0643B">
        <w:t>Grafy</w:t>
      </w:r>
      <w:bookmarkEnd w:id="32"/>
    </w:p>
    <w:p w14:paraId="6C446428" w14:textId="5D0F2F56" w:rsidR="00931E4D" w:rsidRPr="00931E4D" w:rsidRDefault="000F25F1">
      <w:pPr>
        <w:pStyle w:val="Seznamobrzk"/>
        <w:tabs>
          <w:tab w:val="right" w:leader="dot" w:pos="9062"/>
        </w:tabs>
        <w:rPr>
          <w:rFonts w:asciiTheme="minorHAnsi" w:eastAsiaTheme="minorEastAsia" w:hAnsiTheme="minorHAnsi"/>
          <w:noProof/>
          <w:sz w:val="22"/>
          <w:lang w:eastAsia="cs-CZ"/>
        </w:rPr>
      </w:pPr>
      <w:r w:rsidRPr="00931E4D">
        <w:fldChar w:fldCharType="begin"/>
      </w:r>
      <w:r w:rsidRPr="00931E4D">
        <w:instrText xml:space="preserve"> TOC \h \z \c "Graf č." </w:instrText>
      </w:r>
      <w:r w:rsidRPr="00931E4D">
        <w:fldChar w:fldCharType="separate"/>
      </w:r>
      <w:hyperlink w:anchor="_Toc73538654" w:history="1">
        <w:r w:rsidR="00931E4D" w:rsidRPr="00931E4D">
          <w:rPr>
            <w:rStyle w:val="Hypertextovodkaz"/>
            <w:noProof/>
          </w:rPr>
          <w:t>Graf č. 1: Rozpočtové určení daní z hazardních her za období 2012–2020 (v mld.;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_Toc73538654 \h </w:instrText>
        </w:r>
        <w:r w:rsidR="00931E4D" w:rsidRPr="00931E4D">
          <w:rPr>
            <w:noProof/>
            <w:webHidden/>
          </w:rPr>
        </w:r>
        <w:r w:rsidR="00931E4D" w:rsidRPr="00931E4D">
          <w:rPr>
            <w:noProof/>
            <w:webHidden/>
          </w:rPr>
          <w:fldChar w:fldCharType="separate"/>
        </w:r>
        <w:r w:rsidR="00931E4D" w:rsidRPr="00931E4D">
          <w:rPr>
            <w:noProof/>
            <w:webHidden/>
          </w:rPr>
          <w:t>7</w:t>
        </w:r>
        <w:r w:rsidR="00931E4D" w:rsidRPr="00931E4D">
          <w:rPr>
            <w:noProof/>
            <w:webHidden/>
          </w:rPr>
          <w:fldChar w:fldCharType="end"/>
        </w:r>
      </w:hyperlink>
    </w:p>
    <w:p w14:paraId="16C34E9E" w14:textId="39D92632"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55" w:history="1">
        <w:r w:rsidR="00931E4D" w:rsidRPr="00931E4D">
          <w:rPr>
            <w:rStyle w:val="Hypertextovodkaz"/>
            <w:rFonts w:eastAsia="Times New Roman"/>
            <w:noProof/>
          </w:rPr>
          <w:t>Graf č. 2: Vývoj daňového výnosu z hazardních her za období 2012–2020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_Toc73538655 \h </w:instrText>
        </w:r>
        <w:r w:rsidR="00931E4D" w:rsidRPr="00931E4D">
          <w:rPr>
            <w:noProof/>
            <w:webHidden/>
          </w:rPr>
        </w:r>
        <w:r w:rsidR="00931E4D" w:rsidRPr="00931E4D">
          <w:rPr>
            <w:noProof/>
            <w:webHidden/>
          </w:rPr>
          <w:fldChar w:fldCharType="separate"/>
        </w:r>
        <w:r w:rsidR="00931E4D" w:rsidRPr="00931E4D">
          <w:rPr>
            <w:noProof/>
            <w:webHidden/>
          </w:rPr>
          <w:t>8</w:t>
        </w:r>
        <w:r w:rsidR="00931E4D" w:rsidRPr="00931E4D">
          <w:rPr>
            <w:noProof/>
            <w:webHidden/>
          </w:rPr>
          <w:fldChar w:fldCharType="end"/>
        </w:r>
      </w:hyperlink>
    </w:p>
    <w:p w14:paraId="5DABAF15" w14:textId="7FCA9324"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56" w:history="1">
        <w:r w:rsidR="00931E4D" w:rsidRPr="00931E4D">
          <w:rPr>
            <w:rStyle w:val="Hypertextovodkaz"/>
            <w:noProof/>
          </w:rPr>
          <w:t>Graf č. 3: Vývoj přijatých (a nevrácených) vkladů a vyplacených výher u hazardních her za období 2012–2020 (v mil.;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_Toc73538656 \h </w:instrText>
        </w:r>
        <w:r w:rsidR="00931E4D" w:rsidRPr="00931E4D">
          <w:rPr>
            <w:noProof/>
            <w:webHidden/>
          </w:rPr>
        </w:r>
        <w:r w:rsidR="00931E4D" w:rsidRPr="00931E4D">
          <w:rPr>
            <w:noProof/>
            <w:webHidden/>
          </w:rPr>
          <w:fldChar w:fldCharType="separate"/>
        </w:r>
        <w:r w:rsidR="00931E4D" w:rsidRPr="00931E4D">
          <w:rPr>
            <w:noProof/>
            <w:webHidden/>
          </w:rPr>
          <w:t>9</w:t>
        </w:r>
        <w:r w:rsidR="00931E4D" w:rsidRPr="00931E4D">
          <w:rPr>
            <w:noProof/>
            <w:webHidden/>
          </w:rPr>
          <w:fldChar w:fldCharType="end"/>
        </w:r>
      </w:hyperlink>
    </w:p>
    <w:p w14:paraId="1E688E80" w14:textId="1769F232"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57" w:history="1">
        <w:r w:rsidR="00931E4D" w:rsidRPr="00931E4D">
          <w:rPr>
            <w:rStyle w:val="Hypertextovodkaz"/>
            <w:noProof/>
          </w:rPr>
          <w:t>Graf č. 4: Vývoj výnosu dílčí daně z jednotlivých druhů hazardních her a vývoj podílu provozované v land-based prostředí a v prostředí internetu na tomto výnosu za období 2013–2020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_Toc73538657 \h </w:instrText>
        </w:r>
        <w:r w:rsidR="00931E4D" w:rsidRPr="00931E4D">
          <w:rPr>
            <w:noProof/>
            <w:webHidden/>
          </w:rPr>
        </w:r>
        <w:r w:rsidR="00931E4D" w:rsidRPr="00931E4D">
          <w:rPr>
            <w:noProof/>
            <w:webHidden/>
          </w:rPr>
          <w:fldChar w:fldCharType="separate"/>
        </w:r>
        <w:r w:rsidR="00931E4D" w:rsidRPr="00931E4D">
          <w:rPr>
            <w:noProof/>
            <w:webHidden/>
          </w:rPr>
          <w:t>10</w:t>
        </w:r>
        <w:r w:rsidR="00931E4D" w:rsidRPr="00931E4D">
          <w:rPr>
            <w:noProof/>
            <w:webHidden/>
          </w:rPr>
          <w:fldChar w:fldCharType="end"/>
        </w:r>
      </w:hyperlink>
    </w:p>
    <w:p w14:paraId="2C2F7E1F" w14:textId="3E8945C6"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58" w:history="1">
        <w:r w:rsidR="00931E4D" w:rsidRPr="00931E4D">
          <w:rPr>
            <w:rStyle w:val="Hypertextovodkaz"/>
            <w:noProof/>
          </w:rPr>
          <w:t>Graf č. 5: Vývoj počtu nově vydaných obecně závazných vyhlášek zakazujících provozování hazardních her na území obce dle zákona o loteriích a dle zákona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_Toc73538658 \h </w:instrText>
        </w:r>
        <w:r w:rsidR="00931E4D" w:rsidRPr="00931E4D">
          <w:rPr>
            <w:noProof/>
            <w:webHidden/>
          </w:rPr>
        </w:r>
        <w:r w:rsidR="00931E4D" w:rsidRPr="00931E4D">
          <w:rPr>
            <w:noProof/>
            <w:webHidden/>
          </w:rPr>
          <w:fldChar w:fldCharType="separate"/>
        </w:r>
        <w:r w:rsidR="00931E4D" w:rsidRPr="00931E4D">
          <w:rPr>
            <w:noProof/>
            <w:webHidden/>
          </w:rPr>
          <w:t>11</w:t>
        </w:r>
        <w:r w:rsidR="00931E4D" w:rsidRPr="00931E4D">
          <w:rPr>
            <w:noProof/>
            <w:webHidden/>
          </w:rPr>
          <w:fldChar w:fldCharType="end"/>
        </w:r>
      </w:hyperlink>
    </w:p>
    <w:p w14:paraId="350638E3" w14:textId="340FABC8"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59" w:history="1">
        <w:r w:rsidR="00931E4D" w:rsidRPr="00931E4D">
          <w:rPr>
            <w:rStyle w:val="Hypertextovodkaz"/>
            <w:noProof/>
          </w:rPr>
          <w:t>Graf č. 6: Podíl jednotlivých hazardních her provozovaných prostřednictvím internetu na daňových výnosech dané hazardní hry za období 2012–2020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_Toc73538659 \h </w:instrText>
        </w:r>
        <w:r w:rsidR="00931E4D" w:rsidRPr="00931E4D">
          <w:rPr>
            <w:noProof/>
            <w:webHidden/>
          </w:rPr>
        </w:r>
        <w:r w:rsidR="00931E4D" w:rsidRPr="00931E4D">
          <w:rPr>
            <w:noProof/>
            <w:webHidden/>
          </w:rPr>
          <w:fldChar w:fldCharType="separate"/>
        </w:r>
        <w:r w:rsidR="00931E4D" w:rsidRPr="00931E4D">
          <w:rPr>
            <w:noProof/>
            <w:webHidden/>
          </w:rPr>
          <w:t>12</w:t>
        </w:r>
        <w:r w:rsidR="00931E4D" w:rsidRPr="00931E4D">
          <w:rPr>
            <w:noProof/>
            <w:webHidden/>
          </w:rPr>
          <w:fldChar w:fldCharType="end"/>
        </w:r>
      </w:hyperlink>
    </w:p>
    <w:p w14:paraId="4AC13D32" w14:textId="69BBC7FB" w:rsidR="00931E4D" w:rsidRPr="00931E4D" w:rsidRDefault="00E77446">
      <w:pPr>
        <w:pStyle w:val="Seznamobrzk"/>
        <w:tabs>
          <w:tab w:val="right" w:leader="dot" w:pos="9062"/>
        </w:tabs>
        <w:rPr>
          <w:rFonts w:asciiTheme="minorHAnsi" w:eastAsiaTheme="minorEastAsia" w:hAnsiTheme="minorHAnsi"/>
          <w:noProof/>
          <w:sz w:val="22"/>
          <w:lang w:eastAsia="cs-CZ"/>
        </w:rPr>
      </w:pPr>
      <w:hyperlink r:id="rId18" w:anchor="_Toc73538660" w:history="1">
        <w:r w:rsidR="00931E4D" w:rsidRPr="00931E4D">
          <w:rPr>
            <w:rStyle w:val="Hypertextovodkaz"/>
            <w:noProof/>
          </w:rPr>
          <w:t>Graf č. 7: Vývoj výnosu daně z technické hry a počtu herních pozic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_Toc73538660 \h </w:instrText>
        </w:r>
        <w:r w:rsidR="00931E4D" w:rsidRPr="00931E4D">
          <w:rPr>
            <w:noProof/>
            <w:webHidden/>
          </w:rPr>
        </w:r>
        <w:r w:rsidR="00931E4D" w:rsidRPr="00931E4D">
          <w:rPr>
            <w:noProof/>
            <w:webHidden/>
          </w:rPr>
          <w:fldChar w:fldCharType="separate"/>
        </w:r>
        <w:r w:rsidR="00931E4D" w:rsidRPr="00931E4D">
          <w:rPr>
            <w:noProof/>
            <w:webHidden/>
          </w:rPr>
          <w:t>13</w:t>
        </w:r>
        <w:r w:rsidR="00931E4D" w:rsidRPr="00931E4D">
          <w:rPr>
            <w:noProof/>
            <w:webHidden/>
          </w:rPr>
          <w:fldChar w:fldCharType="end"/>
        </w:r>
      </w:hyperlink>
    </w:p>
    <w:p w14:paraId="7255941B" w14:textId="3CFBDF47"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61" w:history="1">
        <w:r w:rsidR="00931E4D" w:rsidRPr="00931E4D">
          <w:rPr>
            <w:rStyle w:val="Hypertextovodkaz"/>
            <w:noProof/>
          </w:rPr>
          <w:t>Graf č. 8: Podíl jednotlivých druhů hazardních her na výnosu daně z hazardních her za období 2013–2020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_Toc73538661 \h </w:instrText>
        </w:r>
        <w:r w:rsidR="00931E4D" w:rsidRPr="00931E4D">
          <w:rPr>
            <w:noProof/>
            <w:webHidden/>
          </w:rPr>
        </w:r>
        <w:r w:rsidR="00931E4D" w:rsidRPr="00931E4D">
          <w:rPr>
            <w:noProof/>
            <w:webHidden/>
          </w:rPr>
          <w:fldChar w:fldCharType="separate"/>
        </w:r>
        <w:r w:rsidR="00931E4D" w:rsidRPr="00931E4D">
          <w:rPr>
            <w:noProof/>
            <w:webHidden/>
          </w:rPr>
          <w:t>14</w:t>
        </w:r>
        <w:r w:rsidR="00931E4D" w:rsidRPr="00931E4D">
          <w:rPr>
            <w:noProof/>
            <w:webHidden/>
          </w:rPr>
          <w:fldChar w:fldCharType="end"/>
        </w:r>
      </w:hyperlink>
    </w:p>
    <w:p w14:paraId="581FD40E" w14:textId="56EDCE4D"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62" w:history="1">
        <w:r w:rsidR="00931E4D" w:rsidRPr="00931E4D">
          <w:rPr>
            <w:rStyle w:val="Hypertextovodkaz"/>
            <w:noProof/>
          </w:rPr>
          <w:t>Graf č. 9: Vývoj dílčí daně z technické hry rozdělené na její procentuální část a na část připadající na minimální dílčí daň (stav k 10. 2. 2021)</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_Toc73538662 \h </w:instrText>
        </w:r>
        <w:r w:rsidR="00931E4D" w:rsidRPr="00931E4D">
          <w:rPr>
            <w:noProof/>
            <w:webHidden/>
          </w:rPr>
        </w:r>
        <w:r w:rsidR="00931E4D" w:rsidRPr="00931E4D">
          <w:rPr>
            <w:noProof/>
            <w:webHidden/>
          </w:rPr>
          <w:fldChar w:fldCharType="separate"/>
        </w:r>
        <w:r w:rsidR="00931E4D" w:rsidRPr="00931E4D">
          <w:rPr>
            <w:noProof/>
            <w:webHidden/>
          </w:rPr>
          <w:t>16</w:t>
        </w:r>
        <w:r w:rsidR="00931E4D" w:rsidRPr="00931E4D">
          <w:rPr>
            <w:noProof/>
            <w:webHidden/>
          </w:rPr>
          <w:fldChar w:fldCharType="end"/>
        </w:r>
      </w:hyperlink>
    </w:p>
    <w:p w14:paraId="58170DDA" w14:textId="24E594CF" w:rsidR="00931E4D" w:rsidRPr="00931E4D" w:rsidRDefault="00E77446">
      <w:pPr>
        <w:pStyle w:val="Seznamobrzk"/>
        <w:tabs>
          <w:tab w:val="right" w:leader="dot" w:pos="9062"/>
        </w:tabs>
        <w:rPr>
          <w:rFonts w:asciiTheme="minorHAnsi" w:eastAsiaTheme="minorEastAsia" w:hAnsiTheme="minorHAnsi"/>
          <w:noProof/>
          <w:sz w:val="22"/>
          <w:lang w:eastAsia="cs-CZ"/>
        </w:rPr>
      </w:pPr>
      <w:hyperlink w:anchor="_Toc73538663" w:history="1">
        <w:r w:rsidR="00931E4D" w:rsidRPr="00931E4D">
          <w:rPr>
            <w:rStyle w:val="Hypertextovodkaz"/>
            <w:noProof/>
          </w:rPr>
          <w:t>Graf č. 10: Příjem vybraných obcí z RUD a z daně z hazardních her na 1 obyvatele za rok 2020 (tis. Kč; stav k 31. 12. 2020)</w:t>
        </w:r>
        <w:r w:rsidR="00931E4D" w:rsidRPr="00931E4D">
          <w:rPr>
            <w:noProof/>
            <w:webHidden/>
          </w:rPr>
          <w:tab/>
        </w:r>
        <w:r w:rsidR="00931E4D" w:rsidRPr="00931E4D">
          <w:rPr>
            <w:noProof/>
            <w:webHidden/>
          </w:rPr>
          <w:fldChar w:fldCharType="begin"/>
        </w:r>
        <w:r w:rsidR="00931E4D" w:rsidRPr="00931E4D">
          <w:rPr>
            <w:noProof/>
            <w:webHidden/>
          </w:rPr>
          <w:instrText xml:space="preserve"> PAGEREF _Toc73538663 \h </w:instrText>
        </w:r>
        <w:r w:rsidR="00931E4D" w:rsidRPr="00931E4D">
          <w:rPr>
            <w:noProof/>
            <w:webHidden/>
          </w:rPr>
        </w:r>
        <w:r w:rsidR="00931E4D" w:rsidRPr="00931E4D">
          <w:rPr>
            <w:noProof/>
            <w:webHidden/>
          </w:rPr>
          <w:fldChar w:fldCharType="separate"/>
        </w:r>
        <w:r w:rsidR="00931E4D" w:rsidRPr="00931E4D">
          <w:rPr>
            <w:noProof/>
            <w:webHidden/>
          </w:rPr>
          <w:t>26</w:t>
        </w:r>
        <w:r w:rsidR="00931E4D" w:rsidRPr="00931E4D">
          <w:rPr>
            <w:noProof/>
            <w:webHidden/>
          </w:rPr>
          <w:fldChar w:fldCharType="end"/>
        </w:r>
      </w:hyperlink>
    </w:p>
    <w:p w14:paraId="5B800A4B" w14:textId="3F7AFCE3" w:rsidR="000F25F1" w:rsidRDefault="000F25F1" w:rsidP="00A0643B">
      <w:r w:rsidRPr="00931E4D">
        <w:fldChar w:fldCharType="end"/>
      </w:r>
    </w:p>
    <w:p w14:paraId="2804D49F" w14:textId="23C994AA" w:rsidR="000F25F1" w:rsidRDefault="000F25F1" w:rsidP="00A0643B">
      <w:r w:rsidRPr="00A0643B">
        <w:t>Obrázky nejsou v této části zahrnuty.</w:t>
      </w:r>
    </w:p>
    <w:p w14:paraId="0759034C" w14:textId="57B0F488" w:rsidR="00931E4D" w:rsidRDefault="00931E4D" w:rsidP="00A0643B"/>
    <w:p w14:paraId="11814461" w14:textId="77777777" w:rsidR="0063244F" w:rsidRDefault="00931E4D" w:rsidP="00931E4D">
      <w:pPr>
        <w:pStyle w:val="Nadpis3"/>
        <w:rPr>
          <w:noProof/>
        </w:rPr>
      </w:pPr>
      <w:bookmarkStart w:id="33" w:name="_Toc73608303"/>
      <w:r>
        <w:t>Obsah</w:t>
      </w:r>
      <w:bookmarkEnd w:id="33"/>
      <w:r>
        <w:fldChar w:fldCharType="begin"/>
      </w:r>
      <w:r>
        <w:instrText xml:space="preserve"> TOC \o "1-6" \h \z \u </w:instrText>
      </w:r>
      <w:r>
        <w:fldChar w:fldCharType="separate"/>
      </w:r>
    </w:p>
    <w:p w14:paraId="68FACA66" w14:textId="5077DE4B" w:rsidR="0063244F" w:rsidRDefault="00E77446">
      <w:pPr>
        <w:pStyle w:val="Obsah3"/>
        <w:tabs>
          <w:tab w:val="left" w:pos="1200"/>
          <w:tab w:val="right" w:leader="dot" w:pos="9062"/>
        </w:tabs>
        <w:rPr>
          <w:rFonts w:asciiTheme="minorHAnsi" w:eastAsiaTheme="minorEastAsia" w:hAnsiTheme="minorHAnsi"/>
          <w:noProof/>
          <w:sz w:val="22"/>
          <w:lang w:eastAsia="cs-CZ"/>
        </w:rPr>
      </w:pPr>
      <w:hyperlink w:anchor="_Toc73608286" w:history="1">
        <w:r w:rsidR="0063244F" w:rsidRPr="00346FB4">
          <w:rPr>
            <w:rStyle w:val="Hypertextovodkaz"/>
            <w:noProof/>
          </w:rPr>
          <w:t>1.1</w:t>
        </w:r>
        <w:r w:rsidR="0063244F">
          <w:rPr>
            <w:rFonts w:asciiTheme="minorHAnsi" w:eastAsiaTheme="minorEastAsia" w:hAnsiTheme="minorHAnsi"/>
            <w:noProof/>
            <w:sz w:val="22"/>
            <w:lang w:eastAsia="cs-CZ"/>
          </w:rPr>
          <w:tab/>
        </w:r>
        <w:r w:rsidR="0063244F" w:rsidRPr="00346FB4">
          <w:rPr>
            <w:rStyle w:val="Hypertextovodkaz"/>
            <w:noProof/>
          </w:rPr>
          <w:t>Konkrétní popis regulace obsažené v zákoně o loteriích</w:t>
        </w:r>
        <w:r w:rsidR="0063244F">
          <w:rPr>
            <w:noProof/>
            <w:webHidden/>
          </w:rPr>
          <w:tab/>
        </w:r>
        <w:r w:rsidR="0063244F">
          <w:rPr>
            <w:noProof/>
            <w:webHidden/>
          </w:rPr>
          <w:fldChar w:fldCharType="begin"/>
        </w:r>
        <w:r w:rsidR="0063244F">
          <w:rPr>
            <w:noProof/>
            <w:webHidden/>
          </w:rPr>
          <w:instrText xml:space="preserve"> PAGEREF _Toc73608286 \h </w:instrText>
        </w:r>
        <w:r w:rsidR="0063244F">
          <w:rPr>
            <w:noProof/>
            <w:webHidden/>
          </w:rPr>
        </w:r>
        <w:r w:rsidR="0063244F">
          <w:rPr>
            <w:noProof/>
            <w:webHidden/>
          </w:rPr>
          <w:fldChar w:fldCharType="separate"/>
        </w:r>
        <w:r w:rsidR="0063244F">
          <w:rPr>
            <w:noProof/>
            <w:webHidden/>
          </w:rPr>
          <w:t>1</w:t>
        </w:r>
        <w:r w:rsidR="0063244F">
          <w:rPr>
            <w:noProof/>
            <w:webHidden/>
          </w:rPr>
          <w:fldChar w:fldCharType="end"/>
        </w:r>
      </w:hyperlink>
    </w:p>
    <w:p w14:paraId="7833A662" w14:textId="766016BA" w:rsidR="0063244F" w:rsidRDefault="00E77446">
      <w:pPr>
        <w:pStyle w:val="Obsah3"/>
        <w:tabs>
          <w:tab w:val="left" w:pos="1200"/>
          <w:tab w:val="right" w:leader="dot" w:pos="9062"/>
        </w:tabs>
        <w:rPr>
          <w:rFonts w:asciiTheme="minorHAnsi" w:eastAsiaTheme="minorEastAsia" w:hAnsiTheme="minorHAnsi"/>
          <w:noProof/>
          <w:sz w:val="22"/>
          <w:lang w:eastAsia="cs-CZ"/>
        </w:rPr>
      </w:pPr>
      <w:hyperlink w:anchor="_Toc73608287" w:history="1">
        <w:r w:rsidR="0063244F" w:rsidRPr="00346FB4">
          <w:rPr>
            <w:rStyle w:val="Hypertextovodkaz"/>
            <w:noProof/>
          </w:rPr>
          <w:t>1.2</w:t>
        </w:r>
        <w:r w:rsidR="0063244F">
          <w:rPr>
            <w:rFonts w:asciiTheme="minorHAnsi" w:eastAsiaTheme="minorEastAsia" w:hAnsiTheme="minorHAnsi"/>
            <w:noProof/>
            <w:sz w:val="22"/>
            <w:lang w:eastAsia="cs-CZ"/>
          </w:rPr>
          <w:tab/>
        </w:r>
        <w:r w:rsidR="0063244F" w:rsidRPr="00346FB4">
          <w:rPr>
            <w:rStyle w:val="Hypertextovodkaz"/>
            <w:noProof/>
          </w:rPr>
          <w:t>Konkrétní popis regulace obsažené v zákoně o dani z hazardních her</w:t>
        </w:r>
        <w:r w:rsidR="0063244F">
          <w:rPr>
            <w:noProof/>
            <w:webHidden/>
          </w:rPr>
          <w:tab/>
        </w:r>
        <w:r w:rsidR="0063244F">
          <w:rPr>
            <w:noProof/>
            <w:webHidden/>
          </w:rPr>
          <w:fldChar w:fldCharType="begin"/>
        </w:r>
        <w:r w:rsidR="0063244F">
          <w:rPr>
            <w:noProof/>
            <w:webHidden/>
          </w:rPr>
          <w:instrText xml:space="preserve"> PAGEREF _Toc73608287 \h </w:instrText>
        </w:r>
        <w:r w:rsidR="0063244F">
          <w:rPr>
            <w:noProof/>
            <w:webHidden/>
          </w:rPr>
        </w:r>
        <w:r w:rsidR="0063244F">
          <w:rPr>
            <w:noProof/>
            <w:webHidden/>
          </w:rPr>
          <w:fldChar w:fldCharType="separate"/>
        </w:r>
        <w:r w:rsidR="0063244F">
          <w:rPr>
            <w:noProof/>
            <w:webHidden/>
          </w:rPr>
          <w:t>1</w:t>
        </w:r>
        <w:r w:rsidR="0063244F">
          <w:rPr>
            <w:noProof/>
            <w:webHidden/>
          </w:rPr>
          <w:fldChar w:fldCharType="end"/>
        </w:r>
      </w:hyperlink>
    </w:p>
    <w:p w14:paraId="7082FD0D" w14:textId="6C895BC8"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88" w:history="1">
        <w:r w:rsidR="0063244F" w:rsidRPr="00346FB4">
          <w:rPr>
            <w:rStyle w:val="Hypertextovodkaz"/>
            <w:noProof/>
            <w14:scene3d>
              <w14:camera w14:prst="orthographicFront"/>
              <w14:lightRig w14:rig="threePt" w14:dir="t">
                <w14:rot w14:lat="0" w14:lon="0" w14:rev="0"/>
              </w14:lightRig>
            </w14:scene3d>
          </w:rPr>
          <w:t>A.</w:t>
        </w:r>
        <w:r w:rsidR="0063244F">
          <w:rPr>
            <w:rFonts w:asciiTheme="minorHAnsi" w:eastAsiaTheme="minorEastAsia" w:hAnsiTheme="minorHAnsi"/>
            <w:noProof/>
            <w:sz w:val="22"/>
            <w:lang w:eastAsia="cs-CZ"/>
          </w:rPr>
          <w:tab/>
        </w:r>
        <w:r w:rsidR="0063244F" w:rsidRPr="00346FB4">
          <w:rPr>
            <w:rStyle w:val="Hypertextovodkaz"/>
            <w:noProof/>
          </w:rPr>
          <w:t>Daň z hazardních her obecně</w:t>
        </w:r>
        <w:r w:rsidR="0063244F">
          <w:rPr>
            <w:noProof/>
            <w:webHidden/>
          </w:rPr>
          <w:tab/>
        </w:r>
        <w:r w:rsidR="0063244F">
          <w:rPr>
            <w:noProof/>
            <w:webHidden/>
          </w:rPr>
          <w:fldChar w:fldCharType="begin"/>
        </w:r>
        <w:r w:rsidR="0063244F">
          <w:rPr>
            <w:noProof/>
            <w:webHidden/>
          </w:rPr>
          <w:instrText xml:space="preserve"> PAGEREF _Toc73608288 \h </w:instrText>
        </w:r>
        <w:r w:rsidR="0063244F">
          <w:rPr>
            <w:noProof/>
            <w:webHidden/>
          </w:rPr>
        </w:r>
        <w:r w:rsidR="0063244F">
          <w:rPr>
            <w:noProof/>
            <w:webHidden/>
          </w:rPr>
          <w:fldChar w:fldCharType="separate"/>
        </w:r>
        <w:r w:rsidR="0063244F">
          <w:rPr>
            <w:noProof/>
            <w:webHidden/>
          </w:rPr>
          <w:t>1</w:t>
        </w:r>
        <w:r w:rsidR="0063244F">
          <w:rPr>
            <w:noProof/>
            <w:webHidden/>
          </w:rPr>
          <w:fldChar w:fldCharType="end"/>
        </w:r>
      </w:hyperlink>
    </w:p>
    <w:p w14:paraId="6C32DAE0" w14:textId="43F4F32A"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89" w:history="1">
        <w:r w:rsidR="0063244F" w:rsidRPr="00346FB4">
          <w:rPr>
            <w:rStyle w:val="Hypertextovodkaz"/>
            <w:noProof/>
            <w14:scene3d>
              <w14:camera w14:prst="orthographicFront"/>
              <w14:lightRig w14:rig="threePt" w14:dir="t">
                <w14:rot w14:lat="0" w14:lon="0" w14:rev="0"/>
              </w14:lightRig>
            </w14:scene3d>
          </w:rPr>
          <w:t>B.</w:t>
        </w:r>
        <w:r w:rsidR="0063244F">
          <w:rPr>
            <w:rFonts w:asciiTheme="minorHAnsi" w:eastAsiaTheme="minorEastAsia" w:hAnsiTheme="minorHAnsi"/>
            <w:noProof/>
            <w:sz w:val="22"/>
            <w:lang w:eastAsia="cs-CZ"/>
          </w:rPr>
          <w:tab/>
        </w:r>
        <w:r w:rsidR="0063244F" w:rsidRPr="00346FB4">
          <w:rPr>
            <w:rStyle w:val="Hypertextovodkaz"/>
            <w:noProof/>
          </w:rPr>
          <w:t>Rozpočtové určení daně z hazardních her</w:t>
        </w:r>
        <w:r w:rsidR="0063244F">
          <w:rPr>
            <w:noProof/>
            <w:webHidden/>
          </w:rPr>
          <w:tab/>
        </w:r>
        <w:r w:rsidR="0063244F">
          <w:rPr>
            <w:noProof/>
            <w:webHidden/>
          </w:rPr>
          <w:fldChar w:fldCharType="begin"/>
        </w:r>
        <w:r w:rsidR="0063244F">
          <w:rPr>
            <w:noProof/>
            <w:webHidden/>
          </w:rPr>
          <w:instrText xml:space="preserve"> PAGEREF _Toc73608289 \h </w:instrText>
        </w:r>
        <w:r w:rsidR="0063244F">
          <w:rPr>
            <w:noProof/>
            <w:webHidden/>
          </w:rPr>
        </w:r>
        <w:r w:rsidR="0063244F">
          <w:rPr>
            <w:noProof/>
            <w:webHidden/>
          </w:rPr>
          <w:fldChar w:fldCharType="separate"/>
        </w:r>
        <w:r w:rsidR="0063244F">
          <w:rPr>
            <w:noProof/>
            <w:webHidden/>
          </w:rPr>
          <w:t>6</w:t>
        </w:r>
        <w:r w:rsidR="0063244F">
          <w:rPr>
            <w:noProof/>
            <w:webHidden/>
          </w:rPr>
          <w:fldChar w:fldCharType="end"/>
        </w:r>
      </w:hyperlink>
    </w:p>
    <w:p w14:paraId="7603A6A7" w14:textId="764E1044"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90" w:history="1">
        <w:r w:rsidR="0063244F" w:rsidRPr="00346FB4">
          <w:rPr>
            <w:rStyle w:val="Hypertextovodkaz"/>
            <w:noProof/>
            <w14:scene3d>
              <w14:camera w14:prst="orthographicFront"/>
              <w14:lightRig w14:rig="threePt" w14:dir="t">
                <w14:rot w14:lat="0" w14:lon="0" w14:rev="0"/>
              </w14:lightRig>
            </w14:scene3d>
          </w:rPr>
          <w:t>C.</w:t>
        </w:r>
        <w:r w:rsidR="0063244F">
          <w:rPr>
            <w:rFonts w:asciiTheme="minorHAnsi" w:eastAsiaTheme="minorEastAsia" w:hAnsiTheme="minorHAnsi"/>
            <w:noProof/>
            <w:sz w:val="22"/>
            <w:lang w:eastAsia="cs-CZ"/>
          </w:rPr>
          <w:tab/>
        </w:r>
        <w:r w:rsidR="0063244F" w:rsidRPr="00346FB4">
          <w:rPr>
            <w:rStyle w:val="Hypertextovodkaz"/>
            <w:noProof/>
          </w:rPr>
          <w:t>Výše zdanění</w:t>
        </w:r>
        <w:r w:rsidR="0063244F">
          <w:rPr>
            <w:noProof/>
            <w:webHidden/>
          </w:rPr>
          <w:tab/>
        </w:r>
        <w:r w:rsidR="0063244F">
          <w:rPr>
            <w:noProof/>
            <w:webHidden/>
          </w:rPr>
          <w:fldChar w:fldCharType="begin"/>
        </w:r>
        <w:r w:rsidR="0063244F">
          <w:rPr>
            <w:noProof/>
            <w:webHidden/>
          </w:rPr>
          <w:instrText xml:space="preserve"> PAGEREF _Toc73608290 \h </w:instrText>
        </w:r>
        <w:r w:rsidR="0063244F">
          <w:rPr>
            <w:noProof/>
            <w:webHidden/>
          </w:rPr>
        </w:r>
        <w:r w:rsidR="0063244F">
          <w:rPr>
            <w:noProof/>
            <w:webHidden/>
          </w:rPr>
          <w:fldChar w:fldCharType="separate"/>
        </w:r>
        <w:r w:rsidR="0063244F">
          <w:rPr>
            <w:noProof/>
            <w:webHidden/>
          </w:rPr>
          <w:t>7</w:t>
        </w:r>
        <w:r w:rsidR="0063244F">
          <w:rPr>
            <w:noProof/>
            <w:webHidden/>
          </w:rPr>
          <w:fldChar w:fldCharType="end"/>
        </w:r>
      </w:hyperlink>
    </w:p>
    <w:p w14:paraId="051D4870" w14:textId="24963B7A"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91" w:history="1">
        <w:r w:rsidR="0063244F" w:rsidRPr="00346FB4">
          <w:rPr>
            <w:rStyle w:val="Hypertextovodkaz"/>
            <w:noProof/>
            <w14:scene3d>
              <w14:camera w14:prst="orthographicFront"/>
              <w14:lightRig w14:rig="threePt" w14:dir="t">
                <w14:rot w14:lat="0" w14:lon="0" w14:rev="0"/>
              </w14:lightRig>
            </w14:scene3d>
          </w:rPr>
          <w:t>D.</w:t>
        </w:r>
        <w:r w:rsidR="0063244F">
          <w:rPr>
            <w:rFonts w:asciiTheme="minorHAnsi" w:eastAsiaTheme="minorEastAsia" w:hAnsiTheme="minorHAnsi"/>
            <w:noProof/>
            <w:sz w:val="22"/>
            <w:lang w:eastAsia="cs-CZ"/>
          </w:rPr>
          <w:tab/>
        </w:r>
        <w:r w:rsidR="0063244F" w:rsidRPr="00346FB4">
          <w:rPr>
            <w:rStyle w:val="Hypertextovodkaz"/>
            <w:noProof/>
          </w:rPr>
          <w:t>Danění nelegálních provozovatelů hazardních her</w:t>
        </w:r>
        <w:r w:rsidR="0063244F">
          <w:rPr>
            <w:noProof/>
            <w:webHidden/>
          </w:rPr>
          <w:tab/>
        </w:r>
        <w:r w:rsidR="0063244F">
          <w:rPr>
            <w:noProof/>
            <w:webHidden/>
          </w:rPr>
          <w:fldChar w:fldCharType="begin"/>
        </w:r>
        <w:r w:rsidR="0063244F">
          <w:rPr>
            <w:noProof/>
            <w:webHidden/>
          </w:rPr>
          <w:instrText xml:space="preserve"> PAGEREF _Toc73608291 \h </w:instrText>
        </w:r>
        <w:r w:rsidR="0063244F">
          <w:rPr>
            <w:noProof/>
            <w:webHidden/>
          </w:rPr>
        </w:r>
        <w:r w:rsidR="0063244F">
          <w:rPr>
            <w:noProof/>
            <w:webHidden/>
          </w:rPr>
          <w:fldChar w:fldCharType="separate"/>
        </w:r>
        <w:r w:rsidR="0063244F">
          <w:rPr>
            <w:noProof/>
            <w:webHidden/>
          </w:rPr>
          <w:t>14</w:t>
        </w:r>
        <w:r w:rsidR="0063244F">
          <w:rPr>
            <w:noProof/>
            <w:webHidden/>
          </w:rPr>
          <w:fldChar w:fldCharType="end"/>
        </w:r>
      </w:hyperlink>
    </w:p>
    <w:p w14:paraId="4F70963A" w14:textId="6083526E" w:rsidR="0063244F" w:rsidRDefault="00E77446">
      <w:pPr>
        <w:pStyle w:val="Obsah3"/>
        <w:tabs>
          <w:tab w:val="left" w:pos="1200"/>
          <w:tab w:val="right" w:leader="dot" w:pos="9062"/>
        </w:tabs>
        <w:rPr>
          <w:rFonts w:asciiTheme="minorHAnsi" w:eastAsiaTheme="minorEastAsia" w:hAnsiTheme="minorHAnsi"/>
          <w:noProof/>
          <w:sz w:val="22"/>
          <w:lang w:eastAsia="cs-CZ"/>
        </w:rPr>
      </w:pPr>
      <w:hyperlink w:anchor="_Toc73608292" w:history="1">
        <w:r w:rsidR="0063244F" w:rsidRPr="00346FB4">
          <w:rPr>
            <w:rStyle w:val="Hypertextovodkaz"/>
            <w:noProof/>
          </w:rPr>
          <w:t>1.3</w:t>
        </w:r>
        <w:r w:rsidR="0063244F">
          <w:rPr>
            <w:rFonts w:asciiTheme="minorHAnsi" w:eastAsiaTheme="minorEastAsia" w:hAnsiTheme="minorHAnsi"/>
            <w:noProof/>
            <w:sz w:val="22"/>
            <w:lang w:eastAsia="cs-CZ"/>
          </w:rPr>
          <w:tab/>
        </w:r>
        <w:r w:rsidR="0063244F" w:rsidRPr="00346FB4">
          <w:rPr>
            <w:rStyle w:val="Hypertextovodkaz"/>
            <w:noProof/>
          </w:rPr>
          <w:t>Konkrétní popis nástrojů, včetně oblastí, na které by bylo vhodné se v budoucnu zaměřit, a návrh doporučení či možných variant řešení</w:t>
        </w:r>
        <w:r w:rsidR="0063244F">
          <w:rPr>
            <w:noProof/>
            <w:webHidden/>
          </w:rPr>
          <w:tab/>
        </w:r>
        <w:r w:rsidR="0063244F">
          <w:rPr>
            <w:noProof/>
            <w:webHidden/>
          </w:rPr>
          <w:fldChar w:fldCharType="begin"/>
        </w:r>
        <w:r w:rsidR="0063244F">
          <w:rPr>
            <w:noProof/>
            <w:webHidden/>
          </w:rPr>
          <w:instrText xml:space="preserve"> PAGEREF _Toc73608292 \h </w:instrText>
        </w:r>
        <w:r w:rsidR="0063244F">
          <w:rPr>
            <w:noProof/>
            <w:webHidden/>
          </w:rPr>
        </w:r>
        <w:r w:rsidR="0063244F">
          <w:rPr>
            <w:noProof/>
            <w:webHidden/>
          </w:rPr>
          <w:fldChar w:fldCharType="separate"/>
        </w:r>
        <w:r w:rsidR="0063244F">
          <w:rPr>
            <w:noProof/>
            <w:webHidden/>
          </w:rPr>
          <w:t>15</w:t>
        </w:r>
        <w:r w:rsidR="0063244F">
          <w:rPr>
            <w:noProof/>
            <w:webHidden/>
          </w:rPr>
          <w:fldChar w:fldCharType="end"/>
        </w:r>
      </w:hyperlink>
    </w:p>
    <w:p w14:paraId="2D4008FC" w14:textId="54C92301"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93" w:history="1">
        <w:r w:rsidR="0063244F" w:rsidRPr="00346FB4">
          <w:rPr>
            <w:rStyle w:val="Hypertextovodkaz"/>
            <w:noProof/>
            <w14:scene3d>
              <w14:camera w14:prst="orthographicFront"/>
              <w14:lightRig w14:rig="threePt" w14:dir="t">
                <w14:rot w14:lat="0" w14:lon="0" w14:rev="0"/>
              </w14:lightRig>
            </w14:scene3d>
          </w:rPr>
          <w:t>A.</w:t>
        </w:r>
        <w:r w:rsidR="0063244F">
          <w:rPr>
            <w:rFonts w:asciiTheme="minorHAnsi" w:eastAsiaTheme="minorEastAsia" w:hAnsiTheme="minorHAnsi"/>
            <w:noProof/>
            <w:sz w:val="22"/>
            <w:lang w:eastAsia="cs-CZ"/>
          </w:rPr>
          <w:tab/>
        </w:r>
        <w:r w:rsidR="0063244F" w:rsidRPr="00346FB4">
          <w:rPr>
            <w:rStyle w:val="Hypertextovodkaz"/>
            <w:noProof/>
          </w:rPr>
          <w:t>Daň z hazardních her obecně</w:t>
        </w:r>
        <w:r w:rsidR="0063244F">
          <w:rPr>
            <w:noProof/>
            <w:webHidden/>
          </w:rPr>
          <w:tab/>
        </w:r>
        <w:r w:rsidR="0063244F">
          <w:rPr>
            <w:noProof/>
            <w:webHidden/>
          </w:rPr>
          <w:fldChar w:fldCharType="begin"/>
        </w:r>
        <w:r w:rsidR="0063244F">
          <w:rPr>
            <w:noProof/>
            <w:webHidden/>
          </w:rPr>
          <w:instrText xml:space="preserve"> PAGEREF _Toc73608293 \h </w:instrText>
        </w:r>
        <w:r w:rsidR="0063244F">
          <w:rPr>
            <w:noProof/>
            <w:webHidden/>
          </w:rPr>
        </w:r>
        <w:r w:rsidR="0063244F">
          <w:rPr>
            <w:noProof/>
            <w:webHidden/>
          </w:rPr>
          <w:fldChar w:fldCharType="separate"/>
        </w:r>
        <w:r w:rsidR="0063244F">
          <w:rPr>
            <w:noProof/>
            <w:webHidden/>
          </w:rPr>
          <w:t>15</w:t>
        </w:r>
        <w:r w:rsidR="0063244F">
          <w:rPr>
            <w:noProof/>
            <w:webHidden/>
          </w:rPr>
          <w:fldChar w:fldCharType="end"/>
        </w:r>
      </w:hyperlink>
    </w:p>
    <w:p w14:paraId="0CA58431" w14:textId="4A4F8459" w:rsidR="0063244F" w:rsidRDefault="00E77446">
      <w:pPr>
        <w:pStyle w:val="Obsah6"/>
        <w:tabs>
          <w:tab w:val="left" w:pos="1760"/>
          <w:tab w:val="right" w:leader="dot" w:pos="9062"/>
        </w:tabs>
        <w:rPr>
          <w:rFonts w:asciiTheme="minorHAnsi" w:eastAsiaTheme="minorEastAsia" w:hAnsiTheme="minorHAnsi"/>
          <w:noProof/>
          <w:sz w:val="22"/>
          <w:lang w:eastAsia="cs-CZ"/>
        </w:rPr>
      </w:pPr>
      <w:hyperlink w:anchor="_Toc73608294" w:history="1">
        <w:r w:rsidR="0063244F" w:rsidRPr="00346FB4">
          <w:rPr>
            <w:rStyle w:val="Hypertextovodkaz"/>
            <w:noProof/>
          </w:rPr>
          <w:t>i.</w:t>
        </w:r>
        <w:r w:rsidR="0063244F">
          <w:rPr>
            <w:rFonts w:asciiTheme="minorHAnsi" w:eastAsiaTheme="minorEastAsia" w:hAnsiTheme="minorHAnsi"/>
            <w:noProof/>
            <w:sz w:val="22"/>
            <w:lang w:eastAsia="cs-CZ"/>
          </w:rPr>
          <w:tab/>
        </w:r>
        <w:r w:rsidR="0063244F" w:rsidRPr="00346FB4">
          <w:rPr>
            <w:rStyle w:val="Hypertextovodkaz"/>
            <w:noProof/>
          </w:rPr>
          <w:t>Zhodnocení institutu minimální dílčí daně z technických her</w:t>
        </w:r>
        <w:r w:rsidR="0063244F">
          <w:rPr>
            <w:noProof/>
            <w:webHidden/>
          </w:rPr>
          <w:tab/>
        </w:r>
        <w:r w:rsidR="0063244F">
          <w:rPr>
            <w:noProof/>
            <w:webHidden/>
          </w:rPr>
          <w:fldChar w:fldCharType="begin"/>
        </w:r>
        <w:r w:rsidR="0063244F">
          <w:rPr>
            <w:noProof/>
            <w:webHidden/>
          </w:rPr>
          <w:instrText xml:space="preserve"> PAGEREF _Toc73608294 \h </w:instrText>
        </w:r>
        <w:r w:rsidR="0063244F">
          <w:rPr>
            <w:noProof/>
            <w:webHidden/>
          </w:rPr>
        </w:r>
        <w:r w:rsidR="0063244F">
          <w:rPr>
            <w:noProof/>
            <w:webHidden/>
          </w:rPr>
          <w:fldChar w:fldCharType="separate"/>
        </w:r>
        <w:r w:rsidR="0063244F">
          <w:rPr>
            <w:noProof/>
            <w:webHidden/>
          </w:rPr>
          <w:t>15</w:t>
        </w:r>
        <w:r w:rsidR="0063244F">
          <w:rPr>
            <w:noProof/>
            <w:webHidden/>
          </w:rPr>
          <w:fldChar w:fldCharType="end"/>
        </w:r>
      </w:hyperlink>
    </w:p>
    <w:p w14:paraId="44CCFAB5" w14:textId="3B2DD3BB" w:rsidR="0063244F" w:rsidRDefault="00E77446">
      <w:pPr>
        <w:pStyle w:val="Obsah6"/>
        <w:tabs>
          <w:tab w:val="left" w:pos="1760"/>
          <w:tab w:val="right" w:leader="dot" w:pos="9062"/>
        </w:tabs>
        <w:rPr>
          <w:rFonts w:asciiTheme="minorHAnsi" w:eastAsiaTheme="minorEastAsia" w:hAnsiTheme="minorHAnsi"/>
          <w:noProof/>
          <w:sz w:val="22"/>
          <w:lang w:eastAsia="cs-CZ"/>
        </w:rPr>
      </w:pPr>
      <w:hyperlink w:anchor="_Toc73608295" w:history="1">
        <w:r w:rsidR="0063244F" w:rsidRPr="00346FB4">
          <w:rPr>
            <w:rStyle w:val="Hypertextovodkaz"/>
            <w:noProof/>
          </w:rPr>
          <w:t>ii.</w:t>
        </w:r>
        <w:r w:rsidR="0063244F">
          <w:rPr>
            <w:rFonts w:asciiTheme="minorHAnsi" w:eastAsiaTheme="minorEastAsia" w:hAnsiTheme="minorHAnsi"/>
            <w:noProof/>
            <w:sz w:val="22"/>
            <w:lang w:eastAsia="cs-CZ"/>
          </w:rPr>
          <w:tab/>
        </w:r>
        <w:r w:rsidR="0063244F" w:rsidRPr="00346FB4">
          <w:rPr>
            <w:rStyle w:val="Hypertextovodkaz"/>
            <w:noProof/>
          </w:rPr>
          <w:t>Rozdílné zdanění hazardních her dle způsobu provozování</w:t>
        </w:r>
        <w:r w:rsidR="0063244F">
          <w:rPr>
            <w:noProof/>
            <w:webHidden/>
          </w:rPr>
          <w:tab/>
        </w:r>
        <w:r w:rsidR="0063244F">
          <w:rPr>
            <w:noProof/>
            <w:webHidden/>
          </w:rPr>
          <w:fldChar w:fldCharType="begin"/>
        </w:r>
        <w:r w:rsidR="0063244F">
          <w:rPr>
            <w:noProof/>
            <w:webHidden/>
          </w:rPr>
          <w:instrText xml:space="preserve"> PAGEREF _Toc73608295 \h </w:instrText>
        </w:r>
        <w:r w:rsidR="0063244F">
          <w:rPr>
            <w:noProof/>
            <w:webHidden/>
          </w:rPr>
        </w:r>
        <w:r w:rsidR="0063244F">
          <w:rPr>
            <w:noProof/>
            <w:webHidden/>
          </w:rPr>
          <w:fldChar w:fldCharType="separate"/>
        </w:r>
        <w:r w:rsidR="0063244F">
          <w:rPr>
            <w:noProof/>
            <w:webHidden/>
          </w:rPr>
          <w:t>19</w:t>
        </w:r>
        <w:r w:rsidR="0063244F">
          <w:rPr>
            <w:noProof/>
            <w:webHidden/>
          </w:rPr>
          <w:fldChar w:fldCharType="end"/>
        </w:r>
      </w:hyperlink>
    </w:p>
    <w:p w14:paraId="06BAC05C" w14:textId="4A86D03B" w:rsidR="0063244F" w:rsidRDefault="00E77446">
      <w:pPr>
        <w:pStyle w:val="Obsah6"/>
        <w:tabs>
          <w:tab w:val="left" w:pos="1760"/>
          <w:tab w:val="right" w:leader="dot" w:pos="9062"/>
        </w:tabs>
        <w:rPr>
          <w:rFonts w:asciiTheme="minorHAnsi" w:eastAsiaTheme="minorEastAsia" w:hAnsiTheme="minorHAnsi"/>
          <w:noProof/>
          <w:sz w:val="22"/>
          <w:lang w:eastAsia="cs-CZ"/>
        </w:rPr>
      </w:pPr>
      <w:hyperlink w:anchor="_Toc73608296" w:history="1">
        <w:r w:rsidR="0063244F" w:rsidRPr="00346FB4">
          <w:rPr>
            <w:rStyle w:val="Hypertextovodkaz"/>
            <w:noProof/>
          </w:rPr>
          <w:t>iii.</w:t>
        </w:r>
        <w:r w:rsidR="0063244F">
          <w:rPr>
            <w:rFonts w:asciiTheme="minorHAnsi" w:eastAsiaTheme="minorEastAsia" w:hAnsiTheme="minorHAnsi"/>
            <w:noProof/>
            <w:sz w:val="22"/>
            <w:lang w:eastAsia="cs-CZ"/>
          </w:rPr>
          <w:tab/>
        </w:r>
        <w:r w:rsidR="0063244F" w:rsidRPr="00346FB4">
          <w:rPr>
            <w:rStyle w:val="Hypertextovodkaz"/>
            <w:noProof/>
          </w:rPr>
          <w:t>Daňové přiznání k dani z hazardních her</w:t>
        </w:r>
        <w:r w:rsidR="0063244F">
          <w:rPr>
            <w:noProof/>
            <w:webHidden/>
          </w:rPr>
          <w:tab/>
        </w:r>
        <w:r w:rsidR="0063244F">
          <w:rPr>
            <w:noProof/>
            <w:webHidden/>
          </w:rPr>
          <w:fldChar w:fldCharType="begin"/>
        </w:r>
        <w:r w:rsidR="0063244F">
          <w:rPr>
            <w:noProof/>
            <w:webHidden/>
          </w:rPr>
          <w:instrText xml:space="preserve"> PAGEREF _Toc73608296 \h </w:instrText>
        </w:r>
        <w:r w:rsidR="0063244F">
          <w:rPr>
            <w:noProof/>
            <w:webHidden/>
          </w:rPr>
        </w:r>
        <w:r w:rsidR="0063244F">
          <w:rPr>
            <w:noProof/>
            <w:webHidden/>
          </w:rPr>
          <w:fldChar w:fldCharType="separate"/>
        </w:r>
        <w:r w:rsidR="0063244F">
          <w:rPr>
            <w:noProof/>
            <w:webHidden/>
          </w:rPr>
          <w:t>22</w:t>
        </w:r>
        <w:r w:rsidR="0063244F">
          <w:rPr>
            <w:noProof/>
            <w:webHidden/>
          </w:rPr>
          <w:fldChar w:fldCharType="end"/>
        </w:r>
      </w:hyperlink>
    </w:p>
    <w:p w14:paraId="45722B4A" w14:textId="67B27DCC" w:rsidR="0063244F" w:rsidRDefault="00E77446">
      <w:pPr>
        <w:pStyle w:val="Obsah6"/>
        <w:tabs>
          <w:tab w:val="left" w:pos="1760"/>
          <w:tab w:val="right" w:leader="dot" w:pos="9062"/>
        </w:tabs>
        <w:rPr>
          <w:rFonts w:asciiTheme="minorHAnsi" w:eastAsiaTheme="minorEastAsia" w:hAnsiTheme="minorHAnsi"/>
          <w:noProof/>
          <w:sz w:val="22"/>
          <w:lang w:eastAsia="cs-CZ"/>
        </w:rPr>
      </w:pPr>
      <w:hyperlink w:anchor="_Toc73608297" w:history="1">
        <w:r w:rsidR="0063244F" w:rsidRPr="00346FB4">
          <w:rPr>
            <w:rStyle w:val="Hypertextovodkaz"/>
            <w:noProof/>
          </w:rPr>
          <w:t>iv.</w:t>
        </w:r>
        <w:r w:rsidR="0063244F">
          <w:rPr>
            <w:rFonts w:asciiTheme="minorHAnsi" w:eastAsiaTheme="minorEastAsia" w:hAnsiTheme="minorHAnsi"/>
            <w:noProof/>
            <w:sz w:val="22"/>
            <w:lang w:eastAsia="cs-CZ"/>
          </w:rPr>
          <w:tab/>
        </w:r>
        <w:r w:rsidR="0063244F" w:rsidRPr="00346FB4">
          <w:rPr>
            <w:rStyle w:val="Hypertextovodkaz"/>
            <w:noProof/>
          </w:rPr>
          <w:t>Výše zdanění u „karetních“/“pokerových“ her</w:t>
        </w:r>
        <w:r w:rsidR="0063244F">
          <w:rPr>
            <w:noProof/>
            <w:webHidden/>
          </w:rPr>
          <w:tab/>
        </w:r>
        <w:r w:rsidR="0063244F">
          <w:rPr>
            <w:noProof/>
            <w:webHidden/>
          </w:rPr>
          <w:fldChar w:fldCharType="begin"/>
        </w:r>
        <w:r w:rsidR="0063244F">
          <w:rPr>
            <w:noProof/>
            <w:webHidden/>
          </w:rPr>
          <w:instrText xml:space="preserve"> PAGEREF _Toc73608297 \h </w:instrText>
        </w:r>
        <w:r w:rsidR="0063244F">
          <w:rPr>
            <w:noProof/>
            <w:webHidden/>
          </w:rPr>
        </w:r>
        <w:r w:rsidR="0063244F">
          <w:rPr>
            <w:noProof/>
            <w:webHidden/>
          </w:rPr>
          <w:fldChar w:fldCharType="separate"/>
        </w:r>
        <w:r w:rsidR="0063244F">
          <w:rPr>
            <w:noProof/>
            <w:webHidden/>
          </w:rPr>
          <w:t>23</w:t>
        </w:r>
        <w:r w:rsidR="0063244F">
          <w:rPr>
            <w:noProof/>
            <w:webHidden/>
          </w:rPr>
          <w:fldChar w:fldCharType="end"/>
        </w:r>
      </w:hyperlink>
    </w:p>
    <w:p w14:paraId="47F3939E" w14:textId="191327A9" w:rsidR="0063244F" w:rsidRDefault="00E77446">
      <w:pPr>
        <w:pStyle w:val="Obsah5"/>
        <w:tabs>
          <w:tab w:val="left" w:pos="1540"/>
          <w:tab w:val="right" w:leader="dot" w:pos="9062"/>
        </w:tabs>
        <w:rPr>
          <w:rFonts w:asciiTheme="minorHAnsi" w:eastAsiaTheme="minorEastAsia" w:hAnsiTheme="minorHAnsi"/>
          <w:noProof/>
          <w:sz w:val="22"/>
          <w:lang w:eastAsia="cs-CZ"/>
        </w:rPr>
      </w:pPr>
      <w:hyperlink w:anchor="_Toc73608298" w:history="1">
        <w:r w:rsidR="0063244F" w:rsidRPr="00346FB4">
          <w:rPr>
            <w:rStyle w:val="Hypertextovodkaz"/>
            <w:noProof/>
            <w14:scene3d>
              <w14:camera w14:prst="orthographicFront"/>
              <w14:lightRig w14:rig="threePt" w14:dir="t">
                <w14:rot w14:lat="0" w14:lon="0" w14:rev="0"/>
              </w14:lightRig>
            </w14:scene3d>
          </w:rPr>
          <w:t>B.</w:t>
        </w:r>
        <w:r w:rsidR="0063244F">
          <w:rPr>
            <w:rFonts w:asciiTheme="minorHAnsi" w:eastAsiaTheme="minorEastAsia" w:hAnsiTheme="minorHAnsi"/>
            <w:noProof/>
            <w:sz w:val="22"/>
            <w:lang w:eastAsia="cs-CZ"/>
          </w:rPr>
          <w:tab/>
        </w:r>
        <w:r w:rsidR="0063244F" w:rsidRPr="00346FB4">
          <w:rPr>
            <w:rStyle w:val="Hypertextovodkaz"/>
            <w:noProof/>
          </w:rPr>
          <w:t>Rozpočtové určení daně</w:t>
        </w:r>
        <w:r w:rsidR="0063244F">
          <w:rPr>
            <w:noProof/>
            <w:webHidden/>
          </w:rPr>
          <w:tab/>
        </w:r>
        <w:r w:rsidR="0063244F">
          <w:rPr>
            <w:noProof/>
            <w:webHidden/>
          </w:rPr>
          <w:fldChar w:fldCharType="begin"/>
        </w:r>
        <w:r w:rsidR="0063244F">
          <w:rPr>
            <w:noProof/>
            <w:webHidden/>
          </w:rPr>
          <w:instrText xml:space="preserve"> PAGEREF _Toc73608298 \h </w:instrText>
        </w:r>
        <w:r w:rsidR="0063244F">
          <w:rPr>
            <w:noProof/>
            <w:webHidden/>
          </w:rPr>
        </w:r>
        <w:r w:rsidR="0063244F">
          <w:rPr>
            <w:noProof/>
            <w:webHidden/>
          </w:rPr>
          <w:fldChar w:fldCharType="separate"/>
        </w:r>
        <w:r w:rsidR="0063244F">
          <w:rPr>
            <w:noProof/>
            <w:webHidden/>
          </w:rPr>
          <w:t>25</w:t>
        </w:r>
        <w:r w:rsidR="0063244F">
          <w:rPr>
            <w:noProof/>
            <w:webHidden/>
          </w:rPr>
          <w:fldChar w:fldCharType="end"/>
        </w:r>
      </w:hyperlink>
    </w:p>
    <w:p w14:paraId="6672F727" w14:textId="13BC8CDA" w:rsidR="0063244F" w:rsidRDefault="00E77446">
      <w:pPr>
        <w:pStyle w:val="Obsah6"/>
        <w:tabs>
          <w:tab w:val="left" w:pos="1760"/>
          <w:tab w:val="right" w:leader="dot" w:pos="9062"/>
        </w:tabs>
        <w:rPr>
          <w:rFonts w:asciiTheme="minorHAnsi" w:eastAsiaTheme="minorEastAsia" w:hAnsiTheme="minorHAnsi"/>
          <w:noProof/>
          <w:sz w:val="22"/>
          <w:lang w:eastAsia="cs-CZ"/>
        </w:rPr>
      </w:pPr>
      <w:hyperlink w:anchor="_Toc73608299" w:history="1">
        <w:r w:rsidR="0063244F" w:rsidRPr="00346FB4">
          <w:rPr>
            <w:rStyle w:val="Hypertextovodkaz"/>
            <w:noProof/>
          </w:rPr>
          <w:t>i.</w:t>
        </w:r>
        <w:r w:rsidR="0063244F">
          <w:rPr>
            <w:rFonts w:asciiTheme="minorHAnsi" w:eastAsiaTheme="minorEastAsia" w:hAnsiTheme="minorHAnsi"/>
            <w:noProof/>
            <w:sz w:val="22"/>
            <w:lang w:eastAsia="cs-CZ"/>
          </w:rPr>
          <w:tab/>
        </w:r>
        <w:r w:rsidR="0063244F" w:rsidRPr="00346FB4">
          <w:rPr>
            <w:rStyle w:val="Hypertextovodkaz"/>
            <w:noProof/>
          </w:rPr>
          <w:t>Rozpočtové určení daně v případě technických her</w:t>
        </w:r>
        <w:r w:rsidR="0063244F">
          <w:rPr>
            <w:noProof/>
            <w:webHidden/>
          </w:rPr>
          <w:tab/>
        </w:r>
        <w:r w:rsidR="0063244F">
          <w:rPr>
            <w:noProof/>
            <w:webHidden/>
          </w:rPr>
          <w:fldChar w:fldCharType="begin"/>
        </w:r>
        <w:r w:rsidR="0063244F">
          <w:rPr>
            <w:noProof/>
            <w:webHidden/>
          </w:rPr>
          <w:instrText xml:space="preserve"> PAGEREF _Toc73608299 \h </w:instrText>
        </w:r>
        <w:r w:rsidR="0063244F">
          <w:rPr>
            <w:noProof/>
            <w:webHidden/>
          </w:rPr>
        </w:r>
        <w:r w:rsidR="0063244F">
          <w:rPr>
            <w:noProof/>
            <w:webHidden/>
          </w:rPr>
          <w:fldChar w:fldCharType="separate"/>
        </w:r>
        <w:r w:rsidR="0063244F">
          <w:rPr>
            <w:noProof/>
            <w:webHidden/>
          </w:rPr>
          <w:t>25</w:t>
        </w:r>
        <w:r w:rsidR="0063244F">
          <w:rPr>
            <w:noProof/>
            <w:webHidden/>
          </w:rPr>
          <w:fldChar w:fldCharType="end"/>
        </w:r>
      </w:hyperlink>
    </w:p>
    <w:p w14:paraId="63807C71" w14:textId="759C8249" w:rsidR="0063244F" w:rsidRDefault="00E77446">
      <w:pPr>
        <w:pStyle w:val="Obsah3"/>
        <w:tabs>
          <w:tab w:val="left" w:pos="1200"/>
          <w:tab w:val="right" w:leader="dot" w:pos="9062"/>
        </w:tabs>
        <w:rPr>
          <w:rFonts w:asciiTheme="minorHAnsi" w:eastAsiaTheme="minorEastAsia" w:hAnsiTheme="minorHAnsi"/>
          <w:noProof/>
          <w:sz w:val="22"/>
          <w:lang w:eastAsia="cs-CZ"/>
        </w:rPr>
      </w:pPr>
      <w:hyperlink w:anchor="_Toc73608300" w:history="1">
        <w:r w:rsidR="0063244F" w:rsidRPr="00346FB4">
          <w:rPr>
            <w:rStyle w:val="Hypertextovodkaz"/>
            <w:noProof/>
          </w:rPr>
          <w:t>1.4</w:t>
        </w:r>
        <w:r w:rsidR="0063244F">
          <w:rPr>
            <w:rFonts w:asciiTheme="minorHAnsi" w:eastAsiaTheme="minorEastAsia" w:hAnsiTheme="minorHAnsi"/>
            <w:noProof/>
            <w:sz w:val="22"/>
            <w:lang w:eastAsia="cs-CZ"/>
          </w:rPr>
          <w:tab/>
        </w:r>
        <w:r w:rsidR="0063244F" w:rsidRPr="00346FB4">
          <w:rPr>
            <w:rStyle w:val="Hypertextovodkaz"/>
            <w:noProof/>
          </w:rPr>
          <w:t>Seznam tabulek, obrázků a grafů</w:t>
        </w:r>
        <w:r w:rsidR="0063244F">
          <w:rPr>
            <w:noProof/>
            <w:webHidden/>
          </w:rPr>
          <w:tab/>
        </w:r>
        <w:r w:rsidR="0063244F">
          <w:rPr>
            <w:noProof/>
            <w:webHidden/>
          </w:rPr>
          <w:fldChar w:fldCharType="begin"/>
        </w:r>
        <w:r w:rsidR="0063244F">
          <w:rPr>
            <w:noProof/>
            <w:webHidden/>
          </w:rPr>
          <w:instrText xml:space="preserve"> PAGEREF _Toc73608300 \h </w:instrText>
        </w:r>
        <w:r w:rsidR="0063244F">
          <w:rPr>
            <w:noProof/>
            <w:webHidden/>
          </w:rPr>
        </w:r>
        <w:r w:rsidR="0063244F">
          <w:rPr>
            <w:noProof/>
            <w:webHidden/>
          </w:rPr>
          <w:fldChar w:fldCharType="separate"/>
        </w:r>
        <w:r w:rsidR="0063244F">
          <w:rPr>
            <w:noProof/>
            <w:webHidden/>
          </w:rPr>
          <w:t>28</w:t>
        </w:r>
        <w:r w:rsidR="0063244F">
          <w:rPr>
            <w:noProof/>
            <w:webHidden/>
          </w:rPr>
          <w:fldChar w:fldCharType="end"/>
        </w:r>
      </w:hyperlink>
    </w:p>
    <w:p w14:paraId="5332DCC2" w14:textId="1DF8F66C" w:rsidR="0063244F" w:rsidRDefault="00E77446">
      <w:pPr>
        <w:pStyle w:val="Obsah4"/>
        <w:tabs>
          <w:tab w:val="left" w:pos="1540"/>
          <w:tab w:val="right" w:leader="dot" w:pos="9062"/>
        </w:tabs>
        <w:rPr>
          <w:rFonts w:asciiTheme="minorHAnsi" w:eastAsiaTheme="minorEastAsia" w:hAnsiTheme="minorHAnsi"/>
          <w:noProof/>
          <w:sz w:val="22"/>
          <w:lang w:eastAsia="cs-CZ"/>
        </w:rPr>
      </w:pPr>
      <w:hyperlink w:anchor="_Toc73608301" w:history="1">
        <w:r w:rsidR="0063244F" w:rsidRPr="00346FB4">
          <w:rPr>
            <w:rStyle w:val="Hypertextovodkaz"/>
            <w:noProof/>
          </w:rPr>
          <w:t>1.4.1</w:t>
        </w:r>
        <w:r w:rsidR="0063244F">
          <w:rPr>
            <w:rFonts w:asciiTheme="minorHAnsi" w:eastAsiaTheme="minorEastAsia" w:hAnsiTheme="minorHAnsi"/>
            <w:noProof/>
            <w:sz w:val="22"/>
            <w:lang w:eastAsia="cs-CZ"/>
          </w:rPr>
          <w:tab/>
        </w:r>
        <w:r w:rsidR="0063244F" w:rsidRPr="00346FB4">
          <w:rPr>
            <w:rStyle w:val="Hypertextovodkaz"/>
            <w:noProof/>
          </w:rPr>
          <w:t>Tabulky</w:t>
        </w:r>
        <w:r w:rsidR="0063244F">
          <w:rPr>
            <w:noProof/>
            <w:webHidden/>
          </w:rPr>
          <w:tab/>
        </w:r>
        <w:r w:rsidR="0063244F">
          <w:rPr>
            <w:noProof/>
            <w:webHidden/>
          </w:rPr>
          <w:fldChar w:fldCharType="begin"/>
        </w:r>
        <w:r w:rsidR="0063244F">
          <w:rPr>
            <w:noProof/>
            <w:webHidden/>
          </w:rPr>
          <w:instrText xml:space="preserve"> PAGEREF _Toc73608301 \h </w:instrText>
        </w:r>
        <w:r w:rsidR="0063244F">
          <w:rPr>
            <w:noProof/>
            <w:webHidden/>
          </w:rPr>
        </w:r>
        <w:r w:rsidR="0063244F">
          <w:rPr>
            <w:noProof/>
            <w:webHidden/>
          </w:rPr>
          <w:fldChar w:fldCharType="separate"/>
        </w:r>
        <w:r w:rsidR="0063244F">
          <w:rPr>
            <w:noProof/>
            <w:webHidden/>
          </w:rPr>
          <w:t>28</w:t>
        </w:r>
        <w:r w:rsidR="0063244F">
          <w:rPr>
            <w:noProof/>
            <w:webHidden/>
          </w:rPr>
          <w:fldChar w:fldCharType="end"/>
        </w:r>
      </w:hyperlink>
    </w:p>
    <w:p w14:paraId="614BD2EB" w14:textId="2C21C49F" w:rsidR="0063244F" w:rsidRDefault="00E77446">
      <w:pPr>
        <w:pStyle w:val="Obsah4"/>
        <w:tabs>
          <w:tab w:val="left" w:pos="1540"/>
          <w:tab w:val="right" w:leader="dot" w:pos="9062"/>
        </w:tabs>
        <w:rPr>
          <w:rFonts w:asciiTheme="minorHAnsi" w:eastAsiaTheme="minorEastAsia" w:hAnsiTheme="minorHAnsi"/>
          <w:noProof/>
          <w:sz w:val="22"/>
          <w:lang w:eastAsia="cs-CZ"/>
        </w:rPr>
      </w:pPr>
      <w:hyperlink w:anchor="_Toc73608302" w:history="1">
        <w:r w:rsidR="0063244F" w:rsidRPr="00346FB4">
          <w:rPr>
            <w:rStyle w:val="Hypertextovodkaz"/>
            <w:noProof/>
          </w:rPr>
          <w:t>1.4.2</w:t>
        </w:r>
        <w:r w:rsidR="0063244F">
          <w:rPr>
            <w:rFonts w:asciiTheme="minorHAnsi" w:eastAsiaTheme="minorEastAsia" w:hAnsiTheme="minorHAnsi"/>
            <w:noProof/>
            <w:sz w:val="22"/>
            <w:lang w:eastAsia="cs-CZ"/>
          </w:rPr>
          <w:tab/>
        </w:r>
        <w:r w:rsidR="0063244F" w:rsidRPr="00346FB4">
          <w:rPr>
            <w:rStyle w:val="Hypertextovodkaz"/>
            <w:noProof/>
          </w:rPr>
          <w:t>Grafy</w:t>
        </w:r>
        <w:r w:rsidR="0063244F">
          <w:rPr>
            <w:noProof/>
            <w:webHidden/>
          </w:rPr>
          <w:tab/>
        </w:r>
        <w:r w:rsidR="0063244F">
          <w:rPr>
            <w:noProof/>
            <w:webHidden/>
          </w:rPr>
          <w:fldChar w:fldCharType="begin"/>
        </w:r>
        <w:r w:rsidR="0063244F">
          <w:rPr>
            <w:noProof/>
            <w:webHidden/>
          </w:rPr>
          <w:instrText xml:space="preserve"> PAGEREF _Toc73608302 \h </w:instrText>
        </w:r>
        <w:r w:rsidR="0063244F">
          <w:rPr>
            <w:noProof/>
            <w:webHidden/>
          </w:rPr>
        </w:r>
        <w:r w:rsidR="0063244F">
          <w:rPr>
            <w:noProof/>
            <w:webHidden/>
          </w:rPr>
          <w:fldChar w:fldCharType="separate"/>
        </w:r>
        <w:r w:rsidR="0063244F">
          <w:rPr>
            <w:noProof/>
            <w:webHidden/>
          </w:rPr>
          <w:t>29</w:t>
        </w:r>
        <w:r w:rsidR="0063244F">
          <w:rPr>
            <w:noProof/>
            <w:webHidden/>
          </w:rPr>
          <w:fldChar w:fldCharType="end"/>
        </w:r>
      </w:hyperlink>
    </w:p>
    <w:p w14:paraId="34E77669" w14:textId="03142180" w:rsidR="0063244F" w:rsidRDefault="00E77446">
      <w:pPr>
        <w:pStyle w:val="Obsah3"/>
        <w:tabs>
          <w:tab w:val="left" w:pos="1200"/>
          <w:tab w:val="right" w:leader="dot" w:pos="9062"/>
        </w:tabs>
        <w:rPr>
          <w:rFonts w:asciiTheme="minorHAnsi" w:eastAsiaTheme="minorEastAsia" w:hAnsiTheme="minorHAnsi"/>
          <w:noProof/>
          <w:sz w:val="22"/>
          <w:lang w:eastAsia="cs-CZ"/>
        </w:rPr>
      </w:pPr>
      <w:hyperlink w:anchor="_Toc73608303" w:history="1">
        <w:r w:rsidR="0063244F" w:rsidRPr="00346FB4">
          <w:rPr>
            <w:rStyle w:val="Hypertextovodkaz"/>
            <w:noProof/>
          </w:rPr>
          <w:t>1.5</w:t>
        </w:r>
        <w:r w:rsidR="0063244F">
          <w:rPr>
            <w:rFonts w:asciiTheme="minorHAnsi" w:eastAsiaTheme="minorEastAsia" w:hAnsiTheme="minorHAnsi"/>
            <w:noProof/>
            <w:sz w:val="22"/>
            <w:lang w:eastAsia="cs-CZ"/>
          </w:rPr>
          <w:tab/>
        </w:r>
        <w:r w:rsidR="0063244F" w:rsidRPr="00346FB4">
          <w:rPr>
            <w:rStyle w:val="Hypertextovodkaz"/>
            <w:noProof/>
          </w:rPr>
          <w:t>Obsah</w:t>
        </w:r>
        <w:r w:rsidR="0063244F">
          <w:rPr>
            <w:noProof/>
            <w:webHidden/>
          </w:rPr>
          <w:tab/>
        </w:r>
        <w:r w:rsidR="0063244F">
          <w:rPr>
            <w:noProof/>
            <w:webHidden/>
          </w:rPr>
          <w:fldChar w:fldCharType="begin"/>
        </w:r>
        <w:r w:rsidR="0063244F">
          <w:rPr>
            <w:noProof/>
            <w:webHidden/>
          </w:rPr>
          <w:instrText xml:space="preserve"> PAGEREF _Toc73608303 \h </w:instrText>
        </w:r>
        <w:r w:rsidR="0063244F">
          <w:rPr>
            <w:noProof/>
            <w:webHidden/>
          </w:rPr>
        </w:r>
        <w:r w:rsidR="0063244F">
          <w:rPr>
            <w:noProof/>
            <w:webHidden/>
          </w:rPr>
          <w:fldChar w:fldCharType="separate"/>
        </w:r>
        <w:r w:rsidR="0063244F">
          <w:rPr>
            <w:noProof/>
            <w:webHidden/>
          </w:rPr>
          <w:t>29</w:t>
        </w:r>
        <w:r w:rsidR="0063244F">
          <w:rPr>
            <w:noProof/>
            <w:webHidden/>
          </w:rPr>
          <w:fldChar w:fldCharType="end"/>
        </w:r>
      </w:hyperlink>
    </w:p>
    <w:p w14:paraId="0C2F28C5" w14:textId="72913FB7" w:rsidR="00931E4D" w:rsidRPr="00931E4D" w:rsidRDefault="00931E4D" w:rsidP="00931E4D">
      <w:r>
        <w:fldChar w:fldCharType="end"/>
      </w:r>
    </w:p>
    <w:sectPr w:rsidR="00931E4D" w:rsidRPr="00931E4D">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D4B60" w14:textId="77777777" w:rsidR="00005493" w:rsidRDefault="00005493" w:rsidP="00ED1F73">
      <w:pPr>
        <w:spacing w:after="0"/>
      </w:pPr>
      <w:r>
        <w:separator/>
      </w:r>
    </w:p>
  </w:endnote>
  <w:endnote w:type="continuationSeparator" w:id="0">
    <w:p w14:paraId="524DD224" w14:textId="77777777" w:rsidR="00005493" w:rsidRDefault="00005493" w:rsidP="00ED1F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601846"/>
      <w:docPartObj>
        <w:docPartGallery w:val="Page Numbers (Bottom of Page)"/>
        <w:docPartUnique/>
      </w:docPartObj>
    </w:sdtPr>
    <w:sdtEndPr/>
    <w:sdtContent>
      <w:p w14:paraId="24CB812D" w14:textId="769D031C" w:rsidR="00BF14F6" w:rsidRDefault="00BF14F6">
        <w:pPr>
          <w:pStyle w:val="Zpat"/>
          <w:jc w:val="right"/>
        </w:pPr>
        <w:r>
          <w:fldChar w:fldCharType="begin"/>
        </w:r>
        <w:r>
          <w:instrText>PAGE   \* MERGEFORMAT</w:instrText>
        </w:r>
        <w:r>
          <w:fldChar w:fldCharType="separate"/>
        </w:r>
        <w:r w:rsidR="00E77446">
          <w:rPr>
            <w:noProof/>
          </w:rPr>
          <w:t>1</w:t>
        </w:r>
        <w:r>
          <w:fldChar w:fldCharType="end"/>
        </w:r>
      </w:p>
    </w:sdtContent>
  </w:sdt>
  <w:p w14:paraId="29FC142A" w14:textId="77777777" w:rsidR="00005493" w:rsidRDefault="0000549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B6523" w14:textId="77777777" w:rsidR="00005493" w:rsidRDefault="00005493" w:rsidP="00ED1F73">
      <w:pPr>
        <w:spacing w:after="0"/>
      </w:pPr>
      <w:r>
        <w:separator/>
      </w:r>
    </w:p>
  </w:footnote>
  <w:footnote w:type="continuationSeparator" w:id="0">
    <w:p w14:paraId="2D3EA6FF" w14:textId="77777777" w:rsidR="00005493" w:rsidRDefault="00005493" w:rsidP="00ED1F73">
      <w:pPr>
        <w:spacing w:after="0"/>
      </w:pPr>
      <w:r>
        <w:continuationSeparator/>
      </w:r>
    </w:p>
  </w:footnote>
  <w:footnote w:id="1">
    <w:p w14:paraId="6CAE31D2" w14:textId="77777777" w:rsidR="00005493" w:rsidRPr="009E45C8" w:rsidRDefault="00005493" w:rsidP="005723F5">
      <w:pPr>
        <w:spacing w:after="0"/>
      </w:pPr>
      <w:r w:rsidRPr="00D72064">
        <w:rPr>
          <w:rStyle w:val="Znakapoznpodarou"/>
          <w:rFonts w:cs="Arial"/>
          <w:sz w:val="20"/>
        </w:rPr>
        <w:footnoteRef/>
      </w:r>
      <w:r w:rsidRPr="00D72064">
        <w:rPr>
          <w:sz w:val="20"/>
        </w:rPr>
        <w:t xml:space="preserve"> V případě nelegálního provozování nemusí být registrace definičním znakem účastníka hazardní hry. </w:t>
      </w:r>
    </w:p>
  </w:footnote>
  <w:footnote w:id="2">
    <w:p w14:paraId="59A761E5" w14:textId="77777777" w:rsidR="00005493" w:rsidRPr="002A5078" w:rsidRDefault="00005493" w:rsidP="00A95FCD">
      <w:pPr>
        <w:pStyle w:val="Textpoznpodarou"/>
        <w:jc w:val="both"/>
        <w:rPr>
          <w:rFonts w:ascii="Arial" w:hAnsi="Arial" w:cs="Arial"/>
        </w:rPr>
      </w:pPr>
      <w:r w:rsidRPr="002A5078">
        <w:rPr>
          <w:rStyle w:val="Znakapoznpodarou"/>
          <w:rFonts w:ascii="Arial" w:hAnsi="Arial" w:cs="Arial"/>
        </w:rPr>
        <w:footnoteRef/>
      </w:r>
      <w:r w:rsidRPr="002A5078">
        <w:rPr>
          <w:rFonts w:ascii="Arial" w:hAnsi="Arial" w:cs="Arial"/>
        </w:rPr>
        <w:t xml:space="preserve"> Např. rozsudek Soudního dvora ze dne 8. září 2010 ve věci C-46/08, bod 103.</w:t>
      </w:r>
    </w:p>
  </w:footnote>
  <w:footnote w:id="3">
    <w:p w14:paraId="0563809C" w14:textId="77777777" w:rsidR="00005493" w:rsidRDefault="00005493" w:rsidP="00A95FCD">
      <w:pPr>
        <w:pStyle w:val="Textpoznpodarou"/>
        <w:jc w:val="both"/>
      </w:pPr>
      <w:r w:rsidRPr="002A5078">
        <w:rPr>
          <w:rStyle w:val="Znakapoznpodarou"/>
          <w:rFonts w:ascii="Arial" w:hAnsi="Arial" w:cs="Arial"/>
        </w:rPr>
        <w:footnoteRef/>
      </w:r>
      <w:r w:rsidRPr="002A5078">
        <w:rPr>
          <w:rFonts w:ascii="Arial" w:hAnsi="Arial" w:cs="Arial"/>
        </w:rPr>
        <w:t xml:space="preserve"> Dánská regulace obsahuje odlišnou systematiku hazardní</w:t>
      </w:r>
      <w:r>
        <w:rPr>
          <w:rFonts w:ascii="Arial" w:hAnsi="Arial" w:cs="Arial"/>
        </w:rPr>
        <w:t>ch</w:t>
      </w:r>
      <w:r w:rsidRPr="002A5078">
        <w:rPr>
          <w:rFonts w:ascii="Arial" w:hAnsi="Arial" w:cs="Arial"/>
        </w:rPr>
        <w:t xml:space="preserve"> her, kdy za hazardní hry v kasinu jsou považovány jak živé hry, tak i technické hry.</w:t>
      </w:r>
    </w:p>
  </w:footnote>
  <w:footnote w:id="4">
    <w:p w14:paraId="125D200E" w14:textId="77777777" w:rsidR="00005493" w:rsidRPr="00C05D1A" w:rsidRDefault="00005493" w:rsidP="00A0643B">
      <w:pPr>
        <w:pStyle w:val="Textpoznpodarou"/>
        <w:jc w:val="both"/>
        <w:rPr>
          <w:rFonts w:ascii="Arial" w:hAnsi="Arial" w:cs="Arial"/>
        </w:rPr>
      </w:pPr>
      <w:r w:rsidRPr="00C05D1A">
        <w:rPr>
          <w:rStyle w:val="Znakapoznpodarou"/>
          <w:rFonts w:ascii="Arial" w:hAnsi="Arial" w:cs="Arial"/>
        </w:rPr>
        <w:footnoteRef/>
      </w:r>
      <w:r w:rsidRPr="00C05D1A">
        <w:rPr>
          <w:rFonts w:ascii="Arial" w:hAnsi="Arial" w:cs="Arial"/>
        </w:rPr>
        <w:t xml:space="preserve"> Průměrný příjem obcí v České republice na 1 obyvatele z rozpočtového určení daní a z daně z hazardních her.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C0A32" w14:textId="652AB091" w:rsidR="00E77446" w:rsidRPr="00676FAD" w:rsidRDefault="00E77446" w:rsidP="00E77446">
    <w:pPr>
      <w:pStyle w:val="Zhlav"/>
      <w:rPr>
        <w:sz w:val="20"/>
      </w:rPr>
    </w:pPr>
    <w:r>
      <w:rPr>
        <w:sz w:val="20"/>
      </w:rPr>
      <w:t>Příloha č. 14</w:t>
    </w:r>
    <w:r w:rsidRPr="00676FAD">
      <w:rPr>
        <w:sz w:val="20"/>
      </w:rPr>
      <w:t xml:space="preserve"> Hodnocení dopadů regulace zákona o hazardních hrách a souvisejících právních předpisů</w:t>
    </w:r>
  </w:p>
  <w:p w14:paraId="77454F10" w14:textId="45FDC45A" w:rsidR="00005493" w:rsidRDefault="0000549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373B8"/>
    <w:multiLevelType w:val="hybridMultilevel"/>
    <w:tmpl w:val="487AC9E6"/>
    <w:lvl w:ilvl="0" w:tplc="FFAE3A26">
      <w:start w:val="1"/>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3B5FB1"/>
    <w:multiLevelType w:val="hybridMultilevel"/>
    <w:tmpl w:val="9552E1BA"/>
    <w:lvl w:ilvl="0" w:tplc="5B30CD5A">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84F3249"/>
    <w:multiLevelType w:val="hybridMultilevel"/>
    <w:tmpl w:val="5D96C55C"/>
    <w:lvl w:ilvl="0" w:tplc="EBD6FBB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F3A0050"/>
    <w:multiLevelType w:val="multilevel"/>
    <w:tmpl w:val="EC8AEC7C"/>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BF26585"/>
    <w:multiLevelType w:val="hybridMultilevel"/>
    <w:tmpl w:val="B2F00EEC"/>
    <w:lvl w:ilvl="0" w:tplc="F3D6E5F2">
      <w:start w:val="1"/>
      <w:numFmt w:val="upperLetter"/>
      <w:pStyle w:val="Nadpis5"/>
      <w:lvlText w:val="%1."/>
      <w:lvlJc w:val="left"/>
      <w:pPr>
        <w:ind w:left="720" w:hanging="36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A43314B"/>
    <w:multiLevelType w:val="hybridMultilevel"/>
    <w:tmpl w:val="34A4D480"/>
    <w:lvl w:ilvl="0" w:tplc="B9C08566">
      <w:numFmt w:val="bullet"/>
      <w:lvlText w:val="-"/>
      <w:lvlJc w:val="left"/>
      <w:pPr>
        <w:ind w:left="360" w:hanging="360"/>
      </w:pPr>
      <w:rPr>
        <w:rFonts w:ascii="Arial" w:eastAsia="Calibri" w:hAnsi="Arial" w:cs="Arial" w:hint="default"/>
        <w:sz w:val="24"/>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1"/>
  </w:num>
  <w:num w:numId="4">
    <w:abstractNumId w:val="1"/>
    <w:lvlOverride w:ilvl="0">
      <w:startOverride w:val="1"/>
    </w:lvlOverride>
  </w:num>
  <w:num w:numId="5">
    <w:abstractNumId w:val="6"/>
  </w:num>
  <w:num w:numId="6">
    <w:abstractNumId w:val="0"/>
  </w:num>
  <w:num w:numId="7">
    <w:abstractNumId w:val="4"/>
  </w:num>
  <w:num w:numId="8">
    <w:abstractNumId w:val="2"/>
  </w:num>
  <w:num w:numId="9">
    <w:abstractNumId w:val="1"/>
    <w:lvlOverride w:ilvl="0">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5"/>
  </w:num>
  <w:num w:numId="13">
    <w:abstractNumId w:val="5"/>
    <w:lvlOverride w:ilvl="0">
      <w:startOverride w:val="3"/>
    </w:lvlOverride>
  </w:num>
  <w:num w:numId="14">
    <w:abstractNumId w:val="5"/>
    <w:lvlOverride w:ilvl="0">
      <w:startOverride w:val="1"/>
    </w:lvlOverride>
  </w:num>
  <w:num w:numId="15">
    <w:abstractNumId w:val="5"/>
  </w:num>
  <w:num w:numId="16">
    <w:abstractNumId w:val="5"/>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5"/>
    <w:lvlOverride w:ilvl="0">
      <w:startOverride w:val="1"/>
    </w:lvlOverride>
  </w:num>
  <w:num w:numId="20">
    <w:abstractNumId w:val="3"/>
  </w:num>
  <w:num w:numId="21">
    <w:abstractNumId w:val="3"/>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AC8"/>
    <w:rsid w:val="00004CAA"/>
    <w:rsid w:val="00005493"/>
    <w:rsid w:val="00006A15"/>
    <w:rsid w:val="0000774D"/>
    <w:rsid w:val="000105E5"/>
    <w:rsid w:val="0001153C"/>
    <w:rsid w:val="0001521A"/>
    <w:rsid w:val="00020FA5"/>
    <w:rsid w:val="000243CC"/>
    <w:rsid w:val="00024DE0"/>
    <w:rsid w:val="000307C3"/>
    <w:rsid w:val="0003214D"/>
    <w:rsid w:val="00042874"/>
    <w:rsid w:val="000448F7"/>
    <w:rsid w:val="000472B2"/>
    <w:rsid w:val="00055047"/>
    <w:rsid w:val="00060038"/>
    <w:rsid w:val="00061621"/>
    <w:rsid w:val="000701A8"/>
    <w:rsid w:val="000704A9"/>
    <w:rsid w:val="0007682D"/>
    <w:rsid w:val="00077BBB"/>
    <w:rsid w:val="00086EE8"/>
    <w:rsid w:val="00090D0B"/>
    <w:rsid w:val="00095B07"/>
    <w:rsid w:val="000A0D4C"/>
    <w:rsid w:val="000A3DF0"/>
    <w:rsid w:val="000B1E9C"/>
    <w:rsid w:val="000B33E2"/>
    <w:rsid w:val="000B559E"/>
    <w:rsid w:val="000C0C54"/>
    <w:rsid w:val="000C4391"/>
    <w:rsid w:val="000C5250"/>
    <w:rsid w:val="000C7EDC"/>
    <w:rsid w:val="000D1C5B"/>
    <w:rsid w:val="000D1D2E"/>
    <w:rsid w:val="000D316D"/>
    <w:rsid w:val="000D3D4D"/>
    <w:rsid w:val="000F1AA5"/>
    <w:rsid w:val="000F25F1"/>
    <w:rsid w:val="000F3BA5"/>
    <w:rsid w:val="000F5F9B"/>
    <w:rsid w:val="000F739B"/>
    <w:rsid w:val="0010101E"/>
    <w:rsid w:val="0010145E"/>
    <w:rsid w:val="001025D6"/>
    <w:rsid w:val="00103BB4"/>
    <w:rsid w:val="00106E2E"/>
    <w:rsid w:val="00106F19"/>
    <w:rsid w:val="00112403"/>
    <w:rsid w:val="001134E1"/>
    <w:rsid w:val="00115E02"/>
    <w:rsid w:val="00116E7E"/>
    <w:rsid w:val="00117385"/>
    <w:rsid w:val="001222EE"/>
    <w:rsid w:val="00124C62"/>
    <w:rsid w:val="001341FE"/>
    <w:rsid w:val="0014434A"/>
    <w:rsid w:val="00144F25"/>
    <w:rsid w:val="00147F14"/>
    <w:rsid w:val="00151C06"/>
    <w:rsid w:val="00152BE3"/>
    <w:rsid w:val="001542CD"/>
    <w:rsid w:val="00165930"/>
    <w:rsid w:val="00166216"/>
    <w:rsid w:val="0017548C"/>
    <w:rsid w:val="001811DC"/>
    <w:rsid w:val="001812DE"/>
    <w:rsid w:val="00187CA5"/>
    <w:rsid w:val="001901AF"/>
    <w:rsid w:val="00193815"/>
    <w:rsid w:val="00193DC3"/>
    <w:rsid w:val="00195F3B"/>
    <w:rsid w:val="001A1BFD"/>
    <w:rsid w:val="001A1DE2"/>
    <w:rsid w:val="001A2B52"/>
    <w:rsid w:val="001B1D54"/>
    <w:rsid w:val="001B3977"/>
    <w:rsid w:val="001B4A9C"/>
    <w:rsid w:val="001B5AA0"/>
    <w:rsid w:val="001B7FC0"/>
    <w:rsid w:val="001C5F8D"/>
    <w:rsid w:val="001D0431"/>
    <w:rsid w:val="001D1CE5"/>
    <w:rsid w:val="001D2E83"/>
    <w:rsid w:val="001D597F"/>
    <w:rsid w:val="001D61D2"/>
    <w:rsid w:val="001D6FC2"/>
    <w:rsid w:val="001E2D26"/>
    <w:rsid w:val="001E4243"/>
    <w:rsid w:val="001F07FD"/>
    <w:rsid w:val="001F3157"/>
    <w:rsid w:val="001F555C"/>
    <w:rsid w:val="001F6D51"/>
    <w:rsid w:val="002017F7"/>
    <w:rsid w:val="002049A0"/>
    <w:rsid w:val="00210837"/>
    <w:rsid w:val="00212609"/>
    <w:rsid w:val="00215C6F"/>
    <w:rsid w:val="002170C6"/>
    <w:rsid w:val="00221CB9"/>
    <w:rsid w:val="00226095"/>
    <w:rsid w:val="00234A45"/>
    <w:rsid w:val="0023778D"/>
    <w:rsid w:val="00242E31"/>
    <w:rsid w:val="0025163D"/>
    <w:rsid w:val="00252D7E"/>
    <w:rsid w:val="002538BE"/>
    <w:rsid w:val="00257821"/>
    <w:rsid w:val="00261689"/>
    <w:rsid w:val="00264CF3"/>
    <w:rsid w:val="00265BAC"/>
    <w:rsid w:val="00266B37"/>
    <w:rsid w:val="0028061D"/>
    <w:rsid w:val="002807C9"/>
    <w:rsid w:val="002808D6"/>
    <w:rsid w:val="00283CEE"/>
    <w:rsid w:val="00287C4A"/>
    <w:rsid w:val="00290BE4"/>
    <w:rsid w:val="002913F9"/>
    <w:rsid w:val="00296C61"/>
    <w:rsid w:val="002A0F2C"/>
    <w:rsid w:val="002A4CA5"/>
    <w:rsid w:val="002A5078"/>
    <w:rsid w:val="002B1BB4"/>
    <w:rsid w:val="002B215A"/>
    <w:rsid w:val="002B30E8"/>
    <w:rsid w:val="002B407F"/>
    <w:rsid w:val="002B7100"/>
    <w:rsid w:val="002C0707"/>
    <w:rsid w:val="002C1D14"/>
    <w:rsid w:val="002D28FD"/>
    <w:rsid w:val="002D5368"/>
    <w:rsid w:val="002E0ACD"/>
    <w:rsid w:val="002E0B98"/>
    <w:rsid w:val="002E240E"/>
    <w:rsid w:val="002E37FF"/>
    <w:rsid w:val="002E4D6D"/>
    <w:rsid w:val="002E6AC8"/>
    <w:rsid w:val="002E6EC3"/>
    <w:rsid w:val="002F28B8"/>
    <w:rsid w:val="002F4B7F"/>
    <w:rsid w:val="002F701A"/>
    <w:rsid w:val="00304183"/>
    <w:rsid w:val="0030528B"/>
    <w:rsid w:val="0030681F"/>
    <w:rsid w:val="00333D88"/>
    <w:rsid w:val="00335A00"/>
    <w:rsid w:val="003363D9"/>
    <w:rsid w:val="00353C18"/>
    <w:rsid w:val="00356808"/>
    <w:rsid w:val="00356E50"/>
    <w:rsid w:val="00362D93"/>
    <w:rsid w:val="00364C01"/>
    <w:rsid w:val="00364D55"/>
    <w:rsid w:val="003711AE"/>
    <w:rsid w:val="00372740"/>
    <w:rsid w:val="00374834"/>
    <w:rsid w:val="003773AA"/>
    <w:rsid w:val="00381556"/>
    <w:rsid w:val="00381DF9"/>
    <w:rsid w:val="00386913"/>
    <w:rsid w:val="003879BC"/>
    <w:rsid w:val="00392249"/>
    <w:rsid w:val="00393D80"/>
    <w:rsid w:val="0039571C"/>
    <w:rsid w:val="003A09E4"/>
    <w:rsid w:val="003A23BB"/>
    <w:rsid w:val="003A2E96"/>
    <w:rsid w:val="003B0BED"/>
    <w:rsid w:val="003B6520"/>
    <w:rsid w:val="003D1E4E"/>
    <w:rsid w:val="003D2D5A"/>
    <w:rsid w:val="003D3FCA"/>
    <w:rsid w:val="003E1F2E"/>
    <w:rsid w:val="003E5AFB"/>
    <w:rsid w:val="003F2286"/>
    <w:rsid w:val="00401956"/>
    <w:rsid w:val="00405905"/>
    <w:rsid w:val="0041024F"/>
    <w:rsid w:val="00414450"/>
    <w:rsid w:val="00416FDC"/>
    <w:rsid w:val="004200F2"/>
    <w:rsid w:val="00420323"/>
    <w:rsid w:val="00423125"/>
    <w:rsid w:val="00424150"/>
    <w:rsid w:val="00427B92"/>
    <w:rsid w:val="00431BEF"/>
    <w:rsid w:val="004321BB"/>
    <w:rsid w:val="00437C72"/>
    <w:rsid w:val="004411E4"/>
    <w:rsid w:val="00443C52"/>
    <w:rsid w:val="004444E7"/>
    <w:rsid w:val="00447A95"/>
    <w:rsid w:val="00447DA5"/>
    <w:rsid w:val="00450191"/>
    <w:rsid w:val="00451007"/>
    <w:rsid w:val="00464D51"/>
    <w:rsid w:val="00470B65"/>
    <w:rsid w:val="00472BBA"/>
    <w:rsid w:val="00480746"/>
    <w:rsid w:val="004850EA"/>
    <w:rsid w:val="004942E8"/>
    <w:rsid w:val="004943FC"/>
    <w:rsid w:val="00494AC3"/>
    <w:rsid w:val="00494FDE"/>
    <w:rsid w:val="00495719"/>
    <w:rsid w:val="00497683"/>
    <w:rsid w:val="004A016E"/>
    <w:rsid w:val="004A35A7"/>
    <w:rsid w:val="004A44A3"/>
    <w:rsid w:val="004B7A3A"/>
    <w:rsid w:val="004C0B71"/>
    <w:rsid w:val="004C4C28"/>
    <w:rsid w:val="004C5187"/>
    <w:rsid w:val="004D0098"/>
    <w:rsid w:val="004D16B0"/>
    <w:rsid w:val="004D44B1"/>
    <w:rsid w:val="004D570D"/>
    <w:rsid w:val="004E5B21"/>
    <w:rsid w:val="004E6558"/>
    <w:rsid w:val="004E7C9E"/>
    <w:rsid w:val="004F4756"/>
    <w:rsid w:val="004F4A2B"/>
    <w:rsid w:val="004F4C00"/>
    <w:rsid w:val="004F7C10"/>
    <w:rsid w:val="0050496F"/>
    <w:rsid w:val="00505239"/>
    <w:rsid w:val="005070F0"/>
    <w:rsid w:val="00512BA5"/>
    <w:rsid w:val="0051775E"/>
    <w:rsid w:val="00520947"/>
    <w:rsid w:val="00520A32"/>
    <w:rsid w:val="005229CB"/>
    <w:rsid w:val="00524840"/>
    <w:rsid w:val="00525ED2"/>
    <w:rsid w:val="00532227"/>
    <w:rsid w:val="00552AE6"/>
    <w:rsid w:val="00557CBF"/>
    <w:rsid w:val="0056180A"/>
    <w:rsid w:val="005621C2"/>
    <w:rsid w:val="00562655"/>
    <w:rsid w:val="00567A74"/>
    <w:rsid w:val="005723F5"/>
    <w:rsid w:val="005849F7"/>
    <w:rsid w:val="005926FB"/>
    <w:rsid w:val="00594ACC"/>
    <w:rsid w:val="00597CA6"/>
    <w:rsid w:val="005A4C2F"/>
    <w:rsid w:val="005A4FBE"/>
    <w:rsid w:val="005A5ABF"/>
    <w:rsid w:val="005B060A"/>
    <w:rsid w:val="005B531C"/>
    <w:rsid w:val="005C1A86"/>
    <w:rsid w:val="005C232E"/>
    <w:rsid w:val="005C2C93"/>
    <w:rsid w:val="005C3D04"/>
    <w:rsid w:val="005D53A7"/>
    <w:rsid w:val="005D5443"/>
    <w:rsid w:val="005E308E"/>
    <w:rsid w:val="005F41B6"/>
    <w:rsid w:val="005F6411"/>
    <w:rsid w:val="00605E75"/>
    <w:rsid w:val="00606C36"/>
    <w:rsid w:val="00612DED"/>
    <w:rsid w:val="0063244F"/>
    <w:rsid w:val="006342A1"/>
    <w:rsid w:val="00640BE1"/>
    <w:rsid w:val="00644805"/>
    <w:rsid w:val="006461BF"/>
    <w:rsid w:val="006477A4"/>
    <w:rsid w:val="00650A7F"/>
    <w:rsid w:val="00656B99"/>
    <w:rsid w:val="00662AA1"/>
    <w:rsid w:val="00663106"/>
    <w:rsid w:val="006633BB"/>
    <w:rsid w:val="00664DB5"/>
    <w:rsid w:val="00675437"/>
    <w:rsid w:val="0067772C"/>
    <w:rsid w:val="00680966"/>
    <w:rsid w:val="006823F7"/>
    <w:rsid w:val="00682EA1"/>
    <w:rsid w:val="0068376E"/>
    <w:rsid w:val="0068398A"/>
    <w:rsid w:val="00683FD4"/>
    <w:rsid w:val="0068580E"/>
    <w:rsid w:val="00686E03"/>
    <w:rsid w:val="00687932"/>
    <w:rsid w:val="00690BB0"/>
    <w:rsid w:val="00691255"/>
    <w:rsid w:val="0069690D"/>
    <w:rsid w:val="006A0D9F"/>
    <w:rsid w:val="006A1ABF"/>
    <w:rsid w:val="006A3CC2"/>
    <w:rsid w:val="006A4BD2"/>
    <w:rsid w:val="006A59EF"/>
    <w:rsid w:val="006B0445"/>
    <w:rsid w:val="006B15B2"/>
    <w:rsid w:val="006B16B7"/>
    <w:rsid w:val="006B354A"/>
    <w:rsid w:val="006B40F9"/>
    <w:rsid w:val="006B6619"/>
    <w:rsid w:val="006B719F"/>
    <w:rsid w:val="006C0DF8"/>
    <w:rsid w:val="006C0E6B"/>
    <w:rsid w:val="006C6312"/>
    <w:rsid w:val="006C7B67"/>
    <w:rsid w:val="006D37FD"/>
    <w:rsid w:val="006D3882"/>
    <w:rsid w:val="006E01FD"/>
    <w:rsid w:val="006E3832"/>
    <w:rsid w:val="006E42EB"/>
    <w:rsid w:val="006E58D5"/>
    <w:rsid w:val="006E7C05"/>
    <w:rsid w:val="006F1E96"/>
    <w:rsid w:val="006F245A"/>
    <w:rsid w:val="006F5B28"/>
    <w:rsid w:val="006F6D97"/>
    <w:rsid w:val="006F6E2B"/>
    <w:rsid w:val="006F7EE8"/>
    <w:rsid w:val="00705428"/>
    <w:rsid w:val="00716452"/>
    <w:rsid w:val="007166A4"/>
    <w:rsid w:val="00717B1B"/>
    <w:rsid w:val="00721086"/>
    <w:rsid w:val="0072185E"/>
    <w:rsid w:val="00721C82"/>
    <w:rsid w:val="00727030"/>
    <w:rsid w:val="007318CF"/>
    <w:rsid w:val="00732D8A"/>
    <w:rsid w:val="00733D7A"/>
    <w:rsid w:val="00736569"/>
    <w:rsid w:val="007472C3"/>
    <w:rsid w:val="007521BD"/>
    <w:rsid w:val="007548F9"/>
    <w:rsid w:val="00761F88"/>
    <w:rsid w:val="00762DE5"/>
    <w:rsid w:val="007659C9"/>
    <w:rsid w:val="007673F2"/>
    <w:rsid w:val="00770BB4"/>
    <w:rsid w:val="00771965"/>
    <w:rsid w:val="00772E34"/>
    <w:rsid w:val="00773009"/>
    <w:rsid w:val="00774A84"/>
    <w:rsid w:val="00776E74"/>
    <w:rsid w:val="00780D95"/>
    <w:rsid w:val="0078220D"/>
    <w:rsid w:val="007853A9"/>
    <w:rsid w:val="00785811"/>
    <w:rsid w:val="00790A9E"/>
    <w:rsid w:val="00791478"/>
    <w:rsid w:val="0079494A"/>
    <w:rsid w:val="007A0328"/>
    <w:rsid w:val="007A1728"/>
    <w:rsid w:val="007A510A"/>
    <w:rsid w:val="007B17D2"/>
    <w:rsid w:val="007B588E"/>
    <w:rsid w:val="007C17A6"/>
    <w:rsid w:val="007C5326"/>
    <w:rsid w:val="007C7826"/>
    <w:rsid w:val="007D1129"/>
    <w:rsid w:val="007D6A29"/>
    <w:rsid w:val="007D6C30"/>
    <w:rsid w:val="007E01A5"/>
    <w:rsid w:val="007E1802"/>
    <w:rsid w:val="007E1B92"/>
    <w:rsid w:val="007E36FC"/>
    <w:rsid w:val="007E3786"/>
    <w:rsid w:val="007E59D3"/>
    <w:rsid w:val="00804973"/>
    <w:rsid w:val="00813729"/>
    <w:rsid w:val="008172A4"/>
    <w:rsid w:val="008200B5"/>
    <w:rsid w:val="008218DF"/>
    <w:rsid w:val="008230E3"/>
    <w:rsid w:val="00823789"/>
    <w:rsid w:val="00825AC3"/>
    <w:rsid w:val="008335B8"/>
    <w:rsid w:val="008347D1"/>
    <w:rsid w:val="00845462"/>
    <w:rsid w:val="00845869"/>
    <w:rsid w:val="008460A8"/>
    <w:rsid w:val="00846182"/>
    <w:rsid w:val="00846F42"/>
    <w:rsid w:val="00854BBA"/>
    <w:rsid w:val="00854BFF"/>
    <w:rsid w:val="00856631"/>
    <w:rsid w:val="00856C4F"/>
    <w:rsid w:val="00857109"/>
    <w:rsid w:val="008601B9"/>
    <w:rsid w:val="00866C25"/>
    <w:rsid w:val="008678D6"/>
    <w:rsid w:val="008824C1"/>
    <w:rsid w:val="00890E27"/>
    <w:rsid w:val="00891AD4"/>
    <w:rsid w:val="00897453"/>
    <w:rsid w:val="00897B68"/>
    <w:rsid w:val="008A1383"/>
    <w:rsid w:val="008A5EEC"/>
    <w:rsid w:val="008B22C7"/>
    <w:rsid w:val="008C2CA7"/>
    <w:rsid w:val="008C4F20"/>
    <w:rsid w:val="008D0A4F"/>
    <w:rsid w:val="008D1539"/>
    <w:rsid w:val="008D532F"/>
    <w:rsid w:val="008E5954"/>
    <w:rsid w:val="008E7F7C"/>
    <w:rsid w:val="008F49BA"/>
    <w:rsid w:val="008F5CBC"/>
    <w:rsid w:val="00903141"/>
    <w:rsid w:val="00903337"/>
    <w:rsid w:val="0090349E"/>
    <w:rsid w:val="00904C76"/>
    <w:rsid w:val="00906771"/>
    <w:rsid w:val="00916AA5"/>
    <w:rsid w:val="00917B65"/>
    <w:rsid w:val="00917BBC"/>
    <w:rsid w:val="00920CD9"/>
    <w:rsid w:val="00925128"/>
    <w:rsid w:val="00931A23"/>
    <w:rsid w:val="00931E4D"/>
    <w:rsid w:val="009413E3"/>
    <w:rsid w:val="009419D6"/>
    <w:rsid w:val="0094276D"/>
    <w:rsid w:val="00947301"/>
    <w:rsid w:val="009570B5"/>
    <w:rsid w:val="0096135C"/>
    <w:rsid w:val="00966AD5"/>
    <w:rsid w:val="00966B47"/>
    <w:rsid w:val="00967121"/>
    <w:rsid w:val="00970994"/>
    <w:rsid w:val="009819F8"/>
    <w:rsid w:val="0098523B"/>
    <w:rsid w:val="00985328"/>
    <w:rsid w:val="00992246"/>
    <w:rsid w:val="00992BD5"/>
    <w:rsid w:val="00994B53"/>
    <w:rsid w:val="0099529D"/>
    <w:rsid w:val="009A1710"/>
    <w:rsid w:val="009A22BE"/>
    <w:rsid w:val="009A4E24"/>
    <w:rsid w:val="009A52EA"/>
    <w:rsid w:val="009B131A"/>
    <w:rsid w:val="009B31D0"/>
    <w:rsid w:val="009B5C7D"/>
    <w:rsid w:val="009C692D"/>
    <w:rsid w:val="009D0A35"/>
    <w:rsid w:val="009D0F5F"/>
    <w:rsid w:val="009D1E6C"/>
    <w:rsid w:val="009D21A2"/>
    <w:rsid w:val="009D39F8"/>
    <w:rsid w:val="009D6382"/>
    <w:rsid w:val="009D6941"/>
    <w:rsid w:val="009E0EBA"/>
    <w:rsid w:val="009E2662"/>
    <w:rsid w:val="009E45C8"/>
    <w:rsid w:val="009E65E1"/>
    <w:rsid w:val="009E6EAE"/>
    <w:rsid w:val="009F6504"/>
    <w:rsid w:val="009F717F"/>
    <w:rsid w:val="00A00C8D"/>
    <w:rsid w:val="00A012DB"/>
    <w:rsid w:val="00A018B6"/>
    <w:rsid w:val="00A037BA"/>
    <w:rsid w:val="00A0643B"/>
    <w:rsid w:val="00A24928"/>
    <w:rsid w:val="00A27114"/>
    <w:rsid w:val="00A32CF1"/>
    <w:rsid w:val="00A34134"/>
    <w:rsid w:val="00A402CE"/>
    <w:rsid w:val="00A5093C"/>
    <w:rsid w:val="00A63FFE"/>
    <w:rsid w:val="00A72DC6"/>
    <w:rsid w:val="00A74F98"/>
    <w:rsid w:val="00A8012E"/>
    <w:rsid w:val="00A862C1"/>
    <w:rsid w:val="00A87AA5"/>
    <w:rsid w:val="00A9095E"/>
    <w:rsid w:val="00A929FD"/>
    <w:rsid w:val="00A95D28"/>
    <w:rsid w:val="00A95FCD"/>
    <w:rsid w:val="00A96EAC"/>
    <w:rsid w:val="00AA1E19"/>
    <w:rsid w:val="00AB1AD2"/>
    <w:rsid w:val="00AB3047"/>
    <w:rsid w:val="00AB67A6"/>
    <w:rsid w:val="00AC1CD3"/>
    <w:rsid w:val="00AC1E9B"/>
    <w:rsid w:val="00AC42D1"/>
    <w:rsid w:val="00AC6390"/>
    <w:rsid w:val="00AC645B"/>
    <w:rsid w:val="00AC69D1"/>
    <w:rsid w:val="00AD39A3"/>
    <w:rsid w:val="00AD4FEE"/>
    <w:rsid w:val="00AE01AB"/>
    <w:rsid w:val="00AE0996"/>
    <w:rsid w:val="00AE49D9"/>
    <w:rsid w:val="00AE5BEE"/>
    <w:rsid w:val="00AE6456"/>
    <w:rsid w:val="00AE7277"/>
    <w:rsid w:val="00AE7B38"/>
    <w:rsid w:val="00B00F12"/>
    <w:rsid w:val="00B00FAF"/>
    <w:rsid w:val="00B178B8"/>
    <w:rsid w:val="00B2125B"/>
    <w:rsid w:val="00B22D0E"/>
    <w:rsid w:val="00B24929"/>
    <w:rsid w:val="00B262C2"/>
    <w:rsid w:val="00B30413"/>
    <w:rsid w:val="00B41BCA"/>
    <w:rsid w:val="00B448F6"/>
    <w:rsid w:val="00B45A17"/>
    <w:rsid w:val="00B46546"/>
    <w:rsid w:val="00B51C56"/>
    <w:rsid w:val="00B51CD9"/>
    <w:rsid w:val="00B54995"/>
    <w:rsid w:val="00B5761D"/>
    <w:rsid w:val="00B60F66"/>
    <w:rsid w:val="00B63A22"/>
    <w:rsid w:val="00B7447C"/>
    <w:rsid w:val="00B77446"/>
    <w:rsid w:val="00B80745"/>
    <w:rsid w:val="00B82ADA"/>
    <w:rsid w:val="00B8393F"/>
    <w:rsid w:val="00B842A5"/>
    <w:rsid w:val="00B85C3B"/>
    <w:rsid w:val="00B87A94"/>
    <w:rsid w:val="00B9534D"/>
    <w:rsid w:val="00BA3CF8"/>
    <w:rsid w:val="00BA425C"/>
    <w:rsid w:val="00BA7027"/>
    <w:rsid w:val="00BA7C52"/>
    <w:rsid w:val="00BB36D4"/>
    <w:rsid w:val="00BC0A1D"/>
    <w:rsid w:val="00BC3A7C"/>
    <w:rsid w:val="00BC5FAE"/>
    <w:rsid w:val="00BD3C8F"/>
    <w:rsid w:val="00BE23FA"/>
    <w:rsid w:val="00BE37EC"/>
    <w:rsid w:val="00BF14F6"/>
    <w:rsid w:val="00BF3916"/>
    <w:rsid w:val="00BF51CF"/>
    <w:rsid w:val="00BF6535"/>
    <w:rsid w:val="00BF7470"/>
    <w:rsid w:val="00C033E2"/>
    <w:rsid w:val="00C05D1A"/>
    <w:rsid w:val="00C07908"/>
    <w:rsid w:val="00C106F3"/>
    <w:rsid w:val="00C11CE2"/>
    <w:rsid w:val="00C132D0"/>
    <w:rsid w:val="00C20F0B"/>
    <w:rsid w:val="00C22597"/>
    <w:rsid w:val="00C242E1"/>
    <w:rsid w:val="00C34533"/>
    <w:rsid w:val="00C42944"/>
    <w:rsid w:val="00C42D25"/>
    <w:rsid w:val="00C512E1"/>
    <w:rsid w:val="00C53580"/>
    <w:rsid w:val="00C5478C"/>
    <w:rsid w:val="00C55B56"/>
    <w:rsid w:val="00C61902"/>
    <w:rsid w:val="00C62A51"/>
    <w:rsid w:val="00C66C16"/>
    <w:rsid w:val="00C75488"/>
    <w:rsid w:val="00C7746E"/>
    <w:rsid w:val="00C77F4F"/>
    <w:rsid w:val="00C80A96"/>
    <w:rsid w:val="00C80B72"/>
    <w:rsid w:val="00C80F69"/>
    <w:rsid w:val="00C8218B"/>
    <w:rsid w:val="00C82DA8"/>
    <w:rsid w:val="00C85536"/>
    <w:rsid w:val="00C903DE"/>
    <w:rsid w:val="00C94435"/>
    <w:rsid w:val="00C97AA6"/>
    <w:rsid w:val="00CA348E"/>
    <w:rsid w:val="00CA6D9F"/>
    <w:rsid w:val="00CA7E4A"/>
    <w:rsid w:val="00CB0F3D"/>
    <w:rsid w:val="00CB1CA9"/>
    <w:rsid w:val="00CB79E0"/>
    <w:rsid w:val="00CC41A3"/>
    <w:rsid w:val="00CC51D3"/>
    <w:rsid w:val="00CD3DA1"/>
    <w:rsid w:val="00CE3905"/>
    <w:rsid w:val="00CE50B5"/>
    <w:rsid w:val="00CE5FB2"/>
    <w:rsid w:val="00CE62A2"/>
    <w:rsid w:val="00CF0A60"/>
    <w:rsid w:val="00CF1347"/>
    <w:rsid w:val="00CF2F60"/>
    <w:rsid w:val="00CF363B"/>
    <w:rsid w:val="00CF371A"/>
    <w:rsid w:val="00CF3EC5"/>
    <w:rsid w:val="00CF438E"/>
    <w:rsid w:val="00CF4F1D"/>
    <w:rsid w:val="00CF53BD"/>
    <w:rsid w:val="00CF753C"/>
    <w:rsid w:val="00D01A3F"/>
    <w:rsid w:val="00D10D1B"/>
    <w:rsid w:val="00D20C59"/>
    <w:rsid w:val="00D20FDD"/>
    <w:rsid w:val="00D248EF"/>
    <w:rsid w:val="00D34AEC"/>
    <w:rsid w:val="00D35280"/>
    <w:rsid w:val="00D379A0"/>
    <w:rsid w:val="00D42E01"/>
    <w:rsid w:val="00D4308A"/>
    <w:rsid w:val="00D43685"/>
    <w:rsid w:val="00D43EA8"/>
    <w:rsid w:val="00D4553F"/>
    <w:rsid w:val="00D477FB"/>
    <w:rsid w:val="00D5132E"/>
    <w:rsid w:val="00D52D56"/>
    <w:rsid w:val="00D55C3D"/>
    <w:rsid w:val="00D61CA6"/>
    <w:rsid w:val="00D627D6"/>
    <w:rsid w:val="00D62C0F"/>
    <w:rsid w:val="00D63CC2"/>
    <w:rsid w:val="00D645EC"/>
    <w:rsid w:val="00D647F5"/>
    <w:rsid w:val="00D72064"/>
    <w:rsid w:val="00D73FF7"/>
    <w:rsid w:val="00D776F6"/>
    <w:rsid w:val="00D77D89"/>
    <w:rsid w:val="00D8004F"/>
    <w:rsid w:val="00D822B3"/>
    <w:rsid w:val="00D865BE"/>
    <w:rsid w:val="00D86A59"/>
    <w:rsid w:val="00D90B92"/>
    <w:rsid w:val="00D9485C"/>
    <w:rsid w:val="00DA1BAF"/>
    <w:rsid w:val="00DA28CC"/>
    <w:rsid w:val="00DA2E14"/>
    <w:rsid w:val="00DA604B"/>
    <w:rsid w:val="00DB44C8"/>
    <w:rsid w:val="00DB5830"/>
    <w:rsid w:val="00DC19F5"/>
    <w:rsid w:val="00DC4376"/>
    <w:rsid w:val="00DD06BD"/>
    <w:rsid w:val="00DD41E1"/>
    <w:rsid w:val="00DE192A"/>
    <w:rsid w:val="00DE2920"/>
    <w:rsid w:val="00DF2AA1"/>
    <w:rsid w:val="00DF454C"/>
    <w:rsid w:val="00DF52E7"/>
    <w:rsid w:val="00DF717A"/>
    <w:rsid w:val="00E031DE"/>
    <w:rsid w:val="00E03965"/>
    <w:rsid w:val="00E03CE9"/>
    <w:rsid w:val="00E04D61"/>
    <w:rsid w:val="00E1189D"/>
    <w:rsid w:val="00E12C17"/>
    <w:rsid w:val="00E16401"/>
    <w:rsid w:val="00E16BD3"/>
    <w:rsid w:val="00E170A8"/>
    <w:rsid w:val="00E20786"/>
    <w:rsid w:val="00E21104"/>
    <w:rsid w:val="00E253F9"/>
    <w:rsid w:val="00E32AFA"/>
    <w:rsid w:val="00E40E73"/>
    <w:rsid w:val="00E41ABD"/>
    <w:rsid w:val="00E43AE4"/>
    <w:rsid w:val="00E52012"/>
    <w:rsid w:val="00E5489B"/>
    <w:rsid w:val="00E619D7"/>
    <w:rsid w:val="00E64371"/>
    <w:rsid w:val="00E65355"/>
    <w:rsid w:val="00E65B43"/>
    <w:rsid w:val="00E66A39"/>
    <w:rsid w:val="00E67C8B"/>
    <w:rsid w:val="00E67F8A"/>
    <w:rsid w:val="00E71527"/>
    <w:rsid w:val="00E74066"/>
    <w:rsid w:val="00E74B46"/>
    <w:rsid w:val="00E77446"/>
    <w:rsid w:val="00E80868"/>
    <w:rsid w:val="00E82522"/>
    <w:rsid w:val="00E90850"/>
    <w:rsid w:val="00E95197"/>
    <w:rsid w:val="00EA1194"/>
    <w:rsid w:val="00EA1F4A"/>
    <w:rsid w:val="00EA248B"/>
    <w:rsid w:val="00EA4222"/>
    <w:rsid w:val="00EA49D0"/>
    <w:rsid w:val="00EB2A48"/>
    <w:rsid w:val="00EB634B"/>
    <w:rsid w:val="00EC68BE"/>
    <w:rsid w:val="00ED1F73"/>
    <w:rsid w:val="00ED3C79"/>
    <w:rsid w:val="00EE25FC"/>
    <w:rsid w:val="00EE5326"/>
    <w:rsid w:val="00EF2471"/>
    <w:rsid w:val="00EF7900"/>
    <w:rsid w:val="00F017EB"/>
    <w:rsid w:val="00F02A09"/>
    <w:rsid w:val="00F039E1"/>
    <w:rsid w:val="00F03FC0"/>
    <w:rsid w:val="00F144E3"/>
    <w:rsid w:val="00F1537A"/>
    <w:rsid w:val="00F20A10"/>
    <w:rsid w:val="00F2568E"/>
    <w:rsid w:val="00F3095B"/>
    <w:rsid w:val="00F34659"/>
    <w:rsid w:val="00F3481E"/>
    <w:rsid w:val="00F35FD0"/>
    <w:rsid w:val="00F40146"/>
    <w:rsid w:val="00F40CF9"/>
    <w:rsid w:val="00F41C95"/>
    <w:rsid w:val="00F44B0B"/>
    <w:rsid w:val="00F44CE9"/>
    <w:rsid w:val="00F50299"/>
    <w:rsid w:val="00F522B8"/>
    <w:rsid w:val="00F5263B"/>
    <w:rsid w:val="00F56612"/>
    <w:rsid w:val="00F6287F"/>
    <w:rsid w:val="00F67354"/>
    <w:rsid w:val="00F67EA6"/>
    <w:rsid w:val="00F75ED2"/>
    <w:rsid w:val="00F77055"/>
    <w:rsid w:val="00F82152"/>
    <w:rsid w:val="00F85CC8"/>
    <w:rsid w:val="00F908AE"/>
    <w:rsid w:val="00F90FFC"/>
    <w:rsid w:val="00F92164"/>
    <w:rsid w:val="00F92F16"/>
    <w:rsid w:val="00F93124"/>
    <w:rsid w:val="00F95B88"/>
    <w:rsid w:val="00F967BD"/>
    <w:rsid w:val="00FA16B6"/>
    <w:rsid w:val="00FA4C60"/>
    <w:rsid w:val="00FB0F05"/>
    <w:rsid w:val="00FB1594"/>
    <w:rsid w:val="00FB2BA2"/>
    <w:rsid w:val="00FB3FEC"/>
    <w:rsid w:val="00FB43A5"/>
    <w:rsid w:val="00FB4509"/>
    <w:rsid w:val="00FC572B"/>
    <w:rsid w:val="00FC6532"/>
    <w:rsid w:val="00FD189F"/>
    <w:rsid w:val="00FE0940"/>
    <w:rsid w:val="00FE3712"/>
    <w:rsid w:val="00FF559E"/>
    <w:rsid w:val="00FF57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05D3BE73"/>
  <w15:docId w15:val="{6F16509F-5A7A-42E6-B504-0CD8EEA0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E01AB"/>
    <w:pPr>
      <w:spacing w:line="240" w:lineRule="auto"/>
      <w:jc w:val="both"/>
    </w:pPr>
    <w:rPr>
      <w:rFonts w:ascii="Arial" w:hAnsi="Arial"/>
      <w:sz w:val="24"/>
    </w:rPr>
  </w:style>
  <w:style w:type="paragraph" w:styleId="Nadpis1">
    <w:name w:val="heading 1"/>
    <w:basedOn w:val="Normln"/>
    <w:next w:val="Normln"/>
    <w:link w:val="Nadpis1Char"/>
    <w:uiPriority w:val="9"/>
    <w:qFormat/>
    <w:rsid w:val="00AE01AB"/>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AE01AB"/>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2049A0"/>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6C0DF8"/>
    <w:pPr>
      <w:keepNext/>
      <w:keepLines/>
      <w:numPr>
        <w:ilvl w:val="3"/>
        <w:numId w:val="1"/>
      </w:numPr>
      <w:spacing w:before="240" w:after="120"/>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687932"/>
    <w:pPr>
      <w:keepNext/>
      <w:keepLines/>
      <w:numPr>
        <w:numId w:val="2"/>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A74F98"/>
    <w:pPr>
      <w:keepNext/>
      <w:keepLines/>
      <w:numPr>
        <w:numId w:val="3"/>
      </w:numPr>
      <w:spacing w:before="240" w:after="120" w:line="259" w:lineRule="auto"/>
      <w:outlineLvl w:val="5"/>
    </w:pPr>
    <w:rPr>
      <w:rFonts w:eastAsiaTheme="majorEastAsia" w:cs="Arial"/>
      <w:b/>
    </w:rPr>
  </w:style>
  <w:style w:type="paragraph" w:styleId="Nadpis7">
    <w:name w:val="heading 7"/>
    <w:basedOn w:val="Normln"/>
    <w:next w:val="Normln"/>
    <w:link w:val="Nadpis7Char"/>
    <w:autoRedefine/>
    <w:uiPriority w:val="9"/>
    <w:unhideWhenUsed/>
    <w:qFormat/>
    <w:rsid w:val="00A74F98"/>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562655"/>
    <w:pPr>
      <w:keepNext/>
      <w:keepLines/>
      <w:numPr>
        <w:ilvl w:val="7"/>
        <w:numId w:val="1"/>
      </w:numPr>
      <w:spacing w:before="240" w:after="120" w:line="259" w:lineRule="auto"/>
      <w:ind w:left="0" w:firstLine="0"/>
      <w:outlineLvl w:val="7"/>
    </w:pPr>
    <w:rPr>
      <w:rFonts w:eastAsiaTheme="majorEastAsia" w:cstheme="majorBidi"/>
      <w:b/>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E01AB"/>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AE01AB"/>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2049A0"/>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6C0DF8"/>
    <w:rPr>
      <w:rFonts w:ascii="Arial" w:eastAsiaTheme="majorEastAsia" w:hAnsi="Arial" w:cstheme="majorBidi"/>
      <w:b/>
      <w:iCs/>
      <w:sz w:val="28"/>
    </w:rPr>
  </w:style>
  <w:style w:type="character" w:customStyle="1" w:styleId="Nadpis5Char">
    <w:name w:val="Nadpis 5 Char"/>
    <w:basedOn w:val="Standardnpsmoodstavce"/>
    <w:link w:val="Nadpis5"/>
    <w:uiPriority w:val="9"/>
    <w:rsid w:val="00687932"/>
    <w:rPr>
      <w:rFonts w:ascii="Arial" w:eastAsiaTheme="majorEastAsia" w:hAnsi="Arial" w:cstheme="majorBidi"/>
      <w:b/>
      <w:sz w:val="24"/>
    </w:rPr>
  </w:style>
  <w:style w:type="character" w:customStyle="1" w:styleId="Nadpis6Char">
    <w:name w:val="Nadpis 6 Char"/>
    <w:basedOn w:val="Standardnpsmoodstavce"/>
    <w:link w:val="Nadpis6"/>
    <w:uiPriority w:val="9"/>
    <w:rsid w:val="00A74F98"/>
    <w:rPr>
      <w:rFonts w:ascii="Arial" w:eastAsiaTheme="majorEastAsia" w:hAnsi="Arial" w:cs="Arial"/>
      <w:b/>
      <w:sz w:val="24"/>
    </w:rPr>
  </w:style>
  <w:style w:type="character" w:customStyle="1" w:styleId="Nadpis7Char">
    <w:name w:val="Nadpis 7 Char"/>
    <w:basedOn w:val="Standardnpsmoodstavce"/>
    <w:link w:val="Nadpis7"/>
    <w:uiPriority w:val="9"/>
    <w:rsid w:val="00A74F98"/>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562655"/>
    <w:rPr>
      <w:rFonts w:ascii="Arial" w:eastAsiaTheme="majorEastAsia" w:hAnsi="Arial" w:cstheme="majorBidi"/>
      <w:b/>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rsid w:val="006F5B28"/>
    <w:rPr>
      <w:sz w:val="16"/>
      <w:szCs w:val="16"/>
    </w:rPr>
  </w:style>
  <w:style w:type="paragraph" w:styleId="Textkomente">
    <w:name w:val="annotation text"/>
    <w:basedOn w:val="Normln"/>
    <w:link w:val="TextkomenteChar"/>
    <w:uiPriority w:val="99"/>
    <w:semiHidden/>
    <w:unhideWhenUsed/>
    <w:rsid w:val="006F5B28"/>
    <w:rPr>
      <w:sz w:val="20"/>
      <w:szCs w:val="20"/>
    </w:rPr>
  </w:style>
  <w:style w:type="character" w:customStyle="1" w:styleId="TextkomenteChar">
    <w:name w:val="Text komentáře Char"/>
    <w:basedOn w:val="Standardnpsmoodstavce"/>
    <w:link w:val="Textkomente"/>
    <w:uiPriority w:val="99"/>
    <w:semiHidden/>
    <w:rsid w:val="006F5B28"/>
    <w:rPr>
      <w:rFonts w:ascii="Arial" w:hAnsi="Arial"/>
      <w:sz w:val="20"/>
      <w:szCs w:val="20"/>
    </w:rPr>
  </w:style>
  <w:style w:type="paragraph" w:styleId="Odstavecseseznamem">
    <w:name w:val="List Paragraph"/>
    <w:basedOn w:val="Normln"/>
    <w:uiPriority w:val="34"/>
    <w:qFormat/>
    <w:rsid w:val="006F5B28"/>
    <w:pPr>
      <w:ind w:left="720"/>
      <w:contextualSpacing/>
      <w:jc w:val="left"/>
    </w:pPr>
    <w:rPr>
      <w:rFonts w:ascii="Calibri" w:eastAsia="Calibri" w:hAnsi="Calibri" w:cs="Times New Roman"/>
      <w:sz w:val="22"/>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character" w:styleId="Zdraznn">
    <w:name w:val="Emphasis"/>
    <w:basedOn w:val="Standardnpsmoodstavce"/>
    <w:uiPriority w:val="20"/>
    <w:qFormat/>
    <w:rsid w:val="00C61902"/>
    <w:rPr>
      <w:i/>
      <w:iCs/>
    </w:rPr>
  </w:style>
  <w:style w:type="paragraph" w:styleId="Textpoznpodarou">
    <w:name w:val="footnote text"/>
    <w:basedOn w:val="Normln"/>
    <w:link w:val="TextpoznpodarouChar"/>
    <w:uiPriority w:val="99"/>
    <w:semiHidden/>
    <w:unhideWhenUsed/>
    <w:rsid w:val="00ED1F73"/>
    <w:pPr>
      <w:spacing w:after="0"/>
      <w:jc w:val="left"/>
    </w:pPr>
    <w:rPr>
      <w:rFonts w:ascii="Calibri" w:eastAsia="Calibri" w:hAnsi="Calibri" w:cs="Times New Roman"/>
      <w:sz w:val="20"/>
      <w:szCs w:val="20"/>
    </w:rPr>
  </w:style>
  <w:style w:type="character" w:customStyle="1" w:styleId="TextpoznpodarouChar">
    <w:name w:val="Text pozn. pod čarou Char"/>
    <w:basedOn w:val="Standardnpsmoodstavce"/>
    <w:link w:val="Textpoznpodarou"/>
    <w:uiPriority w:val="99"/>
    <w:semiHidden/>
    <w:rsid w:val="00ED1F73"/>
    <w:rPr>
      <w:rFonts w:ascii="Calibri" w:eastAsia="Calibri" w:hAnsi="Calibri" w:cs="Times New Roman"/>
      <w:sz w:val="20"/>
      <w:szCs w:val="20"/>
    </w:rPr>
  </w:style>
  <w:style w:type="character" w:styleId="Znakapoznpodarou">
    <w:name w:val="footnote reference"/>
    <w:basedOn w:val="Standardnpsmoodstavce"/>
    <w:uiPriority w:val="99"/>
    <w:semiHidden/>
    <w:unhideWhenUsed/>
    <w:rsid w:val="00ED1F73"/>
    <w:rPr>
      <w:vertAlign w:val="superscript"/>
    </w:rPr>
  </w:style>
  <w:style w:type="paragraph" w:styleId="Bezmezer">
    <w:name w:val="No Spacing"/>
    <w:uiPriority w:val="1"/>
    <w:qFormat/>
    <w:rsid w:val="00287C4A"/>
    <w:pPr>
      <w:spacing w:after="0" w:line="240" w:lineRule="auto"/>
      <w:jc w:val="both"/>
    </w:pPr>
    <w:rPr>
      <w:rFonts w:ascii="Arial" w:hAnsi="Arial"/>
      <w:sz w:val="24"/>
    </w:rPr>
  </w:style>
  <w:style w:type="paragraph" w:styleId="Zhlav">
    <w:name w:val="header"/>
    <w:basedOn w:val="Normln"/>
    <w:link w:val="ZhlavChar"/>
    <w:uiPriority w:val="99"/>
    <w:unhideWhenUsed/>
    <w:rsid w:val="00AB67A6"/>
    <w:pPr>
      <w:tabs>
        <w:tab w:val="center" w:pos="4536"/>
        <w:tab w:val="right" w:pos="9072"/>
      </w:tabs>
      <w:spacing w:after="0"/>
    </w:pPr>
  </w:style>
  <w:style w:type="character" w:customStyle="1" w:styleId="ZhlavChar">
    <w:name w:val="Záhlaví Char"/>
    <w:basedOn w:val="Standardnpsmoodstavce"/>
    <w:link w:val="Zhlav"/>
    <w:uiPriority w:val="99"/>
    <w:rsid w:val="00AB67A6"/>
    <w:rPr>
      <w:rFonts w:ascii="Arial" w:hAnsi="Arial"/>
      <w:sz w:val="24"/>
    </w:rPr>
  </w:style>
  <w:style w:type="paragraph" w:styleId="Zpat">
    <w:name w:val="footer"/>
    <w:basedOn w:val="Normln"/>
    <w:link w:val="ZpatChar"/>
    <w:uiPriority w:val="99"/>
    <w:unhideWhenUsed/>
    <w:rsid w:val="00AB67A6"/>
    <w:pPr>
      <w:tabs>
        <w:tab w:val="center" w:pos="4536"/>
        <w:tab w:val="right" w:pos="9072"/>
      </w:tabs>
      <w:spacing w:after="0"/>
    </w:pPr>
  </w:style>
  <w:style w:type="character" w:customStyle="1" w:styleId="ZpatChar">
    <w:name w:val="Zápatí Char"/>
    <w:basedOn w:val="Standardnpsmoodstavce"/>
    <w:link w:val="Zpat"/>
    <w:uiPriority w:val="99"/>
    <w:rsid w:val="00AB67A6"/>
    <w:rPr>
      <w:rFonts w:ascii="Arial" w:hAnsi="Arial"/>
      <w:sz w:val="24"/>
    </w:rPr>
  </w:style>
  <w:style w:type="paragraph" w:styleId="Seznamobrzk">
    <w:name w:val="table of figures"/>
    <w:basedOn w:val="Normln"/>
    <w:next w:val="Normln"/>
    <w:uiPriority w:val="99"/>
    <w:unhideWhenUsed/>
    <w:rsid w:val="000F25F1"/>
    <w:pPr>
      <w:spacing w:after="0"/>
    </w:pPr>
  </w:style>
  <w:style w:type="paragraph" w:styleId="Revize">
    <w:name w:val="Revision"/>
    <w:hidden/>
    <w:uiPriority w:val="99"/>
    <w:semiHidden/>
    <w:rsid w:val="00C033E2"/>
    <w:pPr>
      <w:spacing w:after="0" w:line="240" w:lineRule="auto"/>
    </w:pPr>
    <w:rPr>
      <w:rFonts w:ascii="Arial" w:hAnsi="Arial"/>
      <w:sz w:val="24"/>
    </w:rPr>
  </w:style>
  <w:style w:type="paragraph" w:styleId="Obsah2">
    <w:name w:val="toc 2"/>
    <w:basedOn w:val="Normln"/>
    <w:next w:val="Normln"/>
    <w:autoRedefine/>
    <w:uiPriority w:val="39"/>
    <w:unhideWhenUsed/>
    <w:rsid w:val="00931E4D"/>
    <w:pPr>
      <w:spacing w:after="100"/>
      <w:ind w:left="240"/>
    </w:pPr>
  </w:style>
  <w:style w:type="paragraph" w:styleId="Obsah3">
    <w:name w:val="toc 3"/>
    <w:basedOn w:val="Normln"/>
    <w:next w:val="Normln"/>
    <w:autoRedefine/>
    <w:uiPriority w:val="39"/>
    <w:unhideWhenUsed/>
    <w:rsid w:val="00931E4D"/>
    <w:pPr>
      <w:spacing w:after="100"/>
      <w:ind w:left="480"/>
    </w:pPr>
  </w:style>
  <w:style w:type="paragraph" w:styleId="Obsah5">
    <w:name w:val="toc 5"/>
    <w:basedOn w:val="Normln"/>
    <w:next w:val="Normln"/>
    <w:autoRedefine/>
    <w:uiPriority w:val="39"/>
    <w:unhideWhenUsed/>
    <w:rsid w:val="00931E4D"/>
    <w:pPr>
      <w:spacing w:after="100"/>
      <w:ind w:left="960"/>
    </w:pPr>
  </w:style>
  <w:style w:type="paragraph" w:styleId="Obsah6">
    <w:name w:val="toc 6"/>
    <w:basedOn w:val="Normln"/>
    <w:next w:val="Normln"/>
    <w:autoRedefine/>
    <w:uiPriority w:val="39"/>
    <w:unhideWhenUsed/>
    <w:rsid w:val="00931E4D"/>
    <w:pPr>
      <w:spacing w:after="100"/>
      <w:ind w:left="1200"/>
    </w:pPr>
  </w:style>
  <w:style w:type="paragraph" w:styleId="Obsah4">
    <w:name w:val="toc 4"/>
    <w:basedOn w:val="Normln"/>
    <w:next w:val="Normln"/>
    <w:autoRedefine/>
    <w:uiPriority w:val="39"/>
    <w:unhideWhenUsed/>
    <w:rsid w:val="00931E4D"/>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57675">
      <w:bodyDiv w:val="1"/>
      <w:marLeft w:val="0"/>
      <w:marRight w:val="0"/>
      <w:marTop w:val="0"/>
      <w:marBottom w:val="0"/>
      <w:divBdr>
        <w:top w:val="none" w:sz="0" w:space="0" w:color="auto"/>
        <w:left w:val="none" w:sz="0" w:space="0" w:color="auto"/>
        <w:bottom w:val="none" w:sz="0" w:space="0" w:color="auto"/>
        <w:right w:val="none" w:sz="0" w:space="0" w:color="auto"/>
      </w:divBdr>
    </w:div>
    <w:div w:id="964501402">
      <w:bodyDiv w:val="1"/>
      <w:marLeft w:val="0"/>
      <w:marRight w:val="0"/>
      <w:marTop w:val="0"/>
      <w:marBottom w:val="0"/>
      <w:divBdr>
        <w:top w:val="none" w:sz="0" w:space="0" w:color="auto"/>
        <w:left w:val="none" w:sz="0" w:space="0" w:color="auto"/>
        <w:bottom w:val="none" w:sz="0" w:space="0" w:color="auto"/>
        <w:right w:val="none" w:sz="0" w:space="0" w:color="auto"/>
      </w:divBdr>
      <w:divsChild>
        <w:div w:id="788477503">
          <w:marLeft w:val="0"/>
          <w:marRight w:val="0"/>
          <w:marTop w:val="0"/>
          <w:marBottom w:val="0"/>
          <w:divBdr>
            <w:top w:val="none" w:sz="0" w:space="0" w:color="auto"/>
            <w:left w:val="none" w:sz="0" w:space="0" w:color="auto"/>
            <w:bottom w:val="none" w:sz="0" w:space="0" w:color="auto"/>
            <w:right w:val="none" w:sz="0" w:space="0" w:color="auto"/>
          </w:divBdr>
        </w:div>
      </w:divsChild>
    </w:div>
    <w:div w:id="1055004554">
      <w:bodyDiv w:val="1"/>
      <w:marLeft w:val="0"/>
      <w:marRight w:val="0"/>
      <w:marTop w:val="0"/>
      <w:marBottom w:val="0"/>
      <w:divBdr>
        <w:top w:val="none" w:sz="0" w:space="0" w:color="auto"/>
        <w:left w:val="none" w:sz="0" w:space="0" w:color="auto"/>
        <w:bottom w:val="none" w:sz="0" w:space="0" w:color="auto"/>
        <w:right w:val="none" w:sz="0" w:space="0" w:color="auto"/>
      </w:divBdr>
      <w:divsChild>
        <w:div w:id="1412700887">
          <w:marLeft w:val="0"/>
          <w:marRight w:val="0"/>
          <w:marTop w:val="0"/>
          <w:marBottom w:val="0"/>
          <w:divBdr>
            <w:top w:val="none" w:sz="0" w:space="0" w:color="auto"/>
            <w:left w:val="none" w:sz="0" w:space="0" w:color="auto"/>
            <w:bottom w:val="none" w:sz="0" w:space="0" w:color="auto"/>
            <w:right w:val="none" w:sz="0" w:space="0" w:color="auto"/>
          </w:divBdr>
        </w:div>
      </w:divsChild>
    </w:div>
    <w:div w:id="1156844491">
      <w:bodyDiv w:val="1"/>
      <w:marLeft w:val="0"/>
      <w:marRight w:val="0"/>
      <w:marTop w:val="0"/>
      <w:marBottom w:val="0"/>
      <w:divBdr>
        <w:top w:val="none" w:sz="0" w:space="0" w:color="auto"/>
        <w:left w:val="none" w:sz="0" w:space="0" w:color="auto"/>
        <w:bottom w:val="none" w:sz="0" w:space="0" w:color="auto"/>
        <w:right w:val="none" w:sz="0" w:space="0" w:color="auto"/>
      </w:divBdr>
      <w:divsChild>
        <w:div w:id="982347112">
          <w:marLeft w:val="0"/>
          <w:marRight w:val="0"/>
          <w:marTop w:val="0"/>
          <w:marBottom w:val="0"/>
          <w:divBdr>
            <w:top w:val="none" w:sz="0" w:space="0" w:color="auto"/>
            <w:left w:val="none" w:sz="0" w:space="0" w:color="auto"/>
            <w:bottom w:val="none" w:sz="0" w:space="0" w:color="auto"/>
            <w:right w:val="none" w:sz="0" w:space="0" w:color="auto"/>
          </w:divBdr>
        </w:div>
      </w:divsChild>
    </w:div>
    <w:div w:id="1804693860">
      <w:bodyDiv w:val="1"/>
      <w:marLeft w:val="0"/>
      <w:marRight w:val="0"/>
      <w:marTop w:val="0"/>
      <w:marBottom w:val="0"/>
      <w:divBdr>
        <w:top w:val="none" w:sz="0" w:space="0" w:color="auto"/>
        <w:left w:val="none" w:sz="0" w:space="0" w:color="auto"/>
        <w:bottom w:val="none" w:sz="0" w:space="0" w:color="auto"/>
        <w:right w:val="none" w:sz="0" w:space="0" w:color="auto"/>
      </w:divBdr>
    </w:div>
    <w:div w:id="1832986720">
      <w:bodyDiv w:val="1"/>
      <w:marLeft w:val="0"/>
      <w:marRight w:val="0"/>
      <w:marTop w:val="0"/>
      <w:marBottom w:val="0"/>
      <w:divBdr>
        <w:top w:val="none" w:sz="0" w:space="0" w:color="auto"/>
        <w:left w:val="none" w:sz="0" w:space="0" w:color="auto"/>
        <w:bottom w:val="none" w:sz="0" w:space="0" w:color="auto"/>
        <w:right w:val="none" w:sz="0" w:space="0" w:color="auto"/>
      </w:divBdr>
    </w:div>
    <w:div w:id="191138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file:///S:\Odbor73\19_Projekt%20anal&#253;zy\FIN&#193;LN&#205;%20RIA%20-%20VO,%20&#344;O\Kompletov&#225;n&#237;\P&#345;&#237;lohy\P14_Da&#328;%20z%20hazardn&#237;ch%20her_v4.doc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aplikace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aplikace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aplikace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aplikace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aplikace_Microsoft_Excel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Stát</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General</c:formatCode>
                <c:ptCount val="9"/>
                <c:pt idx="0">
                  <c:v>1.8</c:v>
                </c:pt>
                <c:pt idx="1">
                  <c:v>2.6</c:v>
                </c:pt>
                <c:pt idx="2">
                  <c:v>2.4</c:v>
                </c:pt>
                <c:pt idx="3">
                  <c:v>2.6</c:v>
                </c:pt>
                <c:pt idx="4">
                  <c:v>4.4000000000000004</c:v>
                </c:pt>
                <c:pt idx="5">
                  <c:v>5.5</c:v>
                </c:pt>
                <c:pt idx="6">
                  <c:v>4.7</c:v>
                </c:pt>
                <c:pt idx="7">
                  <c:v>5</c:v>
                </c:pt>
                <c:pt idx="8">
                  <c:v>5.0999999999999996</c:v>
                </c:pt>
              </c:numCache>
            </c:numRef>
          </c:val>
          <c:extLst>
            <c:ext xmlns:c16="http://schemas.microsoft.com/office/drawing/2014/chart" uri="{C3380CC4-5D6E-409C-BE32-E72D297353CC}">
              <c16:uniqueId val="{00000000-446E-4B87-B9E8-CC224A0DF13A}"/>
            </c:ext>
          </c:extLst>
        </c:ser>
        <c:ser>
          <c:idx val="1"/>
          <c:order val="1"/>
          <c:tx>
            <c:strRef>
              <c:f>List1!$C$1</c:f>
              <c:strCache>
                <c:ptCount val="1"/>
                <c:pt idx="0">
                  <c:v>Obce</c:v>
                </c:pt>
              </c:strCache>
            </c:strRef>
          </c:tx>
          <c:spPr>
            <a:solidFill>
              <a:schemeClr val="accent2"/>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General</c:formatCode>
                <c:ptCount val="9"/>
                <c:pt idx="0">
                  <c:v>4.0999999999999996</c:v>
                </c:pt>
                <c:pt idx="1">
                  <c:v>5.4</c:v>
                </c:pt>
                <c:pt idx="2">
                  <c:v>5.5</c:v>
                </c:pt>
                <c:pt idx="3">
                  <c:v>5.5</c:v>
                </c:pt>
                <c:pt idx="4">
                  <c:v>6.1</c:v>
                </c:pt>
                <c:pt idx="5">
                  <c:v>6.7</c:v>
                </c:pt>
                <c:pt idx="6">
                  <c:v>5.0999999999999996</c:v>
                </c:pt>
                <c:pt idx="7">
                  <c:v>5.2</c:v>
                </c:pt>
                <c:pt idx="8">
                  <c:v>5.5</c:v>
                </c:pt>
              </c:numCache>
            </c:numRef>
          </c:val>
          <c:extLst>
            <c:ext xmlns:c16="http://schemas.microsoft.com/office/drawing/2014/chart" uri="{C3380CC4-5D6E-409C-BE32-E72D297353CC}">
              <c16:uniqueId val="{00000001-446E-4B87-B9E8-CC224A0DF13A}"/>
            </c:ext>
          </c:extLst>
        </c:ser>
        <c:dLbls>
          <c:showLegendKey val="0"/>
          <c:showVal val="0"/>
          <c:showCatName val="0"/>
          <c:showSerName val="0"/>
          <c:showPercent val="0"/>
          <c:showBubbleSize val="0"/>
        </c:dLbls>
        <c:gapWidth val="219"/>
        <c:overlap val="-27"/>
        <c:axId val="89984000"/>
        <c:axId val="47993600"/>
      </c:barChart>
      <c:catAx>
        <c:axId val="8998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7993600"/>
        <c:crosses val="autoZero"/>
        <c:auto val="1"/>
        <c:lblAlgn val="ctr"/>
        <c:lblOffset val="100"/>
        <c:noMultiLvlLbl val="0"/>
      </c:catAx>
      <c:valAx>
        <c:axId val="47993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9984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List1!$B$1</c:f>
              <c:strCache>
                <c:ptCount val="1"/>
                <c:pt idx="0">
                  <c:v>Daňový výnos z hazardních her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#,##0</c:formatCode>
                <c:ptCount val="9"/>
                <c:pt idx="0">
                  <c:v>8122200137.4000006</c:v>
                </c:pt>
                <c:pt idx="1">
                  <c:v>7779439801.8000002</c:v>
                </c:pt>
                <c:pt idx="2">
                  <c:v>7856640049.499999</c:v>
                </c:pt>
                <c:pt idx="3">
                  <c:v>8191977545.5</c:v>
                </c:pt>
                <c:pt idx="4">
                  <c:v>11345728543.057503</c:v>
                </c:pt>
                <c:pt idx="5">
                  <c:v>12152710856</c:v>
                </c:pt>
                <c:pt idx="6">
                  <c:v>9078427007</c:v>
                </c:pt>
                <c:pt idx="7">
                  <c:v>10496353843</c:v>
                </c:pt>
                <c:pt idx="8">
                  <c:v>10347893529</c:v>
                </c:pt>
              </c:numCache>
            </c:numRef>
          </c:val>
          <c:smooth val="0"/>
          <c:extLst>
            <c:ext xmlns:c16="http://schemas.microsoft.com/office/drawing/2014/chart" uri="{C3380CC4-5D6E-409C-BE32-E72D297353CC}">
              <c16:uniqueId val="{00000000-AE84-4620-86B7-F44805596B13}"/>
            </c:ext>
          </c:extLst>
        </c:ser>
        <c:dLbls>
          <c:showLegendKey val="0"/>
          <c:showVal val="0"/>
          <c:showCatName val="0"/>
          <c:showSerName val="0"/>
          <c:showPercent val="0"/>
          <c:showBubbleSize val="0"/>
        </c:dLbls>
        <c:marker val="1"/>
        <c:smooth val="0"/>
        <c:axId val="48014848"/>
        <c:axId val="48016768"/>
      </c:lineChart>
      <c:catAx>
        <c:axId val="4801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8016768"/>
        <c:crosses val="autoZero"/>
        <c:auto val="1"/>
        <c:lblAlgn val="ctr"/>
        <c:lblOffset val="100"/>
        <c:noMultiLvlLbl val="0"/>
      </c:catAx>
      <c:valAx>
        <c:axId val="48016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801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Vloženo</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#,##0</c:formatCode>
                <c:ptCount val="9"/>
                <c:pt idx="0">
                  <c:v>133503.57864399999</c:v>
                </c:pt>
                <c:pt idx="1">
                  <c:v>142365.95508000001</c:v>
                </c:pt>
                <c:pt idx="2">
                  <c:v>159118.05568399999</c:v>
                </c:pt>
                <c:pt idx="3">
                  <c:v>178932.43322100001</c:v>
                </c:pt>
                <c:pt idx="4">
                  <c:v>196538.34549899999</c:v>
                </c:pt>
                <c:pt idx="5">
                  <c:v>224371.332669</c:v>
                </c:pt>
                <c:pt idx="6">
                  <c:v>250439.377545</c:v>
                </c:pt>
                <c:pt idx="7">
                  <c:v>389342.40529800003</c:v>
                </c:pt>
                <c:pt idx="8">
                  <c:v>393132.81571699999</c:v>
                </c:pt>
              </c:numCache>
            </c:numRef>
          </c:val>
          <c:extLst>
            <c:ext xmlns:c16="http://schemas.microsoft.com/office/drawing/2014/chart" uri="{C3380CC4-5D6E-409C-BE32-E72D297353CC}">
              <c16:uniqueId val="{00000000-3F05-4CEC-9BBD-37D7C879D8C0}"/>
            </c:ext>
          </c:extLst>
        </c:ser>
        <c:ser>
          <c:idx val="1"/>
          <c:order val="1"/>
          <c:tx>
            <c:strRef>
              <c:f>List1!$C$1</c:f>
              <c:strCache>
                <c:ptCount val="1"/>
                <c:pt idx="0">
                  <c:v>Vyplaceno</c:v>
                </c:pt>
              </c:strCache>
            </c:strRef>
          </c:tx>
          <c:spPr>
            <a:solidFill>
              <a:schemeClr val="accent2"/>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#,##0</c:formatCode>
                <c:ptCount val="9"/>
                <c:pt idx="0">
                  <c:v>102210.800818</c:v>
                </c:pt>
                <c:pt idx="1">
                  <c:v>111065.61012300001</c:v>
                </c:pt>
                <c:pt idx="2">
                  <c:v>124628.291598</c:v>
                </c:pt>
                <c:pt idx="3">
                  <c:v>141789.01138099999</c:v>
                </c:pt>
                <c:pt idx="4">
                  <c:v>157171.72609099999</c:v>
                </c:pt>
                <c:pt idx="5">
                  <c:v>184431.166364</c:v>
                </c:pt>
                <c:pt idx="6">
                  <c:v>218917.690588</c:v>
                </c:pt>
                <c:pt idx="7">
                  <c:v>353071.494366</c:v>
                </c:pt>
                <c:pt idx="8">
                  <c:v>360443.11385199998</c:v>
                </c:pt>
              </c:numCache>
            </c:numRef>
          </c:val>
          <c:extLst>
            <c:ext xmlns:c16="http://schemas.microsoft.com/office/drawing/2014/chart" uri="{C3380CC4-5D6E-409C-BE32-E72D297353CC}">
              <c16:uniqueId val="{00000001-3F05-4CEC-9BBD-37D7C879D8C0}"/>
            </c:ext>
          </c:extLst>
        </c:ser>
        <c:dLbls>
          <c:showLegendKey val="0"/>
          <c:showVal val="0"/>
          <c:showCatName val="0"/>
          <c:showSerName val="0"/>
          <c:showPercent val="0"/>
          <c:showBubbleSize val="0"/>
        </c:dLbls>
        <c:gapWidth val="219"/>
        <c:overlap val="-27"/>
        <c:axId val="91243264"/>
        <c:axId val="91244800"/>
      </c:barChart>
      <c:catAx>
        <c:axId val="91243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1244800"/>
        <c:crosses val="autoZero"/>
        <c:auto val="1"/>
        <c:lblAlgn val="ctr"/>
        <c:lblOffset val="100"/>
        <c:noMultiLvlLbl val="0"/>
      </c:catAx>
      <c:valAx>
        <c:axId val="91244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1243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5"/>
          <c:order val="5"/>
          <c:tx>
            <c:strRef>
              <c:f>List1!$G$1</c:f>
              <c:strCache>
                <c:ptCount val="1"/>
                <c:pt idx="0">
                  <c:v>Landbased</c:v>
                </c:pt>
              </c:strCache>
            </c:strRef>
          </c:tx>
          <c:spPr>
            <a:solidFill>
              <a:schemeClr val="accent6">
                <a:lumMod val="40000"/>
                <a:lumOff val="60000"/>
                <a:alpha val="93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List1!$G$2:$G$9</c:f>
              <c:numCache>
                <c:formatCode>General</c:formatCode>
                <c:ptCount val="8"/>
                <c:pt idx="0">
                  <c:v>7298122471.8000002</c:v>
                </c:pt>
                <c:pt idx="1">
                  <c:v>7325155440.2000008</c:v>
                </c:pt>
                <c:pt idx="2">
                  <c:v>7527488153.9500008</c:v>
                </c:pt>
                <c:pt idx="3" formatCode="?\ ???\ ??0">
                  <c:v>10409488229.917501</c:v>
                </c:pt>
                <c:pt idx="4" formatCode="?\ ???\ ??0">
                  <c:v>10208499618.280001</c:v>
                </c:pt>
                <c:pt idx="5" formatCode="?\ ???\ ??0">
                  <c:v>6861683223.3199997</c:v>
                </c:pt>
                <c:pt idx="6" formatCode="#,##0">
                  <c:v>7445619173</c:v>
                </c:pt>
                <c:pt idx="7">
                  <c:v>5851373605.8699999</c:v>
                </c:pt>
              </c:numCache>
            </c:numRef>
          </c:val>
          <c:extLst>
            <c:ext xmlns:c16="http://schemas.microsoft.com/office/drawing/2014/chart" uri="{C3380CC4-5D6E-409C-BE32-E72D297353CC}">
              <c16:uniqueId val="{00000000-A40D-4C54-99E3-55C035A7FC15}"/>
            </c:ext>
          </c:extLst>
        </c:ser>
        <c:ser>
          <c:idx val="6"/>
          <c:order val="6"/>
          <c:tx>
            <c:strRef>
              <c:f>List1!$H$1</c:f>
              <c:strCache>
                <c:ptCount val="1"/>
                <c:pt idx="0">
                  <c:v>Internet</c:v>
                </c:pt>
              </c:strCache>
            </c:strRef>
          </c:tx>
          <c:spPr>
            <a:solidFill>
              <a:schemeClr val="accent5">
                <a:lumMod val="40000"/>
                <a:lumOff val="60000"/>
                <a:alpha val="84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List1!$H$2:$H$9</c:f>
              <c:numCache>
                <c:formatCode>General</c:formatCode>
                <c:ptCount val="8"/>
                <c:pt idx="0">
                  <c:v>470948195</c:v>
                </c:pt>
                <c:pt idx="1">
                  <c:v>500551069.60000002</c:v>
                </c:pt>
                <c:pt idx="2">
                  <c:v>637145574.30000007</c:v>
                </c:pt>
                <c:pt idx="3" formatCode="?\ ???\ ??0">
                  <c:v>773075057.39999998</c:v>
                </c:pt>
                <c:pt idx="4" formatCode="?\ ???\ ??0">
                  <c:v>1919209323.4700003</c:v>
                </c:pt>
                <c:pt idx="5" formatCode="?\ ???\ ??0">
                  <c:v>2213947838.8200002</c:v>
                </c:pt>
                <c:pt idx="6" formatCode="#,##0">
                  <c:v>3047919989</c:v>
                </c:pt>
                <c:pt idx="7">
                  <c:v>4496228084.3300009</c:v>
                </c:pt>
              </c:numCache>
            </c:numRef>
          </c:val>
          <c:extLst>
            <c:ext xmlns:c16="http://schemas.microsoft.com/office/drawing/2014/chart" uri="{C3380CC4-5D6E-409C-BE32-E72D297353CC}">
              <c16:uniqueId val="{00000001-A40D-4C54-99E3-55C035A7FC15}"/>
            </c:ext>
          </c:extLst>
        </c:ser>
        <c:dLbls>
          <c:showLegendKey val="0"/>
          <c:showVal val="0"/>
          <c:showCatName val="0"/>
          <c:showSerName val="0"/>
          <c:showPercent val="0"/>
          <c:showBubbleSize val="0"/>
        </c:dLbls>
        <c:axId val="94245248"/>
        <c:axId val="92400256"/>
      </c:areaChart>
      <c:barChart>
        <c:barDir val="col"/>
        <c:grouping val="cluster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2-A40D-4C54-99E3-55C035A7FC15}"/>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3-A40D-4C54-99E3-55C035A7FC15}"/>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4-A40D-4C54-99E3-55C035A7FC15}"/>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5-A40D-4C54-99E3-55C035A7FC15}"/>
            </c:ext>
          </c:extLst>
        </c:ser>
        <c:ser>
          <c:idx val="4"/>
          <c:order val="4"/>
          <c:tx>
            <c:strRef>
              <c:f>List1!$F$1</c:f>
              <c:strCache>
                <c:ptCount val="1"/>
                <c:pt idx="0">
                  <c:v>Ostatní hry</c:v>
                </c:pt>
              </c:strCache>
            </c:strRef>
          </c:tx>
          <c:spPr>
            <a:solidFill>
              <a:srgbClr val="FF0000"/>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6-A40D-4C54-99E3-55C035A7FC15}"/>
            </c:ext>
          </c:extLst>
        </c:ser>
        <c:dLbls>
          <c:showLegendKey val="0"/>
          <c:showVal val="0"/>
          <c:showCatName val="0"/>
          <c:showSerName val="0"/>
          <c:showPercent val="0"/>
          <c:showBubbleSize val="0"/>
        </c:dLbls>
        <c:gapWidth val="150"/>
        <c:axId val="92396928"/>
        <c:axId val="92398720"/>
      </c:barChart>
      <c:catAx>
        <c:axId val="9239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2398720"/>
        <c:crosses val="autoZero"/>
        <c:auto val="1"/>
        <c:lblAlgn val="ctr"/>
        <c:lblOffset val="100"/>
        <c:noMultiLvlLbl val="0"/>
      </c:catAx>
      <c:valAx>
        <c:axId val="92398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2396928"/>
        <c:crosses val="autoZero"/>
        <c:crossBetween val="between"/>
      </c:valAx>
      <c:valAx>
        <c:axId val="9240025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4245248"/>
        <c:crosses val="max"/>
        <c:crossBetween val="between"/>
      </c:valAx>
      <c:catAx>
        <c:axId val="94245248"/>
        <c:scaling>
          <c:orientation val="minMax"/>
        </c:scaling>
        <c:delete val="1"/>
        <c:axPos val="b"/>
        <c:numFmt formatCode="General" sourceLinked="1"/>
        <c:majorTickMark val="out"/>
        <c:minorTickMark val="none"/>
        <c:tickLblPos val="nextTo"/>
        <c:crossAx val="92400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Počet obecně závazných vyhlášek</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General</c:formatCode>
                <c:ptCount val="9"/>
                <c:pt idx="0">
                  <c:v>89</c:v>
                </c:pt>
                <c:pt idx="1">
                  <c:v>58</c:v>
                </c:pt>
                <c:pt idx="2">
                  <c:v>50</c:v>
                </c:pt>
                <c:pt idx="3">
                  <c:v>53</c:v>
                </c:pt>
                <c:pt idx="4">
                  <c:v>54</c:v>
                </c:pt>
                <c:pt idx="5">
                  <c:v>52</c:v>
                </c:pt>
                <c:pt idx="6">
                  <c:v>33</c:v>
                </c:pt>
                <c:pt idx="7">
                  <c:v>18</c:v>
                </c:pt>
                <c:pt idx="8">
                  <c:v>12</c:v>
                </c:pt>
              </c:numCache>
            </c:numRef>
          </c:val>
          <c:extLst>
            <c:ext xmlns:c16="http://schemas.microsoft.com/office/drawing/2014/chart" uri="{C3380CC4-5D6E-409C-BE32-E72D297353CC}">
              <c16:uniqueId val="{00000000-5C70-4D4F-8B61-8297BA128579}"/>
            </c:ext>
          </c:extLst>
        </c:ser>
        <c:dLbls>
          <c:showLegendKey val="0"/>
          <c:showVal val="0"/>
          <c:showCatName val="0"/>
          <c:showSerName val="0"/>
          <c:showPercent val="0"/>
          <c:showBubbleSize val="0"/>
        </c:dLbls>
        <c:gapWidth val="219"/>
        <c:axId val="95623808"/>
        <c:axId val="95629696"/>
      </c:barChart>
      <c:lineChart>
        <c:grouping val="standard"/>
        <c:varyColors val="0"/>
        <c:ser>
          <c:idx val="1"/>
          <c:order val="1"/>
          <c:tx>
            <c:strRef>
              <c:f>List1!$C$1</c:f>
              <c:strCache>
                <c:ptCount val="1"/>
                <c:pt idx="0">
                  <c:v>Dílčí základ daně z technické hry (land-based)</c:v>
                </c:pt>
              </c:strCache>
            </c:strRef>
          </c:tx>
          <c:spPr>
            <a:ln w="28575" cap="rnd">
              <a:solidFill>
                <a:schemeClr val="accent2"/>
              </a:solidFill>
              <a:round/>
            </a:ln>
            <a:effectLst/>
          </c:spPr>
          <c:marker>
            <c:symbol val="none"/>
          </c:marker>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General</c:formatCode>
                <c:ptCount val="9"/>
                <c:pt idx="0">
                  <c:v>22644396346</c:v>
                </c:pt>
                <c:pt idx="1">
                  <c:v>21843629544</c:v>
                </c:pt>
                <c:pt idx="2">
                  <c:v>23299328617</c:v>
                </c:pt>
                <c:pt idx="3">
                  <c:v>24222140798</c:v>
                </c:pt>
                <c:pt idx="4">
                  <c:v>24864084280</c:v>
                </c:pt>
                <c:pt idx="5">
                  <c:v>23395308739</c:v>
                </c:pt>
                <c:pt idx="6">
                  <c:v>13403470313</c:v>
                </c:pt>
                <c:pt idx="7">
                  <c:v>15111390454</c:v>
                </c:pt>
                <c:pt idx="8">
                  <c:v>8998461172</c:v>
                </c:pt>
              </c:numCache>
            </c:numRef>
          </c:val>
          <c:smooth val="0"/>
          <c:extLst>
            <c:ext xmlns:c16="http://schemas.microsoft.com/office/drawing/2014/chart" uri="{C3380CC4-5D6E-409C-BE32-E72D297353CC}">
              <c16:uniqueId val="{00000001-5C70-4D4F-8B61-8297BA128579}"/>
            </c:ext>
          </c:extLst>
        </c:ser>
        <c:dLbls>
          <c:showLegendKey val="0"/>
          <c:showVal val="0"/>
          <c:showCatName val="0"/>
          <c:showSerName val="0"/>
          <c:showPercent val="0"/>
          <c:showBubbleSize val="0"/>
        </c:dLbls>
        <c:marker val="1"/>
        <c:smooth val="0"/>
        <c:axId val="95632768"/>
        <c:axId val="95631232"/>
      </c:lineChart>
      <c:catAx>
        <c:axId val="9562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629696"/>
        <c:crosses val="autoZero"/>
        <c:auto val="1"/>
        <c:lblAlgn val="ctr"/>
        <c:lblOffset val="100"/>
        <c:noMultiLvlLbl val="0"/>
      </c:catAx>
      <c:valAx>
        <c:axId val="95629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623808"/>
        <c:crosses val="autoZero"/>
        <c:crossBetween val="between"/>
      </c:valAx>
      <c:valAx>
        <c:axId val="95631232"/>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632768"/>
        <c:crosses val="max"/>
        <c:crossBetween val="between"/>
      </c:valAx>
      <c:catAx>
        <c:axId val="95632768"/>
        <c:scaling>
          <c:orientation val="minMax"/>
        </c:scaling>
        <c:delete val="1"/>
        <c:axPos val="b"/>
        <c:numFmt formatCode="General" sourceLinked="1"/>
        <c:majorTickMark val="out"/>
        <c:minorTickMark val="none"/>
        <c:tickLblPos val="nextTo"/>
        <c:crossAx val="956312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Technická hra</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0%</c:formatCode>
                <c:ptCount val="9"/>
                <c:pt idx="0">
                  <c:v>0</c:v>
                </c:pt>
                <c:pt idx="1">
                  <c:v>0</c:v>
                </c:pt>
                <c:pt idx="2">
                  <c:v>0</c:v>
                </c:pt>
                <c:pt idx="3">
                  <c:v>0</c:v>
                </c:pt>
                <c:pt idx="4">
                  <c:v>0</c:v>
                </c:pt>
                <c:pt idx="5">
                  <c:v>4.6446613679579904E-2</c:v>
                </c:pt>
                <c:pt idx="6">
                  <c:v>0.10506423216364266</c:v>
                </c:pt>
                <c:pt idx="7">
                  <c:v>0.15789477613695244</c:v>
                </c:pt>
                <c:pt idx="8">
                  <c:v>0.3985270530765167</c:v>
                </c:pt>
              </c:numCache>
            </c:numRef>
          </c:val>
          <c:extLst>
            <c:ext xmlns:c16="http://schemas.microsoft.com/office/drawing/2014/chart" uri="{C3380CC4-5D6E-409C-BE32-E72D297353CC}">
              <c16:uniqueId val="{00000000-7523-4F42-B45F-B0350F04EB87}"/>
            </c:ext>
          </c:extLst>
        </c:ser>
        <c:ser>
          <c:idx val="1"/>
          <c:order val="1"/>
          <c:tx>
            <c:strRef>
              <c:f>List1!$C$1</c:f>
              <c:strCache>
                <c:ptCount val="1"/>
                <c:pt idx="0">
                  <c:v>Kursová sázka</c:v>
                </c:pt>
              </c:strCache>
            </c:strRef>
          </c:tx>
          <c:spPr>
            <a:solidFill>
              <a:schemeClr val="accent2"/>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0%</c:formatCode>
                <c:ptCount val="9"/>
                <c:pt idx="0">
                  <c:v>0.49345465046136572</c:v>
                </c:pt>
                <c:pt idx="1">
                  <c:v>0.60573567732010414</c:v>
                </c:pt>
                <c:pt idx="2">
                  <c:v>0.65302463244245101</c:v>
                </c:pt>
                <c:pt idx="3">
                  <c:v>0.72527207998198095</c:v>
                </c:pt>
                <c:pt idx="4">
                  <c:v>0.79275191186502825</c:v>
                </c:pt>
                <c:pt idx="5">
                  <c:v>0.83491007906023129</c:v>
                </c:pt>
                <c:pt idx="6">
                  <c:v>0.8434238713539749</c:v>
                </c:pt>
                <c:pt idx="7">
                  <c:v>0.87532014541910241</c:v>
                </c:pt>
                <c:pt idx="8">
                  <c:v>0.90716416694446134</c:v>
                </c:pt>
              </c:numCache>
            </c:numRef>
          </c:val>
          <c:extLst>
            <c:ext xmlns:c16="http://schemas.microsoft.com/office/drawing/2014/chart" uri="{C3380CC4-5D6E-409C-BE32-E72D297353CC}">
              <c16:uniqueId val="{00000001-7523-4F42-B45F-B0350F04EB87}"/>
            </c:ext>
          </c:extLst>
        </c:ser>
        <c:ser>
          <c:idx val="2"/>
          <c:order val="2"/>
          <c:tx>
            <c:strRef>
              <c:f>List1!$D$1</c:f>
              <c:strCache>
                <c:ptCount val="1"/>
                <c:pt idx="0">
                  <c:v>Loterie</c:v>
                </c:pt>
              </c:strCache>
            </c:strRef>
          </c:tx>
          <c:spPr>
            <a:solidFill>
              <a:schemeClr val="accent3"/>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List1!$D$2:$D$10</c:f>
              <c:numCache>
                <c:formatCode>0%</c:formatCode>
                <c:ptCount val="9"/>
                <c:pt idx="0">
                  <c:v>0</c:v>
                </c:pt>
                <c:pt idx="1">
                  <c:v>0</c:v>
                </c:pt>
                <c:pt idx="2">
                  <c:v>0</c:v>
                </c:pt>
                <c:pt idx="3">
                  <c:v>0</c:v>
                </c:pt>
                <c:pt idx="4">
                  <c:v>0</c:v>
                </c:pt>
                <c:pt idx="5">
                  <c:v>6.3510692234050994E-2</c:v>
                </c:pt>
                <c:pt idx="6">
                  <c:v>0.10057072048923173</c:v>
                </c:pt>
                <c:pt idx="7">
                  <c:v>0.13722940128904287</c:v>
                </c:pt>
                <c:pt idx="8">
                  <c:v>0.19680203731311971</c:v>
                </c:pt>
              </c:numCache>
            </c:numRef>
          </c:val>
          <c:extLst>
            <c:ext xmlns:c16="http://schemas.microsoft.com/office/drawing/2014/chart" uri="{C3380CC4-5D6E-409C-BE32-E72D297353CC}">
              <c16:uniqueId val="{00000002-7523-4F42-B45F-B0350F04EB87}"/>
            </c:ext>
          </c:extLst>
        </c:ser>
        <c:ser>
          <c:idx val="3"/>
          <c:order val="3"/>
          <c:tx>
            <c:strRef>
              <c:f>List1!$E$1</c:f>
              <c:strCache>
                <c:ptCount val="1"/>
                <c:pt idx="0">
                  <c:v>Živá hra</c:v>
                </c:pt>
              </c:strCache>
            </c:strRef>
          </c:tx>
          <c:spPr>
            <a:solidFill>
              <a:schemeClr val="accent4"/>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List1!$E$2:$E$10</c:f>
              <c:numCache>
                <c:formatCode>0%</c:formatCode>
                <c:ptCount val="9"/>
                <c:pt idx="0">
                  <c:v>0</c:v>
                </c:pt>
                <c:pt idx="1">
                  <c:v>3.7411718165704954E-3</c:v>
                </c:pt>
                <c:pt idx="2">
                  <c:v>5.352198237164262E-3</c:v>
                </c:pt>
                <c:pt idx="3">
                  <c:v>3.6472211595553702E-3</c:v>
                </c:pt>
                <c:pt idx="4">
                  <c:v>2.8820772486460129E-3</c:v>
                </c:pt>
                <c:pt idx="5">
                  <c:v>5.8238547796987762E-2</c:v>
                </c:pt>
                <c:pt idx="6">
                  <c:v>7.599720689201965E-2</c:v>
                </c:pt>
                <c:pt idx="7">
                  <c:v>9.7575626607263502E-2</c:v>
                </c:pt>
                <c:pt idx="8">
                  <c:v>0.23732143328387198</c:v>
                </c:pt>
              </c:numCache>
            </c:numRef>
          </c:val>
          <c:extLst>
            <c:ext xmlns:c16="http://schemas.microsoft.com/office/drawing/2014/chart" uri="{C3380CC4-5D6E-409C-BE32-E72D297353CC}">
              <c16:uniqueId val="{00000003-7523-4F42-B45F-B0350F04EB87}"/>
            </c:ext>
          </c:extLst>
        </c:ser>
        <c:ser>
          <c:idx val="4"/>
          <c:order val="4"/>
          <c:tx>
            <c:strRef>
              <c:f>List1!$F$1</c:f>
              <c:strCache>
                <c:ptCount val="1"/>
                <c:pt idx="0">
                  <c:v>Ostatní hry</c:v>
                </c:pt>
              </c:strCache>
            </c:strRef>
          </c:tx>
          <c:spPr>
            <a:solidFill>
              <a:schemeClr val="accent6"/>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List1!$F$2:$F$10</c:f>
              <c:numCache>
                <c:formatCode>0%</c:formatCode>
                <c:ptCount val="9"/>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4-7523-4F42-B45F-B0350F04EB87}"/>
            </c:ext>
          </c:extLst>
        </c:ser>
        <c:dLbls>
          <c:showLegendKey val="0"/>
          <c:showVal val="0"/>
          <c:showCatName val="0"/>
          <c:showSerName val="0"/>
          <c:showPercent val="0"/>
          <c:showBubbleSize val="0"/>
        </c:dLbls>
        <c:gapWidth val="219"/>
        <c:overlap val="-27"/>
        <c:axId val="95679616"/>
        <c:axId val="95681152"/>
      </c:barChart>
      <c:catAx>
        <c:axId val="9567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681152"/>
        <c:crosses val="autoZero"/>
        <c:auto val="1"/>
        <c:lblAlgn val="ctr"/>
        <c:lblOffset val="100"/>
        <c:noMultiLvlLbl val="0"/>
      </c:catAx>
      <c:valAx>
        <c:axId val="95681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67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Technická hra - Land-based</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5898374358.8000002</c:v>
                </c:pt>
                <c:pt idx="1">
                  <c:v>6071584878.4000006</c:v>
                </c:pt>
                <c:pt idx="2">
                  <c:v>6143305299.6000004</c:v>
                </c:pt>
                <c:pt idx="3">
                  <c:v>8679161038.4000015</c:v>
                </c:pt>
                <c:pt idx="4">
                  <c:v>8208918014.25</c:v>
                </c:pt>
                <c:pt idx="5">
                  <c:v>4720779024.7999992</c:v>
                </c:pt>
                <c:pt idx="6">
                  <c:v>5289592523.6999998</c:v>
                </c:pt>
                <c:pt idx="7" formatCode="General">
                  <c:v>3220182410.1999998</c:v>
                </c:pt>
              </c:numCache>
            </c:numRef>
          </c:val>
          <c:extLst>
            <c:ext xmlns:c16="http://schemas.microsoft.com/office/drawing/2014/chart" uri="{C3380CC4-5D6E-409C-BE32-E72D297353CC}">
              <c16:uniqueId val="{00000000-9A91-40EF-909F-F383E4500EF8}"/>
            </c:ext>
          </c:extLst>
        </c:ser>
        <c:ser>
          <c:idx val="1"/>
          <c:order val="1"/>
          <c:tx>
            <c:strRef>
              <c:f>List1!$C$1</c:f>
              <c:strCache>
                <c:ptCount val="1"/>
                <c:pt idx="0">
                  <c:v>Technická hra - Internet</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General</c:formatCode>
                <c:ptCount val="8"/>
                <c:pt idx="4" formatCode="?\ ???\ ??0">
                  <c:v>399848030.75</c:v>
                </c:pt>
                <c:pt idx="5" formatCode="?\ ???\ ??0">
                  <c:v>554212985.19999993</c:v>
                </c:pt>
                <c:pt idx="6" formatCode="?\ ???\ ??0">
                  <c:v>991798891.29999995</c:v>
                </c:pt>
                <c:pt idx="7">
                  <c:v>2133646937.4499998</c:v>
                </c:pt>
              </c:numCache>
            </c:numRef>
          </c:val>
          <c:extLst>
            <c:ext xmlns:c16="http://schemas.microsoft.com/office/drawing/2014/chart" uri="{C3380CC4-5D6E-409C-BE32-E72D297353CC}">
              <c16:uniqueId val="{00000001-9A91-40EF-909F-F383E4500EF8}"/>
            </c:ext>
          </c:extLst>
        </c:ser>
        <c:dLbls>
          <c:showLegendKey val="0"/>
          <c:showVal val="0"/>
          <c:showCatName val="0"/>
          <c:showSerName val="0"/>
          <c:showPercent val="0"/>
          <c:showBubbleSize val="0"/>
        </c:dLbls>
        <c:gapWidth val="219"/>
        <c:overlap val="-27"/>
        <c:axId val="95762304"/>
        <c:axId val="95763840"/>
      </c:barChart>
      <c:lineChart>
        <c:grouping val="standard"/>
        <c:varyColors val="0"/>
        <c:ser>
          <c:idx val="2"/>
          <c:order val="2"/>
          <c:tx>
            <c:strRef>
              <c:f>List1!$D$1</c:f>
              <c:strCache>
                <c:ptCount val="1"/>
                <c:pt idx="0">
                  <c:v>Počet herních pozic</c:v>
                </c:pt>
              </c:strCache>
            </c:strRef>
          </c:tx>
          <c:spPr>
            <a:ln w="28575" cap="rnd">
              <a:solidFill>
                <a:schemeClr val="accent3">
                  <a:lumMod val="75000"/>
                </a:schemeClr>
              </a:solidFill>
              <a:round/>
            </a:ln>
            <a:effectLst/>
          </c:spPr>
          <c:marker>
            <c:symbol val="none"/>
          </c:marke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#,##0</c:formatCode>
                <c:ptCount val="8"/>
                <c:pt idx="0">
                  <c:v>60915</c:v>
                </c:pt>
                <c:pt idx="1">
                  <c:v>58746</c:v>
                </c:pt>
                <c:pt idx="2">
                  <c:v>55364</c:v>
                </c:pt>
                <c:pt idx="3">
                  <c:v>50695</c:v>
                </c:pt>
                <c:pt idx="4">
                  <c:v>66754</c:v>
                </c:pt>
                <c:pt idx="5">
                  <c:v>45278</c:v>
                </c:pt>
                <c:pt idx="6">
                  <c:v>38609</c:v>
                </c:pt>
                <c:pt idx="7" formatCode="0">
                  <c:v>34249.25</c:v>
                </c:pt>
              </c:numCache>
            </c:numRef>
          </c:val>
          <c:smooth val="0"/>
          <c:extLst>
            <c:ext xmlns:c16="http://schemas.microsoft.com/office/drawing/2014/chart" uri="{C3380CC4-5D6E-409C-BE32-E72D297353CC}">
              <c16:uniqueId val="{00000002-9A91-40EF-909F-F383E4500EF8}"/>
            </c:ext>
          </c:extLst>
        </c:ser>
        <c:dLbls>
          <c:showLegendKey val="0"/>
          <c:showVal val="0"/>
          <c:showCatName val="0"/>
          <c:showSerName val="0"/>
          <c:showPercent val="0"/>
          <c:showBubbleSize val="0"/>
        </c:dLbls>
        <c:marker val="1"/>
        <c:smooth val="0"/>
        <c:axId val="95771264"/>
        <c:axId val="95769728"/>
      </c:lineChart>
      <c:catAx>
        <c:axId val="9576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763840"/>
        <c:crosses val="autoZero"/>
        <c:auto val="1"/>
        <c:lblAlgn val="ctr"/>
        <c:lblOffset val="100"/>
        <c:noMultiLvlLbl val="0"/>
      </c:catAx>
      <c:valAx>
        <c:axId val="95763840"/>
        <c:scaling>
          <c:orientation val="minMax"/>
        </c:scaling>
        <c:delete val="0"/>
        <c:axPos val="l"/>
        <c:majorGridlines>
          <c:spPr>
            <a:ln w="9525" cap="flat" cmpd="sng" algn="ctr">
              <a:solidFill>
                <a:schemeClr val="tx1">
                  <a:lumMod val="15000"/>
                  <a:lumOff val="85000"/>
                </a:schemeClr>
              </a:solidFill>
              <a:round/>
            </a:ln>
            <a:effectLst/>
          </c:spPr>
        </c:majorGridlines>
        <c:numFmt formatCode="#,##0\ &quot;Kč&quot;"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762304"/>
        <c:crosses val="autoZero"/>
        <c:crossBetween val="between"/>
      </c:valAx>
      <c:valAx>
        <c:axId val="95769728"/>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771264"/>
        <c:crosses val="max"/>
        <c:crossBetween val="between"/>
      </c:valAx>
      <c:catAx>
        <c:axId val="95771264"/>
        <c:scaling>
          <c:orientation val="minMax"/>
        </c:scaling>
        <c:delete val="1"/>
        <c:axPos val="b"/>
        <c:numFmt formatCode="General" sourceLinked="1"/>
        <c:majorTickMark val="out"/>
        <c:minorTickMark val="none"/>
        <c:tickLblPos val="nextTo"/>
        <c:crossAx val="957697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0-BF6A-4B66-97C5-609E0CEB7D85}"/>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1-BF6A-4B66-97C5-609E0CEB7D85}"/>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2-BF6A-4B66-97C5-609E0CEB7D85}"/>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3-BF6A-4B66-97C5-609E0CEB7D85}"/>
            </c:ext>
          </c:extLst>
        </c:ser>
        <c:ser>
          <c:idx val="4"/>
          <c:order val="4"/>
          <c:tx>
            <c:strRef>
              <c:f>List1!$F$1</c:f>
              <c:strCache>
                <c:ptCount val="1"/>
                <c:pt idx="0">
                  <c:v>Ostatní hry</c:v>
                </c:pt>
              </c:strCache>
            </c:strRef>
          </c:tx>
          <c:spPr>
            <a:solidFill>
              <a:schemeClr val="accent6"/>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4-BF6A-4B66-97C5-609E0CEB7D85}"/>
            </c:ext>
          </c:extLst>
        </c:ser>
        <c:dLbls>
          <c:showLegendKey val="0"/>
          <c:showVal val="0"/>
          <c:showCatName val="0"/>
          <c:showSerName val="0"/>
          <c:showPercent val="0"/>
          <c:showBubbleSize val="0"/>
        </c:dLbls>
        <c:gapWidth val="150"/>
        <c:overlap val="100"/>
        <c:axId val="95818496"/>
        <c:axId val="95820032"/>
      </c:barChart>
      <c:catAx>
        <c:axId val="95818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820032"/>
        <c:crosses val="autoZero"/>
        <c:auto val="1"/>
        <c:lblAlgn val="ctr"/>
        <c:lblOffset val="100"/>
        <c:noMultiLvlLbl val="0"/>
      </c:catAx>
      <c:valAx>
        <c:axId val="95820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818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List1!$B$1</c:f>
              <c:strCache>
                <c:ptCount val="1"/>
                <c:pt idx="0">
                  <c:v>Procentuální daň z technické hry</c:v>
                </c:pt>
              </c:strCache>
            </c:strRef>
          </c:tx>
          <c:spPr>
            <a:solidFill>
              <a:schemeClr val="accent1"/>
            </a:solidFill>
            <a:ln>
              <a:noFill/>
            </a:ln>
            <a:effectLst/>
          </c:spPr>
          <c:invertIfNegative val="0"/>
          <c:cat>
            <c:strRef>
              <c:f>List1!$A$2:$A$17</c:f>
              <c:strCache>
                <c:ptCount val="16"/>
                <c:pt idx="0">
                  <c:v>1Q 2017</c:v>
                </c:pt>
                <c:pt idx="1">
                  <c:v>2Q 2017</c:v>
                </c:pt>
                <c:pt idx="2">
                  <c:v>3Q 2017</c:v>
                </c:pt>
                <c:pt idx="3">
                  <c:v>4Q 2017</c:v>
                </c:pt>
                <c:pt idx="4">
                  <c:v>1Q 2018</c:v>
                </c:pt>
                <c:pt idx="5">
                  <c:v>2Q 2018</c:v>
                </c:pt>
                <c:pt idx="6">
                  <c:v>3Q 2018</c:v>
                </c:pt>
                <c:pt idx="7">
                  <c:v>4Q 2018</c:v>
                </c:pt>
                <c:pt idx="8">
                  <c:v>1Q 2019</c:v>
                </c:pt>
                <c:pt idx="9">
                  <c:v>2Q 2019</c:v>
                </c:pt>
                <c:pt idx="10">
                  <c:v>3Q 2019</c:v>
                </c:pt>
                <c:pt idx="11">
                  <c:v>4Q 2019</c:v>
                </c:pt>
                <c:pt idx="12">
                  <c:v>1Q 2020</c:v>
                </c:pt>
                <c:pt idx="13">
                  <c:v>2Q 2020</c:v>
                </c:pt>
                <c:pt idx="14">
                  <c:v>3Q 2020</c:v>
                </c:pt>
                <c:pt idx="15">
                  <c:v>4Q 2020</c:v>
                </c:pt>
              </c:strCache>
            </c:strRef>
          </c:cat>
          <c:val>
            <c:numRef>
              <c:f>List1!$B$2:$B$17</c:f>
              <c:numCache>
                <c:formatCode>#,##0</c:formatCode>
                <c:ptCount val="16"/>
                <c:pt idx="0">
                  <c:v>2145642730</c:v>
                </c:pt>
                <c:pt idx="1">
                  <c:v>2161457970</c:v>
                </c:pt>
                <c:pt idx="2">
                  <c:v>2034547410</c:v>
                </c:pt>
                <c:pt idx="3">
                  <c:v>2246564985</c:v>
                </c:pt>
                <c:pt idx="4">
                  <c:v>1155692195</c:v>
                </c:pt>
                <c:pt idx="5">
                  <c:v>1194031265</c:v>
                </c:pt>
                <c:pt idx="6">
                  <c:v>1324225070</c:v>
                </c:pt>
                <c:pt idx="7">
                  <c:v>1571481940</c:v>
                </c:pt>
                <c:pt idx="8">
                  <c:v>1472473030</c:v>
                </c:pt>
                <c:pt idx="9">
                  <c:v>1521089605</c:v>
                </c:pt>
                <c:pt idx="10">
                  <c:v>1539758115</c:v>
                </c:pt>
                <c:pt idx="11">
                  <c:v>1747467855</c:v>
                </c:pt>
                <c:pt idx="12">
                  <c:v>1416626750</c:v>
                </c:pt>
                <c:pt idx="13">
                  <c:v>1112453475</c:v>
                </c:pt>
                <c:pt idx="14">
                  <c:v>1799340830</c:v>
                </c:pt>
                <c:pt idx="15" formatCode="General">
                  <c:v>954690065</c:v>
                </c:pt>
              </c:numCache>
            </c:numRef>
          </c:val>
          <c:extLst>
            <c:ext xmlns:c16="http://schemas.microsoft.com/office/drawing/2014/chart" uri="{C3380CC4-5D6E-409C-BE32-E72D297353CC}">
              <c16:uniqueId val="{00000000-7D95-4B95-8D60-FB076F05EFEE}"/>
            </c:ext>
          </c:extLst>
        </c:ser>
        <c:ser>
          <c:idx val="1"/>
          <c:order val="1"/>
          <c:tx>
            <c:strRef>
              <c:f>List1!$C$1</c:f>
              <c:strCache>
                <c:ptCount val="1"/>
                <c:pt idx="0">
                  <c:v>Odvedeno na minimální dílčí dani</c:v>
                </c:pt>
              </c:strCache>
            </c:strRef>
          </c:tx>
          <c:spPr>
            <a:solidFill>
              <a:schemeClr val="accent2"/>
            </a:solidFill>
            <a:ln>
              <a:noFill/>
            </a:ln>
            <a:effectLst/>
          </c:spPr>
          <c:invertIfNegative val="0"/>
          <c:cat>
            <c:strRef>
              <c:f>List1!$A$2:$A$17</c:f>
              <c:strCache>
                <c:ptCount val="16"/>
                <c:pt idx="0">
                  <c:v>1Q 2017</c:v>
                </c:pt>
                <c:pt idx="1">
                  <c:v>2Q 2017</c:v>
                </c:pt>
                <c:pt idx="2">
                  <c:v>3Q 2017</c:v>
                </c:pt>
                <c:pt idx="3">
                  <c:v>4Q 2017</c:v>
                </c:pt>
                <c:pt idx="4">
                  <c:v>1Q 2018</c:v>
                </c:pt>
                <c:pt idx="5">
                  <c:v>2Q 2018</c:v>
                </c:pt>
                <c:pt idx="6">
                  <c:v>3Q 2018</c:v>
                </c:pt>
                <c:pt idx="7">
                  <c:v>4Q 2018</c:v>
                </c:pt>
                <c:pt idx="8">
                  <c:v>1Q 2019</c:v>
                </c:pt>
                <c:pt idx="9">
                  <c:v>2Q 2019</c:v>
                </c:pt>
                <c:pt idx="10">
                  <c:v>3Q 2019</c:v>
                </c:pt>
                <c:pt idx="11">
                  <c:v>4Q 2019</c:v>
                </c:pt>
                <c:pt idx="12">
                  <c:v>1Q 2020</c:v>
                </c:pt>
                <c:pt idx="13">
                  <c:v>2Q 2020</c:v>
                </c:pt>
                <c:pt idx="14">
                  <c:v>3Q 2020</c:v>
                </c:pt>
                <c:pt idx="15">
                  <c:v>4Q 2020</c:v>
                </c:pt>
              </c:strCache>
            </c:strRef>
          </c:cat>
          <c:val>
            <c:numRef>
              <c:f>List1!$C$2:$C$17</c:f>
              <c:numCache>
                <c:formatCode>#,##0</c:formatCode>
                <c:ptCount val="16"/>
                <c:pt idx="0">
                  <c:v>3274300</c:v>
                </c:pt>
                <c:pt idx="1">
                  <c:v>2764305</c:v>
                </c:pt>
                <c:pt idx="2">
                  <c:v>4659280</c:v>
                </c:pt>
                <c:pt idx="3">
                  <c:v>9855065</c:v>
                </c:pt>
                <c:pt idx="4">
                  <c:v>21666120</c:v>
                </c:pt>
                <c:pt idx="5">
                  <c:v>6546155</c:v>
                </c:pt>
                <c:pt idx="6">
                  <c:v>927655</c:v>
                </c:pt>
                <c:pt idx="7">
                  <c:v>421610</c:v>
                </c:pt>
                <c:pt idx="8">
                  <c:v>165880</c:v>
                </c:pt>
                <c:pt idx="9">
                  <c:v>291695</c:v>
                </c:pt>
                <c:pt idx="10">
                  <c:v>145235</c:v>
                </c:pt>
                <c:pt idx="11" formatCode="General">
                  <c:v>0</c:v>
                </c:pt>
                <c:pt idx="12">
                  <c:v>8520</c:v>
                </c:pt>
                <c:pt idx="13">
                  <c:v>1569890</c:v>
                </c:pt>
                <c:pt idx="14" formatCode="General">
                  <c:v>0</c:v>
                </c:pt>
                <c:pt idx="15" formatCode="General">
                  <c:v>69142590</c:v>
                </c:pt>
              </c:numCache>
            </c:numRef>
          </c:val>
          <c:extLst>
            <c:ext xmlns:c16="http://schemas.microsoft.com/office/drawing/2014/chart" uri="{C3380CC4-5D6E-409C-BE32-E72D297353CC}">
              <c16:uniqueId val="{00000001-7D95-4B95-8D60-FB076F05EFEE}"/>
            </c:ext>
          </c:extLst>
        </c:ser>
        <c:dLbls>
          <c:showLegendKey val="0"/>
          <c:showVal val="0"/>
          <c:showCatName val="0"/>
          <c:showSerName val="0"/>
          <c:showPercent val="0"/>
          <c:showBubbleSize val="0"/>
        </c:dLbls>
        <c:gapWidth val="150"/>
        <c:overlap val="100"/>
        <c:axId val="95861760"/>
        <c:axId val="95867648"/>
      </c:barChart>
      <c:catAx>
        <c:axId val="9586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867648"/>
        <c:crosses val="autoZero"/>
        <c:auto val="1"/>
        <c:lblAlgn val="ctr"/>
        <c:lblOffset val="100"/>
        <c:noMultiLvlLbl val="0"/>
      </c:catAx>
      <c:valAx>
        <c:axId val="95867648"/>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5861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9D3A4-CBD3-4188-A48A-71ACCFCB4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10942</Words>
  <Characters>64561</Characters>
  <Application>Microsoft Office Word</Application>
  <DocSecurity>0</DocSecurity>
  <Lines>538</Lines>
  <Paragraphs>150</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75353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3</cp:revision>
  <dcterms:created xsi:type="dcterms:W3CDTF">2021-06-03T09:36:00Z</dcterms:created>
  <dcterms:modified xsi:type="dcterms:W3CDTF">2021-06-03T09:46:00Z</dcterms:modified>
</cp:coreProperties>
</file>